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590C56" w14:textId="77777777" w:rsidR="005C6FAF" w:rsidRPr="00EB76BB" w:rsidRDefault="005C6FAF" w:rsidP="005C6FAF">
      <w:r w:rsidRPr="00EB76BB">
        <w:rPr>
          <w:noProof/>
        </w:rPr>
        <w:drawing>
          <wp:anchor distT="0" distB="0" distL="114300" distR="114300" simplePos="0" relativeHeight="251658240" behindDoc="0" locked="0" layoutInCell="1" allowOverlap="1" wp14:anchorId="3AAFF5D4" wp14:editId="5D8EF0E0">
            <wp:simplePos x="0" y="0"/>
            <wp:positionH relativeFrom="margin">
              <wp:posOffset>-770890</wp:posOffset>
            </wp:positionH>
            <wp:positionV relativeFrom="paragraph">
              <wp:posOffset>-882650</wp:posOffset>
            </wp:positionV>
            <wp:extent cx="5732145" cy="2866073"/>
            <wp:effectExtent l="0" t="0" r="1905" b="0"/>
            <wp:wrapNone/>
            <wp:docPr id="639400043" name="Picture 2" descr="A logo for a university&#10;&#10;AI-generated content may be incorrect.">
              <a:extLst xmlns:a="http://schemas.openxmlformats.org/drawingml/2006/main">
                <a:ext uri="{FF2B5EF4-FFF2-40B4-BE49-F238E27FC236}">
                  <a16:creationId xmlns:a16="http://schemas.microsoft.com/office/drawing/2014/main" id="{FE10CE1C-BCFE-48D1-BA99-B4A5CB328E0F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9400043" name="Picture 2" descr="A logo for a university&#10;&#10;AI-generated content may be incorrect."/>
                    <pic:cNvPicPr>
                      <a:picLocks noChangeAspect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2145" cy="2866073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B76BB">
        <w:t>+</w:t>
      </w:r>
    </w:p>
    <w:p w14:paraId="133AF4BE" w14:textId="77777777" w:rsidR="005C6FAF" w:rsidRPr="00EB76BB" w:rsidRDefault="005C6FAF" w:rsidP="005C6FAF"/>
    <w:p w14:paraId="57CBEB06" w14:textId="77777777" w:rsidR="005C6FAF" w:rsidRPr="00EB76BB" w:rsidRDefault="005C6FAF" w:rsidP="005C6FAF"/>
    <w:p w14:paraId="45042264" w14:textId="77777777" w:rsidR="005C6FAF" w:rsidRPr="00EB76BB" w:rsidRDefault="005C6FAF" w:rsidP="005C6FAF"/>
    <w:p w14:paraId="4AA82EAB" w14:textId="77777777" w:rsidR="005C6FAF" w:rsidRPr="00EB76BB" w:rsidRDefault="005C6FAF" w:rsidP="005C6FAF"/>
    <w:p w14:paraId="311335E1" w14:textId="77777777" w:rsidR="005C6FAF" w:rsidRPr="00EB76BB" w:rsidRDefault="005C6FAF" w:rsidP="005C6FAF"/>
    <w:p w14:paraId="4906D7D2" w14:textId="77777777" w:rsidR="005C6FAF" w:rsidRPr="00EB76BB" w:rsidRDefault="005C6FAF" w:rsidP="005C6FAF">
      <w:pPr>
        <w:pStyle w:val="Title"/>
      </w:pPr>
    </w:p>
    <w:p w14:paraId="26928063" w14:textId="77777777" w:rsidR="005C6FAF" w:rsidRDefault="005C6FAF" w:rsidP="005C6FAF">
      <w:pPr>
        <w:pStyle w:val="Title"/>
        <w:jc w:val="center"/>
        <w:rPr>
          <w:rFonts w:ascii="Arial Black" w:hAnsi="Arial Black"/>
        </w:rPr>
      </w:pPr>
    </w:p>
    <w:p w14:paraId="5D541B6C" w14:textId="77777777" w:rsidR="005C6FAF" w:rsidRPr="00EB76BB" w:rsidRDefault="005C6FAF" w:rsidP="005C6FAF">
      <w:pPr>
        <w:pStyle w:val="Title"/>
        <w:spacing w:line="480" w:lineRule="auto"/>
        <w:jc w:val="center"/>
        <w:rPr>
          <w:rFonts w:ascii="Arial Black" w:hAnsi="Arial Black"/>
        </w:rPr>
      </w:pPr>
      <w:r>
        <w:rPr>
          <w:rFonts w:ascii="Arial Black" w:hAnsi="Arial Black"/>
        </w:rPr>
        <w:t xml:space="preserve">Critical Essay </w:t>
      </w:r>
    </w:p>
    <w:p w14:paraId="7EACE6AE" w14:textId="77777777" w:rsidR="005C6FAF" w:rsidRPr="00EB76BB" w:rsidRDefault="005C6FAF" w:rsidP="005C6FAF"/>
    <w:p w14:paraId="4A1AA95B" w14:textId="77777777" w:rsidR="005C6FAF" w:rsidRPr="00EB76BB" w:rsidRDefault="005C6FAF" w:rsidP="005C6FAF"/>
    <w:p w14:paraId="7BDFE38B" w14:textId="77777777" w:rsidR="005C6FAF" w:rsidRPr="00EB76BB" w:rsidRDefault="005C6FAF" w:rsidP="005C6FAF"/>
    <w:p w14:paraId="57294361" w14:textId="77777777" w:rsidR="005C6FAF" w:rsidRPr="00EB76BB" w:rsidRDefault="005C6FAF" w:rsidP="005C6FAF"/>
    <w:p w14:paraId="74939294" w14:textId="77777777" w:rsidR="001B50DF" w:rsidRDefault="001B50DF" w:rsidP="005C6FAF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17074596" w14:textId="77777777" w:rsidR="001B50DF" w:rsidRDefault="001B50DF" w:rsidP="005C6FAF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</w:p>
    <w:p w14:paraId="650AD20D" w14:textId="5C6B2F6D" w:rsidR="005C6FAF" w:rsidRPr="00274B50" w:rsidRDefault="005C6FAF" w:rsidP="005C6FAF">
      <w:pPr>
        <w:spacing w:line="480" w:lineRule="auto"/>
        <w:rPr>
          <w:rFonts w:ascii="Arial" w:hAnsi="Arial" w:cs="Arial"/>
          <w:sz w:val="24"/>
          <w:szCs w:val="24"/>
        </w:rPr>
      </w:pPr>
      <w:r w:rsidRPr="00274B50">
        <w:rPr>
          <w:rFonts w:ascii="Arial" w:hAnsi="Arial" w:cs="Arial"/>
          <w:b/>
          <w:bCs/>
          <w:sz w:val="24"/>
          <w:szCs w:val="24"/>
        </w:rPr>
        <w:t>Programme:</w:t>
      </w:r>
      <w:r w:rsidRPr="00274B50">
        <w:rPr>
          <w:rFonts w:ascii="Arial" w:hAnsi="Arial" w:cs="Arial"/>
          <w:sz w:val="24"/>
          <w:szCs w:val="24"/>
        </w:rPr>
        <w:t xml:space="preserve"> BSc Psychology and Counselling </w:t>
      </w:r>
    </w:p>
    <w:p w14:paraId="6B29398D" w14:textId="5E0AA251" w:rsidR="005C6FAF" w:rsidRPr="00274B50" w:rsidRDefault="005C6FAF" w:rsidP="005C6FAF">
      <w:pPr>
        <w:spacing w:line="480" w:lineRule="auto"/>
        <w:rPr>
          <w:rFonts w:ascii="Arial" w:hAnsi="Arial" w:cs="Arial"/>
          <w:sz w:val="24"/>
          <w:szCs w:val="24"/>
        </w:rPr>
      </w:pPr>
      <w:r w:rsidRPr="00274B50">
        <w:rPr>
          <w:rFonts w:ascii="Arial" w:hAnsi="Arial" w:cs="Arial"/>
          <w:b/>
          <w:bCs/>
          <w:sz w:val="24"/>
          <w:szCs w:val="24"/>
        </w:rPr>
        <w:t>Module Title:</w:t>
      </w:r>
      <w:r w:rsidRPr="00274B5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Forensic Psychology and the Criminal Mind </w:t>
      </w:r>
    </w:p>
    <w:p w14:paraId="2791C797" w14:textId="16B7C3BC" w:rsidR="005C6FAF" w:rsidRPr="00274B50" w:rsidRDefault="005C6FAF" w:rsidP="005C6FAF">
      <w:pPr>
        <w:spacing w:line="480" w:lineRule="auto"/>
        <w:rPr>
          <w:rFonts w:ascii="Arial" w:hAnsi="Arial" w:cs="Arial"/>
          <w:sz w:val="24"/>
          <w:szCs w:val="24"/>
        </w:rPr>
      </w:pPr>
      <w:r w:rsidRPr="00274B50">
        <w:rPr>
          <w:rFonts w:ascii="Arial" w:hAnsi="Arial" w:cs="Arial"/>
          <w:b/>
          <w:bCs/>
          <w:sz w:val="24"/>
          <w:szCs w:val="24"/>
        </w:rPr>
        <w:t>Lecturer:</w:t>
      </w:r>
      <w:r w:rsidRPr="00274B50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Karen Eaton-Thomas </w:t>
      </w:r>
    </w:p>
    <w:p w14:paraId="6907AA17" w14:textId="77777777" w:rsidR="005C6FAF" w:rsidRDefault="005C6FAF" w:rsidP="005C6FAF">
      <w:pPr>
        <w:spacing w:line="480" w:lineRule="auto"/>
        <w:rPr>
          <w:rFonts w:ascii="Arial" w:hAnsi="Arial" w:cs="Arial"/>
          <w:sz w:val="24"/>
          <w:szCs w:val="24"/>
        </w:rPr>
      </w:pPr>
      <w:r w:rsidRPr="00274B50">
        <w:rPr>
          <w:rFonts w:ascii="Arial" w:hAnsi="Arial" w:cs="Arial"/>
          <w:b/>
          <w:bCs/>
          <w:sz w:val="24"/>
          <w:szCs w:val="24"/>
        </w:rPr>
        <w:t>Word Count:</w:t>
      </w:r>
      <w:r w:rsidRPr="00274B50">
        <w:rPr>
          <w:rFonts w:ascii="Arial" w:hAnsi="Arial" w:cs="Arial"/>
          <w:sz w:val="24"/>
          <w:szCs w:val="24"/>
        </w:rPr>
        <w:t xml:space="preserve"> 2.</w:t>
      </w:r>
      <w:r>
        <w:rPr>
          <w:rFonts w:ascii="Arial" w:hAnsi="Arial" w:cs="Arial"/>
          <w:sz w:val="24"/>
          <w:szCs w:val="24"/>
        </w:rPr>
        <w:t xml:space="preserve">000 </w:t>
      </w:r>
    </w:p>
    <w:p w14:paraId="64845AF9" w14:textId="5D7A2BD2" w:rsidR="005C6FAF" w:rsidRPr="00274B50" w:rsidRDefault="005C6FAF" w:rsidP="005C6FAF">
      <w:pPr>
        <w:spacing w:line="480" w:lineRule="auto"/>
        <w:rPr>
          <w:rFonts w:ascii="Arial" w:hAnsi="Arial" w:cs="Arial"/>
          <w:b/>
          <w:bCs/>
          <w:sz w:val="24"/>
          <w:szCs w:val="24"/>
        </w:rPr>
      </w:pPr>
      <w:r w:rsidRPr="00274B50">
        <w:rPr>
          <w:rFonts w:ascii="Arial" w:hAnsi="Arial" w:cs="Arial"/>
          <w:b/>
          <w:bCs/>
          <w:sz w:val="24"/>
          <w:szCs w:val="24"/>
        </w:rPr>
        <w:t xml:space="preserve">Total Word: </w:t>
      </w:r>
      <w:r w:rsidR="005E3DD5">
        <w:rPr>
          <w:rFonts w:ascii="Arial" w:hAnsi="Arial" w:cs="Arial"/>
          <w:sz w:val="24"/>
          <w:szCs w:val="24"/>
        </w:rPr>
        <w:t>2045</w:t>
      </w:r>
    </w:p>
    <w:p w14:paraId="44A2F579" w14:textId="4FF63110" w:rsidR="005C6FAF" w:rsidRPr="00274B50" w:rsidRDefault="005C6FAF" w:rsidP="005C6FAF">
      <w:pPr>
        <w:spacing w:line="480" w:lineRule="auto"/>
        <w:rPr>
          <w:rFonts w:ascii="Arial" w:hAnsi="Arial" w:cs="Arial"/>
          <w:sz w:val="24"/>
          <w:szCs w:val="24"/>
        </w:rPr>
      </w:pPr>
      <w:r w:rsidRPr="00274B50">
        <w:rPr>
          <w:rFonts w:ascii="Arial" w:hAnsi="Arial" w:cs="Arial"/>
          <w:b/>
          <w:bCs/>
          <w:sz w:val="24"/>
          <w:szCs w:val="24"/>
        </w:rPr>
        <w:t>Submission Deadline:</w:t>
      </w:r>
      <w:r w:rsidRPr="00274B50">
        <w:rPr>
          <w:rFonts w:ascii="Arial" w:hAnsi="Arial" w:cs="Arial"/>
          <w:sz w:val="24"/>
          <w:szCs w:val="24"/>
        </w:rPr>
        <w:t xml:space="preserve"> </w:t>
      </w:r>
      <w:r w:rsidR="0015330B">
        <w:rPr>
          <w:rFonts w:ascii="Arial" w:hAnsi="Arial" w:cs="Arial"/>
          <w:sz w:val="24"/>
          <w:szCs w:val="24"/>
        </w:rPr>
        <w:t>3</w:t>
      </w:r>
      <w:r w:rsidR="0015330B" w:rsidRPr="007118C4">
        <w:rPr>
          <w:rFonts w:ascii="Arial" w:hAnsi="Arial" w:cs="Arial"/>
          <w:sz w:val="24"/>
          <w:szCs w:val="24"/>
          <w:vertAlign w:val="superscript"/>
        </w:rPr>
        <w:t>rd</w:t>
      </w:r>
      <w:r>
        <w:rPr>
          <w:rFonts w:ascii="Arial" w:hAnsi="Arial" w:cs="Arial"/>
          <w:sz w:val="24"/>
          <w:szCs w:val="24"/>
        </w:rPr>
        <w:t xml:space="preserve"> November 2026</w:t>
      </w:r>
    </w:p>
    <w:p w14:paraId="206FA2A1" w14:textId="77777777" w:rsidR="001B50DF" w:rsidRDefault="001B50DF" w:rsidP="00AA2EEA">
      <w:pPr>
        <w:spacing w:line="480" w:lineRule="auto"/>
      </w:pPr>
    </w:p>
    <w:p w14:paraId="35C14AC8" w14:textId="50C82B27" w:rsidR="00AA2EEA" w:rsidRDefault="00AA2EEA" w:rsidP="00AA2EEA">
      <w:pPr>
        <w:spacing w:line="480" w:lineRule="auto"/>
        <w:rPr>
          <w:rFonts w:ascii="Arial" w:hAnsi="Arial" w:cs="Arial"/>
          <w:sz w:val="24"/>
          <w:szCs w:val="24"/>
        </w:rPr>
      </w:pPr>
      <w:r w:rsidRPr="00400DD9">
        <w:rPr>
          <w:rFonts w:ascii="Arial" w:hAnsi="Arial" w:cs="Arial"/>
          <w:sz w:val="24"/>
          <w:szCs w:val="24"/>
        </w:rPr>
        <w:lastRenderedPageBreak/>
        <w:t>I acknowledge t</w:t>
      </w:r>
      <w:r>
        <w:rPr>
          <w:rFonts w:ascii="Arial" w:hAnsi="Arial" w:cs="Arial"/>
          <w:sz w:val="24"/>
          <w:szCs w:val="24"/>
        </w:rPr>
        <w:t xml:space="preserve">hat I </w:t>
      </w:r>
      <w:r w:rsidR="006228E2">
        <w:rPr>
          <w:rFonts w:ascii="Arial" w:hAnsi="Arial" w:cs="Arial"/>
          <w:sz w:val="24"/>
          <w:szCs w:val="24"/>
        </w:rPr>
        <w:t xml:space="preserve">used </w:t>
      </w:r>
      <w:r w:rsidR="00E86BE4">
        <w:rPr>
          <w:rFonts w:ascii="Arial" w:hAnsi="Arial" w:cs="Arial"/>
          <w:sz w:val="24"/>
          <w:szCs w:val="24"/>
        </w:rPr>
        <w:t>AI (</w:t>
      </w:r>
      <w:r w:rsidR="00CF4E44">
        <w:rPr>
          <w:rFonts w:ascii="Arial" w:hAnsi="Arial" w:cs="Arial"/>
          <w:sz w:val="24"/>
          <w:szCs w:val="24"/>
        </w:rPr>
        <w:t>ChatGPT</w:t>
      </w:r>
      <w:r w:rsidR="00E86BE4">
        <w:rPr>
          <w:rFonts w:ascii="Arial" w:hAnsi="Arial" w:cs="Arial"/>
          <w:sz w:val="24"/>
          <w:szCs w:val="24"/>
        </w:rPr>
        <w:t xml:space="preserve">), to </w:t>
      </w:r>
      <w:r w:rsidR="00B95BEE">
        <w:rPr>
          <w:rFonts w:ascii="Arial" w:hAnsi="Arial" w:cs="Arial"/>
          <w:sz w:val="24"/>
          <w:szCs w:val="24"/>
        </w:rPr>
        <w:t>obtain feedback on my work</w:t>
      </w:r>
      <w:r w:rsidR="00520187">
        <w:rPr>
          <w:rFonts w:ascii="Arial" w:hAnsi="Arial" w:cs="Arial"/>
          <w:sz w:val="24"/>
          <w:szCs w:val="24"/>
        </w:rPr>
        <w:t xml:space="preserve">, used the </w:t>
      </w:r>
      <w:r w:rsidR="00CF4E44">
        <w:rPr>
          <w:rFonts w:ascii="Arial" w:hAnsi="Arial" w:cs="Arial"/>
          <w:sz w:val="24"/>
          <w:szCs w:val="24"/>
        </w:rPr>
        <w:t>prompt</w:t>
      </w:r>
      <w:r w:rsidR="00520187">
        <w:rPr>
          <w:rFonts w:ascii="Arial" w:hAnsi="Arial" w:cs="Arial"/>
          <w:sz w:val="24"/>
          <w:szCs w:val="24"/>
        </w:rPr>
        <w:t xml:space="preserve">: </w:t>
      </w:r>
    </w:p>
    <w:p w14:paraId="0CFF469C" w14:textId="38CBE8B1" w:rsidR="00520187" w:rsidRPr="00400DD9" w:rsidRDefault="00520187" w:rsidP="00AA2EE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Give me </w:t>
      </w:r>
      <w:r w:rsidR="00062B49">
        <w:rPr>
          <w:rFonts w:ascii="Arial" w:hAnsi="Arial" w:cs="Arial"/>
          <w:sz w:val="24"/>
          <w:szCs w:val="24"/>
        </w:rPr>
        <w:t>feedback</w:t>
      </w:r>
      <w:r>
        <w:rPr>
          <w:rFonts w:ascii="Arial" w:hAnsi="Arial" w:cs="Arial"/>
          <w:sz w:val="24"/>
          <w:szCs w:val="24"/>
        </w:rPr>
        <w:t xml:space="preserve"> </w:t>
      </w:r>
      <w:r w:rsidR="00CB67FB">
        <w:rPr>
          <w:rFonts w:ascii="Arial" w:hAnsi="Arial" w:cs="Arial"/>
          <w:sz w:val="24"/>
          <w:szCs w:val="24"/>
        </w:rPr>
        <w:t xml:space="preserve">of the following </w:t>
      </w:r>
      <w:r w:rsidR="00062B49">
        <w:rPr>
          <w:rFonts w:ascii="Arial" w:hAnsi="Arial" w:cs="Arial"/>
          <w:sz w:val="24"/>
          <w:szCs w:val="24"/>
        </w:rPr>
        <w:t>essay and</w:t>
      </w:r>
      <w:r w:rsidR="00CB67FB">
        <w:rPr>
          <w:rFonts w:ascii="Arial" w:hAnsi="Arial" w:cs="Arial"/>
          <w:sz w:val="24"/>
          <w:szCs w:val="24"/>
        </w:rPr>
        <w:t xml:space="preserve"> grade </w:t>
      </w:r>
      <w:r w:rsidR="00062B49">
        <w:rPr>
          <w:rFonts w:ascii="Arial" w:hAnsi="Arial" w:cs="Arial"/>
          <w:sz w:val="24"/>
          <w:szCs w:val="24"/>
        </w:rPr>
        <w:t>approx.</w:t>
      </w:r>
      <w:r w:rsidR="00CB67FB">
        <w:rPr>
          <w:rFonts w:ascii="Arial" w:hAnsi="Arial" w:cs="Arial"/>
          <w:sz w:val="24"/>
          <w:szCs w:val="24"/>
        </w:rPr>
        <w:t xml:space="preserve"> for it. </w:t>
      </w:r>
    </w:p>
    <w:p w14:paraId="535EA12A" w14:textId="77777777" w:rsidR="00AA2EEA" w:rsidRPr="00400DD9" w:rsidRDefault="00AA2EEA" w:rsidP="00AA2EEA">
      <w:pPr>
        <w:spacing w:line="480" w:lineRule="auto"/>
        <w:rPr>
          <w:rFonts w:ascii="Arial" w:hAnsi="Arial" w:cs="Arial"/>
          <w:sz w:val="24"/>
          <w:szCs w:val="24"/>
        </w:rPr>
      </w:pPr>
      <w:r w:rsidRPr="00400DD9">
        <w:rPr>
          <w:rFonts w:ascii="Arial" w:hAnsi="Arial" w:cs="Arial"/>
          <w:sz w:val="24"/>
          <w:szCs w:val="24"/>
        </w:rPr>
        <w:t>- I confirm that all analysis, interpretation, and final writing decisions are my own.</w:t>
      </w:r>
    </w:p>
    <w:p w14:paraId="70599F2C" w14:textId="77777777" w:rsidR="00AA2EEA" w:rsidRPr="00400DD9" w:rsidRDefault="00AA2EEA" w:rsidP="00AA2EEA">
      <w:pPr>
        <w:spacing w:line="480" w:lineRule="auto"/>
        <w:rPr>
          <w:rFonts w:ascii="Arial" w:hAnsi="Arial" w:cs="Arial"/>
          <w:sz w:val="24"/>
          <w:szCs w:val="24"/>
        </w:rPr>
      </w:pPr>
      <w:r w:rsidRPr="00400DD9">
        <w:rPr>
          <w:rFonts w:ascii="Arial" w:hAnsi="Arial" w:cs="Arial"/>
          <w:sz w:val="24"/>
          <w:szCs w:val="24"/>
        </w:rPr>
        <w:t>- I confirm that I have not presented any AI generated text as my own work.</w:t>
      </w:r>
    </w:p>
    <w:p w14:paraId="393C4FCC" w14:textId="77777777" w:rsidR="00AA2EEA" w:rsidRPr="00400DD9" w:rsidRDefault="00AA2EEA" w:rsidP="00AA2EEA">
      <w:pPr>
        <w:spacing w:line="480" w:lineRule="auto"/>
        <w:rPr>
          <w:rFonts w:ascii="Arial" w:hAnsi="Arial" w:cs="Arial"/>
          <w:sz w:val="24"/>
          <w:szCs w:val="24"/>
        </w:rPr>
      </w:pPr>
      <w:r w:rsidRPr="00400DD9">
        <w:rPr>
          <w:rFonts w:ascii="Arial" w:hAnsi="Arial" w:cs="Arial"/>
          <w:sz w:val="24"/>
          <w:szCs w:val="24"/>
        </w:rPr>
        <w:t>-  I confirm I have copies of my drafts, notes, and other resources I used before, and after the use of AI tools which I may be asked to provide in evidence.</w:t>
      </w:r>
    </w:p>
    <w:p w14:paraId="0D8D6346" w14:textId="77777777" w:rsidR="00A70CDC" w:rsidRDefault="00A70CDC"/>
    <w:p w14:paraId="32DBAF0F" w14:textId="77777777" w:rsidR="00156CFE" w:rsidRDefault="00156CFE"/>
    <w:p w14:paraId="5CC886C0" w14:textId="77777777" w:rsidR="00156CFE" w:rsidRDefault="00156CFE"/>
    <w:p w14:paraId="09EA159A" w14:textId="77777777" w:rsidR="00156CFE" w:rsidRDefault="00156CFE"/>
    <w:p w14:paraId="0D0E5C1B" w14:textId="77777777" w:rsidR="00156CFE" w:rsidRDefault="00156CFE"/>
    <w:p w14:paraId="6CC489A7" w14:textId="77777777" w:rsidR="00156CFE" w:rsidRDefault="00156CFE"/>
    <w:p w14:paraId="501B2101" w14:textId="77777777" w:rsidR="00156CFE" w:rsidRDefault="00156CFE"/>
    <w:p w14:paraId="69159E73" w14:textId="77777777" w:rsidR="00156CFE" w:rsidRDefault="00156CFE"/>
    <w:p w14:paraId="464508C5" w14:textId="77777777" w:rsidR="00156CFE" w:rsidRDefault="00156CFE"/>
    <w:p w14:paraId="5C54CDDE" w14:textId="77777777" w:rsidR="00156CFE" w:rsidRDefault="00156CFE"/>
    <w:p w14:paraId="64A375A5" w14:textId="77777777" w:rsidR="00156CFE" w:rsidRDefault="00156CFE"/>
    <w:p w14:paraId="08E50820" w14:textId="77777777" w:rsidR="00156CFE" w:rsidRDefault="00156CFE"/>
    <w:p w14:paraId="130FACFC" w14:textId="77777777" w:rsidR="00156CFE" w:rsidRDefault="00156CFE"/>
    <w:p w14:paraId="57683E13" w14:textId="77777777" w:rsidR="00156CFE" w:rsidRDefault="00156CFE"/>
    <w:p w14:paraId="1EE18BF0" w14:textId="77777777" w:rsidR="00156CFE" w:rsidRDefault="00156CFE"/>
    <w:p w14:paraId="2D3DEB00" w14:textId="77777777" w:rsidR="00156CFE" w:rsidRDefault="00156CFE"/>
    <w:p w14:paraId="6528046F" w14:textId="77777777" w:rsidR="00156CFE" w:rsidRDefault="00156CFE"/>
    <w:p w14:paraId="4D085975" w14:textId="77777777" w:rsidR="00156CFE" w:rsidRDefault="00156CFE"/>
    <w:p w14:paraId="054B6D20" w14:textId="77777777" w:rsidR="00156CFE" w:rsidRDefault="00156CFE"/>
    <w:p w14:paraId="24565D96" w14:textId="77777777" w:rsidR="00156CFE" w:rsidRDefault="00156CFE"/>
    <w:p w14:paraId="60B45082" w14:textId="14D11EE9" w:rsidR="00156CFE" w:rsidRPr="009B6D81" w:rsidRDefault="00F922B3" w:rsidP="001D3430">
      <w:pPr>
        <w:pStyle w:val="Title"/>
        <w:jc w:val="center"/>
        <w:rPr>
          <w:rFonts w:ascii="Arial Black" w:hAnsi="Arial Black" w:cs="Arial"/>
          <w:sz w:val="48"/>
          <w:szCs w:val="48"/>
        </w:rPr>
      </w:pPr>
      <w:r w:rsidRPr="009B6D81">
        <w:rPr>
          <w:rFonts w:ascii="Arial Black" w:hAnsi="Arial Black" w:cs="Arial"/>
          <w:sz w:val="48"/>
          <w:szCs w:val="48"/>
        </w:rPr>
        <w:lastRenderedPageBreak/>
        <w:t>P</w:t>
      </w:r>
      <w:r w:rsidR="008C7459" w:rsidRPr="009B6D81">
        <w:rPr>
          <w:rFonts w:ascii="Arial Black" w:hAnsi="Arial Black" w:cs="Arial"/>
          <w:sz w:val="48"/>
          <w:szCs w:val="48"/>
        </w:rPr>
        <w:t>sycholog</w:t>
      </w:r>
      <w:r w:rsidR="00A57504" w:rsidRPr="009B6D81">
        <w:rPr>
          <w:rFonts w:ascii="Arial Black" w:hAnsi="Arial Black" w:cs="Arial"/>
          <w:sz w:val="48"/>
          <w:szCs w:val="48"/>
        </w:rPr>
        <w:t xml:space="preserve">ical Evidence </w:t>
      </w:r>
      <w:r w:rsidR="00E13EA1" w:rsidRPr="009B6D81">
        <w:rPr>
          <w:rFonts w:ascii="Arial Black" w:hAnsi="Arial Black" w:cs="Arial"/>
          <w:sz w:val="48"/>
          <w:szCs w:val="48"/>
        </w:rPr>
        <w:t>in Police</w:t>
      </w:r>
      <w:r w:rsidR="008C7459" w:rsidRPr="009B6D81">
        <w:rPr>
          <w:rFonts w:ascii="Arial Black" w:hAnsi="Arial Black" w:cs="Arial"/>
          <w:sz w:val="48"/>
          <w:szCs w:val="48"/>
        </w:rPr>
        <w:t xml:space="preserve"> Interviewing and Court Outcomes </w:t>
      </w:r>
    </w:p>
    <w:p w14:paraId="2D92439F" w14:textId="77777777" w:rsidR="00E13EA1" w:rsidRDefault="00E13EA1" w:rsidP="00E13EA1"/>
    <w:p w14:paraId="7746368C" w14:textId="48378618" w:rsidR="001972FA" w:rsidRDefault="001972FA" w:rsidP="00E13EA1">
      <w:pPr>
        <w:rPr>
          <w:rFonts w:ascii="Arial" w:hAnsi="Arial" w:cs="Arial"/>
          <w:sz w:val="24"/>
          <w:szCs w:val="24"/>
        </w:rPr>
      </w:pPr>
    </w:p>
    <w:p w14:paraId="0F665183" w14:textId="470E5429" w:rsidR="001972FA" w:rsidRDefault="001972FA" w:rsidP="001972F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Police interviewing is </w:t>
      </w:r>
      <w:r w:rsidR="00AB68DA">
        <w:rPr>
          <w:rFonts w:ascii="Arial" w:hAnsi="Arial" w:cs="Arial"/>
          <w:sz w:val="24"/>
          <w:szCs w:val="24"/>
        </w:rPr>
        <w:t>the</w:t>
      </w:r>
      <w:r>
        <w:rPr>
          <w:rFonts w:ascii="Arial" w:hAnsi="Arial" w:cs="Arial"/>
          <w:sz w:val="24"/>
          <w:szCs w:val="24"/>
        </w:rPr>
        <w:t xml:space="preserve"> stage </w:t>
      </w:r>
      <w:r w:rsidR="009070A9">
        <w:rPr>
          <w:rFonts w:ascii="Arial" w:hAnsi="Arial" w:cs="Arial"/>
          <w:sz w:val="24"/>
          <w:szCs w:val="24"/>
        </w:rPr>
        <w:t xml:space="preserve">at which much of the </w:t>
      </w:r>
      <w:r w:rsidR="009710F2">
        <w:rPr>
          <w:rFonts w:ascii="Arial" w:hAnsi="Arial" w:cs="Arial"/>
          <w:sz w:val="24"/>
          <w:szCs w:val="24"/>
        </w:rPr>
        <w:t>evidence in criminal case</w:t>
      </w:r>
      <w:r w:rsidR="001E1EB9">
        <w:rPr>
          <w:rFonts w:ascii="Arial" w:hAnsi="Arial" w:cs="Arial"/>
          <w:sz w:val="24"/>
          <w:szCs w:val="24"/>
        </w:rPr>
        <w:t xml:space="preserve">s </w:t>
      </w:r>
      <w:r w:rsidR="006D66D1">
        <w:rPr>
          <w:rFonts w:ascii="Arial" w:hAnsi="Arial" w:cs="Arial"/>
          <w:sz w:val="24"/>
          <w:szCs w:val="24"/>
        </w:rPr>
        <w:t xml:space="preserve">is created, so errors made in the </w:t>
      </w:r>
      <w:r w:rsidR="0041068B">
        <w:rPr>
          <w:rFonts w:ascii="Arial" w:hAnsi="Arial" w:cs="Arial"/>
          <w:sz w:val="24"/>
          <w:szCs w:val="24"/>
        </w:rPr>
        <w:t>interview room can travel into the courtroom</w:t>
      </w:r>
      <w:r w:rsidR="00E462CC">
        <w:rPr>
          <w:rFonts w:ascii="Arial" w:hAnsi="Arial" w:cs="Arial"/>
          <w:sz w:val="24"/>
          <w:szCs w:val="24"/>
        </w:rPr>
        <w:t xml:space="preserve">. Psychological </w:t>
      </w:r>
      <w:r w:rsidR="00073EEE">
        <w:rPr>
          <w:rFonts w:ascii="Arial" w:hAnsi="Arial" w:cs="Arial"/>
          <w:sz w:val="24"/>
          <w:szCs w:val="24"/>
        </w:rPr>
        <w:t xml:space="preserve">research has shown </w:t>
      </w:r>
      <w:r w:rsidR="00490E40">
        <w:rPr>
          <w:rFonts w:ascii="Arial" w:hAnsi="Arial" w:cs="Arial"/>
          <w:sz w:val="24"/>
          <w:szCs w:val="24"/>
        </w:rPr>
        <w:t xml:space="preserve">that an interview is not a neutral collection of facts but a social </w:t>
      </w:r>
      <w:r w:rsidR="00A20C8C">
        <w:rPr>
          <w:rFonts w:ascii="Arial" w:hAnsi="Arial" w:cs="Arial"/>
          <w:sz w:val="24"/>
          <w:szCs w:val="24"/>
        </w:rPr>
        <w:t>and cognitive process in which memory, stress, suggestibility</w:t>
      </w:r>
      <w:r w:rsidR="00554614">
        <w:rPr>
          <w:rFonts w:ascii="Arial" w:hAnsi="Arial" w:cs="Arial"/>
          <w:sz w:val="24"/>
          <w:szCs w:val="24"/>
        </w:rPr>
        <w:t>, compliance and interviewer expectations shape what is said.</w:t>
      </w:r>
      <w:r w:rsidR="00F66102">
        <w:rPr>
          <w:rFonts w:ascii="Arial" w:hAnsi="Arial" w:cs="Arial"/>
          <w:sz w:val="24"/>
          <w:szCs w:val="24"/>
        </w:rPr>
        <w:t xml:space="preserve"> </w:t>
      </w:r>
      <w:r w:rsidR="00784614">
        <w:rPr>
          <w:rFonts w:ascii="Arial" w:hAnsi="Arial" w:cs="Arial"/>
          <w:sz w:val="24"/>
          <w:szCs w:val="24"/>
        </w:rPr>
        <w:t xml:space="preserve">This essay critically </w:t>
      </w:r>
      <w:r w:rsidR="000C4728">
        <w:rPr>
          <w:rFonts w:ascii="Arial" w:hAnsi="Arial" w:cs="Arial"/>
          <w:sz w:val="24"/>
          <w:szCs w:val="24"/>
        </w:rPr>
        <w:t xml:space="preserve">evaluates the contribution of psychological theory and evidence </w:t>
      </w:r>
      <w:r w:rsidR="00B22C80">
        <w:rPr>
          <w:rFonts w:ascii="Arial" w:hAnsi="Arial" w:cs="Arial"/>
          <w:sz w:val="24"/>
          <w:szCs w:val="24"/>
        </w:rPr>
        <w:t xml:space="preserve">to understanding police interviewing and its impacts on court cases, </w:t>
      </w:r>
      <w:r w:rsidR="00FA4760">
        <w:rPr>
          <w:rFonts w:ascii="Arial" w:hAnsi="Arial" w:cs="Arial"/>
          <w:sz w:val="24"/>
          <w:szCs w:val="24"/>
        </w:rPr>
        <w:t xml:space="preserve">with attention to England and Wales. It argues that psychology has made a substantial </w:t>
      </w:r>
      <w:r w:rsidR="00D00A2E">
        <w:rPr>
          <w:rFonts w:ascii="Arial" w:hAnsi="Arial" w:cs="Arial"/>
          <w:sz w:val="24"/>
          <w:szCs w:val="24"/>
        </w:rPr>
        <w:t xml:space="preserve">contribution by explaining how interviewing methods produce </w:t>
      </w:r>
      <w:r w:rsidR="00603382">
        <w:rPr>
          <w:rFonts w:ascii="Arial" w:hAnsi="Arial" w:cs="Arial"/>
          <w:sz w:val="24"/>
          <w:szCs w:val="24"/>
        </w:rPr>
        <w:t xml:space="preserve">reliable or unreliable statements, </w:t>
      </w:r>
      <w:r w:rsidR="0006633E">
        <w:rPr>
          <w:rFonts w:ascii="Arial" w:hAnsi="Arial" w:cs="Arial"/>
          <w:sz w:val="24"/>
          <w:szCs w:val="24"/>
        </w:rPr>
        <w:t xml:space="preserve">identifying </w:t>
      </w:r>
      <w:r w:rsidR="00237708">
        <w:rPr>
          <w:rFonts w:ascii="Arial" w:hAnsi="Arial" w:cs="Arial"/>
          <w:sz w:val="24"/>
          <w:szCs w:val="24"/>
        </w:rPr>
        <w:t>vulnerable interviewees</w:t>
      </w:r>
      <w:r w:rsidR="00211562">
        <w:rPr>
          <w:rFonts w:ascii="Arial" w:hAnsi="Arial" w:cs="Arial"/>
          <w:sz w:val="24"/>
          <w:szCs w:val="24"/>
        </w:rPr>
        <w:t xml:space="preserve">, and showing how interview products influence courts. </w:t>
      </w:r>
      <w:r w:rsidR="00D5587B">
        <w:rPr>
          <w:rFonts w:ascii="Arial" w:hAnsi="Arial" w:cs="Arial"/>
          <w:sz w:val="24"/>
          <w:szCs w:val="24"/>
        </w:rPr>
        <w:t>However, the evidence i</w:t>
      </w:r>
      <w:r w:rsidR="00374EFC">
        <w:rPr>
          <w:rFonts w:ascii="Arial" w:hAnsi="Arial" w:cs="Arial"/>
          <w:sz w:val="24"/>
          <w:szCs w:val="24"/>
        </w:rPr>
        <w:t xml:space="preserve">s </w:t>
      </w:r>
      <w:r w:rsidR="00D5587B">
        <w:rPr>
          <w:rFonts w:ascii="Arial" w:hAnsi="Arial" w:cs="Arial"/>
          <w:sz w:val="24"/>
          <w:szCs w:val="24"/>
        </w:rPr>
        <w:t xml:space="preserve">uneven. Experiments show causation </w:t>
      </w:r>
      <w:r w:rsidR="00A93D21">
        <w:rPr>
          <w:rFonts w:ascii="Arial" w:hAnsi="Arial" w:cs="Arial"/>
          <w:sz w:val="24"/>
          <w:szCs w:val="24"/>
        </w:rPr>
        <w:t xml:space="preserve">but lack real consequences, field </w:t>
      </w:r>
      <w:r w:rsidR="00461FA6">
        <w:rPr>
          <w:rFonts w:ascii="Arial" w:hAnsi="Arial" w:cs="Arial"/>
          <w:sz w:val="24"/>
          <w:szCs w:val="24"/>
        </w:rPr>
        <w:t xml:space="preserve">and survey studies are realistic but correlational or self-reported, and much research comes from </w:t>
      </w:r>
      <w:r w:rsidR="007D6332">
        <w:rPr>
          <w:rFonts w:ascii="Arial" w:hAnsi="Arial" w:cs="Arial"/>
          <w:sz w:val="24"/>
          <w:szCs w:val="24"/>
        </w:rPr>
        <w:t xml:space="preserve">the </w:t>
      </w:r>
      <w:r w:rsidR="00461FA6">
        <w:rPr>
          <w:rFonts w:ascii="Arial" w:hAnsi="Arial" w:cs="Arial"/>
          <w:sz w:val="24"/>
          <w:szCs w:val="24"/>
        </w:rPr>
        <w:t xml:space="preserve">United States (US). Psychology </w:t>
      </w:r>
      <w:r w:rsidR="00653494">
        <w:rPr>
          <w:rFonts w:ascii="Arial" w:hAnsi="Arial" w:cs="Arial"/>
          <w:sz w:val="24"/>
          <w:szCs w:val="24"/>
        </w:rPr>
        <w:t xml:space="preserve">is therefore stronger at explaining how risk is created than at measuring how often it occurs. </w:t>
      </w:r>
    </w:p>
    <w:p w14:paraId="237958D8" w14:textId="252ADDB9" w:rsidR="004A6A5F" w:rsidRDefault="00B7709F" w:rsidP="001972F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Woody and Forrest (2020) </w:t>
      </w:r>
      <w:r w:rsidR="00855174">
        <w:rPr>
          <w:rFonts w:ascii="Arial" w:hAnsi="Arial" w:cs="Arial"/>
          <w:sz w:val="24"/>
          <w:szCs w:val="24"/>
        </w:rPr>
        <w:t xml:space="preserve">place modern interrogation in its historical context. In the US, interrogation </w:t>
      </w:r>
      <w:r w:rsidR="00A23158">
        <w:rPr>
          <w:rFonts w:ascii="Arial" w:hAnsi="Arial" w:cs="Arial"/>
          <w:sz w:val="24"/>
          <w:szCs w:val="24"/>
        </w:rPr>
        <w:t xml:space="preserve">moved from physical abuse to psychological pressure, which challenges </w:t>
      </w:r>
      <w:r w:rsidR="00B00F0E">
        <w:rPr>
          <w:rFonts w:ascii="Arial" w:hAnsi="Arial" w:cs="Arial"/>
          <w:sz w:val="24"/>
          <w:szCs w:val="24"/>
        </w:rPr>
        <w:t>the “myth of psychological interrogation”</w:t>
      </w:r>
      <w:r w:rsidR="00D005F2">
        <w:rPr>
          <w:rFonts w:ascii="Arial" w:hAnsi="Arial" w:cs="Arial"/>
          <w:sz w:val="24"/>
          <w:szCs w:val="24"/>
        </w:rPr>
        <w:t>: the belief that false confessions occur only through torture or severe mental illness</w:t>
      </w:r>
      <w:r w:rsidR="002B35C3">
        <w:rPr>
          <w:rFonts w:ascii="Arial" w:hAnsi="Arial" w:cs="Arial"/>
          <w:sz w:val="24"/>
          <w:szCs w:val="24"/>
        </w:rPr>
        <w:t xml:space="preserve"> (p</w:t>
      </w:r>
      <w:r w:rsidR="00BA535D">
        <w:rPr>
          <w:rFonts w:ascii="Arial" w:hAnsi="Arial" w:cs="Arial"/>
          <w:sz w:val="24"/>
          <w:szCs w:val="24"/>
        </w:rPr>
        <w:t>.</w:t>
      </w:r>
      <w:r w:rsidR="007D6332">
        <w:rPr>
          <w:rFonts w:ascii="Arial" w:hAnsi="Arial" w:cs="Arial"/>
          <w:sz w:val="24"/>
          <w:szCs w:val="24"/>
        </w:rPr>
        <w:t xml:space="preserve"> </w:t>
      </w:r>
      <w:r w:rsidR="002B35C3">
        <w:rPr>
          <w:rFonts w:ascii="Arial" w:hAnsi="Arial" w:cs="Arial"/>
          <w:sz w:val="24"/>
          <w:szCs w:val="24"/>
        </w:rPr>
        <w:t>109). Their typology of voluntary, coerced</w:t>
      </w:r>
      <w:r w:rsidR="00926CC2">
        <w:rPr>
          <w:rFonts w:ascii="Arial" w:hAnsi="Arial" w:cs="Arial"/>
          <w:sz w:val="24"/>
          <w:szCs w:val="24"/>
        </w:rPr>
        <w:t xml:space="preserve">-compliant and coerced-internalised confessions is useful because similar </w:t>
      </w:r>
      <w:r w:rsidR="00B37DEC">
        <w:rPr>
          <w:rFonts w:ascii="Arial" w:hAnsi="Arial" w:cs="Arial"/>
          <w:sz w:val="24"/>
          <w:szCs w:val="24"/>
        </w:rPr>
        <w:t>admissions can have different mechanisms (Kas</w:t>
      </w:r>
      <w:r w:rsidR="00EF7C24">
        <w:rPr>
          <w:rFonts w:ascii="Arial" w:hAnsi="Arial" w:cs="Arial"/>
          <w:sz w:val="24"/>
          <w:szCs w:val="24"/>
        </w:rPr>
        <w:t>sin</w:t>
      </w:r>
      <w:r w:rsidR="00B37DEC">
        <w:rPr>
          <w:rFonts w:ascii="Arial" w:hAnsi="Arial" w:cs="Arial"/>
          <w:sz w:val="24"/>
          <w:szCs w:val="24"/>
        </w:rPr>
        <w:t xml:space="preserve"> &amp; Wrightsman, 1981</w:t>
      </w:r>
      <w:r w:rsidR="00F937F0">
        <w:rPr>
          <w:rFonts w:ascii="Arial" w:hAnsi="Arial" w:cs="Arial"/>
          <w:sz w:val="24"/>
          <w:szCs w:val="24"/>
        </w:rPr>
        <w:t>, as cited in Woody &amp; Forrest, 2020, pp.</w:t>
      </w:r>
      <w:r w:rsidR="00FA5FC0">
        <w:rPr>
          <w:rFonts w:ascii="Arial" w:hAnsi="Arial" w:cs="Arial"/>
          <w:sz w:val="24"/>
          <w:szCs w:val="24"/>
        </w:rPr>
        <w:t xml:space="preserve"> </w:t>
      </w:r>
      <w:r w:rsidR="00F937F0">
        <w:rPr>
          <w:rFonts w:ascii="Arial" w:hAnsi="Arial" w:cs="Arial"/>
          <w:sz w:val="24"/>
          <w:szCs w:val="24"/>
        </w:rPr>
        <w:t>109-110</w:t>
      </w:r>
      <w:r w:rsidR="00905C0C">
        <w:rPr>
          <w:rFonts w:ascii="Arial" w:hAnsi="Arial" w:cs="Arial"/>
          <w:sz w:val="24"/>
          <w:szCs w:val="24"/>
        </w:rPr>
        <w:t xml:space="preserve">). However, their “totality of the </w:t>
      </w:r>
      <w:r w:rsidR="00905C0C">
        <w:rPr>
          <w:rFonts w:ascii="Arial" w:hAnsi="Arial" w:cs="Arial"/>
          <w:sz w:val="24"/>
          <w:szCs w:val="24"/>
        </w:rPr>
        <w:lastRenderedPageBreak/>
        <w:t>circumstances” model (p. 108) is mainly descriptive, and its case material comes from confessions later prov</w:t>
      </w:r>
      <w:r w:rsidR="004A6A5F">
        <w:rPr>
          <w:rFonts w:ascii="Arial" w:hAnsi="Arial" w:cs="Arial"/>
          <w:sz w:val="24"/>
          <w:szCs w:val="24"/>
        </w:rPr>
        <w:t xml:space="preserve">ed false, so it illustrates mechanisms better than it shows how common they are. </w:t>
      </w:r>
    </w:p>
    <w:p w14:paraId="2702B786" w14:textId="7888C9D6" w:rsidR="00602466" w:rsidRDefault="00602466" w:rsidP="001972F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The </w:t>
      </w:r>
      <w:r w:rsidR="00D4240C">
        <w:rPr>
          <w:rFonts w:ascii="Arial" w:hAnsi="Arial" w:cs="Arial"/>
          <w:sz w:val="24"/>
          <w:szCs w:val="24"/>
        </w:rPr>
        <w:t xml:space="preserve">most practical </w:t>
      </w:r>
      <w:r>
        <w:rPr>
          <w:rFonts w:ascii="Arial" w:hAnsi="Arial" w:cs="Arial"/>
          <w:sz w:val="24"/>
          <w:szCs w:val="24"/>
        </w:rPr>
        <w:t xml:space="preserve">distinction </w:t>
      </w:r>
      <w:r w:rsidR="006C6EDF">
        <w:rPr>
          <w:rFonts w:ascii="Arial" w:hAnsi="Arial" w:cs="Arial"/>
          <w:sz w:val="24"/>
          <w:szCs w:val="24"/>
        </w:rPr>
        <w:t xml:space="preserve">is </w:t>
      </w:r>
      <w:r>
        <w:rPr>
          <w:rFonts w:ascii="Arial" w:hAnsi="Arial" w:cs="Arial"/>
          <w:sz w:val="24"/>
          <w:szCs w:val="24"/>
        </w:rPr>
        <w:t xml:space="preserve">between accusatorial </w:t>
      </w:r>
      <w:r w:rsidR="00C2493A">
        <w:rPr>
          <w:rFonts w:ascii="Arial" w:hAnsi="Arial" w:cs="Arial"/>
          <w:sz w:val="24"/>
          <w:szCs w:val="24"/>
        </w:rPr>
        <w:t>interviewing</w:t>
      </w:r>
      <w:r w:rsidR="00DD701F">
        <w:rPr>
          <w:rFonts w:ascii="Arial" w:hAnsi="Arial" w:cs="Arial"/>
          <w:sz w:val="24"/>
          <w:szCs w:val="24"/>
        </w:rPr>
        <w:t>, which assumes guilt a</w:t>
      </w:r>
      <w:r w:rsidR="006962B4">
        <w:rPr>
          <w:rFonts w:ascii="Arial" w:hAnsi="Arial" w:cs="Arial"/>
          <w:sz w:val="24"/>
          <w:szCs w:val="24"/>
        </w:rPr>
        <w:t>nd</w:t>
      </w:r>
      <w:r w:rsidR="00DD701F">
        <w:rPr>
          <w:rFonts w:ascii="Arial" w:hAnsi="Arial" w:cs="Arial"/>
          <w:sz w:val="24"/>
          <w:szCs w:val="24"/>
        </w:rPr>
        <w:t xml:space="preserve"> seeks a confession, and information</w:t>
      </w:r>
      <w:r w:rsidR="004A1C02">
        <w:rPr>
          <w:rFonts w:ascii="Arial" w:hAnsi="Arial" w:cs="Arial"/>
          <w:sz w:val="24"/>
          <w:szCs w:val="24"/>
        </w:rPr>
        <w:t xml:space="preserve">-gathering interviewing, which </w:t>
      </w:r>
      <w:r w:rsidR="007D2C1D">
        <w:rPr>
          <w:rFonts w:ascii="Arial" w:hAnsi="Arial" w:cs="Arial"/>
          <w:sz w:val="24"/>
          <w:szCs w:val="24"/>
        </w:rPr>
        <w:t xml:space="preserve">uses </w:t>
      </w:r>
      <w:r w:rsidR="00B26EDC">
        <w:rPr>
          <w:rFonts w:ascii="Arial" w:hAnsi="Arial" w:cs="Arial"/>
          <w:sz w:val="24"/>
          <w:szCs w:val="24"/>
        </w:rPr>
        <w:t xml:space="preserve">rapport and open questions </w:t>
      </w:r>
      <w:r w:rsidR="000F6364">
        <w:rPr>
          <w:rFonts w:ascii="Arial" w:hAnsi="Arial" w:cs="Arial"/>
          <w:sz w:val="24"/>
          <w:szCs w:val="24"/>
        </w:rPr>
        <w:t>(Schell-Leugers et</w:t>
      </w:r>
      <w:r w:rsidR="006962B4">
        <w:rPr>
          <w:rFonts w:ascii="Arial" w:hAnsi="Arial" w:cs="Arial"/>
          <w:sz w:val="24"/>
          <w:szCs w:val="24"/>
        </w:rPr>
        <w:t xml:space="preserve"> al</w:t>
      </w:r>
      <w:r w:rsidR="000F6364">
        <w:rPr>
          <w:rFonts w:ascii="Arial" w:hAnsi="Arial" w:cs="Arial"/>
          <w:sz w:val="24"/>
          <w:szCs w:val="24"/>
        </w:rPr>
        <w:t>., 2026). Meissner et al.</w:t>
      </w:r>
      <w:r w:rsidR="00FA5FC0">
        <w:rPr>
          <w:rFonts w:ascii="Arial" w:hAnsi="Arial" w:cs="Arial"/>
          <w:sz w:val="24"/>
          <w:szCs w:val="24"/>
        </w:rPr>
        <w:t xml:space="preserve"> </w:t>
      </w:r>
      <w:r w:rsidR="000F6364">
        <w:rPr>
          <w:rFonts w:ascii="Arial" w:hAnsi="Arial" w:cs="Arial"/>
          <w:sz w:val="24"/>
          <w:szCs w:val="24"/>
        </w:rPr>
        <w:t>(2014)</w:t>
      </w:r>
      <w:r w:rsidR="0017706C">
        <w:rPr>
          <w:rFonts w:ascii="Arial" w:hAnsi="Arial" w:cs="Arial"/>
          <w:sz w:val="24"/>
          <w:szCs w:val="24"/>
        </w:rPr>
        <w:t xml:space="preserve"> meta-analysed five field and 12 experimental studies</w:t>
      </w:r>
      <w:r w:rsidR="002958F9">
        <w:rPr>
          <w:rFonts w:ascii="Arial" w:hAnsi="Arial" w:cs="Arial"/>
          <w:sz w:val="24"/>
          <w:szCs w:val="24"/>
        </w:rPr>
        <w:t xml:space="preserve"> (p. 459). In field studies, both approaches produced more confessions than direct questioning, </w:t>
      </w:r>
      <w:r w:rsidR="00C657D7">
        <w:rPr>
          <w:rFonts w:ascii="Arial" w:hAnsi="Arial" w:cs="Arial"/>
          <w:sz w:val="24"/>
          <w:szCs w:val="24"/>
        </w:rPr>
        <w:t xml:space="preserve">but field studies cannot show whether a confession is </w:t>
      </w:r>
      <w:r w:rsidR="00FD7A1D">
        <w:rPr>
          <w:rFonts w:ascii="Arial" w:hAnsi="Arial" w:cs="Arial"/>
          <w:sz w:val="24"/>
          <w:szCs w:val="24"/>
        </w:rPr>
        <w:t>true. In experiments, where guilt was known</w:t>
      </w:r>
      <w:r w:rsidR="00FB657C">
        <w:rPr>
          <w:rFonts w:ascii="Arial" w:hAnsi="Arial" w:cs="Arial"/>
          <w:sz w:val="24"/>
          <w:szCs w:val="24"/>
        </w:rPr>
        <w:t xml:space="preserve">, information-gathering produced clearly more true confessions and clearly fewer false confessions than accusatorial </w:t>
      </w:r>
      <w:r w:rsidR="00F61D5B">
        <w:rPr>
          <w:rFonts w:ascii="Arial" w:hAnsi="Arial" w:cs="Arial"/>
          <w:sz w:val="24"/>
          <w:szCs w:val="24"/>
        </w:rPr>
        <w:t xml:space="preserve">methods, with moderate to large effects (p. 479). This moves the question for the court from “was </w:t>
      </w:r>
      <w:r w:rsidR="00507F55">
        <w:rPr>
          <w:rFonts w:ascii="Arial" w:hAnsi="Arial" w:cs="Arial"/>
          <w:sz w:val="24"/>
          <w:szCs w:val="24"/>
        </w:rPr>
        <w:t>t</w:t>
      </w:r>
      <w:r w:rsidR="00F61D5B">
        <w:rPr>
          <w:rFonts w:ascii="Arial" w:hAnsi="Arial" w:cs="Arial"/>
          <w:sz w:val="24"/>
          <w:szCs w:val="24"/>
        </w:rPr>
        <w:t>here a confession?</w:t>
      </w:r>
      <w:r w:rsidR="00B25EC4">
        <w:rPr>
          <w:rFonts w:ascii="Arial" w:hAnsi="Arial" w:cs="Arial"/>
          <w:sz w:val="24"/>
          <w:szCs w:val="24"/>
        </w:rPr>
        <w:t>” to “how was it obtained?”. Nevertheless</w:t>
      </w:r>
      <w:r w:rsidR="008C428A">
        <w:rPr>
          <w:rFonts w:ascii="Arial" w:hAnsi="Arial" w:cs="Arial"/>
          <w:sz w:val="24"/>
          <w:szCs w:val="24"/>
        </w:rPr>
        <w:t>, the authors describe these effects as “not particularly robust” (p. 479)</w:t>
      </w:r>
      <w:r w:rsidR="004C76F8">
        <w:rPr>
          <w:rFonts w:ascii="Arial" w:hAnsi="Arial" w:cs="Arial"/>
          <w:sz w:val="24"/>
          <w:szCs w:val="24"/>
        </w:rPr>
        <w:t>, because they rest on only three samples (215 participants in total)</w:t>
      </w:r>
      <w:r w:rsidR="00384D42">
        <w:rPr>
          <w:rFonts w:ascii="Arial" w:hAnsi="Arial" w:cs="Arial"/>
          <w:sz w:val="24"/>
          <w:szCs w:val="24"/>
        </w:rPr>
        <w:t xml:space="preserve">, and laboratory tasks, such as accusing students of cheating, carry small consequences. </w:t>
      </w:r>
    </w:p>
    <w:p w14:paraId="0968F5CA" w14:textId="3CBF13CD" w:rsidR="009D1DBE" w:rsidRDefault="009D1DBE" w:rsidP="001972F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571DFC">
        <w:rPr>
          <w:rFonts w:ascii="Arial" w:hAnsi="Arial" w:cs="Arial"/>
          <w:sz w:val="24"/>
          <w:szCs w:val="24"/>
        </w:rPr>
        <w:t xml:space="preserve">England and </w:t>
      </w:r>
      <w:r w:rsidR="00BA60A7">
        <w:rPr>
          <w:rFonts w:ascii="Arial" w:hAnsi="Arial" w:cs="Arial"/>
          <w:sz w:val="24"/>
          <w:szCs w:val="24"/>
        </w:rPr>
        <w:t>Wales provide the main</w:t>
      </w:r>
      <w:r w:rsidR="008A5C5F">
        <w:rPr>
          <w:rFonts w:ascii="Arial" w:hAnsi="Arial" w:cs="Arial"/>
          <w:sz w:val="24"/>
          <w:szCs w:val="24"/>
        </w:rPr>
        <w:t xml:space="preserve"> real-world example of the information-gathering approach. The PEACE </w:t>
      </w:r>
      <w:r w:rsidR="00890C59">
        <w:rPr>
          <w:rFonts w:ascii="Arial" w:hAnsi="Arial" w:cs="Arial"/>
          <w:sz w:val="24"/>
          <w:szCs w:val="24"/>
        </w:rPr>
        <w:t xml:space="preserve">model was </w:t>
      </w:r>
      <w:r w:rsidR="00FF2EC0">
        <w:rPr>
          <w:rFonts w:ascii="Arial" w:hAnsi="Arial" w:cs="Arial"/>
          <w:sz w:val="24"/>
          <w:szCs w:val="24"/>
        </w:rPr>
        <w:t xml:space="preserve">introduced </w:t>
      </w:r>
      <w:r w:rsidR="002D799E">
        <w:rPr>
          <w:rFonts w:ascii="Arial" w:hAnsi="Arial" w:cs="Arial"/>
          <w:sz w:val="24"/>
          <w:szCs w:val="24"/>
        </w:rPr>
        <w:t>in 1992 after a national</w:t>
      </w:r>
      <w:r w:rsidR="00850A80">
        <w:rPr>
          <w:rFonts w:ascii="Arial" w:hAnsi="Arial" w:cs="Arial"/>
          <w:sz w:val="24"/>
          <w:szCs w:val="24"/>
        </w:rPr>
        <w:t xml:space="preserve"> review of investigative interviewing. It focuses on rapport, explaining the allegation and obtaining </w:t>
      </w:r>
      <w:r w:rsidR="00446578">
        <w:rPr>
          <w:rFonts w:ascii="Arial" w:hAnsi="Arial" w:cs="Arial"/>
          <w:sz w:val="24"/>
          <w:szCs w:val="24"/>
        </w:rPr>
        <w:t xml:space="preserve">the suspect’s account, and it </w:t>
      </w:r>
      <w:r w:rsidR="003805B0">
        <w:rPr>
          <w:rFonts w:ascii="Arial" w:hAnsi="Arial" w:cs="Arial"/>
          <w:sz w:val="24"/>
          <w:szCs w:val="24"/>
        </w:rPr>
        <w:t xml:space="preserve">prohibits deceiving suspects (Meissner et al., 2014, pp. 462-463). The </w:t>
      </w:r>
      <w:r w:rsidR="004D110A" w:rsidRPr="004D110A">
        <w:rPr>
          <w:rFonts w:ascii="Arial" w:hAnsi="Arial" w:cs="Arial"/>
          <w:sz w:val="24"/>
          <w:szCs w:val="24"/>
        </w:rPr>
        <w:t>Méndez</w:t>
      </w:r>
      <w:r w:rsidR="004D110A">
        <w:rPr>
          <w:rFonts w:ascii="Arial" w:hAnsi="Arial" w:cs="Arial"/>
          <w:sz w:val="24"/>
          <w:szCs w:val="24"/>
        </w:rPr>
        <w:t xml:space="preserve"> </w:t>
      </w:r>
      <w:r w:rsidR="009403C5">
        <w:rPr>
          <w:rFonts w:ascii="Arial" w:hAnsi="Arial" w:cs="Arial"/>
          <w:sz w:val="24"/>
          <w:szCs w:val="24"/>
        </w:rPr>
        <w:t xml:space="preserve">Principles share the same aim, stating that the object of an interview is to establish the facts, not to obtain a confession (Méndez, 2021, </w:t>
      </w:r>
      <w:r w:rsidR="00C5062E">
        <w:rPr>
          <w:rFonts w:ascii="Arial" w:hAnsi="Arial" w:cs="Arial"/>
          <w:sz w:val="24"/>
          <w:szCs w:val="24"/>
        </w:rPr>
        <w:t xml:space="preserve">p. 119). Walsh and Bull (2010) analysed </w:t>
      </w:r>
      <w:r w:rsidR="006531E9">
        <w:rPr>
          <w:rFonts w:ascii="Arial" w:hAnsi="Arial" w:cs="Arial"/>
          <w:sz w:val="24"/>
          <w:szCs w:val="24"/>
        </w:rPr>
        <w:t>142 real suspect interviews. Of the investigators rated at least at PEACE standard overall</w:t>
      </w:r>
      <w:r w:rsidR="008C3EE7">
        <w:rPr>
          <w:rFonts w:ascii="Arial" w:hAnsi="Arial" w:cs="Arial"/>
          <w:sz w:val="24"/>
          <w:szCs w:val="24"/>
        </w:rPr>
        <w:t>, 63% (38 investigators) obtained a comprehensive account or full confession, where</w:t>
      </w:r>
      <w:r w:rsidR="00471C3C">
        <w:rPr>
          <w:rFonts w:ascii="Arial" w:hAnsi="Arial" w:cs="Arial"/>
          <w:sz w:val="24"/>
          <w:szCs w:val="24"/>
        </w:rPr>
        <w:t xml:space="preserve">as 92% (22 </w:t>
      </w:r>
      <w:r w:rsidR="00471C3C">
        <w:rPr>
          <w:rFonts w:ascii="Arial" w:hAnsi="Arial" w:cs="Arial"/>
          <w:sz w:val="24"/>
          <w:szCs w:val="24"/>
        </w:rPr>
        <w:lastRenderedPageBreak/>
        <w:t xml:space="preserve">investigators) of the </w:t>
      </w:r>
      <w:r w:rsidR="008D1022">
        <w:rPr>
          <w:rFonts w:ascii="Arial" w:hAnsi="Arial" w:cs="Arial"/>
          <w:sz w:val="24"/>
          <w:szCs w:val="24"/>
        </w:rPr>
        <w:t xml:space="preserve">weakest interviewers did not (pp. 317-318); skill and outcome </w:t>
      </w:r>
      <w:r w:rsidR="004F5B70">
        <w:rPr>
          <w:rFonts w:ascii="Arial" w:hAnsi="Arial" w:cs="Arial"/>
          <w:sz w:val="24"/>
          <w:szCs w:val="24"/>
        </w:rPr>
        <w:t xml:space="preserve">were moderately related (p. 318). This answers the weakness </w:t>
      </w:r>
      <w:r w:rsidR="00006D7E">
        <w:rPr>
          <w:rFonts w:ascii="Arial" w:hAnsi="Arial" w:cs="Arial"/>
          <w:sz w:val="24"/>
          <w:szCs w:val="24"/>
        </w:rPr>
        <w:t xml:space="preserve">of self-report surveys. However, the 2010 interviews were benefit-fraud </w:t>
      </w:r>
      <w:r w:rsidR="00F2766D">
        <w:rPr>
          <w:rFonts w:ascii="Arial" w:hAnsi="Arial" w:cs="Arial"/>
          <w:sz w:val="24"/>
          <w:szCs w:val="24"/>
        </w:rPr>
        <w:t xml:space="preserve">interviews by non-police investigators, the design was correlational, and a “better outcome” </w:t>
      </w:r>
      <w:r w:rsidR="008A1CBF">
        <w:rPr>
          <w:rFonts w:ascii="Arial" w:hAnsi="Arial" w:cs="Arial"/>
          <w:sz w:val="24"/>
          <w:szCs w:val="24"/>
        </w:rPr>
        <w:t xml:space="preserve">included a confession, which does not prove that it was true. Half of the suspects confessed even with unsatisfactory interviewers (p. 319), suggesting that some </w:t>
      </w:r>
      <w:r w:rsidR="00E4465E">
        <w:rPr>
          <w:rFonts w:ascii="Arial" w:hAnsi="Arial" w:cs="Arial"/>
          <w:sz w:val="24"/>
          <w:szCs w:val="24"/>
        </w:rPr>
        <w:t>decide to confess before the interview begins. Cederborg et al.</w:t>
      </w:r>
      <w:r w:rsidR="003E134F">
        <w:rPr>
          <w:rFonts w:ascii="Arial" w:hAnsi="Arial" w:cs="Arial"/>
          <w:sz w:val="24"/>
          <w:szCs w:val="24"/>
        </w:rPr>
        <w:t xml:space="preserve"> (2013) show that skills can change through training (p. 242)</w:t>
      </w:r>
      <w:r w:rsidR="00047746">
        <w:rPr>
          <w:rFonts w:ascii="Arial" w:hAnsi="Arial" w:cs="Arial"/>
          <w:sz w:val="24"/>
          <w:szCs w:val="24"/>
        </w:rPr>
        <w:t>, but the authors did not know how courts responded to the improved interviews (p. 251)</w:t>
      </w:r>
      <w:r w:rsidR="00DC343D">
        <w:rPr>
          <w:rFonts w:ascii="Arial" w:hAnsi="Arial" w:cs="Arial"/>
          <w:sz w:val="24"/>
          <w:szCs w:val="24"/>
        </w:rPr>
        <w:t>.</w:t>
      </w:r>
    </w:p>
    <w:p w14:paraId="64DB508E" w14:textId="7B7F9593" w:rsidR="00A16FDF" w:rsidRDefault="00A16FDF" w:rsidP="001972F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8C2B3C">
        <w:rPr>
          <w:rFonts w:ascii="Arial" w:hAnsi="Arial" w:cs="Arial"/>
          <w:sz w:val="24"/>
          <w:szCs w:val="24"/>
        </w:rPr>
        <w:t xml:space="preserve">Psychology also questions the judgement of interviewers. Schell-Leugers et al. (2026) surveyed </w:t>
      </w:r>
      <w:r w:rsidR="00B865B0">
        <w:rPr>
          <w:rFonts w:ascii="Arial" w:hAnsi="Arial" w:cs="Arial"/>
          <w:sz w:val="24"/>
          <w:szCs w:val="24"/>
        </w:rPr>
        <w:t>962 officers in six European countries. Most reported respectful, rapport-based techniques and rare use of false evidence</w:t>
      </w:r>
      <w:r w:rsidR="00DC343D">
        <w:rPr>
          <w:rFonts w:ascii="Arial" w:hAnsi="Arial" w:cs="Arial"/>
          <w:sz w:val="24"/>
          <w:szCs w:val="24"/>
        </w:rPr>
        <w:t xml:space="preserve"> (p. 20)</w:t>
      </w:r>
      <w:r w:rsidR="00841C4C">
        <w:rPr>
          <w:rFonts w:ascii="Arial" w:hAnsi="Arial" w:cs="Arial"/>
          <w:sz w:val="24"/>
          <w:szCs w:val="24"/>
        </w:rPr>
        <w:t xml:space="preserve">, </w:t>
      </w:r>
      <w:r w:rsidR="00234F0F">
        <w:rPr>
          <w:rFonts w:ascii="Arial" w:hAnsi="Arial" w:cs="Arial"/>
          <w:sz w:val="24"/>
          <w:szCs w:val="24"/>
        </w:rPr>
        <w:t xml:space="preserve">but officers estimated </w:t>
      </w:r>
      <w:r w:rsidR="008A0757">
        <w:rPr>
          <w:rFonts w:ascii="Arial" w:hAnsi="Arial" w:cs="Arial"/>
          <w:sz w:val="24"/>
          <w:szCs w:val="24"/>
        </w:rPr>
        <w:t>their lie-detection accuracy at 69% (p</w:t>
      </w:r>
      <w:r w:rsidR="00841C4C">
        <w:rPr>
          <w:rFonts w:ascii="Arial" w:hAnsi="Arial" w:cs="Arial"/>
          <w:sz w:val="24"/>
          <w:szCs w:val="24"/>
        </w:rPr>
        <w:t xml:space="preserve">. </w:t>
      </w:r>
      <w:r w:rsidR="008A0757">
        <w:rPr>
          <w:rFonts w:ascii="Arial" w:hAnsi="Arial" w:cs="Arial"/>
          <w:sz w:val="24"/>
          <w:szCs w:val="24"/>
        </w:rPr>
        <w:t xml:space="preserve">17), against </w:t>
      </w:r>
      <w:r w:rsidR="00AB6DD4">
        <w:rPr>
          <w:rFonts w:ascii="Arial" w:hAnsi="Arial" w:cs="Arial"/>
          <w:sz w:val="24"/>
          <w:szCs w:val="24"/>
        </w:rPr>
        <w:t>a meta-analytic benchmark of 54% (Bond &amp; DePaulo, 2006</w:t>
      </w:r>
      <w:r w:rsidR="00F92643">
        <w:rPr>
          <w:rFonts w:ascii="Arial" w:hAnsi="Arial" w:cs="Arial"/>
          <w:sz w:val="24"/>
          <w:szCs w:val="24"/>
        </w:rPr>
        <w:t xml:space="preserve">, as cited in Schell-Leugers et al., 2026), and judged an average of 86% </w:t>
      </w:r>
      <w:r w:rsidR="008D02F9">
        <w:rPr>
          <w:rFonts w:ascii="Arial" w:hAnsi="Arial" w:cs="Arial"/>
          <w:sz w:val="24"/>
          <w:szCs w:val="24"/>
        </w:rPr>
        <w:t>of suspects who stayed silent to be guilty (p. 15). This fits a confirmation-bias explanation</w:t>
      </w:r>
      <w:r w:rsidR="002F06BE">
        <w:rPr>
          <w:rFonts w:ascii="Arial" w:hAnsi="Arial" w:cs="Arial"/>
          <w:sz w:val="24"/>
          <w:szCs w:val="24"/>
        </w:rPr>
        <w:t xml:space="preserve">: once guilt </w:t>
      </w:r>
      <w:r w:rsidR="00495AFC">
        <w:rPr>
          <w:rFonts w:ascii="Arial" w:hAnsi="Arial" w:cs="Arial"/>
          <w:sz w:val="24"/>
          <w:szCs w:val="24"/>
        </w:rPr>
        <w:t xml:space="preserve">is presumed, </w:t>
      </w:r>
      <w:r w:rsidR="00CF4521">
        <w:rPr>
          <w:rFonts w:ascii="Arial" w:hAnsi="Arial" w:cs="Arial"/>
          <w:sz w:val="24"/>
          <w:szCs w:val="24"/>
        </w:rPr>
        <w:t xml:space="preserve">ambiguous behaviour is read as deception and questioning </w:t>
      </w:r>
      <w:proofErr w:type="gramStart"/>
      <w:r w:rsidR="00E90D58">
        <w:rPr>
          <w:rFonts w:ascii="Arial" w:hAnsi="Arial" w:cs="Arial"/>
          <w:sz w:val="24"/>
          <w:szCs w:val="24"/>
        </w:rPr>
        <w:t>become</w:t>
      </w:r>
      <w:r w:rsidR="003E35AF">
        <w:rPr>
          <w:rFonts w:ascii="Arial" w:hAnsi="Arial" w:cs="Arial"/>
          <w:sz w:val="24"/>
          <w:szCs w:val="24"/>
        </w:rPr>
        <w:t>s</w:t>
      </w:r>
      <w:proofErr w:type="gramEnd"/>
      <w:r w:rsidR="00CF4521">
        <w:rPr>
          <w:rFonts w:ascii="Arial" w:hAnsi="Arial" w:cs="Arial"/>
          <w:sz w:val="24"/>
          <w:szCs w:val="24"/>
        </w:rPr>
        <w:t xml:space="preserve"> more accusatory</w:t>
      </w:r>
      <w:r w:rsidR="00E90D58">
        <w:rPr>
          <w:rFonts w:ascii="Arial" w:hAnsi="Arial" w:cs="Arial"/>
          <w:sz w:val="24"/>
          <w:szCs w:val="24"/>
        </w:rPr>
        <w:t>. The survey measured reported beliefs, not behaviour, and only 20</w:t>
      </w:r>
      <w:r w:rsidR="007402CE">
        <w:rPr>
          <w:rFonts w:ascii="Arial" w:hAnsi="Arial" w:cs="Arial"/>
          <w:sz w:val="24"/>
          <w:szCs w:val="24"/>
        </w:rPr>
        <w:t>.8</w:t>
      </w:r>
      <w:r w:rsidR="00E90D58">
        <w:rPr>
          <w:rFonts w:ascii="Arial" w:hAnsi="Arial" w:cs="Arial"/>
          <w:sz w:val="24"/>
          <w:szCs w:val="24"/>
        </w:rPr>
        <w:t xml:space="preserve">% </w:t>
      </w:r>
      <w:r w:rsidR="007402CE">
        <w:rPr>
          <w:rFonts w:ascii="Arial" w:hAnsi="Arial" w:cs="Arial"/>
          <w:sz w:val="24"/>
          <w:szCs w:val="24"/>
        </w:rPr>
        <w:t>of officers always recorded interviews (p</w:t>
      </w:r>
      <w:r w:rsidR="001D5337">
        <w:rPr>
          <w:rFonts w:ascii="Arial" w:hAnsi="Arial" w:cs="Arial"/>
          <w:sz w:val="24"/>
          <w:szCs w:val="24"/>
        </w:rPr>
        <w:t xml:space="preserve">. </w:t>
      </w:r>
      <w:r w:rsidR="007402CE">
        <w:rPr>
          <w:rFonts w:ascii="Arial" w:hAnsi="Arial" w:cs="Arial"/>
          <w:sz w:val="24"/>
          <w:szCs w:val="24"/>
        </w:rPr>
        <w:t xml:space="preserve">14), so social desirability may hide </w:t>
      </w:r>
      <w:r w:rsidR="009174A7">
        <w:rPr>
          <w:rFonts w:ascii="Arial" w:hAnsi="Arial" w:cs="Arial"/>
          <w:sz w:val="24"/>
          <w:szCs w:val="24"/>
        </w:rPr>
        <w:t xml:space="preserve">coercive practice (p. 25). Ng et al. (2025) add, from 13 officers, that even digital evidence needs interpretation (p. </w:t>
      </w:r>
      <w:r w:rsidR="001C73C7">
        <w:rPr>
          <w:rFonts w:ascii="Arial" w:hAnsi="Arial" w:cs="Arial"/>
          <w:sz w:val="24"/>
          <w:szCs w:val="24"/>
        </w:rPr>
        <w:t>7).</w:t>
      </w:r>
      <w:r w:rsidR="001D5337">
        <w:rPr>
          <w:rFonts w:ascii="Arial" w:hAnsi="Arial" w:cs="Arial"/>
          <w:sz w:val="24"/>
          <w:szCs w:val="24"/>
        </w:rPr>
        <w:t xml:space="preserve"> Inconsistency is also an unsafe sign of lying. Strange </w:t>
      </w:r>
      <w:r w:rsidR="00B909D0">
        <w:rPr>
          <w:rFonts w:ascii="Arial" w:hAnsi="Arial" w:cs="Arial"/>
          <w:sz w:val="24"/>
          <w:szCs w:val="24"/>
        </w:rPr>
        <w:t>et al. (2014) asked 70 participants for a truthful alibi about an afternoon three weeks earlier and again a week later</w:t>
      </w:r>
      <w:r w:rsidR="00F30352">
        <w:rPr>
          <w:rFonts w:ascii="Arial" w:hAnsi="Arial" w:cs="Arial"/>
          <w:sz w:val="24"/>
          <w:szCs w:val="24"/>
        </w:rPr>
        <w:t xml:space="preserve">; only 53% of details were consistent (p. 85), and 44% were inconsistent </w:t>
      </w:r>
      <w:r w:rsidR="006415D0">
        <w:rPr>
          <w:rFonts w:ascii="Arial" w:hAnsi="Arial" w:cs="Arial"/>
          <w:sz w:val="24"/>
          <w:szCs w:val="24"/>
        </w:rPr>
        <w:t xml:space="preserve">about timing (p. 85). Errors may therefore reflect ordinary memory limits (p. 88), although </w:t>
      </w:r>
      <w:r w:rsidR="00E15AF5">
        <w:rPr>
          <w:rFonts w:ascii="Arial" w:hAnsi="Arial" w:cs="Arial"/>
          <w:sz w:val="24"/>
          <w:szCs w:val="24"/>
        </w:rPr>
        <w:t xml:space="preserve">true events were unknown (p. 87). </w:t>
      </w:r>
    </w:p>
    <w:p w14:paraId="0423E9E9" w14:textId="3FE743E1" w:rsidR="00761415" w:rsidRDefault="003F3CF5" w:rsidP="001972F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ab/>
      </w:r>
      <w:r w:rsidR="001C73C7">
        <w:rPr>
          <w:rFonts w:ascii="Arial" w:hAnsi="Arial" w:cs="Arial"/>
          <w:sz w:val="24"/>
          <w:szCs w:val="24"/>
        </w:rPr>
        <w:t xml:space="preserve">Research </w:t>
      </w:r>
      <w:r w:rsidR="00F4058A">
        <w:rPr>
          <w:rFonts w:ascii="Arial" w:hAnsi="Arial" w:cs="Arial"/>
          <w:sz w:val="24"/>
          <w:szCs w:val="24"/>
        </w:rPr>
        <w:t xml:space="preserve">on vulnerability shows how pressure interacts with individual differences. Gudjonsson et al. (2016) studied </w:t>
      </w:r>
      <w:r w:rsidR="005806D6">
        <w:rPr>
          <w:rFonts w:ascii="Arial" w:hAnsi="Arial" w:cs="Arial"/>
          <w:sz w:val="24"/>
          <w:szCs w:val="24"/>
        </w:rPr>
        <w:t>22</w:t>
      </w:r>
      <w:r w:rsidR="00C5204F">
        <w:rPr>
          <w:rFonts w:ascii="Arial" w:hAnsi="Arial" w:cs="Arial"/>
          <w:sz w:val="24"/>
          <w:szCs w:val="24"/>
        </w:rPr>
        <w:t>,</w:t>
      </w:r>
      <w:r w:rsidR="005806D6">
        <w:rPr>
          <w:rFonts w:ascii="Arial" w:hAnsi="Arial" w:cs="Arial"/>
          <w:sz w:val="24"/>
          <w:szCs w:val="24"/>
        </w:rPr>
        <w:t>226 young people in Iceland. Participants aged 14</w:t>
      </w:r>
      <w:r w:rsidR="00092D72">
        <w:rPr>
          <w:rFonts w:ascii="Arial" w:hAnsi="Arial" w:cs="Arial"/>
          <w:sz w:val="24"/>
          <w:szCs w:val="24"/>
        </w:rPr>
        <w:t>–</w:t>
      </w:r>
      <w:r w:rsidR="005806D6">
        <w:rPr>
          <w:rFonts w:ascii="Arial" w:hAnsi="Arial" w:cs="Arial"/>
          <w:sz w:val="24"/>
          <w:szCs w:val="24"/>
        </w:rPr>
        <w:t xml:space="preserve">16 were more likely </w:t>
      </w:r>
      <w:r w:rsidR="00C358B0">
        <w:rPr>
          <w:rFonts w:ascii="Arial" w:hAnsi="Arial" w:cs="Arial"/>
          <w:sz w:val="24"/>
          <w:szCs w:val="24"/>
        </w:rPr>
        <w:t>than those aged 17</w:t>
      </w:r>
      <w:r w:rsidR="002015D1">
        <w:rPr>
          <w:rFonts w:ascii="Arial" w:hAnsi="Arial" w:cs="Arial"/>
          <w:sz w:val="24"/>
          <w:szCs w:val="24"/>
        </w:rPr>
        <w:t>–</w:t>
      </w:r>
      <w:r w:rsidR="00C358B0">
        <w:rPr>
          <w:rFonts w:ascii="Arial" w:hAnsi="Arial" w:cs="Arial"/>
          <w:sz w:val="24"/>
          <w:szCs w:val="24"/>
        </w:rPr>
        <w:t>24</w:t>
      </w:r>
      <w:r w:rsidR="002015D1">
        <w:rPr>
          <w:rFonts w:ascii="Arial" w:hAnsi="Arial" w:cs="Arial"/>
          <w:sz w:val="24"/>
          <w:szCs w:val="24"/>
        </w:rPr>
        <w:t xml:space="preserve"> </w:t>
      </w:r>
      <w:r w:rsidR="00C358B0">
        <w:rPr>
          <w:rFonts w:ascii="Arial" w:hAnsi="Arial" w:cs="Arial"/>
          <w:sz w:val="24"/>
          <w:szCs w:val="24"/>
        </w:rPr>
        <w:t xml:space="preserve">to report a false confession (20.0% compared </w:t>
      </w:r>
      <w:r w:rsidR="00B27B12">
        <w:rPr>
          <w:rFonts w:ascii="Arial" w:hAnsi="Arial" w:cs="Arial"/>
          <w:sz w:val="24"/>
          <w:szCs w:val="24"/>
        </w:rPr>
        <w:t>with</w:t>
      </w:r>
      <w:r w:rsidR="00C358B0">
        <w:rPr>
          <w:rFonts w:ascii="Arial" w:hAnsi="Arial" w:cs="Arial"/>
          <w:sz w:val="24"/>
          <w:szCs w:val="24"/>
        </w:rPr>
        <w:t xml:space="preserve"> 10.3%)</w:t>
      </w:r>
      <w:r w:rsidR="00C74F01">
        <w:rPr>
          <w:rFonts w:ascii="Arial" w:hAnsi="Arial" w:cs="Arial"/>
          <w:sz w:val="24"/>
          <w:szCs w:val="24"/>
        </w:rPr>
        <w:t xml:space="preserve">, </w:t>
      </w:r>
      <w:r w:rsidR="00C83354">
        <w:rPr>
          <w:rFonts w:ascii="Arial" w:hAnsi="Arial" w:cs="Arial"/>
          <w:sz w:val="24"/>
          <w:szCs w:val="24"/>
        </w:rPr>
        <w:t xml:space="preserve">although the older group was more often interrogated </w:t>
      </w:r>
      <w:r w:rsidR="001015B3">
        <w:rPr>
          <w:rFonts w:ascii="Arial" w:hAnsi="Arial" w:cs="Arial"/>
          <w:sz w:val="24"/>
          <w:szCs w:val="24"/>
        </w:rPr>
        <w:t xml:space="preserve">(p. 362). Conduct disorder was the strongest predictor of interrogation (almost </w:t>
      </w:r>
      <w:r w:rsidR="005A799A">
        <w:rPr>
          <w:rFonts w:ascii="Arial" w:hAnsi="Arial" w:cs="Arial"/>
          <w:sz w:val="24"/>
          <w:szCs w:val="24"/>
        </w:rPr>
        <w:t>six times higher odds, p.</w:t>
      </w:r>
      <w:r w:rsidR="00B27B12">
        <w:rPr>
          <w:rFonts w:ascii="Arial" w:hAnsi="Arial" w:cs="Arial"/>
          <w:sz w:val="24"/>
          <w:szCs w:val="24"/>
        </w:rPr>
        <w:t xml:space="preserve"> </w:t>
      </w:r>
      <w:r w:rsidR="005A799A">
        <w:rPr>
          <w:rFonts w:ascii="Arial" w:hAnsi="Arial" w:cs="Arial"/>
          <w:sz w:val="24"/>
          <w:szCs w:val="24"/>
        </w:rPr>
        <w:t>363</w:t>
      </w:r>
      <w:r w:rsidR="0078247F">
        <w:rPr>
          <w:rFonts w:ascii="Arial" w:hAnsi="Arial" w:cs="Arial"/>
          <w:sz w:val="24"/>
          <w:szCs w:val="24"/>
        </w:rPr>
        <w:t>), but</w:t>
      </w:r>
      <w:r w:rsidR="00270D59">
        <w:rPr>
          <w:rFonts w:ascii="Arial" w:hAnsi="Arial" w:cs="Arial"/>
          <w:sz w:val="24"/>
          <w:szCs w:val="24"/>
        </w:rPr>
        <w:t xml:space="preserve"> results were more mixed for false confession (p.</w:t>
      </w:r>
      <w:r w:rsidR="00B27B12">
        <w:rPr>
          <w:rFonts w:ascii="Arial" w:hAnsi="Arial" w:cs="Arial"/>
          <w:sz w:val="24"/>
          <w:szCs w:val="24"/>
        </w:rPr>
        <w:t xml:space="preserve"> </w:t>
      </w:r>
      <w:r w:rsidR="00270D59">
        <w:rPr>
          <w:rFonts w:ascii="Arial" w:hAnsi="Arial" w:cs="Arial"/>
          <w:sz w:val="24"/>
          <w:szCs w:val="24"/>
        </w:rPr>
        <w:t>359)</w:t>
      </w:r>
      <w:r w:rsidR="00A95196">
        <w:rPr>
          <w:rFonts w:ascii="Arial" w:hAnsi="Arial" w:cs="Arial"/>
          <w:sz w:val="24"/>
          <w:szCs w:val="24"/>
        </w:rPr>
        <w:t>, where ADHD severity mattered: 40.2%</w:t>
      </w:r>
      <w:r w:rsidR="00962B5A">
        <w:rPr>
          <w:rFonts w:ascii="Arial" w:hAnsi="Arial" w:cs="Arial"/>
          <w:sz w:val="24"/>
          <w:szCs w:val="24"/>
        </w:rPr>
        <w:t xml:space="preserve"> of the symptomatic, medicated group reported </w:t>
      </w:r>
      <w:r w:rsidR="00B27B12">
        <w:rPr>
          <w:rFonts w:ascii="Arial" w:hAnsi="Arial" w:cs="Arial"/>
          <w:sz w:val="24"/>
          <w:szCs w:val="24"/>
        </w:rPr>
        <w:t xml:space="preserve">a </w:t>
      </w:r>
      <w:r w:rsidR="00962B5A">
        <w:rPr>
          <w:rFonts w:ascii="Arial" w:hAnsi="Arial" w:cs="Arial"/>
          <w:sz w:val="24"/>
          <w:szCs w:val="24"/>
        </w:rPr>
        <w:t xml:space="preserve">false confession, compared with 10.8% </w:t>
      </w:r>
      <w:r w:rsidR="0078247F">
        <w:rPr>
          <w:rFonts w:ascii="Arial" w:hAnsi="Arial" w:cs="Arial"/>
          <w:sz w:val="24"/>
          <w:szCs w:val="24"/>
        </w:rPr>
        <w:t>of the group that was neither (p.</w:t>
      </w:r>
      <w:r w:rsidR="00B27B12">
        <w:rPr>
          <w:rFonts w:ascii="Arial" w:hAnsi="Arial" w:cs="Arial"/>
          <w:sz w:val="24"/>
          <w:szCs w:val="24"/>
        </w:rPr>
        <w:t xml:space="preserve"> </w:t>
      </w:r>
      <w:r w:rsidR="0078247F">
        <w:rPr>
          <w:rFonts w:ascii="Arial" w:hAnsi="Arial" w:cs="Arial"/>
          <w:sz w:val="24"/>
          <w:szCs w:val="24"/>
        </w:rPr>
        <w:t>364). The study suggest</w:t>
      </w:r>
      <w:r w:rsidR="00EF6414">
        <w:rPr>
          <w:rFonts w:ascii="Arial" w:hAnsi="Arial" w:cs="Arial"/>
          <w:sz w:val="24"/>
          <w:szCs w:val="24"/>
        </w:rPr>
        <w:t xml:space="preserve">s two routes: behaviour that brings young people to the police station, and vulnerability once inside. Its limits </w:t>
      </w:r>
      <w:r w:rsidR="003616FC">
        <w:rPr>
          <w:rFonts w:ascii="Arial" w:hAnsi="Arial" w:cs="Arial"/>
          <w:sz w:val="24"/>
          <w:szCs w:val="24"/>
        </w:rPr>
        <w:t>are anonymous retrospective self-reports, no verification of the confession</w:t>
      </w:r>
      <w:r w:rsidR="00B27B12">
        <w:rPr>
          <w:rFonts w:ascii="Arial" w:hAnsi="Arial" w:cs="Arial"/>
          <w:sz w:val="24"/>
          <w:szCs w:val="24"/>
        </w:rPr>
        <w:t>s</w:t>
      </w:r>
      <w:r w:rsidR="003616FC">
        <w:rPr>
          <w:rFonts w:ascii="Arial" w:hAnsi="Arial" w:cs="Arial"/>
          <w:sz w:val="24"/>
          <w:szCs w:val="24"/>
        </w:rPr>
        <w:t>, and an Icelandic sample.</w:t>
      </w:r>
      <w:r w:rsidR="005C3A29">
        <w:rPr>
          <w:rFonts w:ascii="Arial" w:hAnsi="Arial" w:cs="Arial"/>
          <w:sz w:val="24"/>
          <w:szCs w:val="24"/>
        </w:rPr>
        <w:t xml:space="preserve"> Suggestibility is a likely mechanism. Gudjonsson’s (1984) </w:t>
      </w:r>
      <w:r w:rsidR="005E0D9E">
        <w:rPr>
          <w:rFonts w:ascii="Arial" w:hAnsi="Arial" w:cs="Arial"/>
          <w:sz w:val="24"/>
          <w:szCs w:val="24"/>
        </w:rPr>
        <w:t xml:space="preserve">scale measures how far people accept leading questions (“yield”) and change answers after negative feedback </w:t>
      </w:r>
      <w:r w:rsidR="00454E01">
        <w:rPr>
          <w:rFonts w:ascii="Arial" w:hAnsi="Arial" w:cs="Arial"/>
          <w:sz w:val="24"/>
          <w:szCs w:val="24"/>
        </w:rPr>
        <w:t>(“shift”) (as cited in Scullin &amp; Ceci, 2001</w:t>
      </w:r>
      <w:r w:rsidR="002527EA">
        <w:rPr>
          <w:rFonts w:ascii="Arial" w:hAnsi="Arial" w:cs="Arial"/>
          <w:sz w:val="24"/>
          <w:szCs w:val="24"/>
        </w:rPr>
        <w:t>, pp</w:t>
      </w:r>
      <w:r w:rsidR="00B27B12">
        <w:rPr>
          <w:rFonts w:ascii="Arial" w:hAnsi="Arial" w:cs="Arial"/>
          <w:sz w:val="24"/>
          <w:szCs w:val="24"/>
        </w:rPr>
        <w:t xml:space="preserve">. </w:t>
      </w:r>
      <w:r w:rsidR="002527EA">
        <w:rPr>
          <w:rFonts w:ascii="Arial" w:hAnsi="Arial" w:cs="Arial"/>
          <w:sz w:val="24"/>
          <w:szCs w:val="24"/>
        </w:rPr>
        <w:t>843</w:t>
      </w:r>
      <w:r w:rsidR="00B27B12">
        <w:rPr>
          <w:rFonts w:ascii="Arial" w:hAnsi="Arial" w:cs="Arial"/>
          <w:sz w:val="24"/>
          <w:szCs w:val="24"/>
        </w:rPr>
        <w:t>–</w:t>
      </w:r>
      <w:r w:rsidR="002527EA">
        <w:rPr>
          <w:rFonts w:ascii="Arial" w:hAnsi="Arial" w:cs="Arial"/>
          <w:sz w:val="24"/>
          <w:szCs w:val="24"/>
        </w:rPr>
        <w:t>844), and preschool children yielded to 54.65%</w:t>
      </w:r>
      <w:r w:rsidR="005C51F0">
        <w:rPr>
          <w:rFonts w:ascii="Arial" w:hAnsi="Arial" w:cs="Arial"/>
          <w:sz w:val="24"/>
          <w:szCs w:val="24"/>
        </w:rPr>
        <w:t xml:space="preserve"> of items, compared with 32% reported for adults </w:t>
      </w:r>
      <w:r w:rsidR="00854F43">
        <w:rPr>
          <w:rFonts w:ascii="Arial" w:hAnsi="Arial" w:cs="Arial"/>
          <w:sz w:val="24"/>
          <w:szCs w:val="24"/>
        </w:rPr>
        <w:t>(Scullin &amp; Ceci, 2001, p.</w:t>
      </w:r>
      <w:r w:rsidR="00B27B12">
        <w:rPr>
          <w:rFonts w:ascii="Arial" w:hAnsi="Arial" w:cs="Arial"/>
          <w:sz w:val="24"/>
          <w:szCs w:val="24"/>
        </w:rPr>
        <w:t xml:space="preserve"> </w:t>
      </w:r>
      <w:r w:rsidR="00854F43">
        <w:rPr>
          <w:rFonts w:ascii="Arial" w:hAnsi="Arial" w:cs="Arial"/>
          <w:sz w:val="24"/>
          <w:szCs w:val="24"/>
        </w:rPr>
        <w:t xml:space="preserve">851). </w:t>
      </w:r>
      <w:r w:rsidR="004E2C20">
        <w:rPr>
          <w:rFonts w:ascii="Arial" w:hAnsi="Arial" w:cs="Arial"/>
          <w:sz w:val="24"/>
          <w:szCs w:val="24"/>
        </w:rPr>
        <w:t xml:space="preserve">Age is a practical concern: 38% of false confessors in the National Registry </w:t>
      </w:r>
      <w:r w:rsidR="00A919EB">
        <w:rPr>
          <w:rFonts w:ascii="Arial" w:hAnsi="Arial" w:cs="Arial"/>
          <w:sz w:val="24"/>
          <w:szCs w:val="24"/>
        </w:rPr>
        <w:t>of Exonerations were juveniles (National Registry of Exonerations, 2017</w:t>
      </w:r>
      <w:r w:rsidR="009D347C">
        <w:rPr>
          <w:rFonts w:ascii="Arial" w:hAnsi="Arial" w:cs="Arial"/>
          <w:sz w:val="24"/>
          <w:szCs w:val="24"/>
        </w:rPr>
        <w:t xml:space="preserve">, as cited in Woody &amp; Forrest, 2020, p. 118). </w:t>
      </w:r>
    </w:p>
    <w:p w14:paraId="53F7F639" w14:textId="6326BBE2" w:rsidR="001306BD" w:rsidRDefault="00761415" w:rsidP="001972F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>Memory theory has produced interviewing techniques, from simple rule</w:t>
      </w:r>
      <w:r w:rsidR="00C5204F">
        <w:rPr>
          <w:rFonts w:ascii="Arial" w:hAnsi="Arial" w:cs="Arial"/>
          <w:sz w:val="24"/>
          <w:szCs w:val="24"/>
        </w:rPr>
        <w:t>s</w:t>
      </w:r>
      <w:r>
        <w:rPr>
          <w:rFonts w:ascii="Arial" w:hAnsi="Arial" w:cs="Arial"/>
          <w:sz w:val="24"/>
          <w:szCs w:val="24"/>
        </w:rPr>
        <w:t xml:space="preserve"> such as using open questions to the cognitive </w:t>
      </w:r>
      <w:r w:rsidR="00034AE0">
        <w:rPr>
          <w:rFonts w:ascii="Arial" w:hAnsi="Arial" w:cs="Arial"/>
          <w:sz w:val="24"/>
          <w:szCs w:val="24"/>
        </w:rPr>
        <w:t>interview (Milne &amp; Bull, 1999, as described in Halsey, 2001</w:t>
      </w:r>
      <w:r w:rsidR="00C248A0">
        <w:rPr>
          <w:rFonts w:ascii="Arial" w:hAnsi="Arial" w:cs="Arial"/>
          <w:sz w:val="24"/>
          <w:szCs w:val="24"/>
        </w:rPr>
        <w:t>, p.</w:t>
      </w:r>
      <w:r w:rsidR="007A2F37">
        <w:rPr>
          <w:rFonts w:ascii="Arial" w:hAnsi="Arial" w:cs="Arial"/>
          <w:sz w:val="24"/>
          <w:szCs w:val="24"/>
        </w:rPr>
        <w:t xml:space="preserve"> </w:t>
      </w:r>
      <w:r w:rsidR="00C248A0">
        <w:rPr>
          <w:rFonts w:ascii="Arial" w:hAnsi="Arial" w:cs="Arial"/>
          <w:sz w:val="24"/>
          <w:szCs w:val="24"/>
        </w:rPr>
        <w:t>348), but their evaluation requires attention to errors as well as benefits. The</w:t>
      </w:r>
      <w:r w:rsidR="00E76239">
        <w:rPr>
          <w:rFonts w:ascii="Arial" w:hAnsi="Arial" w:cs="Arial"/>
          <w:sz w:val="24"/>
          <w:szCs w:val="24"/>
        </w:rPr>
        <w:t xml:space="preserve"> cognitive </w:t>
      </w:r>
      <w:r w:rsidR="008A0CA9">
        <w:rPr>
          <w:rFonts w:ascii="Arial" w:hAnsi="Arial" w:cs="Arial"/>
          <w:sz w:val="24"/>
          <w:szCs w:val="24"/>
        </w:rPr>
        <w:t xml:space="preserve">interview uses instructions such as “report everything” and mental reinstatement of context </w:t>
      </w:r>
      <w:r w:rsidR="00960E32" w:rsidRPr="00960E32">
        <w:rPr>
          <w:rFonts w:ascii="Arial" w:hAnsi="Arial" w:cs="Arial"/>
          <w:sz w:val="24"/>
          <w:szCs w:val="24"/>
        </w:rPr>
        <w:t>(Köhnken et al., 1999, p. 4</w:t>
      </w:r>
      <w:r w:rsidR="00960E32">
        <w:rPr>
          <w:rFonts w:ascii="Arial" w:hAnsi="Arial" w:cs="Arial"/>
          <w:sz w:val="24"/>
          <w:szCs w:val="24"/>
        </w:rPr>
        <w:t xml:space="preserve">). A meta-analysis </w:t>
      </w:r>
      <w:r w:rsidR="0032370B">
        <w:rPr>
          <w:rFonts w:ascii="Arial" w:hAnsi="Arial" w:cs="Arial"/>
          <w:sz w:val="24"/>
          <w:szCs w:val="24"/>
        </w:rPr>
        <w:t xml:space="preserve">of 42 studies found that it increased correct details by a large amount and, to a much smaller </w:t>
      </w:r>
      <w:r w:rsidR="00FB24EA">
        <w:rPr>
          <w:rFonts w:ascii="Arial" w:hAnsi="Arial" w:cs="Arial"/>
          <w:sz w:val="24"/>
          <w:szCs w:val="24"/>
        </w:rPr>
        <w:t xml:space="preserve">extent, incorrect details, with accuracy rates almost identical </w:t>
      </w:r>
      <w:r w:rsidR="00011178">
        <w:rPr>
          <w:rFonts w:ascii="Arial" w:hAnsi="Arial" w:cs="Arial"/>
          <w:sz w:val="24"/>
          <w:szCs w:val="24"/>
        </w:rPr>
        <w:t xml:space="preserve">to standard </w:t>
      </w:r>
      <w:r w:rsidR="00011178">
        <w:rPr>
          <w:rFonts w:ascii="Arial" w:hAnsi="Arial" w:cs="Arial"/>
          <w:sz w:val="24"/>
          <w:szCs w:val="24"/>
        </w:rPr>
        <w:lastRenderedPageBreak/>
        <w:t>interviews (p.</w:t>
      </w:r>
      <w:r w:rsidR="007A2F37">
        <w:rPr>
          <w:rFonts w:ascii="Arial" w:hAnsi="Arial" w:cs="Arial"/>
          <w:sz w:val="24"/>
          <w:szCs w:val="24"/>
        </w:rPr>
        <w:t xml:space="preserve"> </w:t>
      </w:r>
      <w:r w:rsidR="00011178">
        <w:rPr>
          <w:rFonts w:ascii="Arial" w:hAnsi="Arial" w:cs="Arial"/>
          <w:sz w:val="24"/>
          <w:szCs w:val="24"/>
        </w:rPr>
        <w:t xml:space="preserve">3). As </w:t>
      </w:r>
      <w:r w:rsidR="00523567">
        <w:rPr>
          <w:rFonts w:ascii="Arial" w:hAnsi="Arial" w:cs="Arial"/>
          <w:sz w:val="24"/>
          <w:szCs w:val="24"/>
        </w:rPr>
        <w:t>the cognitive interview is demanding, Wa</w:t>
      </w:r>
      <w:r w:rsidR="0038383E">
        <w:rPr>
          <w:rFonts w:ascii="Arial" w:hAnsi="Arial" w:cs="Arial"/>
          <w:sz w:val="24"/>
          <w:szCs w:val="24"/>
        </w:rPr>
        <w:t>gstaff et al. (2011) tested focused mediation with eye-</w:t>
      </w:r>
      <w:r w:rsidR="00DD6EDA">
        <w:rPr>
          <w:rFonts w:ascii="Arial" w:hAnsi="Arial" w:cs="Arial"/>
          <w:sz w:val="24"/>
          <w:szCs w:val="24"/>
        </w:rPr>
        <w:t xml:space="preserve">closure; it matched context reinstatement </w:t>
      </w:r>
      <w:r w:rsidR="0008577A">
        <w:rPr>
          <w:rFonts w:ascii="Arial" w:hAnsi="Arial" w:cs="Arial"/>
          <w:sz w:val="24"/>
          <w:szCs w:val="24"/>
        </w:rPr>
        <w:t>in 6- to 7</w:t>
      </w:r>
      <w:r w:rsidR="00003993">
        <w:rPr>
          <w:rFonts w:ascii="Arial" w:hAnsi="Arial" w:cs="Arial"/>
          <w:sz w:val="24"/>
          <w:szCs w:val="24"/>
        </w:rPr>
        <w:t>–</w:t>
      </w:r>
      <w:r w:rsidR="0008577A">
        <w:rPr>
          <w:rFonts w:ascii="Arial" w:hAnsi="Arial" w:cs="Arial"/>
          <w:sz w:val="24"/>
          <w:szCs w:val="24"/>
        </w:rPr>
        <w:t>years</w:t>
      </w:r>
      <w:r w:rsidR="00003993">
        <w:rPr>
          <w:rFonts w:ascii="Arial" w:hAnsi="Arial" w:cs="Arial"/>
          <w:sz w:val="24"/>
          <w:szCs w:val="24"/>
        </w:rPr>
        <w:t>–</w:t>
      </w:r>
      <w:r w:rsidR="0008577A">
        <w:rPr>
          <w:rFonts w:ascii="Arial" w:hAnsi="Arial" w:cs="Arial"/>
          <w:sz w:val="24"/>
          <w:szCs w:val="24"/>
        </w:rPr>
        <w:t>olds without more errors</w:t>
      </w:r>
      <w:r w:rsidR="001306BD">
        <w:rPr>
          <w:rFonts w:ascii="Arial" w:hAnsi="Arial" w:cs="Arial"/>
          <w:sz w:val="24"/>
          <w:szCs w:val="24"/>
        </w:rPr>
        <w:t xml:space="preserve"> (p</w:t>
      </w:r>
      <w:r w:rsidR="00003993">
        <w:rPr>
          <w:rFonts w:ascii="Arial" w:hAnsi="Arial" w:cs="Arial"/>
          <w:sz w:val="24"/>
          <w:szCs w:val="24"/>
        </w:rPr>
        <w:t xml:space="preserve">. </w:t>
      </w:r>
      <w:r w:rsidR="001306BD">
        <w:rPr>
          <w:rFonts w:ascii="Arial" w:hAnsi="Arial" w:cs="Arial"/>
          <w:sz w:val="24"/>
          <w:szCs w:val="24"/>
        </w:rPr>
        <w:t xml:space="preserve">146), although each group had only 11 children </w:t>
      </w:r>
      <w:r w:rsidR="00157599">
        <w:rPr>
          <w:rFonts w:ascii="Arial" w:hAnsi="Arial" w:cs="Arial"/>
          <w:sz w:val="24"/>
          <w:szCs w:val="24"/>
        </w:rPr>
        <w:t>(p.</w:t>
      </w:r>
      <w:r w:rsidR="00003993">
        <w:rPr>
          <w:rFonts w:ascii="Arial" w:hAnsi="Arial" w:cs="Arial"/>
          <w:sz w:val="24"/>
          <w:szCs w:val="24"/>
        </w:rPr>
        <w:t xml:space="preserve"> </w:t>
      </w:r>
      <w:r w:rsidR="00157599">
        <w:rPr>
          <w:rFonts w:ascii="Arial" w:hAnsi="Arial" w:cs="Arial"/>
          <w:sz w:val="24"/>
          <w:szCs w:val="24"/>
        </w:rPr>
        <w:t xml:space="preserve">150). Maras et al. (2020) developed the Witness-Aimed First Account (WAFA) for autistic </w:t>
      </w:r>
      <w:r w:rsidR="00547FAA">
        <w:rPr>
          <w:rFonts w:ascii="Arial" w:hAnsi="Arial" w:cs="Arial"/>
          <w:sz w:val="24"/>
          <w:szCs w:val="24"/>
        </w:rPr>
        <w:t xml:space="preserve">witnesses from the Task Support Hypothesis. It produced more correct details than a control interview (about 122 details compared with 105), but the effect was only just </w:t>
      </w:r>
      <w:r w:rsidR="0010239B">
        <w:rPr>
          <w:rFonts w:ascii="Arial" w:hAnsi="Arial" w:cs="Arial"/>
          <w:sz w:val="24"/>
          <w:szCs w:val="24"/>
        </w:rPr>
        <w:t xml:space="preserve">statistically significant and there was no interaction between group and </w:t>
      </w:r>
      <w:r w:rsidR="00AC6A7F">
        <w:rPr>
          <w:rFonts w:ascii="Arial" w:hAnsi="Arial" w:cs="Arial"/>
          <w:sz w:val="24"/>
          <w:szCs w:val="24"/>
        </w:rPr>
        <w:t>interview type (pp.</w:t>
      </w:r>
      <w:r w:rsidR="00003993">
        <w:rPr>
          <w:rFonts w:ascii="Arial" w:hAnsi="Arial" w:cs="Arial"/>
          <w:sz w:val="24"/>
          <w:szCs w:val="24"/>
        </w:rPr>
        <w:t xml:space="preserve"> </w:t>
      </w:r>
      <w:r w:rsidR="00AC6A7F">
        <w:rPr>
          <w:rFonts w:ascii="Arial" w:hAnsi="Arial" w:cs="Arial"/>
          <w:sz w:val="24"/>
          <w:szCs w:val="24"/>
        </w:rPr>
        <w:t>1455</w:t>
      </w:r>
      <w:r w:rsidR="00003993">
        <w:rPr>
          <w:rFonts w:ascii="Arial" w:hAnsi="Arial" w:cs="Arial"/>
          <w:sz w:val="24"/>
          <w:szCs w:val="24"/>
        </w:rPr>
        <w:t>–</w:t>
      </w:r>
      <w:r w:rsidR="00AC6A7F">
        <w:rPr>
          <w:rFonts w:ascii="Arial" w:hAnsi="Arial" w:cs="Arial"/>
          <w:sz w:val="24"/>
          <w:szCs w:val="24"/>
        </w:rPr>
        <w:t>1456), so the benefit was general and not specific to autism. For children</w:t>
      </w:r>
      <w:r w:rsidR="004C76FD">
        <w:rPr>
          <w:rFonts w:ascii="Arial" w:hAnsi="Arial" w:cs="Arial"/>
          <w:sz w:val="24"/>
          <w:szCs w:val="24"/>
        </w:rPr>
        <w:t>, Melinder et al. (2010) compared police “verbal” and clinician “prop-</w:t>
      </w:r>
      <w:r w:rsidR="00747307">
        <w:rPr>
          <w:rFonts w:ascii="Arial" w:hAnsi="Arial" w:cs="Arial"/>
          <w:sz w:val="24"/>
          <w:szCs w:val="24"/>
        </w:rPr>
        <w:t>assisted” interviews with 58 four</w:t>
      </w:r>
      <w:r w:rsidR="00003993">
        <w:rPr>
          <w:rFonts w:ascii="Arial" w:hAnsi="Arial" w:cs="Arial"/>
          <w:sz w:val="24"/>
          <w:szCs w:val="24"/>
        </w:rPr>
        <w:t>–</w:t>
      </w:r>
      <w:r w:rsidR="00747307">
        <w:rPr>
          <w:rFonts w:ascii="Arial" w:hAnsi="Arial" w:cs="Arial"/>
          <w:sz w:val="24"/>
          <w:szCs w:val="24"/>
        </w:rPr>
        <w:t>years</w:t>
      </w:r>
      <w:r w:rsidR="00003993">
        <w:rPr>
          <w:rFonts w:ascii="Arial" w:hAnsi="Arial" w:cs="Arial"/>
          <w:sz w:val="24"/>
          <w:szCs w:val="24"/>
        </w:rPr>
        <w:t>–</w:t>
      </w:r>
      <w:r w:rsidR="00747307">
        <w:rPr>
          <w:rFonts w:ascii="Arial" w:hAnsi="Arial" w:cs="Arial"/>
          <w:sz w:val="24"/>
          <w:szCs w:val="24"/>
        </w:rPr>
        <w:t xml:space="preserve">olds. The higher number of commission </w:t>
      </w:r>
      <w:r w:rsidR="001B02AE">
        <w:rPr>
          <w:rFonts w:ascii="Arial" w:hAnsi="Arial" w:cs="Arial"/>
          <w:sz w:val="24"/>
          <w:szCs w:val="24"/>
        </w:rPr>
        <w:t>errors in clinician interviews was no longer significant once misleading questions were controlled (pp.</w:t>
      </w:r>
      <w:r w:rsidR="00003993">
        <w:rPr>
          <w:rFonts w:ascii="Arial" w:hAnsi="Arial" w:cs="Arial"/>
          <w:sz w:val="24"/>
          <w:szCs w:val="24"/>
        </w:rPr>
        <w:t xml:space="preserve"> </w:t>
      </w:r>
      <w:r w:rsidR="001B02AE">
        <w:rPr>
          <w:rFonts w:ascii="Arial" w:hAnsi="Arial" w:cs="Arial"/>
          <w:sz w:val="24"/>
          <w:szCs w:val="24"/>
        </w:rPr>
        <w:t>164</w:t>
      </w:r>
      <w:r w:rsidR="00003993">
        <w:rPr>
          <w:rFonts w:ascii="Arial" w:hAnsi="Arial" w:cs="Arial"/>
          <w:sz w:val="24"/>
          <w:szCs w:val="24"/>
        </w:rPr>
        <w:t>–</w:t>
      </w:r>
      <w:r w:rsidR="001B02AE">
        <w:rPr>
          <w:rFonts w:ascii="Arial" w:hAnsi="Arial" w:cs="Arial"/>
          <w:sz w:val="24"/>
          <w:szCs w:val="24"/>
        </w:rPr>
        <w:t>166)</w:t>
      </w:r>
      <w:r w:rsidR="002A7E27">
        <w:rPr>
          <w:rFonts w:ascii="Arial" w:hAnsi="Arial" w:cs="Arial"/>
          <w:sz w:val="24"/>
          <w:szCs w:val="24"/>
        </w:rPr>
        <w:t xml:space="preserve">, which suggests that question content, rather than props, may explain the errors. </w:t>
      </w:r>
      <w:r w:rsidR="00D53DAF">
        <w:rPr>
          <w:rFonts w:ascii="Arial" w:hAnsi="Arial" w:cs="Arial"/>
          <w:sz w:val="24"/>
          <w:szCs w:val="24"/>
        </w:rPr>
        <w:t>Suggest</w:t>
      </w:r>
      <w:r w:rsidR="00160900">
        <w:rPr>
          <w:rFonts w:ascii="Arial" w:hAnsi="Arial" w:cs="Arial"/>
          <w:sz w:val="24"/>
          <w:szCs w:val="24"/>
        </w:rPr>
        <w:t>ion</w:t>
      </w:r>
      <w:r w:rsidR="00ED3159">
        <w:rPr>
          <w:rFonts w:ascii="Arial" w:hAnsi="Arial" w:cs="Arial"/>
          <w:sz w:val="24"/>
          <w:szCs w:val="24"/>
        </w:rPr>
        <w:t xml:space="preserve"> </w:t>
      </w:r>
      <w:r w:rsidR="00D53DAF">
        <w:rPr>
          <w:rFonts w:ascii="Arial" w:hAnsi="Arial" w:cs="Arial"/>
          <w:sz w:val="24"/>
          <w:szCs w:val="24"/>
        </w:rPr>
        <w:t xml:space="preserve">need not even be relevant: Navarre et al. (2022) combined a classic leading-question </w:t>
      </w:r>
      <w:r w:rsidR="00C71330">
        <w:rPr>
          <w:rFonts w:ascii="Arial" w:hAnsi="Arial" w:cs="Arial"/>
          <w:sz w:val="24"/>
          <w:szCs w:val="24"/>
        </w:rPr>
        <w:t>design with random number</w:t>
      </w:r>
      <w:r w:rsidR="00ED3159">
        <w:rPr>
          <w:rFonts w:ascii="Arial" w:hAnsi="Arial" w:cs="Arial"/>
          <w:sz w:val="24"/>
          <w:szCs w:val="24"/>
        </w:rPr>
        <w:t>s</w:t>
      </w:r>
      <w:r w:rsidR="00C71330">
        <w:rPr>
          <w:rFonts w:ascii="Arial" w:hAnsi="Arial" w:cs="Arial"/>
          <w:sz w:val="24"/>
          <w:szCs w:val="24"/>
        </w:rPr>
        <w:t xml:space="preserve">, and 58% of the high-number group, compared with 35% of the low-number group, </w:t>
      </w:r>
      <w:r w:rsidR="00CA72C4">
        <w:rPr>
          <w:rFonts w:ascii="Arial" w:hAnsi="Arial" w:cs="Arial"/>
          <w:sz w:val="24"/>
          <w:szCs w:val="24"/>
        </w:rPr>
        <w:t xml:space="preserve">later reported broken glass that did not exist (p. 2242), although the 98 students </w:t>
      </w:r>
      <w:r w:rsidR="00896E7D">
        <w:rPr>
          <w:rFonts w:ascii="Arial" w:hAnsi="Arial" w:cs="Arial"/>
          <w:sz w:val="24"/>
          <w:szCs w:val="24"/>
        </w:rPr>
        <w:t>may not have formed genuine memories (p. 2242). In England and Wales</w:t>
      </w:r>
      <w:r w:rsidR="003C5D17">
        <w:rPr>
          <w:rFonts w:ascii="Arial" w:hAnsi="Arial" w:cs="Arial"/>
          <w:sz w:val="24"/>
          <w:szCs w:val="24"/>
        </w:rPr>
        <w:t xml:space="preserve">, </w:t>
      </w:r>
      <w:r w:rsidR="004F4370">
        <w:rPr>
          <w:rFonts w:ascii="Arial" w:hAnsi="Arial" w:cs="Arial"/>
          <w:sz w:val="24"/>
          <w:szCs w:val="24"/>
        </w:rPr>
        <w:t xml:space="preserve">video-recorded interviews with </w:t>
      </w:r>
      <w:r w:rsidR="004716B0">
        <w:rPr>
          <w:rFonts w:ascii="Arial" w:hAnsi="Arial" w:cs="Arial"/>
          <w:sz w:val="24"/>
          <w:szCs w:val="24"/>
        </w:rPr>
        <w:t xml:space="preserve">vulnerable witnesses, such as children, follow the Achieving Best Evidence </w:t>
      </w:r>
      <w:r w:rsidR="00590203">
        <w:rPr>
          <w:rFonts w:ascii="Arial" w:hAnsi="Arial" w:cs="Arial"/>
          <w:sz w:val="24"/>
          <w:szCs w:val="24"/>
        </w:rPr>
        <w:t xml:space="preserve">guidance, which is valuable for capturing their accounts because its format minimises trauma (Ng et al., </w:t>
      </w:r>
      <w:r w:rsidR="00BF3F0F">
        <w:rPr>
          <w:rFonts w:ascii="Arial" w:hAnsi="Arial" w:cs="Arial"/>
          <w:sz w:val="24"/>
          <w:szCs w:val="24"/>
        </w:rPr>
        <w:t>2025</w:t>
      </w:r>
      <w:r w:rsidR="00F5281C">
        <w:rPr>
          <w:rFonts w:ascii="Arial" w:hAnsi="Arial" w:cs="Arial"/>
          <w:sz w:val="24"/>
          <w:szCs w:val="24"/>
        </w:rPr>
        <w:t xml:space="preserve">, </w:t>
      </w:r>
      <w:r w:rsidR="003F0C4C">
        <w:rPr>
          <w:rFonts w:ascii="Arial" w:hAnsi="Arial" w:cs="Arial"/>
          <w:sz w:val="24"/>
          <w:szCs w:val="24"/>
        </w:rPr>
        <w:t xml:space="preserve">p. 6). </w:t>
      </w:r>
    </w:p>
    <w:p w14:paraId="73993697" w14:textId="5F2D0FF6" w:rsidR="00524EE4" w:rsidRDefault="00524EE4" w:rsidP="001972F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</w:r>
      <w:r w:rsidR="00796D46">
        <w:rPr>
          <w:rFonts w:ascii="Arial" w:hAnsi="Arial" w:cs="Arial"/>
          <w:sz w:val="24"/>
          <w:szCs w:val="24"/>
        </w:rPr>
        <w:t>The impact on the court case is shown most directly by Kassin and Sukel (199</w:t>
      </w:r>
      <w:r w:rsidR="00D15013">
        <w:rPr>
          <w:rFonts w:ascii="Arial" w:hAnsi="Arial" w:cs="Arial"/>
          <w:sz w:val="24"/>
          <w:szCs w:val="24"/>
        </w:rPr>
        <w:t xml:space="preserve">7). In their second experiment, mock jurors read a murder trial transcript, and the conviction rate was 19% </w:t>
      </w:r>
      <w:r w:rsidR="004E1AA6">
        <w:rPr>
          <w:rFonts w:ascii="Arial" w:hAnsi="Arial" w:cs="Arial"/>
          <w:sz w:val="24"/>
          <w:szCs w:val="24"/>
        </w:rPr>
        <w:t>without a confession, but 63%, 50%</w:t>
      </w:r>
      <w:r w:rsidR="003F0C4C">
        <w:rPr>
          <w:rFonts w:ascii="Arial" w:hAnsi="Arial" w:cs="Arial"/>
          <w:sz w:val="24"/>
          <w:szCs w:val="24"/>
        </w:rPr>
        <w:t xml:space="preserve">, </w:t>
      </w:r>
      <w:r w:rsidR="004E1AA6">
        <w:rPr>
          <w:rFonts w:ascii="Arial" w:hAnsi="Arial" w:cs="Arial"/>
          <w:sz w:val="24"/>
          <w:szCs w:val="24"/>
        </w:rPr>
        <w:t>and 44% across the confession conditions</w:t>
      </w:r>
      <w:r w:rsidR="0004404C">
        <w:rPr>
          <w:rFonts w:ascii="Arial" w:hAnsi="Arial" w:cs="Arial"/>
          <w:sz w:val="24"/>
          <w:szCs w:val="24"/>
        </w:rPr>
        <w:t>, including a high-pressure confession ruled inadmissible (p. 39)</w:t>
      </w:r>
      <w:r w:rsidR="000560AF">
        <w:rPr>
          <w:rFonts w:ascii="Arial" w:hAnsi="Arial" w:cs="Arial"/>
          <w:sz w:val="24"/>
          <w:szCs w:val="24"/>
        </w:rPr>
        <w:t xml:space="preserve">. Most jurors in that last condition saw the confession as </w:t>
      </w:r>
      <w:r w:rsidR="00E83FE1">
        <w:rPr>
          <w:rFonts w:ascii="Arial" w:hAnsi="Arial" w:cs="Arial"/>
          <w:sz w:val="24"/>
          <w:szCs w:val="24"/>
        </w:rPr>
        <w:t>in</w:t>
      </w:r>
      <w:r w:rsidR="000560AF">
        <w:rPr>
          <w:rFonts w:ascii="Arial" w:hAnsi="Arial" w:cs="Arial"/>
          <w:sz w:val="24"/>
          <w:szCs w:val="24"/>
        </w:rPr>
        <w:t xml:space="preserve">voluntary, </w:t>
      </w:r>
      <w:r w:rsidR="000560AF">
        <w:rPr>
          <w:rFonts w:ascii="Arial" w:hAnsi="Arial" w:cs="Arial"/>
          <w:sz w:val="24"/>
          <w:szCs w:val="24"/>
        </w:rPr>
        <w:lastRenderedPageBreak/>
        <w:t xml:space="preserve">remembered </w:t>
      </w:r>
      <w:r w:rsidR="001F345A">
        <w:rPr>
          <w:rFonts w:ascii="Arial" w:hAnsi="Arial" w:cs="Arial"/>
          <w:sz w:val="24"/>
          <w:szCs w:val="24"/>
        </w:rPr>
        <w:t>the judge’s ruling and said it had not influenced them, yet it still increased convictions (p.</w:t>
      </w:r>
      <w:r w:rsidR="00E83FE1">
        <w:rPr>
          <w:rFonts w:ascii="Arial" w:hAnsi="Arial" w:cs="Arial"/>
          <w:sz w:val="24"/>
          <w:szCs w:val="24"/>
        </w:rPr>
        <w:t xml:space="preserve"> </w:t>
      </w:r>
      <w:r w:rsidR="001F345A">
        <w:rPr>
          <w:rFonts w:ascii="Arial" w:hAnsi="Arial" w:cs="Arial"/>
          <w:sz w:val="24"/>
          <w:szCs w:val="24"/>
        </w:rPr>
        <w:t>42)</w:t>
      </w:r>
      <w:r w:rsidR="00F71426">
        <w:rPr>
          <w:rFonts w:ascii="Arial" w:hAnsi="Arial" w:cs="Arial"/>
          <w:sz w:val="24"/>
          <w:szCs w:val="24"/>
        </w:rPr>
        <w:t>. Archival data point the same way: when proven false confess</w:t>
      </w:r>
      <w:r w:rsidR="0020401E">
        <w:rPr>
          <w:rFonts w:ascii="Arial" w:hAnsi="Arial" w:cs="Arial"/>
          <w:sz w:val="24"/>
          <w:szCs w:val="24"/>
        </w:rPr>
        <w:t xml:space="preserve">ors went to trial, jury conviction rates ranged from 73% to 81% </w:t>
      </w:r>
      <w:r w:rsidR="00DB25CD">
        <w:rPr>
          <w:rFonts w:ascii="Arial" w:hAnsi="Arial" w:cs="Arial"/>
          <w:sz w:val="24"/>
          <w:szCs w:val="24"/>
        </w:rPr>
        <w:t>(Kassin et al., 2010, p.</w:t>
      </w:r>
      <w:r w:rsidR="00E83FE1">
        <w:rPr>
          <w:rFonts w:ascii="Arial" w:hAnsi="Arial" w:cs="Arial"/>
          <w:sz w:val="24"/>
          <w:szCs w:val="24"/>
        </w:rPr>
        <w:t xml:space="preserve"> </w:t>
      </w:r>
      <w:r w:rsidR="00DB25CD">
        <w:rPr>
          <w:rFonts w:ascii="Arial" w:hAnsi="Arial" w:cs="Arial"/>
          <w:sz w:val="24"/>
          <w:szCs w:val="24"/>
        </w:rPr>
        <w:t>24)</w:t>
      </w:r>
      <w:r w:rsidR="00664ADC">
        <w:rPr>
          <w:rFonts w:ascii="Arial" w:hAnsi="Arial" w:cs="Arial"/>
          <w:sz w:val="24"/>
          <w:szCs w:val="24"/>
        </w:rPr>
        <w:t>. However, mock jurors read transcripts, did not deliberate</w:t>
      </w:r>
      <w:r w:rsidR="00DC7D48">
        <w:rPr>
          <w:rFonts w:ascii="Arial" w:hAnsi="Arial" w:cs="Arial"/>
          <w:sz w:val="24"/>
          <w:szCs w:val="24"/>
        </w:rPr>
        <w:t xml:space="preserve">, and applied US law, so the findings cannot simply be transferred to Crown Court juries. Confessions </w:t>
      </w:r>
      <w:r w:rsidR="00BF185B">
        <w:rPr>
          <w:rFonts w:ascii="Arial" w:hAnsi="Arial" w:cs="Arial"/>
          <w:sz w:val="24"/>
          <w:szCs w:val="24"/>
        </w:rPr>
        <w:t xml:space="preserve">can also contaminate other evidence: 61% of witnesses </w:t>
      </w:r>
      <w:r w:rsidR="0021492C">
        <w:rPr>
          <w:rFonts w:ascii="Arial" w:hAnsi="Arial" w:cs="Arial"/>
          <w:sz w:val="24"/>
          <w:szCs w:val="24"/>
        </w:rPr>
        <w:t xml:space="preserve">who had picked someone changed their lineup identification after learning </w:t>
      </w:r>
      <w:r w:rsidR="004B102F">
        <w:rPr>
          <w:rFonts w:ascii="Arial" w:hAnsi="Arial" w:cs="Arial"/>
          <w:sz w:val="24"/>
          <w:szCs w:val="24"/>
        </w:rPr>
        <w:t>that a different person had confessed (Hasel &amp; Kassin, 2009, as cited in Woody &amp; Forrest, 2020, pp</w:t>
      </w:r>
      <w:r w:rsidR="00102988">
        <w:rPr>
          <w:rFonts w:ascii="Arial" w:hAnsi="Arial" w:cs="Arial"/>
          <w:sz w:val="24"/>
          <w:szCs w:val="24"/>
        </w:rPr>
        <w:t>. 155</w:t>
      </w:r>
      <w:r w:rsidR="00E83FE1">
        <w:rPr>
          <w:rFonts w:ascii="Arial" w:hAnsi="Arial" w:cs="Arial"/>
          <w:sz w:val="24"/>
          <w:szCs w:val="24"/>
        </w:rPr>
        <w:t>–</w:t>
      </w:r>
      <w:r w:rsidR="00102988">
        <w:rPr>
          <w:rFonts w:ascii="Arial" w:hAnsi="Arial" w:cs="Arial"/>
          <w:sz w:val="24"/>
          <w:szCs w:val="24"/>
        </w:rPr>
        <w:t xml:space="preserve">156). </w:t>
      </w:r>
    </w:p>
    <w:p w14:paraId="122F69AE" w14:textId="6637AF0C" w:rsidR="00102988" w:rsidRDefault="00102988" w:rsidP="001972F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English law addresses this problem through the Police and Criminal Evidence Act </w:t>
      </w:r>
      <w:r w:rsidR="00AD4BEA">
        <w:rPr>
          <w:rFonts w:ascii="Arial" w:hAnsi="Arial" w:cs="Arial"/>
          <w:sz w:val="24"/>
          <w:szCs w:val="24"/>
        </w:rPr>
        <w:t>1984 (PACE)</w:t>
      </w:r>
      <w:r w:rsidR="00FB1EAC">
        <w:rPr>
          <w:rFonts w:ascii="Arial" w:hAnsi="Arial" w:cs="Arial"/>
          <w:sz w:val="24"/>
          <w:szCs w:val="24"/>
        </w:rPr>
        <w:t>, which come into effect in January 1986 (Kassin et al</w:t>
      </w:r>
      <w:r w:rsidR="00761BFC">
        <w:rPr>
          <w:rFonts w:ascii="Arial" w:hAnsi="Arial" w:cs="Arial"/>
          <w:sz w:val="24"/>
          <w:szCs w:val="24"/>
        </w:rPr>
        <w:t xml:space="preserve">., 2010, p. 13). </w:t>
      </w:r>
      <w:r w:rsidR="00AD4BEA">
        <w:rPr>
          <w:rFonts w:ascii="Arial" w:hAnsi="Arial" w:cs="Arial"/>
          <w:sz w:val="24"/>
          <w:szCs w:val="24"/>
        </w:rPr>
        <w:t>Under section 76(2)</w:t>
      </w:r>
      <w:r w:rsidR="000D1135">
        <w:rPr>
          <w:rFonts w:ascii="Arial" w:hAnsi="Arial" w:cs="Arial"/>
          <w:sz w:val="24"/>
          <w:szCs w:val="24"/>
        </w:rPr>
        <w:t>, a court m</w:t>
      </w:r>
      <w:r w:rsidR="00761BFC">
        <w:rPr>
          <w:rFonts w:ascii="Arial" w:hAnsi="Arial" w:cs="Arial"/>
          <w:sz w:val="24"/>
          <w:szCs w:val="24"/>
        </w:rPr>
        <w:t>ay</w:t>
      </w:r>
      <w:r w:rsidR="000D1135">
        <w:rPr>
          <w:rFonts w:ascii="Arial" w:hAnsi="Arial" w:cs="Arial"/>
          <w:sz w:val="24"/>
          <w:szCs w:val="24"/>
        </w:rPr>
        <w:t xml:space="preserve"> exclude a confession obtained by oppression or by anything said or done likely to make it unreliable</w:t>
      </w:r>
      <w:r w:rsidR="0043595E">
        <w:rPr>
          <w:rFonts w:ascii="Arial" w:hAnsi="Arial" w:cs="Arial"/>
          <w:sz w:val="24"/>
          <w:szCs w:val="24"/>
        </w:rPr>
        <w:t xml:space="preserve"> (Bicak, 2001, p. 85)</w:t>
      </w:r>
      <w:r w:rsidR="00EB347F">
        <w:rPr>
          <w:rFonts w:ascii="Arial" w:hAnsi="Arial" w:cs="Arial"/>
          <w:sz w:val="24"/>
          <w:szCs w:val="24"/>
        </w:rPr>
        <w:t xml:space="preserve">. </w:t>
      </w:r>
      <w:r w:rsidR="00271C56">
        <w:rPr>
          <w:rFonts w:ascii="Arial" w:hAnsi="Arial" w:cs="Arial"/>
          <w:sz w:val="24"/>
          <w:szCs w:val="24"/>
        </w:rPr>
        <w:t xml:space="preserve">Section 78 gives a further route, because admitting </w:t>
      </w:r>
      <w:r w:rsidR="003A2248">
        <w:rPr>
          <w:rFonts w:ascii="Arial" w:hAnsi="Arial" w:cs="Arial"/>
          <w:sz w:val="24"/>
          <w:szCs w:val="24"/>
        </w:rPr>
        <w:t xml:space="preserve">unreliable evidence harms the fairness of the proceedings </w:t>
      </w:r>
      <w:r w:rsidR="00B647DC">
        <w:rPr>
          <w:rFonts w:ascii="Arial" w:hAnsi="Arial" w:cs="Arial"/>
          <w:sz w:val="24"/>
          <w:szCs w:val="24"/>
        </w:rPr>
        <w:t xml:space="preserve">(Bicak, 2001, p. 89). </w:t>
      </w:r>
      <w:r w:rsidR="00030953">
        <w:rPr>
          <w:rFonts w:ascii="Arial" w:hAnsi="Arial" w:cs="Arial"/>
          <w:sz w:val="24"/>
          <w:szCs w:val="24"/>
        </w:rPr>
        <w:t xml:space="preserve">Bicak (2001) argues that section 76 concerns potential </w:t>
      </w:r>
      <w:r w:rsidR="006A4DA0">
        <w:rPr>
          <w:rFonts w:ascii="Arial" w:hAnsi="Arial" w:cs="Arial"/>
          <w:sz w:val="24"/>
          <w:szCs w:val="24"/>
        </w:rPr>
        <w:t>unreliability</w:t>
      </w:r>
      <w:r w:rsidR="000B515F">
        <w:rPr>
          <w:rFonts w:ascii="Arial" w:hAnsi="Arial" w:cs="Arial"/>
          <w:sz w:val="24"/>
          <w:szCs w:val="24"/>
        </w:rPr>
        <w:t xml:space="preserve">, </w:t>
      </w:r>
      <w:r w:rsidR="00992EE3">
        <w:rPr>
          <w:rFonts w:ascii="Arial" w:hAnsi="Arial" w:cs="Arial"/>
          <w:sz w:val="24"/>
          <w:szCs w:val="24"/>
        </w:rPr>
        <w:t xml:space="preserve">so </w:t>
      </w:r>
      <w:r w:rsidR="008847F3">
        <w:rPr>
          <w:rFonts w:ascii="Arial" w:hAnsi="Arial" w:cs="Arial"/>
          <w:sz w:val="24"/>
          <w:szCs w:val="24"/>
        </w:rPr>
        <w:t xml:space="preserve">a </w:t>
      </w:r>
      <w:r w:rsidR="00992EE3">
        <w:rPr>
          <w:rFonts w:ascii="Arial" w:hAnsi="Arial" w:cs="Arial"/>
          <w:sz w:val="24"/>
          <w:szCs w:val="24"/>
        </w:rPr>
        <w:t xml:space="preserve">confession later admitted </w:t>
      </w:r>
      <w:proofErr w:type="gramStart"/>
      <w:r w:rsidR="00992EE3">
        <w:rPr>
          <w:rFonts w:ascii="Arial" w:hAnsi="Arial" w:cs="Arial"/>
          <w:sz w:val="24"/>
          <w:szCs w:val="24"/>
        </w:rPr>
        <w:t>to be</w:t>
      </w:r>
      <w:proofErr w:type="gramEnd"/>
      <w:r w:rsidR="00992EE3">
        <w:rPr>
          <w:rFonts w:ascii="Arial" w:hAnsi="Arial" w:cs="Arial"/>
          <w:sz w:val="24"/>
          <w:szCs w:val="24"/>
        </w:rPr>
        <w:t xml:space="preserve"> true may still be inadmissible (p.</w:t>
      </w:r>
      <w:r w:rsidR="008847F3">
        <w:rPr>
          <w:rFonts w:ascii="Arial" w:hAnsi="Arial" w:cs="Arial"/>
          <w:sz w:val="24"/>
          <w:szCs w:val="24"/>
        </w:rPr>
        <w:t xml:space="preserve"> </w:t>
      </w:r>
      <w:r w:rsidR="00992EE3">
        <w:rPr>
          <w:rFonts w:ascii="Arial" w:hAnsi="Arial" w:cs="Arial"/>
          <w:sz w:val="24"/>
          <w:szCs w:val="24"/>
        </w:rPr>
        <w:t>87)</w:t>
      </w:r>
      <w:r w:rsidR="00837C1C">
        <w:rPr>
          <w:rFonts w:ascii="Arial" w:hAnsi="Arial" w:cs="Arial"/>
          <w:sz w:val="24"/>
          <w:szCs w:val="24"/>
        </w:rPr>
        <w:t xml:space="preserve">, and he distinguishes legal from </w:t>
      </w:r>
      <w:r w:rsidR="00C1170F">
        <w:rPr>
          <w:rFonts w:ascii="Arial" w:hAnsi="Arial" w:cs="Arial"/>
          <w:sz w:val="24"/>
          <w:szCs w:val="24"/>
        </w:rPr>
        <w:t xml:space="preserve">psychological voluntariness (p. 90). </w:t>
      </w:r>
      <w:r w:rsidR="008847F3">
        <w:rPr>
          <w:rFonts w:ascii="Arial" w:hAnsi="Arial" w:cs="Arial"/>
          <w:sz w:val="24"/>
          <w:szCs w:val="24"/>
        </w:rPr>
        <w:t xml:space="preserve">In R </w:t>
      </w:r>
      <w:r w:rsidR="00681CE6">
        <w:rPr>
          <w:rFonts w:ascii="Arial" w:hAnsi="Arial" w:cs="Arial"/>
          <w:sz w:val="24"/>
          <w:szCs w:val="24"/>
        </w:rPr>
        <w:t xml:space="preserve">v Harvey, a woman of </w:t>
      </w:r>
      <w:r w:rsidR="000A74EA">
        <w:rPr>
          <w:rFonts w:ascii="Arial" w:hAnsi="Arial" w:cs="Arial"/>
          <w:sz w:val="24"/>
          <w:szCs w:val="24"/>
        </w:rPr>
        <w:t>lower-than-normal</w:t>
      </w:r>
      <w:r w:rsidR="00681CE6">
        <w:rPr>
          <w:rFonts w:ascii="Arial" w:hAnsi="Arial" w:cs="Arial"/>
          <w:sz w:val="24"/>
          <w:szCs w:val="24"/>
        </w:rPr>
        <w:t xml:space="preserve"> intelligence confessed to murder after hearing her lover confess</w:t>
      </w:r>
      <w:r w:rsidR="00080E91">
        <w:rPr>
          <w:rFonts w:ascii="Arial" w:hAnsi="Arial" w:cs="Arial"/>
          <w:sz w:val="24"/>
          <w:szCs w:val="24"/>
        </w:rPr>
        <w:t>, and Bicak suggests that section 78 was the better route for excluding it (pp. 89–</w:t>
      </w:r>
      <w:r w:rsidR="000A74EA">
        <w:rPr>
          <w:rFonts w:ascii="Arial" w:hAnsi="Arial" w:cs="Arial"/>
          <w:sz w:val="24"/>
          <w:szCs w:val="24"/>
        </w:rPr>
        <w:t xml:space="preserve">90). Code C, </w:t>
      </w:r>
      <w:r w:rsidR="001B03D1">
        <w:rPr>
          <w:rFonts w:ascii="Arial" w:hAnsi="Arial" w:cs="Arial"/>
          <w:sz w:val="24"/>
          <w:szCs w:val="24"/>
        </w:rPr>
        <w:t xml:space="preserve">which regulates detention and questioning, requires access to an appropriate </w:t>
      </w:r>
      <w:r w:rsidR="00B82284">
        <w:rPr>
          <w:rFonts w:ascii="Arial" w:hAnsi="Arial" w:cs="Arial"/>
          <w:sz w:val="24"/>
          <w:szCs w:val="24"/>
        </w:rPr>
        <w:t>adult for vulnerable detainees, eight hours of continuous rest in 24 hours</w:t>
      </w:r>
      <w:r w:rsidR="00B15234">
        <w:rPr>
          <w:rFonts w:ascii="Arial" w:hAnsi="Arial" w:cs="Arial"/>
          <w:sz w:val="24"/>
          <w:szCs w:val="24"/>
        </w:rPr>
        <w:t xml:space="preserve">, and recorded interviews (Kassin et al., 2010, p. 13). Even when the police </w:t>
      </w:r>
      <w:r w:rsidR="001E04C5">
        <w:rPr>
          <w:rFonts w:ascii="Arial" w:hAnsi="Arial" w:cs="Arial"/>
          <w:sz w:val="24"/>
          <w:szCs w:val="24"/>
        </w:rPr>
        <w:t>follow these rules, a judge may consider it unsafe and unfair to put the statement before the jury (p. 22). Woody and Forrest (</w:t>
      </w:r>
      <w:r w:rsidR="00D40017">
        <w:rPr>
          <w:rFonts w:ascii="Arial" w:hAnsi="Arial" w:cs="Arial"/>
          <w:sz w:val="24"/>
          <w:szCs w:val="24"/>
        </w:rPr>
        <w:t xml:space="preserve">2020, p. 119) show that a parent present gives little protection, because parents may believe the </w:t>
      </w:r>
      <w:r w:rsidR="00D40017">
        <w:rPr>
          <w:rFonts w:ascii="Arial" w:hAnsi="Arial" w:cs="Arial"/>
          <w:sz w:val="24"/>
          <w:szCs w:val="24"/>
        </w:rPr>
        <w:lastRenderedPageBreak/>
        <w:t xml:space="preserve">police, so whether the appropriate adult solves this problem is not tested in the studies reviewed here. Recording </w:t>
      </w:r>
      <w:r w:rsidR="002D5085">
        <w:rPr>
          <w:rFonts w:ascii="Arial" w:hAnsi="Arial" w:cs="Arial"/>
          <w:sz w:val="24"/>
          <w:szCs w:val="24"/>
        </w:rPr>
        <w:t>is a further safeguard, giving courts an objective record of how a statement was taken (Kassin</w:t>
      </w:r>
      <w:r w:rsidR="00EA24BF">
        <w:rPr>
          <w:rFonts w:ascii="Arial" w:hAnsi="Arial" w:cs="Arial"/>
          <w:sz w:val="24"/>
          <w:szCs w:val="24"/>
        </w:rPr>
        <w:t xml:space="preserve"> et al., 2010, p. 26), but a camera focused only on the suspect leads observers to underestimate the pressure applied by the interrogator </w:t>
      </w:r>
      <w:r w:rsidR="00F359F2">
        <w:rPr>
          <w:rFonts w:ascii="Arial" w:hAnsi="Arial" w:cs="Arial"/>
          <w:sz w:val="24"/>
          <w:szCs w:val="24"/>
        </w:rPr>
        <w:t>(p. 27). Although 83 % of European officers though</w:t>
      </w:r>
      <w:r w:rsidR="000169A8">
        <w:rPr>
          <w:rFonts w:ascii="Arial" w:hAnsi="Arial" w:cs="Arial"/>
          <w:sz w:val="24"/>
          <w:szCs w:val="24"/>
        </w:rPr>
        <w:t>t interviews should be recorded, only 20.8% always did (Schell</w:t>
      </w:r>
      <w:r w:rsidR="00C052D6">
        <w:rPr>
          <w:rFonts w:ascii="Arial" w:hAnsi="Arial" w:cs="Arial"/>
          <w:sz w:val="24"/>
          <w:szCs w:val="24"/>
        </w:rPr>
        <w:t xml:space="preserve">-Leugers et al., 2026, pp. 14, 22). </w:t>
      </w:r>
    </w:p>
    <w:p w14:paraId="254991E0" w14:textId="720B1206" w:rsidR="00D16065" w:rsidRDefault="004809B9" w:rsidP="001972FA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Overall, psychology </w:t>
      </w:r>
      <w:r w:rsidR="00D16065">
        <w:rPr>
          <w:rFonts w:ascii="Arial" w:hAnsi="Arial" w:cs="Arial"/>
          <w:sz w:val="24"/>
          <w:szCs w:val="24"/>
        </w:rPr>
        <w:t xml:space="preserve">replaces common-sense assumptions with testable explanations: </w:t>
      </w:r>
      <w:r w:rsidR="00346C1A">
        <w:rPr>
          <w:rFonts w:ascii="Arial" w:hAnsi="Arial" w:cs="Arial"/>
          <w:sz w:val="24"/>
          <w:szCs w:val="24"/>
        </w:rPr>
        <w:t xml:space="preserve">a confession is not necessarily true, hesitation does not necessarily </w:t>
      </w:r>
      <w:r w:rsidR="00522C89">
        <w:rPr>
          <w:rFonts w:ascii="Arial" w:hAnsi="Arial" w:cs="Arial"/>
          <w:sz w:val="24"/>
          <w:szCs w:val="24"/>
        </w:rPr>
        <w:t>indicate deception, and suggestive questioning can alter memory rather than recover it. The methods are diverse</w:t>
      </w:r>
      <w:r w:rsidR="00CF4646">
        <w:rPr>
          <w:rFonts w:ascii="Arial" w:hAnsi="Arial" w:cs="Arial"/>
          <w:sz w:val="24"/>
          <w:szCs w:val="24"/>
        </w:rPr>
        <w:t>. Laboratory studies allow ca</w:t>
      </w:r>
      <w:r w:rsidR="00D37AEF">
        <w:rPr>
          <w:rFonts w:ascii="Arial" w:hAnsi="Arial" w:cs="Arial"/>
          <w:sz w:val="24"/>
          <w:szCs w:val="24"/>
        </w:rPr>
        <w:t>u</w:t>
      </w:r>
      <w:r w:rsidR="00CF4646">
        <w:rPr>
          <w:rFonts w:ascii="Arial" w:hAnsi="Arial" w:cs="Arial"/>
          <w:sz w:val="24"/>
          <w:szCs w:val="24"/>
        </w:rPr>
        <w:t xml:space="preserve">sal conclusions but have small consequences, field studies are realistic but cannot establish ground truth, surveys </w:t>
      </w:r>
      <w:r w:rsidR="00632D82">
        <w:rPr>
          <w:rFonts w:ascii="Arial" w:hAnsi="Arial" w:cs="Arial"/>
          <w:sz w:val="24"/>
          <w:szCs w:val="24"/>
        </w:rPr>
        <w:t xml:space="preserve">depend on self-report, and qualitative </w:t>
      </w:r>
      <w:r w:rsidR="00AA7250">
        <w:rPr>
          <w:rFonts w:ascii="Arial" w:hAnsi="Arial" w:cs="Arial"/>
          <w:sz w:val="24"/>
          <w:szCs w:val="24"/>
        </w:rPr>
        <w:t>studies have small samples. Evidence on reform is also weaker than evidence on risk</w:t>
      </w:r>
      <w:r w:rsidR="008D34E9">
        <w:rPr>
          <w:rFonts w:ascii="Arial" w:hAnsi="Arial" w:cs="Arial"/>
          <w:sz w:val="24"/>
          <w:szCs w:val="24"/>
        </w:rPr>
        <w:t>: training changes behaviour, but it</w:t>
      </w:r>
      <w:r w:rsidR="009417BC">
        <w:rPr>
          <w:rFonts w:ascii="Arial" w:hAnsi="Arial" w:cs="Arial"/>
          <w:sz w:val="24"/>
          <w:szCs w:val="24"/>
        </w:rPr>
        <w:t>s</w:t>
      </w:r>
      <w:r w:rsidR="008D34E9">
        <w:rPr>
          <w:rFonts w:ascii="Arial" w:hAnsi="Arial" w:cs="Arial"/>
          <w:sz w:val="24"/>
          <w:szCs w:val="24"/>
        </w:rPr>
        <w:t xml:space="preserve"> effects on court outcomes </w:t>
      </w:r>
      <w:r w:rsidR="00C052D6">
        <w:rPr>
          <w:rFonts w:ascii="Arial" w:hAnsi="Arial" w:cs="Arial"/>
          <w:sz w:val="24"/>
          <w:szCs w:val="24"/>
        </w:rPr>
        <w:t>are</w:t>
      </w:r>
      <w:r w:rsidR="008D34E9">
        <w:rPr>
          <w:rFonts w:ascii="Arial" w:hAnsi="Arial" w:cs="Arial"/>
          <w:sz w:val="24"/>
          <w:szCs w:val="24"/>
        </w:rPr>
        <w:t xml:space="preserve"> </w:t>
      </w:r>
      <w:r w:rsidR="00A36306">
        <w:rPr>
          <w:rFonts w:ascii="Arial" w:hAnsi="Arial" w:cs="Arial"/>
          <w:sz w:val="24"/>
          <w:szCs w:val="24"/>
        </w:rPr>
        <w:t xml:space="preserve">unknown. The strongest conclusions appear where methods converge, as with accusatorial pressure, vulnerability, and false confession. </w:t>
      </w:r>
    </w:p>
    <w:p w14:paraId="561CFC8C" w14:textId="6FD1ED54" w:rsidR="00152EDF" w:rsidRDefault="00A36306" w:rsidP="004F0404">
      <w:pPr>
        <w:spacing w:line="48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ab/>
        <w:t xml:space="preserve">In conclusion, psychological theory and evidence make a substantial contribution to understanding police interviewing and its consequences for court cases. They explain how coercion, vulnerability, and confirmation bias reduce reliability, and how confessions can </w:t>
      </w:r>
      <w:r w:rsidR="00AF6DFF">
        <w:rPr>
          <w:rFonts w:ascii="Arial" w:hAnsi="Arial" w:cs="Arial"/>
          <w:sz w:val="24"/>
          <w:szCs w:val="24"/>
        </w:rPr>
        <w:t xml:space="preserve">contaminate later decisions, while information-gathering, adapted questioning and complete recording can reduce some risks. They do not give </w:t>
      </w:r>
      <w:r w:rsidR="00E36BD3">
        <w:rPr>
          <w:rFonts w:ascii="Arial" w:hAnsi="Arial" w:cs="Arial"/>
          <w:sz w:val="24"/>
          <w:szCs w:val="24"/>
        </w:rPr>
        <w:t xml:space="preserve">a formula for deciding whether a statement is true. Their main value is to explain when evidence </w:t>
      </w:r>
      <w:r w:rsidR="001656E7">
        <w:rPr>
          <w:rFonts w:ascii="Arial" w:hAnsi="Arial" w:cs="Arial"/>
          <w:sz w:val="24"/>
          <w:szCs w:val="24"/>
        </w:rPr>
        <w:t xml:space="preserve">becomes </w:t>
      </w:r>
      <w:proofErr w:type="gramStart"/>
      <w:r w:rsidR="001656E7">
        <w:rPr>
          <w:rFonts w:ascii="Arial" w:hAnsi="Arial" w:cs="Arial"/>
          <w:sz w:val="24"/>
          <w:szCs w:val="24"/>
        </w:rPr>
        <w:t>more or less reliable</w:t>
      </w:r>
      <w:proofErr w:type="gramEnd"/>
      <w:r w:rsidR="001656E7">
        <w:rPr>
          <w:rFonts w:ascii="Arial" w:hAnsi="Arial" w:cs="Arial"/>
          <w:sz w:val="24"/>
          <w:szCs w:val="24"/>
        </w:rPr>
        <w:t xml:space="preserve"> and to help courts examine how statements </w:t>
      </w:r>
      <w:r w:rsidR="00A234CF">
        <w:rPr>
          <w:rFonts w:ascii="Arial" w:hAnsi="Arial" w:cs="Arial"/>
          <w:sz w:val="24"/>
          <w:szCs w:val="24"/>
        </w:rPr>
        <w:t>were produced. Future research should follow recorded real interviews through charging decisions and court outcome</w:t>
      </w:r>
      <w:r w:rsidR="00AC4F6C">
        <w:rPr>
          <w:rFonts w:ascii="Arial" w:hAnsi="Arial" w:cs="Arial"/>
          <w:sz w:val="24"/>
          <w:szCs w:val="24"/>
        </w:rPr>
        <w:t xml:space="preserve">s. </w:t>
      </w:r>
    </w:p>
    <w:p w14:paraId="38C29B9E" w14:textId="2682DB36" w:rsidR="009B6D81" w:rsidRDefault="0028288E" w:rsidP="0028288E">
      <w:pPr>
        <w:tabs>
          <w:tab w:val="center" w:pos="4513"/>
          <w:tab w:val="right" w:pos="9026"/>
        </w:tabs>
        <w:spacing w:line="48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lastRenderedPageBreak/>
        <w:tab/>
      </w:r>
      <w:r w:rsidR="00FC1349" w:rsidRPr="00FC1349">
        <w:rPr>
          <w:rFonts w:ascii="Arial" w:hAnsi="Arial" w:cs="Arial"/>
          <w:b/>
          <w:bCs/>
          <w:sz w:val="28"/>
          <w:szCs w:val="28"/>
        </w:rPr>
        <w:t xml:space="preserve">References </w:t>
      </w:r>
      <w:r>
        <w:rPr>
          <w:rFonts w:ascii="Arial" w:hAnsi="Arial" w:cs="Arial"/>
          <w:b/>
          <w:bCs/>
          <w:sz w:val="28"/>
          <w:szCs w:val="28"/>
        </w:rPr>
        <w:tab/>
      </w:r>
    </w:p>
    <w:p w14:paraId="4523A506" w14:textId="5B9C3D02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Bicak, A. V. (2001). Police and Criminal Evidence Act 1984, s. 76(2): Re-emergence of the involuntariness test. </w:t>
      </w:r>
      <w:r w:rsidRPr="0080328E">
        <w:rPr>
          <w:rFonts w:ascii="Arial" w:eastAsia="Times New Roman" w:hAnsi="Arial" w:cs="Arial"/>
          <w:i/>
          <w:sz w:val="24"/>
          <w:szCs w:val="24"/>
        </w:rPr>
        <w:t>The Journal of Criminal Law, 65</w:t>
      </w:r>
      <w:r w:rsidRPr="0080328E">
        <w:rPr>
          <w:rFonts w:ascii="Arial" w:eastAsia="Times New Roman" w:hAnsi="Arial" w:cs="Arial"/>
          <w:sz w:val="24"/>
          <w:szCs w:val="24"/>
        </w:rPr>
        <w:t xml:space="preserve">(1), 85–92. </w:t>
      </w:r>
      <w:hyperlink r:id="rId7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https://doi.org/10.1177/002201830106500108</w:t>
        </w:r>
      </w:hyperlink>
    </w:p>
    <w:p w14:paraId="2FBA7763" w14:textId="26D7935A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CD77B8">
        <w:rPr>
          <w:rFonts w:ascii="Arial" w:eastAsia="Times New Roman" w:hAnsi="Arial" w:cs="Arial"/>
          <w:sz w:val="24"/>
          <w:szCs w:val="24"/>
        </w:rPr>
        <w:t xml:space="preserve">Cederborg, A.-C., Alm, C., Lima da Silva Nises, D., &amp; Lamb, M. E. (2013). </w:t>
      </w:r>
      <w:r w:rsidRPr="0080328E">
        <w:rPr>
          <w:rFonts w:ascii="Arial" w:eastAsia="Times New Roman" w:hAnsi="Arial" w:cs="Arial"/>
          <w:sz w:val="24"/>
          <w:szCs w:val="24"/>
        </w:rPr>
        <w:t xml:space="preserve">Investigative interviewing of alleged child abuse victims: An evaluation of a new training programme for investigative interviewers. </w:t>
      </w:r>
      <w:r w:rsidRPr="0080328E">
        <w:rPr>
          <w:rFonts w:ascii="Arial" w:eastAsia="Times New Roman" w:hAnsi="Arial" w:cs="Arial"/>
          <w:i/>
          <w:sz w:val="24"/>
          <w:szCs w:val="24"/>
        </w:rPr>
        <w:t>Police Practice and Research, 14</w:t>
      </w:r>
      <w:r w:rsidRPr="0080328E">
        <w:rPr>
          <w:rFonts w:ascii="Arial" w:eastAsia="Times New Roman" w:hAnsi="Arial" w:cs="Arial"/>
          <w:sz w:val="24"/>
          <w:szCs w:val="24"/>
        </w:rPr>
        <w:t xml:space="preserve">(3), 242–254. </w:t>
      </w:r>
      <w:hyperlink r:id="rId8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https://doi.org/10.1080/15614263.2012.712292</w:t>
        </w:r>
      </w:hyperlink>
    </w:p>
    <w:p w14:paraId="2D7442A5" w14:textId="6A2EA825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Gudjonsson, G. H., Sigurdsson, J. F., Sigfusdottir, I. D., Asgeirsdottir, B. B., González, R. A., &amp; Young, S. (2016). A national epidemiological study investigating risk factors for police interrogation and false confession among juveniles and young persons. </w:t>
      </w:r>
      <w:r w:rsidRPr="0080328E">
        <w:rPr>
          <w:rFonts w:ascii="Arial" w:eastAsia="Times New Roman" w:hAnsi="Arial" w:cs="Arial"/>
          <w:i/>
          <w:sz w:val="24"/>
          <w:szCs w:val="24"/>
        </w:rPr>
        <w:t>Social Psychiatry and Psychiatric Epidemiology, 51</w:t>
      </w:r>
      <w:r w:rsidRPr="0080328E">
        <w:rPr>
          <w:rFonts w:ascii="Arial" w:eastAsia="Times New Roman" w:hAnsi="Arial" w:cs="Arial"/>
          <w:sz w:val="24"/>
          <w:szCs w:val="24"/>
        </w:rPr>
        <w:t xml:space="preserve">(3), 359–367. </w:t>
      </w:r>
      <w:hyperlink r:id="rId9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https://doi.org/10.1007/s00127-015-1145-8</w:t>
        </w:r>
      </w:hyperlink>
    </w:p>
    <w:p w14:paraId="6F4C43A9" w14:textId="77777777" w:rsidR="0080328E" w:rsidRPr="0080328E" w:rsidRDefault="0080328E" w:rsidP="0080328E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Halsey, R. (2001). [Review of the book </w:t>
      </w:r>
      <w:r w:rsidRPr="0080328E">
        <w:rPr>
          <w:rFonts w:ascii="Arial" w:eastAsia="Times New Roman" w:hAnsi="Arial" w:cs="Arial"/>
          <w:i/>
          <w:sz w:val="24"/>
          <w:szCs w:val="24"/>
        </w:rPr>
        <w:t>Investigative interviewing: Psychology and practice</w:t>
      </w:r>
      <w:r w:rsidRPr="0080328E">
        <w:rPr>
          <w:rFonts w:ascii="Arial" w:eastAsia="Times New Roman" w:hAnsi="Arial" w:cs="Arial"/>
          <w:sz w:val="24"/>
          <w:szCs w:val="24"/>
        </w:rPr>
        <w:t xml:space="preserve">, by R. Milne &amp; R. Bull]. </w:t>
      </w:r>
      <w:r w:rsidRPr="0080328E">
        <w:rPr>
          <w:rFonts w:ascii="Arial" w:eastAsia="Times New Roman" w:hAnsi="Arial" w:cs="Arial"/>
          <w:i/>
          <w:sz w:val="24"/>
          <w:szCs w:val="24"/>
        </w:rPr>
        <w:t>Criminal Justice, 1</w:t>
      </w:r>
      <w:r w:rsidRPr="0080328E">
        <w:rPr>
          <w:rFonts w:ascii="Arial" w:eastAsia="Times New Roman" w:hAnsi="Arial" w:cs="Arial"/>
          <w:sz w:val="24"/>
          <w:szCs w:val="24"/>
        </w:rPr>
        <w:t>(3), 347–348.</w:t>
      </w:r>
    </w:p>
    <w:p w14:paraId="576AD26D" w14:textId="3A017911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Kassin, S. M., &amp; Sukel, H. (1997). Coerced confessions and the jury: An experimental test of the “harmless error” rule. </w:t>
      </w:r>
      <w:r w:rsidRPr="0080328E">
        <w:rPr>
          <w:rFonts w:ascii="Arial" w:eastAsia="Times New Roman" w:hAnsi="Arial" w:cs="Arial"/>
          <w:i/>
          <w:sz w:val="24"/>
          <w:szCs w:val="24"/>
        </w:rPr>
        <w:t xml:space="preserve">Law and Human </w:t>
      </w:r>
      <w:proofErr w:type="spellStart"/>
      <w:r w:rsidRPr="0080328E">
        <w:rPr>
          <w:rFonts w:ascii="Arial" w:eastAsia="Times New Roman" w:hAnsi="Arial" w:cs="Arial"/>
          <w:i/>
          <w:sz w:val="24"/>
          <w:szCs w:val="24"/>
        </w:rPr>
        <w:t>Behavior</w:t>
      </w:r>
      <w:proofErr w:type="spellEnd"/>
      <w:r w:rsidRPr="0080328E">
        <w:rPr>
          <w:rFonts w:ascii="Arial" w:eastAsia="Times New Roman" w:hAnsi="Arial" w:cs="Arial"/>
          <w:i/>
          <w:sz w:val="24"/>
          <w:szCs w:val="24"/>
        </w:rPr>
        <w:t>, 21</w:t>
      </w:r>
      <w:r w:rsidRPr="0080328E">
        <w:rPr>
          <w:rFonts w:ascii="Arial" w:eastAsia="Times New Roman" w:hAnsi="Arial" w:cs="Arial"/>
          <w:sz w:val="24"/>
          <w:szCs w:val="24"/>
        </w:rPr>
        <w:t xml:space="preserve">(1), 27–46. </w:t>
      </w:r>
      <w:hyperlink r:id="rId10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https://doi.org/10.1023/A:1024814009769</w:t>
        </w:r>
      </w:hyperlink>
    </w:p>
    <w:p w14:paraId="1F0793FE" w14:textId="42240588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Kassin, S. M., &amp; Sukel, H. (1997). Coerced confessions and the jury: An experimental test of the “harmless error” rule. </w:t>
      </w:r>
      <w:r w:rsidRPr="0080328E">
        <w:rPr>
          <w:rFonts w:ascii="Arial" w:eastAsia="Times New Roman" w:hAnsi="Arial" w:cs="Arial"/>
          <w:i/>
          <w:sz w:val="24"/>
          <w:szCs w:val="24"/>
        </w:rPr>
        <w:t xml:space="preserve">Law and Human </w:t>
      </w:r>
      <w:proofErr w:type="spellStart"/>
      <w:r w:rsidRPr="0080328E">
        <w:rPr>
          <w:rFonts w:ascii="Arial" w:eastAsia="Times New Roman" w:hAnsi="Arial" w:cs="Arial"/>
          <w:i/>
          <w:sz w:val="24"/>
          <w:szCs w:val="24"/>
        </w:rPr>
        <w:t>Behavior</w:t>
      </w:r>
      <w:proofErr w:type="spellEnd"/>
      <w:r w:rsidRPr="0080328E">
        <w:rPr>
          <w:rFonts w:ascii="Arial" w:eastAsia="Times New Roman" w:hAnsi="Arial" w:cs="Arial"/>
          <w:i/>
          <w:sz w:val="24"/>
          <w:szCs w:val="24"/>
        </w:rPr>
        <w:t>, 21</w:t>
      </w:r>
      <w:r w:rsidRPr="0080328E">
        <w:rPr>
          <w:rFonts w:ascii="Arial" w:eastAsia="Times New Roman" w:hAnsi="Arial" w:cs="Arial"/>
          <w:sz w:val="24"/>
          <w:szCs w:val="24"/>
        </w:rPr>
        <w:t xml:space="preserve">(1), 27–46. </w:t>
      </w:r>
      <w:hyperlink r:id="rId11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https://doi.org/10.1023/A:1024814009769</w:t>
        </w:r>
      </w:hyperlink>
    </w:p>
    <w:p w14:paraId="27F486C4" w14:textId="78DEB0AD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lastRenderedPageBreak/>
        <w:t xml:space="preserve">Köhnken, G., Milne, R., Memon, A., &amp; Bull, R. (1999). The cognitive interview: A meta-analysis. </w:t>
      </w:r>
      <w:r w:rsidRPr="0080328E">
        <w:rPr>
          <w:rFonts w:ascii="Arial" w:eastAsia="Times New Roman" w:hAnsi="Arial" w:cs="Arial"/>
          <w:i/>
          <w:sz w:val="24"/>
          <w:szCs w:val="24"/>
        </w:rPr>
        <w:t>Psychology, Crime &amp; Law, 5</w:t>
      </w:r>
      <w:r w:rsidRPr="0080328E">
        <w:rPr>
          <w:rFonts w:ascii="Arial" w:eastAsia="Times New Roman" w:hAnsi="Arial" w:cs="Arial"/>
          <w:sz w:val="24"/>
          <w:szCs w:val="24"/>
        </w:rPr>
        <w:t xml:space="preserve">(1–2), 3–27. </w:t>
      </w:r>
      <w:hyperlink r:id="rId12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https://doi.org/10.1080/10683169908414991</w:t>
        </w:r>
      </w:hyperlink>
    </w:p>
    <w:p w14:paraId="5D9953EF" w14:textId="1AA12779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Maras, K., Dando, C., Stephenson, H., Lambrechts, A., Anns, S., &amp; Gaigg, S. B. (2020). The Witness-Aimed First Account (WAFA): A new technique for interviewing autistic witnesses and victims. </w:t>
      </w:r>
      <w:r w:rsidRPr="0080328E">
        <w:rPr>
          <w:rFonts w:ascii="Arial" w:eastAsia="Times New Roman" w:hAnsi="Arial" w:cs="Arial"/>
          <w:i/>
          <w:sz w:val="24"/>
          <w:szCs w:val="24"/>
        </w:rPr>
        <w:t>Autism, 24</w:t>
      </w:r>
      <w:r w:rsidRPr="0080328E">
        <w:rPr>
          <w:rFonts w:ascii="Arial" w:eastAsia="Times New Roman" w:hAnsi="Arial" w:cs="Arial"/>
          <w:sz w:val="24"/>
          <w:szCs w:val="24"/>
        </w:rPr>
        <w:t xml:space="preserve">(6), 1449–1467. </w:t>
      </w:r>
      <w:hyperlink r:id="rId13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https://doi.org/10.1177/1362361320908986</w:t>
        </w:r>
      </w:hyperlink>
    </w:p>
    <w:p w14:paraId="07F04995" w14:textId="1B4677AE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Meissner, C. A., Redlich, A. D., Michael, S. W., Evans, J. R., Camilletti, C. R., Bhatt, S., &amp; Brandon, S. (2014). Accusatorial and information-gathering interrogation methods and their effects on true and false confessions: A meta-analytic review. </w:t>
      </w:r>
      <w:r w:rsidRPr="0080328E">
        <w:rPr>
          <w:rFonts w:ascii="Arial" w:eastAsia="Times New Roman" w:hAnsi="Arial" w:cs="Arial"/>
          <w:i/>
          <w:sz w:val="24"/>
          <w:szCs w:val="24"/>
        </w:rPr>
        <w:t>Journal of Experimental Criminology, 10</w:t>
      </w:r>
      <w:r w:rsidRPr="0080328E">
        <w:rPr>
          <w:rFonts w:ascii="Arial" w:eastAsia="Times New Roman" w:hAnsi="Arial" w:cs="Arial"/>
          <w:sz w:val="24"/>
          <w:szCs w:val="24"/>
        </w:rPr>
        <w:t xml:space="preserve">(4), 459–486. </w:t>
      </w:r>
      <w:hyperlink r:id="rId14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https://doi.org/10.1007/s11292-014-9207-6</w:t>
        </w:r>
      </w:hyperlink>
    </w:p>
    <w:p w14:paraId="74DD96F1" w14:textId="1A090905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Melinder, A., Alexander, K., Cho, Y. I., Goodman, G. S., Thoresen, C., Lønnum, K., &amp; Magnussen, S. (2010). Children’s eyewitness memory: A comparison of two interviewing strategies as realized by forensic professionals. </w:t>
      </w:r>
      <w:r w:rsidRPr="0080328E">
        <w:rPr>
          <w:rFonts w:ascii="Arial" w:eastAsia="Times New Roman" w:hAnsi="Arial" w:cs="Arial"/>
          <w:i/>
          <w:sz w:val="24"/>
          <w:szCs w:val="24"/>
        </w:rPr>
        <w:t>Journal of Experimental Child Psychology, 105</w:t>
      </w:r>
      <w:r w:rsidRPr="0080328E">
        <w:rPr>
          <w:rFonts w:ascii="Arial" w:eastAsia="Times New Roman" w:hAnsi="Arial" w:cs="Arial"/>
          <w:sz w:val="24"/>
          <w:szCs w:val="24"/>
        </w:rPr>
        <w:t xml:space="preserve">(3), 156–177. </w:t>
      </w:r>
      <w:hyperlink r:id="rId15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https://doi.org/10.1016/j.jecp.2009.04.004</w:t>
        </w:r>
      </w:hyperlink>
    </w:p>
    <w:p w14:paraId="41E6A5A0" w14:textId="11E40765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Méndez, J. E. (2021). The need for the Principles on Effective Interviewing for Investigations and Information Gathering. </w:t>
      </w:r>
      <w:r w:rsidRPr="0080328E">
        <w:rPr>
          <w:rFonts w:ascii="Arial" w:eastAsia="Times New Roman" w:hAnsi="Arial" w:cs="Arial"/>
          <w:i/>
          <w:sz w:val="24"/>
          <w:szCs w:val="24"/>
        </w:rPr>
        <w:t>Torture Journal, 31</w:t>
      </w:r>
      <w:r w:rsidRPr="0080328E">
        <w:rPr>
          <w:rFonts w:ascii="Arial" w:eastAsia="Times New Roman" w:hAnsi="Arial" w:cs="Arial"/>
          <w:sz w:val="24"/>
          <w:szCs w:val="24"/>
        </w:rPr>
        <w:t xml:space="preserve">(3), 117–120. </w:t>
      </w:r>
      <w:hyperlink r:id="rId16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https://doi.org/10.7146/torture.v32i3.128719</w:t>
        </w:r>
      </w:hyperlink>
    </w:p>
    <w:p w14:paraId="335F4959" w14:textId="6274BD8B" w:rsidR="005E3DD5" w:rsidRPr="00CD77B8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CD77B8">
        <w:rPr>
          <w:rFonts w:ascii="Arial" w:eastAsia="Times New Roman" w:hAnsi="Arial" w:cs="Arial"/>
          <w:sz w:val="24"/>
          <w:szCs w:val="24"/>
        </w:rPr>
        <w:t xml:space="preserve">Navarre, A., Didierjean, A., &amp; Thomas, C. (2022). </w:t>
      </w:r>
      <w:r w:rsidRPr="0080328E">
        <w:rPr>
          <w:rFonts w:ascii="Arial" w:eastAsia="Times New Roman" w:hAnsi="Arial" w:cs="Arial"/>
          <w:sz w:val="24"/>
          <w:szCs w:val="24"/>
        </w:rPr>
        <w:t xml:space="preserve">Anchoring effect induces false memories. </w:t>
      </w:r>
      <w:r w:rsidRPr="00CD77B8">
        <w:rPr>
          <w:rFonts w:ascii="Arial" w:eastAsia="Times New Roman" w:hAnsi="Arial" w:cs="Arial"/>
          <w:i/>
          <w:sz w:val="24"/>
          <w:szCs w:val="24"/>
        </w:rPr>
        <w:t>Psychonomic Bulletin &amp; Review, 29</w:t>
      </w:r>
      <w:r w:rsidRPr="00CD77B8">
        <w:rPr>
          <w:rFonts w:ascii="Arial" w:eastAsia="Times New Roman" w:hAnsi="Arial" w:cs="Arial"/>
          <w:sz w:val="24"/>
          <w:szCs w:val="24"/>
        </w:rPr>
        <w:t xml:space="preserve">(6), 2240–2246. </w:t>
      </w:r>
      <w:hyperlink r:id="rId17" w:history="1">
        <w:r w:rsidR="005E3DD5" w:rsidRPr="00CD77B8">
          <w:rPr>
            <w:rStyle w:val="Hyperlink"/>
            <w:rFonts w:ascii="Arial" w:eastAsia="Times New Roman" w:hAnsi="Arial" w:cs="Arial"/>
            <w:sz w:val="24"/>
            <w:szCs w:val="24"/>
          </w:rPr>
          <w:t>https://doi.org/10.3758/s13423-022-02147-4</w:t>
        </w:r>
      </w:hyperlink>
    </w:p>
    <w:p w14:paraId="780A7C83" w14:textId="792D67C6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lastRenderedPageBreak/>
        <w:t xml:space="preserve">Ng, M., Medhurst, R., Dando, C. J., &amp; Bull, R. (2025). “A ronin without a master”: Exploring police perspectives on digital evidence in England and Wales. </w:t>
      </w:r>
      <w:proofErr w:type="spellStart"/>
      <w:r w:rsidRPr="0080328E">
        <w:rPr>
          <w:rFonts w:ascii="Arial" w:eastAsia="Times New Roman" w:hAnsi="Arial" w:cs="Arial"/>
          <w:i/>
          <w:sz w:val="24"/>
          <w:szCs w:val="24"/>
        </w:rPr>
        <w:t>Behavioral</w:t>
      </w:r>
      <w:proofErr w:type="spellEnd"/>
      <w:r w:rsidRPr="0080328E">
        <w:rPr>
          <w:rFonts w:ascii="Arial" w:eastAsia="Times New Roman" w:hAnsi="Arial" w:cs="Arial"/>
          <w:i/>
          <w:sz w:val="24"/>
          <w:szCs w:val="24"/>
        </w:rPr>
        <w:t xml:space="preserve"> Sciences, 15</w:t>
      </w:r>
      <w:r w:rsidRPr="0080328E">
        <w:rPr>
          <w:rFonts w:ascii="Arial" w:eastAsia="Times New Roman" w:hAnsi="Arial" w:cs="Arial"/>
          <w:sz w:val="24"/>
          <w:szCs w:val="24"/>
        </w:rPr>
        <w:t xml:space="preserve">(10), Article 1416. </w:t>
      </w:r>
      <w:hyperlink r:id="rId18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https://doi.org/10.3390/bs15101416</w:t>
        </w:r>
      </w:hyperlink>
    </w:p>
    <w:p w14:paraId="5052B5F7" w14:textId="20755212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Schell-Leugers, J. M., Vanderhallen, M., Bogaard, G., Landström, S., Masip, J., Myklebust, T., Volbert, R., Nieuwkamp, V., &amp; Kassin, S. M. (2026). A European-wide survey of police officers’ beliefs and perceptions on suspect interviews. </w:t>
      </w:r>
      <w:r w:rsidRPr="0080328E">
        <w:rPr>
          <w:rFonts w:ascii="Arial" w:eastAsia="Times New Roman" w:hAnsi="Arial" w:cs="Arial"/>
          <w:i/>
          <w:sz w:val="24"/>
          <w:szCs w:val="24"/>
        </w:rPr>
        <w:t>Psychology, Crime &amp; Law</w:t>
      </w:r>
      <w:r w:rsidRPr="0080328E">
        <w:rPr>
          <w:rFonts w:ascii="Arial" w:eastAsia="Times New Roman" w:hAnsi="Arial" w:cs="Arial"/>
          <w:sz w:val="24"/>
          <w:szCs w:val="24"/>
        </w:rPr>
        <w:t xml:space="preserve">. Advance online publication. </w:t>
      </w:r>
      <w:hyperlink r:id="rId19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https://doi.org/10.1080/1068316X.2026.2651154</w:t>
        </w:r>
      </w:hyperlink>
    </w:p>
    <w:p w14:paraId="03733878" w14:textId="3B45C5DC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Scullin, M. H., &amp; Ceci, S. J. (2001). A suggestibility scale for children. </w:t>
      </w:r>
      <w:r w:rsidRPr="0080328E">
        <w:rPr>
          <w:rFonts w:ascii="Arial" w:eastAsia="Times New Roman" w:hAnsi="Arial" w:cs="Arial"/>
          <w:i/>
          <w:sz w:val="24"/>
          <w:szCs w:val="24"/>
        </w:rPr>
        <w:t>Personality and Individual Differences, 30</w:t>
      </w:r>
      <w:r w:rsidRPr="0080328E">
        <w:rPr>
          <w:rFonts w:ascii="Arial" w:eastAsia="Times New Roman" w:hAnsi="Arial" w:cs="Arial"/>
          <w:sz w:val="24"/>
          <w:szCs w:val="24"/>
        </w:rPr>
        <w:t xml:space="preserve">(5), 843–856. </w:t>
      </w:r>
      <w:hyperlink r:id="rId20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https://doi.org/10.1016/S0191-8869(00)00077-5</w:t>
        </w:r>
      </w:hyperlink>
    </w:p>
    <w:p w14:paraId="4F586126" w14:textId="17339954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Strange, D., Dysart, J., &amp; Loftus, E. F. (2014). Why errors in alibis are not necessarily evidence of guilt. </w:t>
      </w:r>
      <w:r w:rsidRPr="0080328E">
        <w:rPr>
          <w:rFonts w:ascii="Arial" w:eastAsia="Times New Roman" w:hAnsi="Arial" w:cs="Arial"/>
          <w:i/>
          <w:sz w:val="24"/>
          <w:szCs w:val="24"/>
        </w:rPr>
        <w:t>Zeitschrift für Psychologie, 222</w:t>
      </w:r>
      <w:r w:rsidRPr="0080328E">
        <w:rPr>
          <w:rFonts w:ascii="Arial" w:eastAsia="Times New Roman" w:hAnsi="Arial" w:cs="Arial"/>
          <w:sz w:val="24"/>
          <w:szCs w:val="24"/>
        </w:rPr>
        <w:t xml:space="preserve">(2), 82–89. </w:t>
      </w:r>
      <w:hyperlink r:id="rId21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https://doi.org/10.1027/2151-2604/a000169</w:t>
        </w:r>
      </w:hyperlink>
    </w:p>
    <w:p w14:paraId="2CCCEFA2" w14:textId="6BCE7CF8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Wagstaff, G. F., Wheatcroft, J. M., Caddick, A. M., Kirby, L. J., &amp; Lamont, E. (2011). Enhancing witness memory with techniques derived from hypnotic investigative interviewing: Focused meditation, eye-closure, and context reinstatement. </w:t>
      </w:r>
      <w:r w:rsidRPr="0080328E">
        <w:rPr>
          <w:rFonts w:ascii="Arial" w:eastAsia="Times New Roman" w:hAnsi="Arial" w:cs="Arial"/>
          <w:i/>
          <w:sz w:val="24"/>
          <w:szCs w:val="24"/>
        </w:rPr>
        <w:t>International Journal of Clinical and Experimental Hypnosis, 59</w:t>
      </w:r>
      <w:r w:rsidRPr="0080328E">
        <w:rPr>
          <w:rFonts w:ascii="Arial" w:eastAsia="Times New Roman" w:hAnsi="Arial" w:cs="Arial"/>
          <w:sz w:val="24"/>
          <w:szCs w:val="24"/>
        </w:rPr>
        <w:t xml:space="preserve">(2), 146–164. </w:t>
      </w:r>
      <w:hyperlink r:id="rId22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https://doi.org/10.1080/00207144.2011.546180</w:t>
        </w:r>
      </w:hyperlink>
    </w:p>
    <w:p w14:paraId="05422116" w14:textId="48A34BDB" w:rsidR="005E3DD5" w:rsidRPr="0080328E" w:rsidRDefault="0080328E" w:rsidP="005E3DD5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t xml:space="preserve">Walsh, D., &amp; Bull, R. (2010). What really is effective in interviews with suspects? A study comparing interviewing skills against interviewing outcomes. </w:t>
      </w:r>
      <w:r w:rsidRPr="0080328E">
        <w:rPr>
          <w:rFonts w:ascii="Arial" w:eastAsia="Times New Roman" w:hAnsi="Arial" w:cs="Arial"/>
          <w:i/>
          <w:sz w:val="24"/>
          <w:szCs w:val="24"/>
        </w:rPr>
        <w:t>Legal and Criminological Psychology, 15</w:t>
      </w:r>
      <w:r w:rsidRPr="0080328E">
        <w:rPr>
          <w:rFonts w:ascii="Arial" w:eastAsia="Times New Roman" w:hAnsi="Arial" w:cs="Arial"/>
          <w:sz w:val="24"/>
          <w:szCs w:val="24"/>
        </w:rPr>
        <w:t xml:space="preserve">(2), 305–321. </w:t>
      </w:r>
      <w:hyperlink r:id="rId23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https://doi.org/10.1348/135532509X463356</w:t>
        </w:r>
      </w:hyperlink>
    </w:p>
    <w:p w14:paraId="7FF6FCBB" w14:textId="43E8532B" w:rsidR="0080328E" w:rsidRDefault="0080328E" w:rsidP="0080328E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  <w:r w:rsidRPr="0080328E">
        <w:rPr>
          <w:rFonts w:ascii="Arial" w:eastAsia="Times New Roman" w:hAnsi="Arial" w:cs="Arial"/>
          <w:sz w:val="24"/>
          <w:szCs w:val="24"/>
        </w:rPr>
        <w:lastRenderedPageBreak/>
        <w:t xml:space="preserve">Woody, W. D., &amp; Forrest, K. D. (2020). </w:t>
      </w:r>
      <w:r w:rsidRPr="0080328E">
        <w:rPr>
          <w:rFonts w:ascii="Arial" w:eastAsia="Times New Roman" w:hAnsi="Arial" w:cs="Arial"/>
          <w:i/>
          <w:sz w:val="24"/>
          <w:szCs w:val="24"/>
        </w:rPr>
        <w:t>Understanding police interrogation: Confessions and consequences</w:t>
      </w:r>
      <w:r w:rsidRPr="0080328E">
        <w:rPr>
          <w:rFonts w:ascii="Arial" w:eastAsia="Times New Roman" w:hAnsi="Arial" w:cs="Arial"/>
          <w:sz w:val="24"/>
          <w:szCs w:val="24"/>
        </w:rPr>
        <w:t xml:space="preserve">. NYU Press. </w:t>
      </w:r>
      <w:hyperlink r:id="rId24" w:history="1">
        <w:r w:rsidR="005E3DD5" w:rsidRPr="0003118C">
          <w:rPr>
            <w:rStyle w:val="Hyperlink"/>
            <w:rFonts w:ascii="Arial" w:eastAsia="Times New Roman" w:hAnsi="Arial" w:cs="Arial"/>
            <w:sz w:val="24"/>
            <w:szCs w:val="24"/>
          </w:rPr>
          <w:t>https://doi.org/10.18574/9781479828128</w:t>
        </w:r>
      </w:hyperlink>
    </w:p>
    <w:p w14:paraId="50A3DA74" w14:textId="77777777" w:rsidR="005E3DD5" w:rsidRPr="0080328E" w:rsidRDefault="005E3DD5" w:rsidP="0080328E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</w:p>
    <w:p w14:paraId="337ADBFE" w14:textId="11962214" w:rsidR="00FC1349" w:rsidRPr="0044427F" w:rsidRDefault="00FC1349" w:rsidP="0080328E">
      <w:pPr>
        <w:spacing w:line="480" w:lineRule="auto"/>
        <w:ind w:left="720" w:hanging="720"/>
        <w:rPr>
          <w:rFonts w:ascii="Arial" w:eastAsia="Times New Roman" w:hAnsi="Arial" w:cs="Arial"/>
          <w:sz w:val="24"/>
          <w:szCs w:val="24"/>
        </w:rPr>
      </w:pPr>
    </w:p>
    <w:sectPr w:rsidR="00FC1349" w:rsidRPr="0044427F">
      <w:footerReference w:type="default" r:id="rId2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B5F2A57" w14:textId="77777777" w:rsidR="004821B9" w:rsidRDefault="004821B9" w:rsidP="00CD77B8">
      <w:pPr>
        <w:spacing w:after="0" w:line="240" w:lineRule="auto"/>
      </w:pPr>
      <w:r>
        <w:separator/>
      </w:r>
    </w:p>
  </w:endnote>
  <w:endnote w:type="continuationSeparator" w:id="0">
    <w:p w14:paraId="213C14BA" w14:textId="77777777" w:rsidR="004821B9" w:rsidRDefault="004821B9" w:rsidP="00CD77B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507217671"/>
      <w:docPartObj>
        <w:docPartGallery w:val="Page Numbers (Bottom of Page)"/>
        <w:docPartUnique/>
      </w:docPartObj>
    </w:sdtPr>
    <w:sdtContent>
      <w:p w14:paraId="766882FF" w14:textId="33BCE679" w:rsidR="00CD77B8" w:rsidRDefault="00CD77B8">
        <w:pPr>
          <w:pStyle w:val="Footer"/>
          <w:jc w:val="right"/>
        </w:pPr>
        <w:r>
          <w:t xml:space="preserve">Page | </w:t>
        </w: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  <w:r>
          <w:t xml:space="preserve"> </w:t>
        </w:r>
      </w:p>
    </w:sdtContent>
  </w:sdt>
  <w:p w14:paraId="2719C01D" w14:textId="77777777" w:rsidR="00CD77B8" w:rsidRDefault="00CD77B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169CC59" w14:textId="77777777" w:rsidR="004821B9" w:rsidRDefault="004821B9" w:rsidP="00CD77B8">
      <w:pPr>
        <w:spacing w:after="0" w:line="240" w:lineRule="auto"/>
      </w:pPr>
      <w:r>
        <w:separator/>
      </w:r>
    </w:p>
  </w:footnote>
  <w:footnote w:type="continuationSeparator" w:id="0">
    <w:p w14:paraId="252725D8" w14:textId="77777777" w:rsidR="004821B9" w:rsidRDefault="004821B9" w:rsidP="00CD77B8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6FAF"/>
    <w:rsid w:val="00003993"/>
    <w:rsid w:val="00006D7E"/>
    <w:rsid w:val="00011178"/>
    <w:rsid w:val="000169A8"/>
    <w:rsid w:val="00020168"/>
    <w:rsid w:val="00022C54"/>
    <w:rsid w:val="00022F9E"/>
    <w:rsid w:val="00030953"/>
    <w:rsid w:val="00032D53"/>
    <w:rsid w:val="00033D99"/>
    <w:rsid w:val="00034AE0"/>
    <w:rsid w:val="00042C2B"/>
    <w:rsid w:val="0004404C"/>
    <w:rsid w:val="00047746"/>
    <w:rsid w:val="000536BA"/>
    <w:rsid w:val="000560AF"/>
    <w:rsid w:val="00062B49"/>
    <w:rsid w:val="00062DE9"/>
    <w:rsid w:val="0006397A"/>
    <w:rsid w:val="0006633E"/>
    <w:rsid w:val="000700EA"/>
    <w:rsid w:val="00071BE4"/>
    <w:rsid w:val="00073EEE"/>
    <w:rsid w:val="00074441"/>
    <w:rsid w:val="00080E91"/>
    <w:rsid w:val="000834B8"/>
    <w:rsid w:val="0008577A"/>
    <w:rsid w:val="00085F99"/>
    <w:rsid w:val="00086F47"/>
    <w:rsid w:val="00092D72"/>
    <w:rsid w:val="000A6E45"/>
    <w:rsid w:val="000A74EA"/>
    <w:rsid w:val="000A7D35"/>
    <w:rsid w:val="000B1D79"/>
    <w:rsid w:val="000B515F"/>
    <w:rsid w:val="000B5947"/>
    <w:rsid w:val="000C2585"/>
    <w:rsid w:val="000C4728"/>
    <w:rsid w:val="000D1135"/>
    <w:rsid w:val="000E0DE6"/>
    <w:rsid w:val="000F1F25"/>
    <w:rsid w:val="000F44FD"/>
    <w:rsid w:val="000F6364"/>
    <w:rsid w:val="00100EAF"/>
    <w:rsid w:val="001015B3"/>
    <w:rsid w:val="0010239B"/>
    <w:rsid w:val="00102988"/>
    <w:rsid w:val="0010700E"/>
    <w:rsid w:val="00116ECB"/>
    <w:rsid w:val="001173A7"/>
    <w:rsid w:val="00121886"/>
    <w:rsid w:val="00124ABB"/>
    <w:rsid w:val="00125100"/>
    <w:rsid w:val="001306BD"/>
    <w:rsid w:val="00131C46"/>
    <w:rsid w:val="00131F40"/>
    <w:rsid w:val="0013691A"/>
    <w:rsid w:val="00140920"/>
    <w:rsid w:val="00143B6E"/>
    <w:rsid w:val="00152269"/>
    <w:rsid w:val="00152EDF"/>
    <w:rsid w:val="0015330B"/>
    <w:rsid w:val="0015506A"/>
    <w:rsid w:val="00156CFE"/>
    <w:rsid w:val="00157599"/>
    <w:rsid w:val="00160900"/>
    <w:rsid w:val="0016463F"/>
    <w:rsid w:val="00164E92"/>
    <w:rsid w:val="001656E7"/>
    <w:rsid w:val="0016685D"/>
    <w:rsid w:val="00171040"/>
    <w:rsid w:val="0017706C"/>
    <w:rsid w:val="0018270D"/>
    <w:rsid w:val="00187BEA"/>
    <w:rsid w:val="001972FA"/>
    <w:rsid w:val="001A416F"/>
    <w:rsid w:val="001A4926"/>
    <w:rsid w:val="001A52B9"/>
    <w:rsid w:val="001A7B2E"/>
    <w:rsid w:val="001B02AE"/>
    <w:rsid w:val="001B03D1"/>
    <w:rsid w:val="001B50DF"/>
    <w:rsid w:val="001B63FD"/>
    <w:rsid w:val="001B6C86"/>
    <w:rsid w:val="001B765E"/>
    <w:rsid w:val="001C3DB2"/>
    <w:rsid w:val="001C73C7"/>
    <w:rsid w:val="001C75A9"/>
    <w:rsid w:val="001D3430"/>
    <w:rsid w:val="001D3CEF"/>
    <w:rsid w:val="001D5337"/>
    <w:rsid w:val="001D5D4B"/>
    <w:rsid w:val="001E04C5"/>
    <w:rsid w:val="001E1EB9"/>
    <w:rsid w:val="001E25EE"/>
    <w:rsid w:val="001E4833"/>
    <w:rsid w:val="001E6429"/>
    <w:rsid w:val="001F345A"/>
    <w:rsid w:val="001F632A"/>
    <w:rsid w:val="002002F9"/>
    <w:rsid w:val="002015D1"/>
    <w:rsid w:val="0020401E"/>
    <w:rsid w:val="0020527F"/>
    <w:rsid w:val="00211562"/>
    <w:rsid w:val="00211A08"/>
    <w:rsid w:val="0021492C"/>
    <w:rsid w:val="00217680"/>
    <w:rsid w:val="0022644E"/>
    <w:rsid w:val="00232077"/>
    <w:rsid w:val="00234F0F"/>
    <w:rsid w:val="00236031"/>
    <w:rsid w:val="00237708"/>
    <w:rsid w:val="00250692"/>
    <w:rsid w:val="00252492"/>
    <w:rsid w:val="002527EA"/>
    <w:rsid w:val="002662B0"/>
    <w:rsid w:val="00270D59"/>
    <w:rsid w:val="00271C56"/>
    <w:rsid w:val="002768E1"/>
    <w:rsid w:val="0028288E"/>
    <w:rsid w:val="002938E6"/>
    <w:rsid w:val="002958F9"/>
    <w:rsid w:val="002A7E27"/>
    <w:rsid w:val="002B35C3"/>
    <w:rsid w:val="002D1DB4"/>
    <w:rsid w:val="002D30DA"/>
    <w:rsid w:val="002D39E0"/>
    <w:rsid w:val="002D5085"/>
    <w:rsid w:val="002D799E"/>
    <w:rsid w:val="002E6392"/>
    <w:rsid w:val="002F06BE"/>
    <w:rsid w:val="002F1346"/>
    <w:rsid w:val="00312CE9"/>
    <w:rsid w:val="00322FDE"/>
    <w:rsid w:val="0032370B"/>
    <w:rsid w:val="00327F9B"/>
    <w:rsid w:val="003315E6"/>
    <w:rsid w:val="00336D57"/>
    <w:rsid w:val="00342749"/>
    <w:rsid w:val="0034514A"/>
    <w:rsid w:val="00346C1A"/>
    <w:rsid w:val="00347073"/>
    <w:rsid w:val="00354F0C"/>
    <w:rsid w:val="003616FC"/>
    <w:rsid w:val="00374EFC"/>
    <w:rsid w:val="00377D3D"/>
    <w:rsid w:val="003805B0"/>
    <w:rsid w:val="0038383E"/>
    <w:rsid w:val="00384D42"/>
    <w:rsid w:val="00385F1E"/>
    <w:rsid w:val="00387AF3"/>
    <w:rsid w:val="003928BE"/>
    <w:rsid w:val="00396789"/>
    <w:rsid w:val="003A2248"/>
    <w:rsid w:val="003A27F8"/>
    <w:rsid w:val="003C0FC5"/>
    <w:rsid w:val="003C1011"/>
    <w:rsid w:val="003C3187"/>
    <w:rsid w:val="003C5D17"/>
    <w:rsid w:val="003D2C2B"/>
    <w:rsid w:val="003D36A9"/>
    <w:rsid w:val="003E134F"/>
    <w:rsid w:val="003E35AF"/>
    <w:rsid w:val="003E3B3B"/>
    <w:rsid w:val="003E3DA7"/>
    <w:rsid w:val="003E61AA"/>
    <w:rsid w:val="003E6AD2"/>
    <w:rsid w:val="003E7745"/>
    <w:rsid w:val="003E7847"/>
    <w:rsid w:val="003F0C4C"/>
    <w:rsid w:val="003F3CF5"/>
    <w:rsid w:val="003F4A56"/>
    <w:rsid w:val="00401D90"/>
    <w:rsid w:val="0040263D"/>
    <w:rsid w:val="004070E9"/>
    <w:rsid w:val="004104D7"/>
    <w:rsid w:val="0041068B"/>
    <w:rsid w:val="0042128B"/>
    <w:rsid w:val="00424649"/>
    <w:rsid w:val="00427114"/>
    <w:rsid w:val="00427216"/>
    <w:rsid w:val="004331D7"/>
    <w:rsid w:val="00433B89"/>
    <w:rsid w:val="0043595E"/>
    <w:rsid w:val="00441C79"/>
    <w:rsid w:val="0044427F"/>
    <w:rsid w:val="00446578"/>
    <w:rsid w:val="0045126B"/>
    <w:rsid w:val="00454E01"/>
    <w:rsid w:val="00461FA6"/>
    <w:rsid w:val="00462B27"/>
    <w:rsid w:val="004716B0"/>
    <w:rsid w:val="00471C3C"/>
    <w:rsid w:val="004809B9"/>
    <w:rsid w:val="004821B9"/>
    <w:rsid w:val="00485E56"/>
    <w:rsid w:val="0048640B"/>
    <w:rsid w:val="00490E40"/>
    <w:rsid w:val="0049151A"/>
    <w:rsid w:val="00492BC3"/>
    <w:rsid w:val="00495AFC"/>
    <w:rsid w:val="004A1C02"/>
    <w:rsid w:val="004A6A5F"/>
    <w:rsid w:val="004A6DAF"/>
    <w:rsid w:val="004B102F"/>
    <w:rsid w:val="004B6054"/>
    <w:rsid w:val="004B71B6"/>
    <w:rsid w:val="004C76F8"/>
    <w:rsid w:val="004C76FD"/>
    <w:rsid w:val="004D110A"/>
    <w:rsid w:val="004D34FB"/>
    <w:rsid w:val="004E041F"/>
    <w:rsid w:val="004E1AA6"/>
    <w:rsid w:val="004E2C20"/>
    <w:rsid w:val="004E40D0"/>
    <w:rsid w:val="004E7ED0"/>
    <w:rsid w:val="004F0404"/>
    <w:rsid w:val="004F2486"/>
    <w:rsid w:val="004F2CF0"/>
    <w:rsid w:val="004F4370"/>
    <w:rsid w:val="004F5B70"/>
    <w:rsid w:val="00507F55"/>
    <w:rsid w:val="005120F5"/>
    <w:rsid w:val="00513D78"/>
    <w:rsid w:val="00520187"/>
    <w:rsid w:val="0052193A"/>
    <w:rsid w:val="00522C89"/>
    <w:rsid w:val="00523567"/>
    <w:rsid w:val="00524EE4"/>
    <w:rsid w:val="00525A2E"/>
    <w:rsid w:val="00526B06"/>
    <w:rsid w:val="00542D79"/>
    <w:rsid w:val="00544302"/>
    <w:rsid w:val="00547FAA"/>
    <w:rsid w:val="00553A1A"/>
    <w:rsid w:val="00554614"/>
    <w:rsid w:val="005563FC"/>
    <w:rsid w:val="00567B18"/>
    <w:rsid w:val="00570872"/>
    <w:rsid w:val="00571DFC"/>
    <w:rsid w:val="005747FB"/>
    <w:rsid w:val="005806D6"/>
    <w:rsid w:val="00590203"/>
    <w:rsid w:val="00596642"/>
    <w:rsid w:val="005A078B"/>
    <w:rsid w:val="005A0A8D"/>
    <w:rsid w:val="005A799A"/>
    <w:rsid w:val="005B10B8"/>
    <w:rsid w:val="005B5FD9"/>
    <w:rsid w:val="005B7041"/>
    <w:rsid w:val="005C3A29"/>
    <w:rsid w:val="005C3D86"/>
    <w:rsid w:val="005C40DA"/>
    <w:rsid w:val="005C4BDF"/>
    <w:rsid w:val="005C51F0"/>
    <w:rsid w:val="005C6B15"/>
    <w:rsid w:val="005C6FAF"/>
    <w:rsid w:val="005E0D9E"/>
    <w:rsid w:val="005E2B63"/>
    <w:rsid w:val="005E3DD5"/>
    <w:rsid w:val="00601179"/>
    <w:rsid w:val="00601702"/>
    <w:rsid w:val="00602466"/>
    <w:rsid w:val="00603382"/>
    <w:rsid w:val="00604E77"/>
    <w:rsid w:val="00606234"/>
    <w:rsid w:val="0060673D"/>
    <w:rsid w:val="00610474"/>
    <w:rsid w:val="006129B4"/>
    <w:rsid w:val="006177C1"/>
    <w:rsid w:val="00620717"/>
    <w:rsid w:val="006228E2"/>
    <w:rsid w:val="00625D35"/>
    <w:rsid w:val="006272D3"/>
    <w:rsid w:val="00632D82"/>
    <w:rsid w:val="00635357"/>
    <w:rsid w:val="006415D0"/>
    <w:rsid w:val="006531E9"/>
    <w:rsid w:val="00653494"/>
    <w:rsid w:val="0065692B"/>
    <w:rsid w:val="00664ADC"/>
    <w:rsid w:val="006720AD"/>
    <w:rsid w:val="00676785"/>
    <w:rsid w:val="00677153"/>
    <w:rsid w:val="00681CE6"/>
    <w:rsid w:val="00686E93"/>
    <w:rsid w:val="00690AAE"/>
    <w:rsid w:val="006962B4"/>
    <w:rsid w:val="006A0C78"/>
    <w:rsid w:val="006A4DA0"/>
    <w:rsid w:val="006A56CF"/>
    <w:rsid w:val="006C02EF"/>
    <w:rsid w:val="006C4BB3"/>
    <w:rsid w:val="006C6EDF"/>
    <w:rsid w:val="006D061C"/>
    <w:rsid w:val="006D66D1"/>
    <w:rsid w:val="006E4C39"/>
    <w:rsid w:val="006F21A1"/>
    <w:rsid w:val="00705E8E"/>
    <w:rsid w:val="007073F2"/>
    <w:rsid w:val="00713E14"/>
    <w:rsid w:val="007402CE"/>
    <w:rsid w:val="00741A4F"/>
    <w:rsid w:val="00742515"/>
    <w:rsid w:val="00747307"/>
    <w:rsid w:val="00756035"/>
    <w:rsid w:val="00761415"/>
    <w:rsid w:val="00761BFC"/>
    <w:rsid w:val="0076351A"/>
    <w:rsid w:val="00764003"/>
    <w:rsid w:val="00764A0D"/>
    <w:rsid w:val="007656DB"/>
    <w:rsid w:val="00765D48"/>
    <w:rsid w:val="00766E32"/>
    <w:rsid w:val="0078247F"/>
    <w:rsid w:val="00782F07"/>
    <w:rsid w:val="00782F9A"/>
    <w:rsid w:val="00784614"/>
    <w:rsid w:val="00792EFB"/>
    <w:rsid w:val="00793662"/>
    <w:rsid w:val="007947CC"/>
    <w:rsid w:val="007948A2"/>
    <w:rsid w:val="00796D46"/>
    <w:rsid w:val="007A0D8F"/>
    <w:rsid w:val="007A2F37"/>
    <w:rsid w:val="007A7E09"/>
    <w:rsid w:val="007B791B"/>
    <w:rsid w:val="007C5421"/>
    <w:rsid w:val="007C5578"/>
    <w:rsid w:val="007D2C1D"/>
    <w:rsid w:val="007D6332"/>
    <w:rsid w:val="007D6BAE"/>
    <w:rsid w:val="007D77F4"/>
    <w:rsid w:val="0080328E"/>
    <w:rsid w:val="00807AFA"/>
    <w:rsid w:val="0081627E"/>
    <w:rsid w:val="00820CB6"/>
    <w:rsid w:val="00825AA1"/>
    <w:rsid w:val="00827E55"/>
    <w:rsid w:val="00830D73"/>
    <w:rsid w:val="00837C1C"/>
    <w:rsid w:val="00841C4C"/>
    <w:rsid w:val="0084562B"/>
    <w:rsid w:val="00846776"/>
    <w:rsid w:val="00850A80"/>
    <w:rsid w:val="00851F9E"/>
    <w:rsid w:val="00854F43"/>
    <w:rsid w:val="00855174"/>
    <w:rsid w:val="00862FA3"/>
    <w:rsid w:val="008656DD"/>
    <w:rsid w:val="008805D2"/>
    <w:rsid w:val="008847F3"/>
    <w:rsid w:val="00890C59"/>
    <w:rsid w:val="0089154F"/>
    <w:rsid w:val="008956C0"/>
    <w:rsid w:val="00896E7D"/>
    <w:rsid w:val="008A0757"/>
    <w:rsid w:val="008A0CA9"/>
    <w:rsid w:val="008A1CBF"/>
    <w:rsid w:val="008A5C5F"/>
    <w:rsid w:val="008A5FB3"/>
    <w:rsid w:val="008B0ED0"/>
    <w:rsid w:val="008B182D"/>
    <w:rsid w:val="008B205C"/>
    <w:rsid w:val="008B3C9C"/>
    <w:rsid w:val="008C2B3C"/>
    <w:rsid w:val="008C3EE7"/>
    <w:rsid w:val="008C428A"/>
    <w:rsid w:val="008C7459"/>
    <w:rsid w:val="008D02F9"/>
    <w:rsid w:val="008D07EF"/>
    <w:rsid w:val="008D1022"/>
    <w:rsid w:val="008D34E9"/>
    <w:rsid w:val="008E033F"/>
    <w:rsid w:val="008E0C72"/>
    <w:rsid w:val="008E6FDD"/>
    <w:rsid w:val="008F16EE"/>
    <w:rsid w:val="008F2904"/>
    <w:rsid w:val="00901DC1"/>
    <w:rsid w:val="00903A76"/>
    <w:rsid w:val="009046EC"/>
    <w:rsid w:val="00905C0C"/>
    <w:rsid w:val="009070A9"/>
    <w:rsid w:val="00912B1F"/>
    <w:rsid w:val="00913627"/>
    <w:rsid w:val="0091579C"/>
    <w:rsid w:val="009174A7"/>
    <w:rsid w:val="00925E84"/>
    <w:rsid w:val="00926CC2"/>
    <w:rsid w:val="0093344C"/>
    <w:rsid w:val="009403C5"/>
    <w:rsid w:val="009417BC"/>
    <w:rsid w:val="00947BCA"/>
    <w:rsid w:val="00953788"/>
    <w:rsid w:val="00960E32"/>
    <w:rsid w:val="00962A85"/>
    <w:rsid w:val="00962B5A"/>
    <w:rsid w:val="00963A33"/>
    <w:rsid w:val="009651E9"/>
    <w:rsid w:val="009710F2"/>
    <w:rsid w:val="00982CCF"/>
    <w:rsid w:val="00983D9E"/>
    <w:rsid w:val="009843CF"/>
    <w:rsid w:val="00985472"/>
    <w:rsid w:val="00986970"/>
    <w:rsid w:val="00987AE7"/>
    <w:rsid w:val="00990C68"/>
    <w:rsid w:val="009918AF"/>
    <w:rsid w:val="00992EE3"/>
    <w:rsid w:val="00994F28"/>
    <w:rsid w:val="009A7A33"/>
    <w:rsid w:val="009B0183"/>
    <w:rsid w:val="009B6D81"/>
    <w:rsid w:val="009B7CA4"/>
    <w:rsid w:val="009C0138"/>
    <w:rsid w:val="009C2DB7"/>
    <w:rsid w:val="009D1DBE"/>
    <w:rsid w:val="009D347C"/>
    <w:rsid w:val="00A0131F"/>
    <w:rsid w:val="00A11C96"/>
    <w:rsid w:val="00A147EC"/>
    <w:rsid w:val="00A14E3E"/>
    <w:rsid w:val="00A15D7D"/>
    <w:rsid w:val="00A16420"/>
    <w:rsid w:val="00A16FDF"/>
    <w:rsid w:val="00A20C8C"/>
    <w:rsid w:val="00A2221B"/>
    <w:rsid w:val="00A23158"/>
    <w:rsid w:val="00A234CF"/>
    <w:rsid w:val="00A2396B"/>
    <w:rsid w:val="00A251B9"/>
    <w:rsid w:val="00A25642"/>
    <w:rsid w:val="00A36306"/>
    <w:rsid w:val="00A37771"/>
    <w:rsid w:val="00A54BE6"/>
    <w:rsid w:val="00A57504"/>
    <w:rsid w:val="00A70CDC"/>
    <w:rsid w:val="00A7264B"/>
    <w:rsid w:val="00A72935"/>
    <w:rsid w:val="00A843EF"/>
    <w:rsid w:val="00A84791"/>
    <w:rsid w:val="00A919EB"/>
    <w:rsid w:val="00A93D21"/>
    <w:rsid w:val="00A95196"/>
    <w:rsid w:val="00AA2EEA"/>
    <w:rsid w:val="00AA5402"/>
    <w:rsid w:val="00AA7250"/>
    <w:rsid w:val="00AB68DA"/>
    <w:rsid w:val="00AB6DD4"/>
    <w:rsid w:val="00AB7FBB"/>
    <w:rsid w:val="00AC1FAA"/>
    <w:rsid w:val="00AC4F6C"/>
    <w:rsid w:val="00AC6A7F"/>
    <w:rsid w:val="00AD4BEA"/>
    <w:rsid w:val="00AE0114"/>
    <w:rsid w:val="00AF6DFF"/>
    <w:rsid w:val="00AF7C08"/>
    <w:rsid w:val="00B00F0E"/>
    <w:rsid w:val="00B05C83"/>
    <w:rsid w:val="00B150B0"/>
    <w:rsid w:val="00B15234"/>
    <w:rsid w:val="00B15C7F"/>
    <w:rsid w:val="00B15D47"/>
    <w:rsid w:val="00B22C80"/>
    <w:rsid w:val="00B25EC4"/>
    <w:rsid w:val="00B26EDC"/>
    <w:rsid w:val="00B26F65"/>
    <w:rsid w:val="00B27B12"/>
    <w:rsid w:val="00B30E02"/>
    <w:rsid w:val="00B36592"/>
    <w:rsid w:val="00B37DEC"/>
    <w:rsid w:val="00B42B4E"/>
    <w:rsid w:val="00B43386"/>
    <w:rsid w:val="00B45D99"/>
    <w:rsid w:val="00B45E2E"/>
    <w:rsid w:val="00B51DAB"/>
    <w:rsid w:val="00B54498"/>
    <w:rsid w:val="00B60620"/>
    <w:rsid w:val="00B62FCC"/>
    <w:rsid w:val="00B647DC"/>
    <w:rsid w:val="00B67AA0"/>
    <w:rsid w:val="00B74300"/>
    <w:rsid w:val="00B7709F"/>
    <w:rsid w:val="00B82284"/>
    <w:rsid w:val="00B8618B"/>
    <w:rsid w:val="00B865B0"/>
    <w:rsid w:val="00B909D0"/>
    <w:rsid w:val="00B95BEE"/>
    <w:rsid w:val="00B9754F"/>
    <w:rsid w:val="00B97694"/>
    <w:rsid w:val="00BA535D"/>
    <w:rsid w:val="00BA60A7"/>
    <w:rsid w:val="00BB2D18"/>
    <w:rsid w:val="00BE17CD"/>
    <w:rsid w:val="00BF185B"/>
    <w:rsid w:val="00BF3849"/>
    <w:rsid w:val="00BF3F0F"/>
    <w:rsid w:val="00BF5A23"/>
    <w:rsid w:val="00C033B1"/>
    <w:rsid w:val="00C04B1F"/>
    <w:rsid w:val="00C052D6"/>
    <w:rsid w:val="00C1170F"/>
    <w:rsid w:val="00C1416A"/>
    <w:rsid w:val="00C248A0"/>
    <w:rsid w:val="00C2493A"/>
    <w:rsid w:val="00C349F7"/>
    <w:rsid w:val="00C358B0"/>
    <w:rsid w:val="00C5062E"/>
    <w:rsid w:val="00C5204F"/>
    <w:rsid w:val="00C657D7"/>
    <w:rsid w:val="00C71330"/>
    <w:rsid w:val="00C715CE"/>
    <w:rsid w:val="00C74F01"/>
    <w:rsid w:val="00C754E7"/>
    <w:rsid w:val="00C81BDA"/>
    <w:rsid w:val="00C83354"/>
    <w:rsid w:val="00CA06CB"/>
    <w:rsid w:val="00CA72C4"/>
    <w:rsid w:val="00CB67FB"/>
    <w:rsid w:val="00CD7256"/>
    <w:rsid w:val="00CD77B8"/>
    <w:rsid w:val="00CE19BC"/>
    <w:rsid w:val="00CE1A71"/>
    <w:rsid w:val="00CE224B"/>
    <w:rsid w:val="00CE37D6"/>
    <w:rsid w:val="00CF4521"/>
    <w:rsid w:val="00CF4646"/>
    <w:rsid w:val="00CF4E44"/>
    <w:rsid w:val="00CF6298"/>
    <w:rsid w:val="00D005F2"/>
    <w:rsid w:val="00D00A2E"/>
    <w:rsid w:val="00D072A7"/>
    <w:rsid w:val="00D07B92"/>
    <w:rsid w:val="00D15013"/>
    <w:rsid w:val="00D16065"/>
    <w:rsid w:val="00D20079"/>
    <w:rsid w:val="00D37AEF"/>
    <w:rsid w:val="00D40017"/>
    <w:rsid w:val="00D4240C"/>
    <w:rsid w:val="00D44A67"/>
    <w:rsid w:val="00D53DAF"/>
    <w:rsid w:val="00D5587B"/>
    <w:rsid w:val="00D64FBE"/>
    <w:rsid w:val="00D6642C"/>
    <w:rsid w:val="00D76B09"/>
    <w:rsid w:val="00D77976"/>
    <w:rsid w:val="00D875C1"/>
    <w:rsid w:val="00D9599B"/>
    <w:rsid w:val="00DA717D"/>
    <w:rsid w:val="00DB0BDC"/>
    <w:rsid w:val="00DB0E68"/>
    <w:rsid w:val="00DB25CD"/>
    <w:rsid w:val="00DB4D5D"/>
    <w:rsid w:val="00DB7E75"/>
    <w:rsid w:val="00DC15C3"/>
    <w:rsid w:val="00DC343D"/>
    <w:rsid w:val="00DC5F84"/>
    <w:rsid w:val="00DC7D48"/>
    <w:rsid w:val="00DD2F68"/>
    <w:rsid w:val="00DD4A14"/>
    <w:rsid w:val="00DD653C"/>
    <w:rsid w:val="00DD6EDA"/>
    <w:rsid w:val="00DD701F"/>
    <w:rsid w:val="00DD7866"/>
    <w:rsid w:val="00DE6346"/>
    <w:rsid w:val="00E072C1"/>
    <w:rsid w:val="00E07DF4"/>
    <w:rsid w:val="00E13EA1"/>
    <w:rsid w:val="00E15AF5"/>
    <w:rsid w:val="00E1791F"/>
    <w:rsid w:val="00E26299"/>
    <w:rsid w:val="00E2734B"/>
    <w:rsid w:val="00E31936"/>
    <w:rsid w:val="00E36BD3"/>
    <w:rsid w:val="00E41DC8"/>
    <w:rsid w:val="00E42426"/>
    <w:rsid w:val="00E4465E"/>
    <w:rsid w:val="00E462CC"/>
    <w:rsid w:val="00E50F5E"/>
    <w:rsid w:val="00E67AAC"/>
    <w:rsid w:val="00E74B17"/>
    <w:rsid w:val="00E76239"/>
    <w:rsid w:val="00E83FE1"/>
    <w:rsid w:val="00E86BE4"/>
    <w:rsid w:val="00E90D58"/>
    <w:rsid w:val="00E91484"/>
    <w:rsid w:val="00EA24BF"/>
    <w:rsid w:val="00EB347F"/>
    <w:rsid w:val="00EB4090"/>
    <w:rsid w:val="00EB6E48"/>
    <w:rsid w:val="00EC2ED2"/>
    <w:rsid w:val="00EC3A09"/>
    <w:rsid w:val="00ED1EBB"/>
    <w:rsid w:val="00ED3159"/>
    <w:rsid w:val="00ED447F"/>
    <w:rsid w:val="00EE09AD"/>
    <w:rsid w:val="00EE232C"/>
    <w:rsid w:val="00EF3FF8"/>
    <w:rsid w:val="00EF6414"/>
    <w:rsid w:val="00EF7C24"/>
    <w:rsid w:val="00F00C4A"/>
    <w:rsid w:val="00F03547"/>
    <w:rsid w:val="00F051B1"/>
    <w:rsid w:val="00F10A05"/>
    <w:rsid w:val="00F14A4C"/>
    <w:rsid w:val="00F1690D"/>
    <w:rsid w:val="00F22FC0"/>
    <w:rsid w:val="00F2766D"/>
    <w:rsid w:val="00F30352"/>
    <w:rsid w:val="00F359F2"/>
    <w:rsid w:val="00F366CF"/>
    <w:rsid w:val="00F4058A"/>
    <w:rsid w:val="00F526AF"/>
    <w:rsid w:val="00F5281C"/>
    <w:rsid w:val="00F61D5B"/>
    <w:rsid w:val="00F66102"/>
    <w:rsid w:val="00F71426"/>
    <w:rsid w:val="00F74056"/>
    <w:rsid w:val="00F8539A"/>
    <w:rsid w:val="00F862C0"/>
    <w:rsid w:val="00F91037"/>
    <w:rsid w:val="00F922B3"/>
    <w:rsid w:val="00F92643"/>
    <w:rsid w:val="00F937F0"/>
    <w:rsid w:val="00FA4760"/>
    <w:rsid w:val="00FA5FC0"/>
    <w:rsid w:val="00FB1EAC"/>
    <w:rsid w:val="00FB24EA"/>
    <w:rsid w:val="00FB36FB"/>
    <w:rsid w:val="00FB657C"/>
    <w:rsid w:val="00FC0F4E"/>
    <w:rsid w:val="00FC1349"/>
    <w:rsid w:val="00FC58C7"/>
    <w:rsid w:val="00FD317B"/>
    <w:rsid w:val="00FD60DB"/>
    <w:rsid w:val="00FD7A1D"/>
    <w:rsid w:val="00FE01F2"/>
    <w:rsid w:val="00FE060B"/>
    <w:rsid w:val="00FE1232"/>
    <w:rsid w:val="00FE1A87"/>
    <w:rsid w:val="00FE3FE7"/>
    <w:rsid w:val="00FF0DB5"/>
    <w:rsid w:val="00FF2E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43B359"/>
  <w15:chartTrackingRefBased/>
  <w15:docId w15:val="{3BD09C91-2A83-4334-88EE-4C12213593B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C6FAF"/>
    <w:pPr>
      <w:spacing w:line="259" w:lineRule="auto"/>
    </w:pPr>
    <w:rPr>
      <w:sz w:val="22"/>
      <w:szCs w:val="22"/>
    </w:rPr>
  </w:style>
  <w:style w:type="paragraph" w:styleId="Heading1">
    <w:name w:val="heading 1"/>
    <w:basedOn w:val="Normal"/>
    <w:next w:val="Normal"/>
    <w:link w:val="Heading1Char"/>
    <w:uiPriority w:val="9"/>
    <w:qFormat/>
    <w:rsid w:val="005C6FAF"/>
    <w:pPr>
      <w:keepNext/>
      <w:keepLines/>
      <w:spacing w:before="360" w:after="80" w:line="278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6FAF"/>
    <w:pPr>
      <w:keepNext/>
      <w:keepLines/>
      <w:spacing w:before="160" w:after="80" w:line="278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6FAF"/>
    <w:pPr>
      <w:keepNext/>
      <w:keepLines/>
      <w:spacing w:before="160" w:after="80" w:line="278" w:lineRule="auto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6FAF"/>
    <w:pPr>
      <w:keepNext/>
      <w:keepLines/>
      <w:spacing w:before="80" w:after="40" w:line="278" w:lineRule="auto"/>
      <w:outlineLvl w:val="3"/>
    </w:pPr>
    <w:rPr>
      <w:rFonts w:eastAsiaTheme="majorEastAsia" w:cstheme="majorBidi"/>
      <w:i/>
      <w:iCs/>
      <w:color w:val="0F4761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6FAF"/>
    <w:pPr>
      <w:keepNext/>
      <w:keepLines/>
      <w:spacing w:before="80" w:after="40" w:line="278" w:lineRule="auto"/>
      <w:outlineLvl w:val="4"/>
    </w:pPr>
    <w:rPr>
      <w:rFonts w:eastAsiaTheme="majorEastAsia" w:cstheme="majorBidi"/>
      <w:color w:val="0F4761" w:themeColor="accent1" w:themeShade="BF"/>
      <w:sz w:val="24"/>
      <w:szCs w:val="24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6FAF"/>
    <w:pPr>
      <w:keepNext/>
      <w:keepLines/>
      <w:spacing w:before="40" w:after="0" w:line="278" w:lineRule="auto"/>
      <w:outlineLvl w:val="5"/>
    </w:pPr>
    <w:rPr>
      <w:rFonts w:eastAsiaTheme="majorEastAsia" w:cstheme="majorBidi"/>
      <w:i/>
      <w:iCs/>
      <w:color w:val="595959" w:themeColor="text1" w:themeTint="A6"/>
      <w:sz w:val="24"/>
      <w:szCs w:val="24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6FAF"/>
    <w:pPr>
      <w:keepNext/>
      <w:keepLines/>
      <w:spacing w:before="40" w:after="0" w:line="278" w:lineRule="auto"/>
      <w:outlineLvl w:val="6"/>
    </w:pPr>
    <w:rPr>
      <w:rFonts w:eastAsiaTheme="majorEastAsia" w:cstheme="majorBidi"/>
      <w:color w:val="595959" w:themeColor="text1" w:themeTint="A6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6FAF"/>
    <w:pPr>
      <w:keepNext/>
      <w:keepLines/>
      <w:spacing w:after="0" w:line="278" w:lineRule="auto"/>
      <w:outlineLvl w:val="7"/>
    </w:pPr>
    <w:rPr>
      <w:rFonts w:eastAsiaTheme="majorEastAsia" w:cstheme="majorBidi"/>
      <w:i/>
      <w:iCs/>
      <w:color w:val="272727" w:themeColor="text1" w:themeTint="D8"/>
      <w:sz w:val="24"/>
      <w:szCs w:val="24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6FAF"/>
    <w:pPr>
      <w:keepNext/>
      <w:keepLines/>
      <w:spacing w:after="0" w:line="278" w:lineRule="auto"/>
      <w:outlineLvl w:val="8"/>
    </w:pPr>
    <w:rPr>
      <w:rFonts w:eastAsiaTheme="majorEastAsia" w:cstheme="majorBidi"/>
      <w:color w:val="272727" w:themeColor="text1" w:themeTint="D8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6FA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6FA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6FA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6FA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6FA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6FA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6FA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6FA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6FA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6FA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6FA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6FAF"/>
    <w:pPr>
      <w:numPr>
        <w:ilvl w:val="1"/>
      </w:numPr>
      <w:spacing w:line="278" w:lineRule="auto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6FA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6FAF"/>
    <w:pPr>
      <w:spacing w:before="160" w:line="278" w:lineRule="auto"/>
      <w:jc w:val="center"/>
    </w:pPr>
    <w:rPr>
      <w:i/>
      <w:iCs/>
      <w:color w:val="404040" w:themeColor="text1" w:themeTint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5C6FA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6FAF"/>
    <w:pPr>
      <w:spacing w:line="278" w:lineRule="auto"/>
      <w:ind w:left="720"/>
      <w:contextualSpacing/>
    </w:pPr>
    <w:rPr>
      <w:sz w:val="24"/>
      <w:szCs w:val="24"/>
    </w:rPr>
  </w:style>
  <w:style w:type="character" w:styleId="IntenseEmphasis">
    <w:name w:val="Intense Emphasis"/>
    <w:basedOn w:val="DefaultParagraphFont"/>
    <w:uiPriority w:val="21"/>
    <w:qFormat/>
    <w:rsid w:val="005C6FA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6FA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78" w:lineRule="auto"/>
      <w:ind w:left="864" w:right="864"/>
      <w:jc w:val="center"/>
    </w:pPr>
    <w:rPr>
      <w:i/>
      <w:iCs/>
      <w:color w:val="0F4761" w:themeColor="accent1" w:themeShade="BF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6FA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6FAF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93344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93344C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D77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D77B8"/>
    <w:rPr>
      <w:sz w:val="22"/>
      <w:szCs w:val="22"/>
    </w:rPr>
  </w:style>
  <w:style w:type="paragraph" w:styleId="Footer">
    <w:name w:val="footer"/>
    <w:basedOn w:val="Normal"/>
    <w:link w:val="FooterChar"/>
    <w:uiPriority w:val="99"/>
    <w:unhideWhenUsed/>
    <w:rsid w:val="00CD77B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D77B8"/>
    <w:rPr>
      <w:sz w:val="22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80/15614263.2012.712292" TargetMode="External"/><Relationship Id="rId13" Type="http://schemas.openxmlformats.org/officeDocument/2006/relationships/hyperlink" Target="https://doi.org/10.1177/1362361320908986" TargetMode="External"/><Relationship Id="rId18" Type="http://schemas.openxmlformats.org/officeDocument/2006/relationships/hyperlink" Target="https://doi.org/10.3390/bs15101416" TargetMode="External"/><Relationship Id="rId26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hyperlink" Target="https://doi.org/10.1027/2151-2604/a000169" TargetMode="External"/><Relationship Id="rId7" Type="http://schemas.openxmlformats.org/officeDocument/2006/relationships/hyperlink" Target="https://doi.org/10.1177/002201830106500108" TargetMode="External"/><Relationship Id="rId12" Type="http://schemas.openxmlformats.org/officeDocument/2006/relationships/hyperlink" Target="https://doi.org/10.1080/10683169908414991" TargetMode="External"/><Relationship Id="rId17" Type="http://schemas.openxmlformats.org/officeDocument/2006/relationships/hyperlink" Target="https://doi.org/10.3758/s13423-022-02147-4" TargetMode="External"/><Relationship Id="rId25" Type="http://schemas.openxmlformats.org/officeDocument/2006/relationships/footer" Target="footer1.xml"/><Relationship Id="rId2" Type="http://schemas.openxmlformats.org/officeDocument/2006/relationships/settings" Target="settings.xml"/><Relationship Id="rId16" Type="http://schemas.openxmlformats.org/officeDocument/2006/relationships/hyperlink" Target="https://doi.org/10.7146/torture.v32i3.128719" TargetMode="External"/><Relationship Id="rId20" Type="http://schemas.openxmlformats.org/officeDocument/2006/relationships/hyperlink" Target="https://doi.org/10.1016/S0191-8869(00)00077-5" TargetMode="External"/><Relationship Id="rId1" Type="http://schemas.openxmlformats.org/officeDocument/2006/relationships/styles" Target="styles.xml"/><Relationship Id="rId6" Type="http://schemas.openxmlformats.org/officeDocument/2006/relationships/image" Target="media/image1.jpg"/><Relationship Id="rId11" Type="http://schemas.openxmlformats.org/officeDocument/2006/relationships/hyperlink" Target="https://doi.org/10.1023/A:1024814009769" TargetMode="External"/><Relationship Id="rId24" Type="http://schemas.openxmlformats.org/officeDocument/2006/relationships/hyperlink" Target="https://doi.org/10.18574/9781479828128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doi.org/10.1016/j.jecp.2009.04.004" TargetMode="External"/><Relationship Id="rId23" Type="http://schemas.openxmlformats.org/officeDocument/2006/relationships/hyperlink" Target="https://doi.org/10.1348/135532509X463356" TargetMode="External"/><Relationship Id="rId10" Type="http://schemas.openxmlformats.org/officeDocument/2006/relationships/hyperlink" Target="https://doi.org/10.1023/A:1024814009769" TargetMode="External"/><Relationship Id="rId19" Type="http://schemas.openxmlformats.org/officeDocument/2006/relationships/hyperlink" Target="https://doi.org/10.1080/1068316X.2026.2651154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doi.org/10.1007/s00127-015-1145-8" TargetMode="External"/><Relationship Id="rId14" Type="http://schemas.openxmlformats.org/officeDocument/2006/relationships/hyperlink" Target="https://doi.org/10.1007/s11292-014-9207-6" TargetMode="External"/><Relationship Id="rId22" Type="http://schemas.openxmlformats.org/officeDocument/2006/relationships/hyperlink" Target="https://doi.org/10.1080/00207144.2011.546180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1251</TotalTime>
  <Pages>13</Pages>
  <Words>2977</Words>
  <Characters>16975</Characters>
  <Application>Microsoft Office Word</Application>
  <DocSecurity>0</DocSecurity>
  <Lines>141</Lines>
  <Paragraphs>39</Paragraphs>
  <ScaleCrop>false</ScaleCrop>
  <Company/>
  <LinksUpToDate>false</LinksUpToDate>
  <CharactersWithSpaces>19913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patricia ruiz cabezas</dc:creator>
  <cp:keywords/>
  <dc:description/>
  <cp:lastModifiedBy>patricia ruiz cabezas</cp:lastModifiedBy>
  <cp:revision>219</cp:revision>
  <dcterms:created xsi:type="dcterms:W3CDTF">2026-09-30T01:23:00Z</dcterms:created>
  <dcterms:modified xsi:type="dcterms:W3CDTF">2026-10-17T11:21:00Z</dcterms:modified>
</cp:coreProperties>
</file>