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06D6C" w14:textId="77777777" w:rsidR="00410FE0" w:rsidRDefault="00410FE0" w:rsidP="00410FE0">
      <w:pPr>
        <w:jc w:val="center"/>
        <w:rPr>
          <w:b/>
          <w:bCs/>
          <w:sz w:val="32"/>
          <w:szCs w:val="32"/>
        </w:rPr>
      </w:pPr>
    </w:p>
    <w:p w14:paraId="04199A7E" w14:textId="77777777" w:rsidR="00410FE0" w:rsidRDefault="00410FE0" w:rsidP="00410FE0">
      <w:pPr>
        <w:jc w:val="center"/>
        <w:rPr>
          <w:b/>
          <w:bCs/>
          <w:sz w:val="32"/>
          <w:szCs w:val="32"/>
        </w:rPr>
      </w:pPr>
    </w:p>
    <w:p w14:paraId="7E5708BB" w14:textId="77777777" w:rsidR="00410FE0" w:rsidRDefault="00410FE0" w:rsidP="00410FE0">
      <w:pPr>
        <w:jc w:val="center"/>
        <w:rPr>
          <w:b/>
          <w:bCs/>
          <w:sz w:val="32"/>
          <w:szCs w:val="32"/>
        </w:rPr>
      </w:pPr>
      <w:r>
        <w:rPr>
          <w:b/>
          <w:bCs/>
          <w:sz w:val="32"/>
          <w:szCs w:val="32"/>
        </w:rPr>
        <w:t xml:space="preserve">A report focusing on: </w:t>
      </w:r>
    </w:p>
    <w:p w14:paraId="7BB2DF87" w14:textId="77777777" w:rsidR="00410FE0" w:rsidRDefault="00410FE0" w:rsidP="00410FE0">
      <w:pPr>
        <w:jc w:val="center"/>
        <w:rPr>
          <w:b/>
          <w:bCs/>
          <w:sz w:val="32"/>
          <w:szCs w:val="32"/>
        </w:rPr>
      </w:pPr>
      <w:r>
        <w:rPr>
          <w:b/>
          <w:bCs/>
          <w:sz w:val="32"/>
          <w:szCs w:val="32"/>
        </w:rPr>
        <w:t>Negligence within construction</w:t>
      </w:r>
    </w:p>
    <w:p w14:paraId="75B3B4F9" w14:textId="77777777" w:rsidR="00410FE0" w:rsidRDefault="00410FE0" w:rsidP="00410FE0">
      <w:pPr>
        <w:jc w:val="center"/>
        <w:rPr>
          <w:b/>
          <w:bCs/>
          <w:sz w:val="32"/>
          <w:szCs w:val="32"/>
        </w:rPr>
      </w:pPr>
    </w:p>
    <w:p w14:paraId="5560B3B1" w14:textId="77777777" w:rsidR="00410FE0" w:rsidRDefault="00410FE0" w:rsidP="00410FE0">
      <w:pPr>
        <w:jc w:val="center"/>
        <w:rPr>
          <w:b/>
          <w:bCs/>
          <w:sz w:val="32"/>
          <w:szCs w:val="32"/>
        </w:rPr>
      </w:pPr>
    </w:p>
    <w:p w14:paraId="4BF66F0C" w14:textId="00041AA3" w:rsidR="00410FE0" w:rsidRDefault="00410FE0" w:rsidP="00410FE0">
      <w:pPr>
        <w:jc w:val="center"/>
        <w:rPr>
          <w:b/>
          <w:bCs/>
          <w:sz w:val="32"/>
          <w:szCs w:val="32"/>
        </w:rPr>
      </w:pPr>
      <w:r>
        <w:rPr>
          <w:b/>
          <w:bCs/>
          <w:sz w:val="32"/>
          <w:szCs w:val="32"/>
        </w:rPr>
        <w:t xml:space="preserve">Created </w:t>
      </w:r>
      <w:r w:rsidR="00D672E9">
        <w:rPr>
          <w:b/>
          <w:bCs/>
          <w:sz w:val="32"/>
          <w:szCs w:val="32"/>
        </w:rPr>
        <w:t>For:</w:t>
      </w:r>
    </w:p>
    <w:p w14:paraId="79CA2D06" w14:textId="22268362" w:rsidR="00410FE0" w:rsidRDefault="00D672E9" w:rsidP="00410FE0">
      <w:pPr>
        <w:jc w:val="center"/>
        <w:rPr>
          <w:sz w:val="32"/>
          <w:szCs w:val="32"/>
        </w:rPr>
      </w:pPr>
      <w:r>
        <w:rPr>
          <w:sz w:val="32"/>
          <w:szCs w:val="32"/>
        </w:rPr>
        <w:t>L. Hopkinson</w:t>
      </w:r>
      <w:r w:rsidR="00410FE0">
        <w:rPr>
          <w:sz w:val="32"/>
          <w:szCs w:val="32"/>
        </w:rPr>
        <w:t xml:space="preserve"> </w:t>
      </w:r>
    </w:p>
    <w:p w14:paraId="76AC940D" w14:textId="77777777" w:rsidR="00410FE0" w:rsidRDefault="00410FE0" w:rsidP="00410FE0">
      <w:pPr>
        <w:jc w:val="center"/>
        <w:rPr>
          <w:sz w:val="32"/>
          <w:szCs w:val="32"/>
        </w:rPr>
      </w:pPr>
    </w:p>
    <w:p w14:paraId="1D37DBA1" w14:textId="77777777" w:rsidR="00410FE0" w:rsidRDefault="00410FE0" w:rsidP="00410FE0">
      <w:pPr>
        <w:jc w:val="center"/>
        <w:rPr>
          <w:b/>
          <w:bCs/>
          <w:sz w:val="32"/>
          <w:szCs w:val="32"/>
        </w:rPr>
      </w:pPr>
    </w:p>
    <w:p w14:paraId="064557AB" w14:textId="77777777" w:rsidR="00410FE0" w:rsidRDefault="00410FE0" w:rsidP="00410FE0">
      <w:pPr>
        <w:jc w:val="center"/>
        <w:rPr>
          <w:b/>
          <w:bCs/>
          <w:sz w:val="32"/>
          <w:szCs w:val="32"/>
        </w:rPr>
      </w:pPr>
    </w:p>
    <w:p w14:paraId="6A9CCCA2" w14:textId="02F18343" w:rsidR="00410FE0" w:rsidRDefault="00410FE0" w:rsidP="00410FE0">
      <w:pPr>
        <w:jc w:val="center"/>
        <w:rPr>
          <w:b/>
          <w:bCs/>
          <w:sz w:val="32"/>
          <w:szCs w:val="32"/>
        </w:rPr>
      </w:pPr>
      <w:r>
        <w:rPr>
          <w:b/>
          <w:bCs/>
          <w:sz w:val="32"/>
          <w:szCs w:val="32"/>
        </w:rPr>
        <w:t>Created By:</w:t>
      </w:r>
    </w:p>
    <w:p w14:paraId="39FF2061" w14:textId="61A4CBD8" w:rsidR="00410FE0" w:rsidRPr="00410FE0" w:rsidRDefault="00410FE0" w:rsidP="00410FE0">
      <w:pPr>
        <w:jc w:val="center"/>
        <w:rPr>
          <w:sz w:val="32"/>
          <w:szCs w:val="32"/>
        </w:rPr>
      </w:pPr>
      <w:r w:rsidRPr="00410FE0">
        <w:rPr>
          <w:sz w:val="32"/>
          <w:szCs w:val="32"/>
        </w:rPr>
        <w:t>Ieuan Vokes</w:t>
      </w:r>
    </w:p>
    <w:p w14:paraId="2B56C9F7" w14:textId="3B8ED7B5" w:rsidR="00410FE0" w:rsidRDefault="00410FE0" w:rsidP="00410FE0">
      <w:pPr>
        <w:jc w:val="center"/>
        <w:rPr>
          <w:b/>
          <w:bCs/>
          <w:sz w:val="32"/>
          <w:szCs w:val="32"/>
        </w:rPr>
      </w:pPr>
    </w:p>
    <w:p w14:paraId="71F5FF76" w14:textId="0556415D" w:rsidR="00410FE0" w:rsidRDefault="00410FE0" w:rsidP="00410FE0">
      <w:pPr>
        <w:jc w:val="center"/>
        <w:rPr>
          <w:b/>
          <w:bCs/>
          <w:sz w:val="32"/>
          <w:szCs w:val="32"/>
        </w:rPr>
      </w:pPr>
    </w:p>
    <w:p w14:paraId="59164B0D" w14:textId="0A2D106A" w:rsidR="00410FE0" w:rsidRDefault="00410FE0" w:rsidP="00410FE0">
      <w:pPr>
        <w:jc w:val="center"/>
        <w:rPr>
          <w:b/>
          <w:bCs/>
          <w:sz w:val="32"/>
          <w:szCs w:val="32"/>
        </w:rPr>
      </w:pPr>
    </w:p>
    <w:p w14:paraId="7DDB580B" w14:textId="62CD9E46" w:rsidR="00410FE0" w:rsidRDefault="00410FE0" w:rsidP="00410FE0">
      <w:pPr>
        <w:jc w:val="center"/>
        <w:rPr>
          <w:b/>
          <w:bCs/>
          <w:sz w:val="32"/>
          <w:szCs w:val="32"/>
        </w:rPr>
      </w:pPr>
    </w:p>
    <w:p w14:paraId="053DBC13" w14:textId="23765B29" w:rsidR="00410FE0" w:rsidRDefault="00410FE0" w:rsidP="00410FE0">
      <w:pPr>
        <w:jc w:val="center"/>
        <w:rPr>
          <w:b/>
          <w:bCs/>
          <w:sz w:val="32"/>
          <w:szCs w:val="32"/>
        </w:rPr>
      </w:pPr>
      <w:r>
        <w:rPr>
          <w:b/>
          <w:bCs/>
          <w:sz w:val="32"/>
          <w:szCs w:val="32"/>
        </w:rPr>
        <w:t>Date Completed:</w:t>
      </w:r>
    </w:p>
    <w:p w14:paraId="0E93F815" w14:textId="21CF1D2C" w:rsidR="00410FE0" w:rsidRDefault="003E2035" w:rsidP="00410FE0">
      <w:pPr>
        <w:jc w:val="center"/>
        <w:rPr>
          <w:b/>
          <w:bCs/>
          <w:sz w:val="32"/>
          <w:szCs w:val="32"/>
        </w:rPr>
      </w:pPr>
      <w:r>
        <w:rPr>
          <w:b/>
          <w:bCs/>
          <w:sz w:val="32"/>
          <w:szCs w:val="32"/>
        </w:rPr>
        <w:t>01/12/2022</w:t>
      </w:r>
    </w:p>
    <w:p w14:paraId="1F4FED85" w14:textId="5857D4CB" w:rsidR="00E370BF" w:rsidRDefault="00E370BF" w:rsidP="00410FE0">
      <w:pPr>
        <w:jc w:val="center"/>
        <w:rPr>
          <w:b/>
          <w:bCs/>
          <w:sz w:val="32"/>
          <w:szCs w:val="32"/>
        </w:rPr>
      </w:pPr>
    </w:p>
    <w:p w14:paraId="3C8B4E0B" w14:textId="473DD982" w:rsidR="00E370BF" w:rsidRDefault="00E370BF" w:rsidP="00410FE0">
      <w:pPr>
        <w:jc w:val="center"/>
        <w:rPr>
          <w:b/>
          <w:bCs/>
          <w:sz w:val="32"/>
          <w:szCs w:val="32"/>
        </w:rPr>
      </w:pPr>
    </w:p>
    <w:p w14:paraId="2ACE1E14" w14:textId="4064B48A" w:rsidR="00E370BF" w:rsidRDefault="00E370BF" w:rsidP="00410FE0">
      <w:pPr>
        <w:jc w:val="center"/>
        <w:rPr>
          <w:b/>
          <w:bCs/>
          <w:sz w:val="32"/>
          <w:szCs w:val="32"/>
        </w:rPr>
      </w:pPr>
    </w:p>
    <w:p w14:paraId="726EF2B6" w14:textId="2562357E" w:rsidR="00E370BF" w:rsidRDefault="00E370BF" w:rsidP="00410FE0">
      <w:pPr>
        <w:jc w:val="center"/>
        <w:rPr>
          <w:b/>
          <w:bCs/>
          <w:sz w:val="32"/>
          <w:szCs w:val="32"/>
        </w:rPr>
      </w:pPr>
    </w:p>
    <w:p w14:paraId="43AAE28A" w14:textId="0DC191B7" w:rsidR="00E370BF" w:rsidRDefault="00E370BF" w:rsidP="00410FE0">
      <w:pPr>
        <w:jc w:val="center"/>
        <w:rPr>
          <w:b/>
          <w:bCs/>
          <w:sz w:val="32"/>
          <w:szCs w:val="32"/>
        </w:rPr>
      </w:pPr>
    </w:p>
    <w:p w14:paraId="55FFDB31" w14:textId="5388CC1A" w:rsidR="00E370BF" w:rsidRDefault="00E370BF" w:rsidP="00410FE0">
      <w:pPr>
        <w:jc w:val="center"/>
        <w:rPr>
          <w:b/>
          <w:bCs/>
          <w:sz w:val="32"/>
          <w:szCs w:val="32"/>
        </w:rPr>
      </w:pPr>
    </w:p>
    <w:p w14:paraId="420AF177" w14:textId="38DE2AE9" w:rsidR="00E370BF" w:rsidRDefault="00E370BF" w:rsidP="00410FE0">
      <w:pPr>
        <w:jc w:val="center"/>
        <w:rPr>
          <w:b/>
          <w:bCs/>
          <w:sz w:val="32"/>
          <w:szCs w:val="32"/>
        </w:rPr>
      </w:pPr>
    </w:p>
    <w:p w14:paraId="3E210DD4" w14:textId="151C480C" w:rsidR="00E370BF" w:rsidRDefault="00E370BF" w:rsidP="00410FE0">
      <w:pPr>
        <w:jc w:val="center"/>
        <w:rPr>
          <w:b/>
          <w:bCs/>
          <w:sz w:val="32"/>
          <w:szCs w:val="32"/>
        </w:rPr>
      </w:pPr>
    </w:p>
    <w:p w14:paraId="7904B984" w14:textId="1B7E0BFB" w:rsidR="00E370BF" w:rsidRDefault="00E370BF" w:rsidP="00E370BF">
      <w:pPr>
        <w:rPr>
          <w:b/>
          <w:bCs/>
          <w:sz w:val="24"/>
          <w:szCs w:val="24"/>
          <w:u w:val="single"/>
        </w:rPr>
      </w:pPr>
      <w:r>
        <w:rPr>
          <w:b/>
          <w:bCs/>
          <w:sz w:val="24"/>
          <w:szCs w:val="24"/>
          <w:u w:val="single"/>
        </w:rPr>
        <w:t xml:space="preserve">Table of Contents </w:t>
      </w:r>
    </w:p>
    <w:p w14:paraId="57504581" w14:textId="770B011C" w:rsidR="00E370BF" w:rsidRDefault="00E370BF" w:rsidP="00E370BF">
      <w:pPr>
        <w:pStyle w:val="ListParagraph"/>
        <w:numPr>
          <w:ilvl w:val="0"/>
          <w:numId w:val="1"/>
        </w:numPr>
        <w:spacing w:line="480" w:lineRule="auto"/>
        <w:rPr>
          <w:b/>
          <w:bCs/>
          <w:sz w:val="24"/>
          <w:szCs w:val="24"/>
          <w:u w:val="single"/>
        </w:rPr>
      </w:pPr>
      <w:r w:rsidRPr="00E370BF">
        <w:rPr>
          <w:b/>
          <w:bCs/>
          <w:sz w:val="24"/>
          <w:szCs w:val="24"/>
          <w:u w:val="single"/>
        </w:rPr>
        <w:t xml:space="preserve">Summary of </w:t>
      </w:r>
      <w:r w:rsidR="008D5FF1" w:rsidRPr="00E370BF">
        <w:rPr>
          <w:b/>
          <w:bCs/>
          <w:sz w:val="24"/>
          <w:szCs w:val="24"/>
          <w:u w:val="single"/>
        </w:rPr>
        <w:t xml:space="preserve">works </w:t>
      </w:r>
      <w:r w:rsidR="008D5FF1">
        <w:rPr>
          <w:b/>
          <w:bCs/>
          <w:sz w:val="24"/>
          <w:szCs w:val="24"/>
          <w:u w:val="single"/>
        </w:rPr>
        <w:t xml:space="preserve">- Page 3 </w:t>
      </w:r>
    </w:p>
    <w:p w14:paraId="245AADEB" w14:textId="4DDCA2C6" w:rsidR="00E370BF" w:rsidRDefault="00E370BF" w:rsidP="00E370BF">
      <w:pPr>
        <w:pStyle w:val="ListParagraph"/>
        <w:numPr>
          <w:ilvl w:val="0"/>
          <w:numId w:val="1"/>
        </w:numPr>
        <w:spacing w:line="480" w:lineRule="auto"/>
        <w:rPr>
          <w:b/>
          <w:bCs/>
          <w:sz w:val="24"/>
          <w:szCs w:val="24"/>
          <w:u w:val="single"/>
        </w:rPr>
      </w:pPr>
      <w:r>
        <w:rPr>
          <w:b/>
          <w:bCs/>
          <w:sz w:val="24"/>
          <w:szCs w:val="24"/>
          <w:u w:val="single"/>
        </w:rPr>
        <w:t xml:space="preserve">Terms of reference </w:t>
      </w:r>
      <w:r w:rsidR="008D5FF1">
        <w:rPr>
          <w:b/>
          <w:bCs/>
          <w:sz w:val="24"/>
          <w:szCs w:val="24"/>
          <w:u w:val="single"/>
        </w:rPr>
        <w:t>– Page 3</w:t>
      </w:r>
      <w:r w:rsidR="00380C47">
        <w:rPr>
          <w:b/>
          <w:bCs/>
          <w:sz w:val="24"/>
          <w:szCs w:val="24"/>
          <w:u w:val="single"/>
        </w:rPr>
        <w:t>/4</w:t>
      </w:r>
      <w:r w:rsidR="008D5FF1">
        <w:rPr>
          <w:b/>
          <w:bCs/>
          <w:sz w:val="24"/>
          <w:szCs w:val="24"/>
          <w:u w:val="single"/>
        </w:rPr>
        <w:t xml:space="preserve"> </w:t>
      </w:r>
    </w:p>
    <w:p w14:paraId="0010AC3D" w14:textId="6E753559" w:rsidR="00E370BF" w:rsidRDefault="00E370BF" w:rsidP="00E370BF">
      <w:pPr>
        <w:pStyle w:val="ListParagraph"/>
        <w:numPr>
          <w:ilvl w:val="0"/>
          <w:numId w:val="1"/>
        </w:numPr>
        <w:spacing w:line="480" w:lineRule="auto"/>
        <w:rPr>
          <w:b/>
          <w:bCs/>
          <w:sz w:val="24"/>
          <w:szCs w:val="24"/>
          <w:u w:val="single"/>
        </w:rPr>
      </w:pPr>
      <w:r>
        <w:rPr>
          <w:b/>
          <w:bCs/>
          <w:sz w:val="24"/>
          <w:szCs w:val="24"/>
          <w:u w:val="single"/>
        </w:rPr>
        <w:t xml:space="preserve">Procedures </w:t>
      </w:r>
      <w:r w:rsidR="008D5FF1">
        <w:rPr>
          <w:b/>
          <w:bCs/>
          <w:sz w:val="24"/>
          <w:szCs w:val="24"/>
          <w:u w:val="single"/>
        </w:rPr>
        <w:t xml:space="preserve">– Page </w:t>
      </w:r>
      <w:r w:rsidR="00380C47">
        <w:rPr>
          <w:b/>
          <w:bCs/>
          <w:sz w:val="24"/>
          <w:szCs w:val="24"/>
          <w:u w:val="single"/>
        </w:rPr>
        <w:t>4</w:t>
      </w:r>
    </w:p>
    <w:p w14:paraId="32E168A9" w14:textId="42B5C18C" w:rsidR="00E370BF" w:rsidRDefault="00E370BF" w:rsidP="00E370BF">
      <w:pPr>
        <w:pStyle w:val="ListParagraph"/>
        <w:numPr>
          <w:ilvl w:val="0"/>
          <w:numId w:val="1"/>
        </w:numPr>
        <w:spacing w:line="480" w:lineRule="auto"/>
        <w:rPr>
          <w:b/>
          <w:bCs/>
          <w:sz w:val="24"/>
          <w:szCs w:val="24"/>
          <w:u w:val="single"/>
        </w:rPr>
      </w:pPr>
      <w:r>
        <w:rPr>
          <w:b/>
          <w:bCs/>
          <w:sz w:val="24"/>
          <w:szCs w:val="24"/>
          <w:u w:val="single"/>
        </w:rPr>
        <w:t>Findings</w:t>
      </w:r>
      <w:r w:rsidR="00CA50D5">
        <w:rPr>
          <w:b/>
          <w:bCs/>
          <w:sz w:val="24"/>
          <w:szCs w:val="24"/>
          <w:u w:val="single"/>
        </w:rPr>
        <w:t xml:space="preserve"> – </w:t>
      </w:r>
      <w:r w:rsidR="006F45A8">
        <w:rPr>
          <w:b/>
          <w:bCs/>
          <w:sz w:val="24"/>
          <w:szCs w:val="24"/>
          <w:u w:val="single"/>
        </w:rPr>
        <w:t>Page 4</w:t>
      </w:r>
      <w:r w:rsidR="00663F41">
        <w:rPr>
          <w:b/>
          <w:bCs/>
          <w:sz w:val="24"/>
          <w:szCs w:val="24"/>
          <w:u w:val="single"/>
        </w:rPr>
        <w:t>/5/</w:t>
      </w:r>
      <w:r w:rsidR="006D248C">
        <w:rPr>
          <w:b/>
          <w:bCs/>
          <w:sz w:val="24"/>
          <w:szCs w:val="24"/>
          <w:u w:val="single"/>
        </w:rPr>
        <w:t>6</w:t>
      </w:r>
      <w:r w:rsidR="00DF69F7">
        <w:rPr>
          <w:b/>
          <w:bCs/>
          <w:sz w:val="24"/>
          <w:szCs w:val="24"/>
          <w:u w:val="single"/>
        </w:rPr>
        <w:t>/7</w:t>
      </w:r>
    </w:p>
    <w:p w14:paraId="581396E1" w14:textId="5262F632" w:rsidR="00264B1C" w:rsidRDefault="00E370BF" w:rsidP="002F4495">
      <w:pPr>
        <w:pStyle w:val="ListParagraph"/>
        <w:numPr>
          <w:ilvl w:val="0"/>
          <w:numId w:val="1"/>
        </w:numPr>
        <w:spacing w:line="480" w:lineRule="auto"/>
        <w:rPr>
          <w:b/>
          <w:bCs/>
          <w:sz w:val="24"/>
          <w:szCs w:val="24"/>
          <w:u w:val="single"/>
        </w:rPr>
      </w:pPr>
      <w:r w:rsidRPr="002F4495">
        <w:rPr>
          <w:b/>
          <w:bCs/>
          <w:sz w:val="24"/>
          <w:szCs w:val="24"/>
          <w:u w:val="single"/>
        </w:rPr>
        <w:t xml:space="preserve">References </w:t>
      </w:r>
      <w:r w:rsidR="00CA50D5" w:rsidRPr="002F4495">
        <w:rPr>
          <w:b/>
          <w:bCs/>
          <w:sz w:val="24"/>
          <w:szCs w:val="24"/>
          <w:u w:val="single"/>
        </w:rPr>
        <w:t xml:space="preserve">– Page </w:t>
      </w:r>
      <w:r w:rsidR="00DF69F7">
        <w:rPr>
          <w:b/>
          <w:bCs/>
          <w:sz w:val="24"/>
          <w:szCs w:val="24"/>
          <w:u w:val="single"/>
        </w:rPr>
        <w:t xml:space="preserve">7/8 </w:t>
      </w:r>
    </w:p>
    <w:p w14:paraId="1BCEE497" w14:textId="342DB452" w:rsidR="00E370BF" w:rsidRDefault="00E370BF" w:rsidP="00E370BF">
      <w:pPr>
        <w:spacing w:line="480" w:lineRule="auto"/>
        <w:rPr>
          <w:b/>
          <w:bCs/>
          <w:sz w:val="24"/>
          <w:szCs w:val="24"/>
          <w:u w:val="single"/>
        </w:rPr>
      </w:pPr>
    </w:p>
    <w:p w14:paraId="586B7A24" w14:textId="2E399471" w:rsidR="00E370BF" w:rsidRDefault="00E370BF" w:rsidP="00E370BF">
      <w:pPr>
        <w:spacing w:line="480" w:lineRule="auto"/>
        <w:rPr>
          <w:b/>
          <w:bCs/>
          <w:sz w:val="24"/>
          <w:szCs w:val="24"/>
          <w:u w:val="single"/>
        </w:rPr>
      </w:pPr>
    </w:p>
    <w:p w14:paraId="720072F6" w14:textId="16474540" w:rsidR="00E370BF" w:rsidRDefault="00E370BF" w:rsidP="00E370BF">
      <w:pPr>
        <w:spacing w:line="480" w:lineRule="auto"/>
        <w:rPr>
          <w:b/>
          <w:bCs/>
          <w:sz w:val="24"/>
          <w:szCs w:val="24"/>
          <w:u w:val="single"/>
        </w:rPr>
      </w:pPr>
    </w:p>
    <w:p w14:paraId="473861B8" w14:textId="5909B5E5" w:rsidR="00E370BF" w:rsidRDefault="00E370BF" w:rsidP="00E370BF">
      <w:pPr>
        <w:spacing w:line="480" w:lineRule="auto"/>
        <w:rPr>
          <w:b/>
          <w:bCs/>
          <w:sz w:val="24"/>
          <w:szCs w:val="24"/>
          <w:u w:val="single"/>
        </w:rPr>
      </w:pPr>
    </w:p>
    <w:p w14:paraId="6493FB2A" w14:textId="1C176675" w:rsidR="00E370BF" w:rsidRDefault="00E370BF" w:rsidP="00E370BF">
      <w:pPr>
        <w:spacing w:line="480" w:lineRule="auto"/>
        <w:rPr>
          <w:b/>
          <w:bCs/>
          <w:sz w:val="24"/>
          <w:szCs w:val="24"/>
          <w:u w:val="single"/>
        </w:rPr>
      </w:pPr>
    </w:p>
    <w:p w14:paraId="48C25512" w14:textId="624660B7" w:rsidR="00E370BF" w:rsidRDefault="00E370BF" w:rsidP="00E370BF">
      <w:pPr>
        <w:spacing w:line="480" w:lineRule="auto"/>
        <w:rPr>
          <w:b/>
          <w:bCs/>
          <w:sz w:val="24"/>
          <w:szCs w:val="24"/>
          <w:u w:val="single"/>
        </w:rPr>
      </w:pPr>
    </w:p>
    <w:p w14:paraId="40F929C4" w14:textId="31C42383" w:rsidR="00E370BF" w:rsidRDefault="00E370BF" w:rsidP="00E370BF">
      <w:pPr>
        <w:spacing w:line="480" w:lineRule="auto"/>
        <w:rPr>
          <w:b/>
          <w:bCs/>
          <w:sz w:val="24"/>
          <w:szCs w:val="24"/>
          <w:u w:val="single"/>
        </w:rPr>
      </w:pPr>
    </w:p>
    <w:p w14:paraId="4C93343A" w14:textId="46477487" w:rsidR="00E370BF" w:rsidRDefault="00E370BF" w:rsidP="00E370BF">
      <w:pPr>
        <w:spacing w:line="480" w:lineRule="auto"/>
        <w:rPr>
          <w:b/>
          <w:bCs/>
          <w:sz w:val="24"/>
          <w:szCs w:val="24"/>
          <w:u w:val="single"/>
        </w:rPr>
      </w:pPr>
    </w:p>
    <w:p w14:paraId="3E4E489E" w14:textId="5C44AC9D" w:rsidR="00E370BF" w:rsidRDefault="00E370BF" w:rsidP="00E370BF">
      <w:pPr>
        <w:spacing w:line="480" w:lineRule="auto"/>
        <w:rPr>
          <w:b/>
          <w:bCs/>
          <w:sz w:val="24"/>
          <w:szCs w:val="24"/>
          <w:u w:val="single"/>
        </w:rPr>
      </w:pPr>
    </w:p>
    <w:p w14:paraId="519EED5C" w14:textId="5904B298" w:rsidR="00E370BF" w:rsidRDefault="00E370BF" w:rsidP="00E370BF">
      <w:pPr>
        <w:spacing w:line="480" w:lineRule="auto"/>
        <w:rPr>
          <w:b/>
          <w:bCs/>
          <w:sz w:val="24"/>
          <w:szCs w:val="24"/>
          <w:u w:val="single"/>
        </w:rPr>
      </w:pPr>
    </w:p>
    <w:p w14:paraId="6C1DD6C0" w14:textId="6CF65FFB" w:rsidR="00E370BF" w:rsidRDefault="00E370BF" w:rsidP="00E370BF">
      <w:pPr>
        <w:spacing w:line="480" w:lineRule="auto"/>
        <w:rPr>
          <w:b/>
          <w:bCs/>
          <w:sz w:val="24"/>
          <w:szCs w:val="24"/>
          <w:u w:val="single"/>
        </w:rPr>
      </w:pPr>
    </w:p>
    <w:p w14:paraId="42CCFF91" w14:textId="77777777" w:rsidR="00B86609" w:rsidRDefault="00B86609" w:rsidP="00E370BF">
      <w:pPr>
        <w:spacing w:line="480" w:lineRule="auto"/>
        <w:rPr>
          <w:b/>
          <w:bCs/>
          <w:sz w:val="24"/>
          <w:szCs w:val="24"/>
          <w:u w:val="single"/>
        </w:rPr>
      </w:pPr>
    </w:p>
    <w:p w14:paraId="3E049C0C" w14:textId="5090B760" w:rsidR="00E370BF" w:rsidRDefault="00D672E9" w:rsidP="00C0017E">
      <w:pPr>
        <w:pStyle w:val="ListParagraph"/>
        <w:numPr>
          <w:ilvl w:val="0"/>
          <w:numId w:val="2"/>
        </w:numPr>
        <w:spacing w:line="480" w:lineRule="auto"/>
        <w:jc w:val="both"/>
        <w:rPr>
          <w:b/>
          <w:bCs/>
          <w:sz w:val="24"/>
          <w:szCs w:val="24"/>
          <w:u w:val="single"/>
        </w:rPr>
      </w:pPr>
      <w:r w:rsidRPr="00D672E9">
        <w:rPr>
          <w:b/>
          <w:bCs/>
          <w:sz w:val="24"/>
          <w:szCs w:val="24"/>
          <w:u w:val="single"/>
        </w:rPr>
        <w:lastRenderedPageBreak/>
        <w:t xml:space="preserve">Summary of works </w:t>
      </w:r>
    </w:p>
    <w:p w14:paraId="5AD7B790" w14:textId="632646B5" w:rsidR="00D672E9" w:rsidRDefault="0004091E" w:rsidP="00C0017E">
      <w:pPr>
        <w:spacing w:line="276" w:lineRule="auto"/>
        <w:ind w:left="720"/>
        <w:jc w:val="both"/>
      </w:pPr>
      <w:r>
        <w:t xml:space="preserve">I </w:t>
      </w:r>
      <w:r w:rsidR="006D4E49">
        <w:t>will create</w:t>
      </w:r>
      <w:r>
        <w:t xml:space="preserve"> </w:t>
      </w:r>
      <w:r w:rsidR="006D4E49">
        <w:t xml:space="preserve">a </w:t>
      </w:r>
      <w:r>
        <w:t xml:space="preserve">report so that I </w:t>
      </w:r>
      <w:r w:rsidR="006D4E49">
        <w:t>can</w:t>
      </w:r>
      <w:r>
        <w:t xml:space="preserve"> gain an understanding of the essential elements of torts law of negligence. I</w:t>
      </w:r>
      <w:r w:rsidR="006D4E49">
        <w:t xml:space="preserve"> will also look to complete research on cases that have already occurred. I will take time to take </w:t>
      </w:r>
      <w:r w:rsidR="0052499E">
        <w:t>to complete a detailed review</w:t>
      </w:r>
      <w:r w:rsidR="006D4E49">
        <w:t xml:space="preserve"> at these cases and understand the affect that they had on their project. One Case I will take a particular look into will be the case </w:t>
      </w:r>
      <w:r w:rsidR="00ED5B7C">
        <w:t xml:space="preserve">between Vinci Construction UK LTD and Beumer Group UK LTD [2018]. </w:t>
      </w:r>
    </w:p>
    <w:p w14:paraId="7652B0D8" w14:textId="77777777" w:rsidR="00360419" w:rsidRDefault="00ED5B7C" w:rsidP="00360419">
      <w:pPr>
        <w:spacing w:line="480" w:lineRule="auto"/>
        <w:ind w:left="720"/>
        <w:jc w:val="both"/>
        <w:rPr>
          <w:b/>
          <w:bCs/>
          <w:sz w:val="24"/>
          <w:szCs w:val="24"/>
          <w:u w:val="single"/>
        </w:rPr>
      </w:pPr>
      <w:r>
        <w:rPr>
          <w:b/>
          <w:bCs/>
          <w:sz w:val="24"/>
          <w:szCs w:val="24"/>
          <w:u w:val="single"/>
        </w:rPr>
        <w:t>2.0 Terms of Reference</w:t>
      </w:r>
    </w:p>
    <w:p w14:paraId="08626257" w14:textId="541CF793" w:rsidR="009F6B87" w:rsidRPr="00360419" w:rsidRDefault="009F6B87" w:rsidP="00360419">
      <w:pPr>
        <w:spacing w:line="480" w:lineRule="auto"/>
        <w:ind w:left="720"/>
        <w:jc w:val="both"/>
        <w:rPr>
          <w:b/>
          <w:bCs/>
          <w:sz w:val="24"/>
          <w:szCs w:val="24"/>
          <w:u w:val="single"/>
        </w:rPr>
      </w:pPr>
      <w:r>
        <w:rPr>
          <w:b/>
          <w:bCs/>
          <w:sz w:val="24"/>
          <w:szCs w:val="24"/>
          <w:u w:val="single"/>
        </w:rPr>
        <w:t xml:space="preserve">2.1 </w:t>
      </w:r>
      <w:r>
        <w:rPr>
          <w:sz w:val="24"/>
          <w:szCs w:val="24"/>
        </w:rPr>
        <w:t>Describe What torts law of negligence is and the key elements within it.</w:t>
      </w:r>
    </w:p>
    <w:p w14:paraId="69F1C071" w14:textId="7FD57FA1" w:rsidR="00360419" w:rsidRDefault="00C51E54" w:rsidP="00360419">
      <w:pPr>
        <w:spacing w:line="276" w:lineRule="auto"/>
        <w:ind w:left="720"/>
        <w:jc w:val="both"/>
        <w:rPr>
          <w:b/>
          <w:bCs/>
          <w:sz w:val="24"/>
          <w:szCs w:val="24"/>
          <w:u w:val="single"/>
        </w:rPr>
      </w:pPr>
      <w:r>
        <w:rPr>
          <w:sz w:val="24"/>
          <w:szCs w:val="24"/>
        </w:rPr>
        <w:t>“</w:t>
      </w:r>
      <w:r w:rsidR="00C0017E" w:rsidRPr="00C0017E">
        <w:rPr>
          <w:sz w:val="24"/>
          <w:szCs w:val="24"/>
        </w:rPr>
        <w:t>The name given to the branch of law that imposes civil liability for breach of obligations imposed by law. The most common tort is the tort of </w:t>
      </w:r>
      <w:r w:rsidR="00C0017E" w:rsidRPr="00380C47">
        <w:rPr>
          <w:sz w:val="24"/>
          <w:szCs w:val="24"/>
        </w:rPr>
        <w:t>negligence</w:t>
      </w:r>
      <w:r w:rsidR="00C0017E" w:rsidRPr="00C0017E">
        <w:rPr>
          <w:sz w:val="24"/>
          <w:szCs w:val="24"/>
        </w:rPr>
        <w:t xml:space="preserve"> which imposes an obligation not to breach the duty of care (that is, the duty to behave as a reasonable person would behave in the circumstances) which the law says is owed to those who may foreseeably be injured by any </w:t>
      </w:r>
      <w:r w:rsidR="00D97FCA" w:rsidRPr="00C0017E">
        <w:rPr>
          <w:sz w:val="24"/>
          <w:szCs w:val="24"/>
        </w:rPr>
        <w:t>conduct</w:t>
      </w:r>
      <w:r>
        <w:rPr>
          <w:sz w:val="24"/>
          <w:szCs w:val="24"/>
        </w:rPr>
        <w:t>”</w:t>
      </w:r>
      <w:r w:rsidR="00D97FCA" w:rsidRPr="00C0017E">
        <w:rPr>
          <w:sz w:val="24"/>
          <w:szCs w:val="24"/>
        </w:rPr>
        <w:t>. [</w:t>
      </w:r>
      <w:r w:rsidR="00C0017E" w:rsidRPr="00C0017E">
        <w:rPr>
          <w:sz w:val="24"/>
          <w:szCs w:val="24"/>
        </w:rPr>
        <w:t>THOMSON REUTERS,2022]</w:t>
      </w:r>
    </w:p>
    <w:p w14:paraId="17F69CB3" w14:textId="7CEB27D6" w:rsidR="000226AE" w:rsidRPr="00360419" w:rsidRDefault="000226AE" w:rsidP="00360419">
      <w:pPr>
        <w:spacing w:line="276" w:lineRule="auto"/>
        <w:ind w:left="720"/>
        <w:jc w:val="both"/>
        <w:rPr>
          <w:b/>
          <w:bCs/>
          <w:sz w:val="24"/>
          <w:szCs w:val="24"/>
          <w:u w:val="single"/>
        </w:rPr>
      </w:pPr>
      <w:r>
        <w:rPr>
          <w:sz w:val="24"/>
          <w:szCs w:val="24"/>
        </w:rPr>
        <w:t>Torts law of negligence can be classe</w:t>
      </w:r>
      <w:r w:rsidR="0017635E">
        <w:rPr>
          <w:sz w:val="24"/>
          <w:szCs w:val="24"/>
        </w:rPr>
        <w:t>d</w:t>
      </w:r>
      <w:r>
        <w:rPr>
          <w:sz w:val="24"/>
          <w:szCs w:val="24"/>
        </w:rPr>
        <w:t xml:space="preserve"> as a civil wrong. By this </w:t>
      </w:r>
      <w:r w:rsidR="00AC726D">
        <w:rPr>
          <w:sz w:val="24"/>
          <w:szCs w:val="24"/>
        </w:rPr>
        <w:t xml:space="preserve">I mean that it relates to unreasonable risk of harm to a person or their property. </w:t>
      </w:r>
    </w:p>
    <w:p w14:paraId="596389B7" w14:textId="41608893" w:rsidR="003D6FF1" w:rsidRDefault="003D6FF1" w:rsidP="00C0017E">
      <w:pPr>
        <w:spacing w:line="276" w:lineRule="auto"/>
        <w:ind w:left="720"/>
        <w:jc w:val="both"/>
        <w:rPr>
          <w:sz w:val="24"/>
          <w:szCs w:val="24"/>
        </w:rPr>
      </w:pPr>
      <w:r>
        <w:rPr>
          <w:sz w:val="24"/>
          <w:szCs w:val="24"/>
        </w:rPr>
        <w:t xml:space="preserve">Within torts law of negligence there are also 3 key elements that account for the law. To be able to make a court case claiming negligence you need to have </w:t>
      </w:r>
      <w:r w:rsidR="004B07E3">
        <w:rPr>
          <w:sz w:val="24"/>
          <w:szCs w:val="24"/>
        </w:rPr>
        <w:t>all</w:t>
      </w:r>
      <w:r>
        <w:rPr>
          <w:sz w:val="24"/>
          <w:szCs w:val="24"/>
        </w:rPr>
        <w:t xml:space="preserve"> these elements. </w:t>
      </w:r>
    </w:p>
    <w:p w14:paraId="3F62FD50" w14:textId="2CD31DBD" w:rsidR="003D6FF1" w:rsidRDefault="003D6FF1" w:rsidP="00C0017E">
      <w:pPr>
        <w:spacing w:line="276" w:lineRule="auto"/>
        <w:ind w:left="720"/>
        <w:jc w:val="both"/>
        <w:rPr>
          <w:sz w:val="24"/>
          <w:szCs w:val="24"/>
        </w:rPr>
      </w:pPr>
      <w:r>
        <w:rPr>
          <w:sz w:val="24"/>
          <w:szCs w:val="24"/>
        </w:rPr>
        <w:t xml:space="preserve">The first element is the duty of care. This means that there must be a duty of care in place for someone to be considered as negligent. </w:t>
      </w:r>
      <w:r w:rsidR="004B07E3">
        <w:rPr>
          <w:sz w:val="24"/>
          <w:szCs w:val="24"/>
        </w:rPr>
        <w:t>For it to be classes as duty of care there must be reasonable foreseeability of the relevant loss, it must be reasonable that a duty should exist and there must exist a sufficient relationship if proximity between the defendant and the plaintiff. For</w:t>
      </w:r>
      <w:r>
        <w:rPr>
          <w:sz w:val="24"/>
          <w:szCs w:val="24"/>
        </w:rPr>
        <w:t xml:space="preserve"> example, </w:t>
      </w:r>
      <w:r w:rsidR="004B07E3">
        <w:rPr>
          <w:sz w:val="24"/>
          <w:szCs w:val="24"/>
        </w:rPr>
        <w:t>this</w:t>
      </w:r>
      <w:r>
        <w:rPr>
          <w:sz w:val="24"/>
          <w:szCs w:val="24"/>
        </w:rPr>
        <w:t xml:space="preserve"> could be a scaffolder</w:t>
      </w:r>
      <w:r w:rsidR="004B07E3">
        <w:rPr>
          <w:sz w:val="24"/>
          <w:szCs w:val="24"/>
        </w:rPr>
        <w:t xml:space="preserve">. One of his main jobs is to make sure that the scaffold is secure </w:t>
      </w:r>
      <w:r w:rsidR="0017635E">
        <w:rPr>
          <w:sz w:val="24"/>
          <w:szCs w:val="24"/>
        </w:rPr>
        <w:t xml:space="preserve">for people to use it </w:t>
      </w:r>
      <w:r w:rsidR="004B07E3">
        <w:rPr>
          <w:sz w:val="24"/>
          <w:szCs w:val="24"/>
        </w:rPr>
        <w:t xml:space="preserve"> </w:t>
      </w:r>
    </w:p>
    <w:p w14:paraId="34BC884F" w14:textId="42BBE89A" w:rsidR="004B07E3" w:rsidRDefault="004B07E3" w:rsidP="00C0017E">
      <w:pPr>
        <w:spacing w:line="276" w:lineRule="auto"/>
        <w:ind w:left="720"/>
        <w:jc w:val="both"/>
        <w:rPr>
          <w:sz w:val="24"/>
          <w:szCs w:val="24"/>
        </w:rPr>
      </w:pPr>
      <w:r>
        <w:rPr>
          <w:sz w:val="24"/>
          <w:szCs w:val="24"/>
        </w:rPr>
        <w:t xml:space="preserve">The second element is the breach of duty of care. Once the duty of care </w:t>
      </w:r>
      <w:r w:rsidR="008D7C75">
        <w:rPr>
          <w:sz w:val="24"/>
          <w:szCs w:val="24"/>
        </w:rPr>
        <w:t>has</w:t>
      </w:r>
      <w:r>
        <w:rPr>
          <w:sz w:val="24"/>
          <w:szCs w:val="24"/>
        </w:rPr>
        <w:t xml:space="preserve"> been established ther</w:t>
      </w:r>
      <w:r w:rsidR="0017635E">
        <w:rPr>
          <w:sz w:val="24"/>
          <w:szCs w:val="24"/>
        </w:rPr>
        <w:t>e</w:t>
      </w:r>
      <w:r>
        <w:rPr>
          <w:sz w:val="24"/>
          <w:szCs w:val="24"/>
        </w:rPr>
        <w:t xml:space="preserve"> then needs to be a </w:t>
      </w:r>
      <w:r w:rsidR="007E731D">
        <w:rPr>
          <w:sz w:val="24"/>
          <w:szCs w:val="24"/>
        </w:rPr>
        <w:t xml:space="preserve">breach of that duty of care. </w:t>
      </w:r>
      <w:r w:rsidR="00E71783">
        <w:rPr>
          <w:sz w:val="24"/>
          <w:szCs w:val="24"/>
        </w:rPr>
        <w:t>By a breach I mean that something a who had care of how doing something did not do it which then led to damage or harm. For example, th</w:t>
      </w:r>
      <w:r w:rsidR="00FC57A0">
        <w:rPr>
          <w:sz w:val="24"/>
          <w:szCs w:val="24"/>
        </w:rPr>
        <w:t xml:space="preserve">e scaffolder could forget to secure the scaffolding correctly </w:t>
      </w:r>
      <w:r w:rsidR="0017635E">
        <w:rPr>
          <w:sz w:val="24"/>
          <w:szCs w:val="24"/>
        </w:rPr>
        <w:t xml:space="preserve">meaning that it would not be stable. </w:t>
      </w:r>
    </w:p>
    <w:p w14:paraId="723EB3AD" w14:textId="3DD72AEC" w:rsidR="00C0017E" w:rsidRPr="000226AE" w:rsidRDefault="00C0017E" w:rsidP="00C0017E">
      <w:pPr>
        <w:spacing w:line="276" w:lineRule="auto"/>
        <w:ind w:left="720"/>
        <w:jc w:val="both"/>
        <w:rPr>
          <w:sz w:val="24"/>
          <w:szCs w:val="24"/>
        </w:rPr>
      </w:pPr>
      <w:r>
        <w:rPr>
          <w:sz w:val="24"/>
          <w:szCs w:val="24"/>
        </w:rPr>
        <w:t xml:space="preserve">The final element of this is the result in damage. By this I mean that because a breach has occurred it must result in some form of damage or injury. The damage must not be too remote from the negligent act. For example, as a result of the scaffolder not securing the scaffolding to collapsed causing damage to the building and causing injury to people on site. This would mean that the contractors would need to pay for all </w:t>
      </w:r>
      <w:r>
        <w:rPr>
          <w:sz w:val="24"/>
          <w:szCs w:val="24"/>
        </w:rPr>
        <w:lastRenderedPageBreak/>
        <w:t xml:space="preserve">damages as well as the people injured. They would then look to file a claim against the scaffolder. </w:t>
      </w:r>
    </w:p>
    <w:p w14:paraId="4273C684" w14:textId="2228315D" w:rsidR="009F6B87" w:rsidRDefault="009F6B87" w:rsidP="00C0017E">
      <w:pPr>
        <w:spacing w:line="276" w:lineRule="auto"/>
        <w:ind w:left="720"/>
        <w:jc w:val="both"/>
        <w:rPr>
          <w:sz w:val="24"/>
          <w:szCs w:val="24"/>
        </w:rPr>
      </w:pPr>
      <w:r>
        <w:rPr>
          <w:b/>
          <w:bCs/>
          <w:sz w:val="24"/>
          <w:szCs w:val="24"/>
          <w:u w:val="single"/>
        </w:rPr>
        <w:t xml:space="preserve">2.2 </w:t>
      </w:r>
      <w:r w:rsidR="008D5FF1">
        <w:rPr>
          <w:sz w:val="24"/>
          <w:szCs w:val="24"/>
        </w:rPr>
        <w:t xml:space="preserve">Supply a case of law and outline the importance </w:t>
      </w:r>
      <w:r w:rsidR="00D46450">
        <w:rPr>
          <w:sz w:val="24"/>
          <w:szCs w:val="24"/>
        </w:rPr>
        <w:t>that</w:t>
      </w:r>
      <w:r w:rsidR="008D5FF1">
        <w:rPr>
          <w:sz w:val="24"/>
          <w:szCs w:val="24"/>
        </w:rPr>
        <w:t xml:space="preserve"> the case has within construction.</w:t>
      </w:r>
    </w:p>
    <w:p w14:paraId="3E824514" w14:textId="5CDBBE16" w:rsidR="00141FB5" w:rsidRPr="00141FB5" w:rsidRDefault="00141FB5" w:rsidP="00C0017E">
      <w:pPr>
        <w:spacing w:line="276" w:lineRule="auto"/>
        <w:ind w:left="720"/>
        <w:jc w:val="both"/>
        <w:rPr>
          <w:sz w:val="24"/>
          <w:szCs w:val="24"/>
        </w:rPr>
      </w:pPr>
      <w:r>
        <w:rPr>
          <w:sz w:val="24"/>
          <w:szCs w:val="24"/>
        </w:rPr>
        <w:t xml:space="preserve">The case that I have decided to look at is the case of </w:t>
      </w:r>
      <w:r w:rsidR="00DC1B28">
        <w:rPr>
          <w:sz w:val="24"/>
          <w:szCs w:val="24"/>
        </w:rPr>
        <w:t>Allen Tod Architecture v Capita property and Infrastructure LTD [2016]</w:t>
      </w:r>
    </w:p>
    <w:p w14:paraId="09A219DF" w14:textId="03F57D8F" w:rsidR="008D5FF1" w:rsidRDefault="008D5FF1" w:rsidP="00C0017E">
      <w:pPr>
        <w:spacing w:line="276" w:lineRule="auto"/>
        <w:ind w:left="720"/>
        <w:jc w:val="both"/>
        <w:rPr>
          <w:rFonts w:eastAsia="Times New Roman" w:cstheme="minorHAnsi"/>
          <w:sz w:val="24"/>
          <w:szCs w:val="24"/>
          <w:shd w:val="clear" w:color="auto" w:fill="FFFFFF"/>
          <w:lang w:eastAsia="en-GB"/>
        </w:rPr>
      </w:pPr>
      <w:r>
        <w:rPr>
          <w:b/>
          <w:bCs/>
          <w:sz w:val="24"/>
          <w:szCs w:val="24"/>
          <w:u w:val="single"/>
        </w:rPr>
        <w:t xml:space="preserve">2.3 </w:t>
      </w:r>
      <w:r w:rsidRPr="008D5FF1">
        <w:rPr>
          <w:rFonts w:cstheme="minorHAnsi"/>
          <w:sz w:val="24"/>
          <w:szCs w:val="24"/>
        </w:rPr>
        <w:t xml:space="preserve">Look at the </w:t>
      </w:r>
      <w:r w:rsidRPr="008D5FF1">
        <w:rPr>
          <w:rFonts w:eastAsia="Times New Roman" w:cstheme="minorHAnsi"/>
          <w:sz w:val="24"/>
          <w:szCs w:val="24"/>
          <w:lang w:eastAsia="en-GB"/>
        </w:rPr>
        <w:t xml:space="preserve">case of </w:t>
      </w:r>
      <w:bookmarkStart w:id="0" w:name="_Hlk119919583"/>
      <w:r w:rsidRPr="008D5FF1">
        <w:rPr>
          <w:rFonts w:eastAsia="Times New Roman" w:cstheme="minorHAnsi"/>
          <w:sz w:val="24"/>
          <w:szCs w:val="24"/>
          <w:lang w:eastAsia="en-GB"/>
        </w:rPr>
        <w:t xml:space="preserve">Vinci </w:t>
      </w:r>
      <w:r w:rsidRPr="008D5FF1">
        <w:rPr>
          <w:rFonts w:eastAsia="Times New Roman" w:cstheme="minorHAnsi"/>
          <w:sz w:val="24"/>
          <w:szCs w:val="24"/>
          <w:shd w:val="clear" w:color="auto" w:fill="FFFFFF"/>
          <w:lang w:eastAsia="en-GB"/>
        </w:rPr>
        <w:t xml:space="preserve">Construction UK Ltd v Beumer Group UK Ltd [2018] </w:t>
      </w:r>
      <w:bookmarkEnd w:id="0"/>
      <w:r w:rsidRPr="008D5FF1">
        <w:rPr>
          <w:rFonts w:eastAsia="Times New Roman" w:cstheme="minorHAnsi"/>
          <w:sz w:val="24"/>
          <w:szCs w:val="24"/>
          <w:shd w:val="clear" w:color="auto" w:fill="FFFFFF"/>
          <w:lang w:eastAsia="en-GB"/>
        </w:rPr>
        <w:t>to outline the impact of adjudication upon deciding such a dispute.</w:t>
      </w:r>
    </w:p>
    <w:p w14:paraId="7BDE9703" w14:textId="080F842F" w:rsidR="008D5FF1" w:rsidRPr="008D5FF1" w:rsidRDefault="008D5FF1" w:rsidP="00C0017E">
      <w:pPr>
        <w:spacing w:line="276" w:lineRule="auto"/>
        <w:ind w:left="720"/>
        <w:jc w:val="both"/>
        <w:rPr>
          <w:sz w:val="24"/>
          <w:szCs w:val="24"/>
        </w:rPr>
      </w:pPr>
      <w:r>
        <w:rPr>
          <w:b/>
          <w:bCs/>
          <w:sz w:val="24"/>
          <w:szCs w:val="24"/>
          <w:u w:val="single"/>
        </w:rPr>
        <w:t xml:space="preserve">2.4 </w:t>
      </w:r>
      <w:r>
        <w:rPr>
          <w:sz w:val="24"/>
          <w:szCs w:val="24"/>
        </w:rPr>
        <w:t xml:space="preserve">This assignment is due to be complete by December </w:t>
      </w:r>
      <w:r w:rsidR="003D6FF1">
        <w:rPr>
          <w:sz w:val="24"/>
          <w:szCs w:val="24"/>
        </w:rPr>
        <w:t>1</w:t>
      </w:r>
      <w:r w:rsidR="003D6FF1" w:rsidRPr="003D6FF1">
        <w:rPr>
          <w:sz w:val="24"/>
          <w:szCs w:val="24"/>
          <w:vertAlign w:val="superscript"/>
        </w:rPr>
        <w:t>st</w:t>
      </w:r>
      <w:r w:rsidR="003D6FF1">
        <w:rPr>
          <w:sz w:val="24"/>
          <w:szCs w:val="24"/>
        </w:rPr>
        <w:t xml:space="preserve"> </w:t>
      </w:r>
      <w:r>
        <w:rPr>
          <w:sz w:val="24"/>
          <w:szCs w:val="24"/>
        </w:rPr>
        <w:t xml:space="preserve">23:59 </w:t>
      </w:r>
    </w:p>
    <w:p w14:paraId="13EB1776" w14:textId="1A64DDA0" w:rsidR="00ED5B7C" w:rsidRDefault="00ED5B7C" w:rsidP="0017371C">
      <w:pPr>
        <w:spacing w:line="480" w:lineRule="auto"/>
        <w:ind w:left="720"/>
        <w:jc w:val="both"/>
        <w:rPr>
          <w:b/>
          <w:bCs/>
          <w:sz w:val="24"/>
          <w:szCs w:val="24"/>
          <w:u w:val="single"/>
        </w:rPr>
      </w:pPr>
    </w:p>
    <w:p w14:paraId="2A9709A2" w14:textId="4C4E9CDF" w:rsidR="001961BF" w:rsidRDefault="001961BF" w:rsidP="0017371C">
      <w:pPr>
        <w:spacing w:line="480" w:lineRule="auto"/>
        <w:ind w:left="720"/>
        <w:jc w:val="both"/>
        <w:rPr>
          <w:b/>
          <w:bCs/>
          <w:sz w:val="24"/>
          <w:szCs w:val="24"/>
          <w:u w:val="single"/>
        </w:rPr>
      </w:pPr>
      <w:r>
        <w:rPr>
          <w:b/>
          <w:bCs/>
          <w:sz w:val="24"/>
          <w:szCs w:val="24"/>
          <w:u w:val="single"/>
        </w:rPr>
        <w:t xml:space="preserve">3.0 Procedures </w:t>
      </w:r>
    </w:p>
    <w:p w14:paraId="7EE5077A" w14:textId="7737C877" w:rsidR="001961BF" w:rsidRDefault="001961BF" w:rsidP="0017371C">
      <w:pPr>
        <w:spacing w:line="276" w:lineRule="auto"/>
        <w:ind w:left="720"/>
        <w:jc w:val="both"/>
        <w:rPr>
          <w:sz w:val="24"/>
          <w:szCs w:val="24"/>
        </w:rPr>
      </w:pPr>
      <w:r>
        <w:rPr>
          <w:sz w:val="24"/>
          <w:szCs w:val="24"/>
        </w:rPr>
        <w:t xml:space="preserve">In this section I will identify the styles of research methods that I intend to use when writing my report. </w:t>
      </w:r>
    </w:p>
    <w:p w14:paraId="32127D22" w14:textId="07CBC402" w:rsidR="001961BF" w:rsidRDefault="001961BF" w:rsidP="0017371C">
      <w:pPr>
        <w:spacing w:line="276" w:lineRule="auto"/>
        <w:ind w:left="720"/>
        <w:jc w:val="both"/>
        <w:rPr>
          <w:sz w:val="24"/>
          <w:szCs w:val="24"/>
        </w:rPr>
      </w:pPr>
      <w:r>
        <w:rPr>
          <w:b/>
          <w:bCs/>
          <w:sz w:val="24"/>
          <w:szCs w:val="24"/>
        </w:rPr>
        <w:t xml:space="preserve">3.1 </w:t>
      </w:r>
      <w:r w:rsidR="003B6445">
        <w:rPr>
          <w:sz w:val="24"/>
          <w:szCs w:val="24"/>
        </w:rPr>
        <w:t xml:space="preserve">The first place that I will look to find information will be from reliable internet websites. I will make sure that I use reliable websites by looking at where the information comes from. I will look to use academic websites when possible as these websites will be very reliable. I will also look to use e books as well as physical books as their cab provide me with a large amount of information. </w:t>
      </w:r>
    </w:p>
    <w:p w14:paraId="60ACEB84" w14:textId="70CD4CA0" w:rsidR="003B6445" w:rsidRPr="003B6445" w:rsidRDefault="003B6445" w:rsidP="0017371C">
      <w:pPr>
        <w:spacing w:line="276" w:lineRule="auto"/>
        <w:ind w:left="720"/>
        <w:jc w:val="both"/>
        <w:rPr>
          <w:sz w:val="24"/>
          <w:szCs w:val="24"/>
        </w:rPr>
      </w:pPr>
      <w:r>
        <w:rPr>
          <w:b/>
          <w:bCs/>
          <w:sz w:val="24"/>
          <w:szCs w:val="24"/>
        </w:rPr>
        <w:t xml:space="preserve">3.2 </w:t>
      </w:r>
      <w:r w:rsidR="006E7A47">
        <w:rPr>
          <w:sz w:val="24"/>
          <w:szCs w:val="24"/>
        </w:rPr>
        <w:t xml:space="preserve">I will also use the information that I have gained from my lectures as it allows me to have information ready before completing further research. </w:t>
      </w:r>
    </w:p>
    <w:p w14:paraId="07C4A7F1" w14:textId="68048682" w:rsidR="00ED5B7C" w:rsidRPr="00ED5B7C" w:rsidRDefault="00ED5B7C" w:rsidP="0017371C">
      <w:pPr>
        <w:spacing w:line="480" w:lineRule="auto"/>
        <w:ind w:left="720"/>
        <w:jc w:val="both"/>
        <w:rPr>
          <w:sz w:val="24"/>
          <w:szCs w:val="24"/>
        </w:rPr>
      </w:pPr>
    </w:p>
    <w:p w14:paraId="50615313" w14:textId="0DA96000" w:rsidR="008D5FF1" w:rsidRDefault="008D5FF1" w:rsidP="0017371C">
      <w:pPr>
        <w:spacing w:line="480" w:lineRule="auto"/>
        <w:ind w:left="720"/>
        <w:jc w:val="both"/>
        <w:rPr>
          <w:b/>
          <w:bCs/>
          <w:sz w:val="24"/>
          <w:szCs w:val="24"/>
          <w:u w:val="single"/>
        </w:rPr>
      </w:pPr>
      <w:r>
        <w:rPr>
          <w:b/>
          <w:bCs/>
          <w:sz w:val="24"/>
          <w:szCs w:val="24"/>
          <w:u w:val="single"/>
        </w:rPr>
        <w:t xml:space="preserve">4.0 Findings </w:t>
      </w:r>
    </w:p>
    <w:p w14:paraId="6D2DA645" w14:textId="131AB828" w:rsidR="002B5B44" w:rsidRDefault="004E0C49" w:rsidP="0017371C">
      <w:pPr>
        <w:spacing w:line="276" w:lineRule="auto"/>
        <w:ind w:left="720"/>
        <w:jc w:val="both"/>
        <w:rPr>
          <w:sz w:val="24"/>
          <w:szCs w:val="24"/>
        </w:rPr>
      </w:pPr>
      <w:r>
        <w:rPr>
          <w:b/>
          <w:bCs/>
          <w:sz w:val="24"/>
          <w:szCs w:val="24"/>
          <w:u w:val="single"/>
        </w:rPr>
        <w:t xml:space="preserve">4.1 </w:t>
      </w:r>
      <w:r w:rsidR="00754402">
        <w:rPr>
          <w:sz w:val="24"/>
          <w:szCs w:val="24"/>
        </w:rPr>
        <w:t>A law of tort can best be described as a civil wrong.</w:t>
      </w:r>
      <w:r w:rsidR="004F67E9">
        <w:rPr>
          <w:sz w:val="24"/>
          <w:szCs w:val="24"/>
        </w:rPr>
        <w:t xml:space="preserve"> The largest of these is the tort law of negligence. This law covers an array of different things. For example, within the context of personal injury claims, the person who was injured will most likely look to sue for negligence. However, there are also other regimes that can be relevant to the </w:t>
      </w:r>
      <w:r w:rsidR="00BD78B8">
        <w:rPr>
          <w:sz w:val="24"/>
          <w:szCs w:val="24"/>
        </w:rPr>
        <w:t>case. The</w:t>
      </w:r>
      <w:r w:rsidR="002B5B44">
        <w:rPr>
          <w:sz w:val="24"/>
          <w:szCs w:val="24"/>
        </w:rPr>
        <w:t xml:space="preserve"> negligence law is tort is quite a new law of tort. This law was brought in</w:t>
      </w:r>
      <w:r w:rsidR="00BD78B8">
        <w:rPr>
          <w:sz w:val="24"/>
          <w:szCs w:val="24"/>
        </w:rPr>
        <w:t xml:space="preserve">to place during 1932. </w:t>
      </w:r>
      <w:r w:rsidR="003F6E42">
        <w:rPr>
          <w:sz w:val="24"/>
          <w:szCs w:val="24"/>
        </w:rPr>
        <w:t>(Introduction Into English Tort Law)</w:t>
      </w:r>
    </w:p>
    <w:p w14:paraId="67A12DAC" w14:textId="260C1429" w:rsidR="00BD78B8" w:rsidRDefault="00BD78B8" w:rsidP="0017371C">
      <w:pPr>
        <w:spacing w:line="276" w:lineRule="auto"/>
        <w:ind w:left="720"/>
        <w:jc w:val="both"/>
        <w:rPr>
          <w:sz w:val="24"/>
          <w:szCs w:val="24"/>
        </w:rPr>
      </w:pPr>
      <w:r>
        <w:rPr>
          <w:sz w:val="24"/>
          <w:szCs w:val="24"/>
        </w:rPr>
        <w:t xml:space="preserve">This law was brought into place during the </w:t>
      </w:r>
      <w:r w:rsidR="00042F3D">
        <w:rPr>
          <w:sz w:val="24"/>
          <w:szCs w:val="24"/>
        </w:rPr>
        <w:t xml:space="preserve">case between </w:t>
      </w:r>
      <w:r w:rsidR="00042F3D" w:rsidRPr="00042F3D">
        <w:rPr>
          <w:sz w:val="24"/>
          <w:szCs w:val="24"/>
        </w:rPr>
        <w:t>Donoghue v Stevenson [1932]</w:t>
      </w:r>
      <w:r w:rsidR="00042F3D">
        <w:rPr>
          <w:sz w:val="24"/>
          <w:szCs w:val="24"/>
        </w:rPr>
        <w:t xml:space="preserve">. </w:t>
      </w:r>
      <w:r w:rsidR="00B32AD1">
        <w:rPr>
          <w:sz w:val="24"/>
          <w:szCs w:val="24"/>
        </w:rPr>
        <w:t>“</w:t>
      </w:r>
      <w:r w:rsidR="00042F3D">
        <w:rPr>
          <w:sz w:val="24"/>
          <w:szCs w:val="24"/>
        </w:rPr>
        <w:t>During this case It was decided that in order to be a successful negligence case the client must provide</w:t>
      </w:r>
      <w:r w:rsidR="00B32AD1">
        <w:rPr>
          <w:sz w:val="24"/>
          <w:szCs w:val="24"/>
        </w:rPr>
        <w:t xml:space="preserve">: The defendant owed them a duty of care, The defendant </w:t>
      </w:r>
      <w:r w:rsidR="00B32AD1">
        <w:rPr>
          <w:sz w:val="24"/>
          <w:szCs w:val="24"/>
        </w:rPr>
        <w:lastRenderedPageBreak/>
        <w:t xml:space="preserve">was in breach of that care, The breach of care caused </w:t>
      </w:r>
      <w:r w:rsidR="00010821">
        <w:rPr>
          <w:sz w:val="24"/>
          <w:szCs w:val="24"/>
        </w:rPr>
        <w:t>damaged,</w:t>
      </w:r>
      <w:r w:rsidR="00B32AD1">
        <w:rPr>
          <w:sz w:val="24"/>
          <w:szCs w:val="24"/>
        </w:rPr>
        <w:t xml:space="preserve"> and the damage was not too remote.” </w:t>
      </w:r>
      <w:r w:rsidR="00F4671C">
        <w:rPr>
          <w:sz w:val="24"/>
          <w:szCs w:val="24"/>
        </w:rPr>
        <w:t>(Law sources. Com)</w:t>
      </w:r>
    </w:p>
    <w:p w14:paraId="1E040FE6" w14:textId="4B7B8347" w:rsidR="003F6E42" w:rsidRPr="00F4671C" w:rsidRDefault="003F6E42" w:rsidP="0017371C">
      <w:pPr>
        <w:spacing w:line="276" w:lineRule="auto"/>
        <w:ind w:left="720"/>
        <w:jc w:val="both"/>
        <w:rPr>
          <w:sz w:val="24"/>
          <w:szCs w:val="24"/>
        </w:rPr>
      </w:pPr>
      <w:r>
        <w:rPr>
          <w:b/>
          <w:bCs/>
          <w:sz w:val="24"/>
          <w:szCs w:val="24"/>
          <w:u w:val="single"/>
        </w:rPr>
        <w:t xml:space="preserve">4.2 </w:t>
      </w:r>
      <w:r w:rsidR="00F4671C">
        <w:rPr>
          <w:sz w:val="24"/>
          <w:szCs w:val="24"/>
        </w:rPr>
        <w:t xml:space="preserve">Within torts law of negligence, once a duty of care is established. This duty of care then needs to be breached proven for the case to continue. If a breach has occurred </w:t>
      </w:r>
      <w:r w:rsidR="00C729AA">
        <w:rPr>
          <w:sz w:val="24"/>
          <w:szCs w:val="24"/>
        </w:rPr>
        <w:t>this,</w:t>
      </w:r>
      <w:r w:rsidR="00F4671C">
        <w:rPr>
          <w:sz w:val="24"/>
          <w:szCs w:val="24"/>
        </w:rPr>
        <w:t xml:space="preserve"> then means that negligence has taken place.</w:t>
      </w:r>
      <w:r w:rsidR="00C729AA">
        <w:rPr>
          <w:sz w:val="24"/>
          <w:szCs w:val="24"/>
        </w:rPr>
        <w:t xml:space="preserve"> A simple example of this could be something as simple as a site manager forgetting to lock up site at the end of the day (This would be his duty of care). As a result of this vandalism took place damaging property. (This would be the breach of duty of care). </w:t>
      </w:r>
    </w:p>
    <w:p w14:paraId="52F6C628" w14:textId="5C6815C1" w:rsidR="003F6E42" w:rsidRDefault="003F6E42" w:rsidP="0017371C">
      <w:pPr>
        <w:spacing w:line="276" w:lineRule="auto"/>
        <w:ind w:left="720"/>
        <w:jc w:val="both"/>
        <w:rPr>
          <w:sz w:val="24"/>
          <w:szCs w:val="24"/>
        </w:rPr>
      </w:pPr>
    </w:p>
    <w:p w14:paraId="325D7553" w14:textId="38DD3647" w:rsidR="008263F9" w:rsidRDefault="00C729AA" w:rsidP="0017371C">
      <w:pPr>
        <w:spacing w:line="276" w:lineRule="auto"/>
        <w:ind w:left="720"/>
        <w:jc w:val="both"/>
        <w:rPr>
          <w:rFonts w:ascii="Arial" w:hAnsi="Arial" w:cs="Arial"/>
          <w:color w:val="000000"/>
          <w:sz w:val="23"/>
          <w:szCs w:val="23"/>
          <w:shd w:val="clear" w:color="auto" w:fill="FFFFFF"/>
        </w:rPr>
      </w:pPr>
      <w:r w:rsidRPr="008263F9">
        <w:rPr>
          <w:b/>
          <w:bCs/>
          <w:sz w:val="24"/>
          <w:szCs w:val="24"/>
          <w:u w:val="single"/>
        </w:rPr>
        <w:t xml:space="preserve">4.3 </w:t>
      </w:r>
      <w:r w:rsidR="008263F9">
        <w:rPr>
          <w:sz w:val="24"/>
          <w:szCs w:val="24"/>
        </w:rPr>
        <w:t xml:space="preserve">Moving on, I will now begin to investigate a law case that I have been able to research within depth. The case that I will </w:t>
      </w:r>
      <w:r w:rsidR="008263F9" w:rsidRPr="0017171F">
        <w:rPr>
          <w:rFonts w:cstheme="minorHAnsi"/>
          <w:sz w:val="24"/>
          <w:szCs w:val="24"/>
        </w:rPr>
        <w:t>look at is the case between Allen Tod Architecture v Capita property and Infrastructure LTD [2016</w:t>
      </w:r>
      <w:r w:rsidR="0017171F" w:rsidRPr="0017171F">
        <w:rPr>
          <w:rFonts w:cstheme="minorHAnsi"/>
          <w:sz w:val="24"/>
          <w:szCs w:val="24"/>
        </w:rPr>
        <w:t>].</w:t>
      </w:r>
      <w:r w:rsidR="0017171F" w:rsidRPr="0017171F">
        <w:rPr>
          <w:rFonts w:cstheme="minorHAnsi"/>
          <w:color w:val="000000"/>
          <w:sz w:val="23"/>
          <w:szCs w:val="23"/>
          <w:shd w:val="clear" w:color="auto" w:fill="FFFFFF"/>
        </w:rPr>
        <w:t xml:space="preserve"> </w:t>
      </w:r>
      <w:r w:rsidR="0017171F">
        <w:rPr>
          <w:rFonts w:cstheme="minorHAnsi"/>
          <w:color w:val="000000"/>
          <w:sz w:val="23"/>
          <w:szCs w:val="23"/>
          <w:shd w:val="clear" w:color="auto" w:fill="FFFFFF"/>
        </w:rPr>
        <w:t>“</w:t>
      </w:r>
      <w:r w:rsidR="0017171F" w:rsidRPr="0017171F">
        <w:rPr>
          <w:rFonts w:cstheme="minorHAnsi"/>
          <w:color w:val="000000"/>
          <w:sz w:val="23"/>
          <w:szCs w:val="23"/>
          <w:shd w:val="clear" w:color="auto" w:fill="FFFFFF"/>
        </w:rPr>
        <w:t>This dispute concerned a professional negligence claim against a structural engineer, Capita Property and Infrastructure Ltd (“Defendant”), in relation to the redevelopment of a property</w:t>
      </w:r>
      <w:bookmarkStart w:id="1" w:name="_Hlk119851906"/>
      <w:r w:rsidR="00080427">
        <w:rPr>
          <w:rFonts w:cstheme="minorHAnsi"/>
          <w:color w:val="000000"/>
          <w:sz w:val="23"/>
          <w:szCs w:val="23"/>
          <w:shd w:val="clear" w:color="auto" w:fill="FFFFFF"/>
        </w:rPr>
        <w:t>”</w:t>
      </w:r>
      <w:r w:rsidR="00080427">
        <w:rPr>
          <w:rFonts w:ascii="Arial" w:hAnsi="Arial" w:cs="Arial"/>
          <w:color w:val="000000"/>
          <w:sz w:val="23"/>
          <w:szCs w:val="23"/>
          <w:shd w:val="clear" w:color="auto" w:fill="FFFFFF"/>
        </w:rPr>
        <w:t>. (</w:t>
      </w:r>
      <w:r w:rsidR="0055458D">
        <w:rPr>
          <w:rFonts w:ascii="Arial" w:hAnsi="Arial" w:cs="Arial"/>
          <w:color w:val="000000"/>
          <w:sz w:val="23"/>
          <w:szCs w:val="23"/>
          <w:shd w:val="clear" w:color="auto" w:fill="FFFFFF"/>
        </w:rPr>
        <w:t>Eversheds Sunderland,2016)</w:t>
      </w:r>
      <w:bookmarkEnd w:id="1"/>
    </w:p>
    <w:p w14:paraId="739C3F27" w14:textId="531B9840" w:rsidR="000620D5" w:rsidRDefault="00502374" w:rsidP="0017371C">
      <w:pPr>
        <w:spacing w:line="276" w:lineRule="auto"/>
        <w:ind w:left="720"/>
        <w:jc w:val="both"/>
        <w:rPr>
          <w:rFonts w:cstheme="minorHAnsi"/>
          <w:color w:val="000000"/>
          <w:sz w:val="24"/>
          <w:szCs w:val="24"/>
          <w:shd w:val="clear" w:color="auto" w:fill="FFFFFF"/>
        </w:rPr>
      </w:pPr>
      <w:r>
        <w:rPr>
          <w:rFonts w:cstheme="minorHAnsi"/>
          <w:color w:val="000000"/>
          <w:sz w:val="24"/>
          <w:szCs w:val="24"/>
          <w:shd w:val="clear" w:color="auto" w:fill="FFFFFF"/>
        </w:rPr>
        <w:t xml:space="preserve">Allen Tod Architecture and Capita property infrastructure were given the ability to hire a structural </w:t>
      </w:r>
      <w:r w:rsidR="000620D5">
        <w:rPr>
          <w:rFonts w:cstheme="minorHAnsi"/>
          <w:color w:val="000000"/>
          <w:sz w:val="24"/>
          <w:szCs w:val="24"/>
          <w:shd w:val="clear" w:color="auto" w:fill="FFFFFF"/>
        </w:rPr>
        <w:t xml:space="preserve">engineer </w:t>
      </w:r>
      <w:r>
        <w:rPr>
          <w:rFonts w:cstheme="minorHAnsi"/>
          <w:color w:val="000000"/>
          <w:sz w:val="24"/>
          <w:szCs w:val="24"/>
          <w:shd w:val="clear" w:color="auto" w:fill="FFFFFF"/>
        </w:rPr>
        <w:t xml:space="preserve">to complete a report. However, Allen tod architecture </w:t>
      </w:r>
      <w:r w:rsidR="000620D5">
        <w:rPr>
          <w:rFonts w:cstheme="minorHAnsi"/>
          <w:color w:val="000000"/>
          <w:sz w:val="24"/>
          <w:szCs w:val="24"/>
          <w:shd w:val="clear" w:color="auto" w:fill="FFFFFF"/>
        </w:rPr>
        <w:t xml:space="preserve">(Claimant) </w:t>
      </w:r>
      <w:r>
        <w:rPr>
          <w:rFonts w:cstheme="minorHAnsi"/>
          <w:color w:val="000000"/>
          <w:sz w:val="24"/>
          <w:szCs w:val="24"/>
          <w:shd w:val="clear" w:color="auto" w:fill="FFFFFF"/>
        </w:rPr>
        <w:t xml:space="preserve">began to lose confidence with the structural engineer </w:t>
      </w:r>
      <w:r w:rsidR="000620D5">
        <w:rPr>
          <w:rFonts w:cstheme="minorHAnsi"/>
          <w:color w:val="000000"/>
          <w:sz w:val="24"/>
          <w:szCs w:val="24"/>
          <w:shd w:val="clear" w:color="auto" w:fill="FFFFFF"/>
        </w:rPr>
        <w:t>because</w:t>
      </w:r>
      <w:r>
        <w:rPr>
          <w:rFonts w:cstheme="minorHAnsi"/>
          <w:color w:val="000000"/>
          <w:sz w:val="24"/>
          <w:szCs w:val="24"/>
          <w:shd w:val="clear" w:color="auto" w:fill="FFFFFF"/>
        </w:rPr>
        <w:t xml:space="preserve"> there was a delay with the production of his report. Because of this Allen tod architecture decided to hire a new expert to complete the report. Because of the relevant case management order, Allen tod architecture did not need to gain permission form the courts to change to a different expert.</w:t>
      </w:r>
      <w:r w:rsidR="000620D5">
        <w:rPr>
          <w:rFonts w:cstheme="minorHAnsi"/>
          <w:color w:val="000000"/>
          <w:sz w:val="24"/>
          <w:szCs w:val="24"/>
          <w:shd w:val="clear" w:color="auto" w:fill="FFFFFF"/>
        </w:rPr>
        <w:t xml:space="preserve"> However, this did require permission to call an expert to give oral evidence at court. (This was the claimant’s intention) Accordingly, the claimant instructed a new expert and the court granted permission to call the new expert to give evidence a trial. However, Because of this decision it then meant that the court gained the power to impose conditions upon the appointment at its discretion.</w:t>
      </w:r>
    </w:p>
    <w:p w14:paraId="495497D8" w14:textId="6F7FF00F" w:rsidR="00E3016C" w:rsidRDefault="006B20CB" w:rsidP="0017371C">
      <w:pPr>
        <w:spacing w:line="276" w:lineRule="auto"/>
        <w:ind w:left="720"/>
        <w:jc w:val="both"/>
        <w:rPr>
          <w:rFonts w:ascii="Arial" w:hAnsi="Arial" w:cs="Arial"/>
          <w:color w:val="000000"/>
          <w:sz w:val="23"/>
          <w:szCs w:val="23"/>
          <w:shd w:val="clear" w:color="auto" w:fill="FFFFFF"/>
        </w:rPr>
      </w:pPr>
      <w:r>
        <w:rPr>
          <w:rFonts w:cstheme="minorHAnsi"/>
          <w:color w:val="000000"/>
          <w:sz w:val="24"/>
          <w:szCs w:val="24"/>
          <w:shd w:val="clear" w:color="auto" w:fill="FFFFFF"/>
        </w:rPr>
        <w:t xml:space="preserve">Capita Property and infrastructure (The defendant) then applied for an order that </w:t>
      </w:r>
      <w:r w:rsidR="00CD52B0">
        <w:rPr>
          <w:rFonts w:cstheme="minorHAnsi"/>
          <w:color w:val="000000"/>
          <w:sz w:val="24"/>
          <w:szCs w:val="24"/>
          <w:shd w:val="clear" w:color="auto" w:fill="FFFFFF"/>
        </w:rPr>
        <w:t xml:space="preserve">gives </w:t>
      </w:r>
      <w:r>
        <w:rPr>
          <w:rFonts w:cstheme="minorHAnsi"/>
          <w:color w:val="000000"/>
          <w:sz w:val="24"/>
          <w:szCs w:val="24"/>
          <w:shd w:val="clear" w:color="auto" w:fill="FFFFFF"/>
        </w:rPr>
        <w:t xml:space="preserve">permission for the claimant to rely on the evidence of the expert was </w:t>
      </w:r>
      <w:r w:rsidR="00CD52B0">
        <w:rPr>
          <w:rFonts w:cstheme="minorHAnsi"/>
          <w:color w:val="000000"/>
          <w:sz w:val="24"/>
          <w:szCs w:val="24"/>
          <w:shd w:val="clear" w:color="auto" w:fill="FFFFFF"/>
        </w:rPr>
        <w:t xml:space="preserve">conditional </w:t>
      </w:r>
      <w:r w:rsidR="005F5A03">
        <w:rPr>
          <w:rFonts w:cstheme="minorHAnsi"/>
          <w:color w:val="000000"/>
          <w:sz w:val="24"/>
          <w:szCs w:val="24"/>
          <w:shd w:val="clear" w:color="auto" w:fill="FFFFFF"/>
        </w:rPr>
        <w:t>to Allen</w:t>
      </w:r>
      <w:r>
        <w:rPr>
          <w:rFonts w:cstheme="minorHAnsi"/>
          <w:color w:val="000000"/>
          <w:sz w:val="24"/>
          <w:szCs w:val="24"/>
          <w:shd w:val="clear" w:color="auto" w:fill="FFFFFF"/>
        </w:rPr>
        <w:t xml:space="preserve"> </w:t>
      </w:r>
      <w:r w:rsidR="005F5A03">
        <w:rPr>
          <w:rFonts w:cstheme="minorHAnsi"/>
          <w:color w:val="000000"/>
          <w:sz w:val="24"/>
          <w:szCs w:val="24"/>
          <w:shd w:val="clear" w:color="auto" w:fill="FFFFFF"/>
        </w:rPr>
        <w:t>T</w:t>
      </w:r>
      <w:r>
        <w:rPr>
          <w:rFonts w:cstheme="minorHAnsi"/>
          <w:color w:val="000000"/>
          <w:sz w:val="24"/>
          <w:szCs w:val="24"/>
          <w:shd w:val="clear" w:color="auto" w:fill="FFFFFF"/>
        </w:rPr>
        <w:t xml:space="preserve">od disclosing the letters of the instructions to both experts as well as any other documents. The claimant disclosed both letters as well as the original experts </w:t>
      </w:r>
      <w:r w:rsidR="00E3016C">
        <w:rPr>
          <w:rFonts w:cstheme="minorHAnsi"/>
          <w:color w:val="000000"/>
          <w:sz w:val="24"/>
          <w:szCs w:val="24"/>
          <w:shd w:val="clear" w:color="auto" w:fill="FFFFFF"/>
        </w:rPr>
        <w:t xml:space="preserve">report. However, the claimant declined to show any other material on the basis that it was privileged. They then further agreed that sufficient material was already disclosed and had not been guilty of “expert Shopping”. </w:t>
      </w:r>
      <w:r w:rsidR="000620D5">
        <w:rPr>
          <w:rFonts w:cstheme="minorHAnsi"/>
          <w:color w:val="000000"/>
          <w:sz w:val="24"/>
          <w:szCs w:val="24"/>
          <w:shd w:val="clear" w:color="auto" w:fill="FFFFFF"/>
        </w:rPr>
        <w:t xml:space="preserve"> </w:t>
      </w:r>
      <w:r w:rsidR="00930091">
        <w:rPr>
          <w:rFonts w:ascii="Arial" w:hAnsi="Arial" w:cs="Arial"/>
          <w:color w:val="000000"/>
          <w:sz w:val="23"/>
          <w:szCs w:val="23"/>
          <w:shd w:val="clear" w:color="auto" w:fill="FFFFFF"/>
        </w:rPr>
        <w:t>(</w:t>
      </w:r>
      <w:r w:rsidR="0055458D">
        <w:rPr>
          <w:rFonts w:ascii="Arial" w:hAnsi="Arial" w:cs="Arial"/>
          <w:color w:val="000000"/>
          <w:sz w:val="23"/>
          <w:szCs w:val="23"/>
          <w:shd w:val="clear" w:color="auto" w:fill="FFFFFF"/>
        </w:rPr>
        <w:t>Eversheds Sunderland,2016)</w:t>
      </w:r>
    </w:p>
    <w:p w14:paraId="1F2CC782" w14:textId="77777777" w:rsidR="00386BB4" w:rsidRPr="00386BB4" w:rsidRDefault="00386BB4" w:rsidP="0017371C">
      <w:pPr>
        <w:spacing w:line="276" w:lineRule="auto"/>
        <w:ind w:left="720"/>
        <w:jc w:val="both"/>
        <w:rPr>
          <w:rFonts w:ascii="Arial" w:hAnsi="Arial" w:cs="Arial"/>
          <w:color w:val="000000"/>
          <w:sz w:val="23"/>
          <w:szCs w:val="23"/>
          <w:shd w:val="clear" w:color="auto" w:fill="FFFFFF"/>
        </w:rPr>
      </w:pPr>
    </w:p>
    <w:p w14:paraId="03041401" w14:textId="549B3FF8" w:rsidR="00F86673" w:rsidRDefault="00F86673" w:rsidP="0017371C">
      <w:pPr>
        <w:spacing w:line="276" w:lineRule="auto"/>
        <w:ind w:left="720"/>
        <w:jc w:val="both"/>
        <w:rPr>
          <w:rFonts w:ascii="Arial" w:hAnsi="Arial" w:cs="Arial"/>
          <w:color w:val="000000"/>
          <w:sz w:val="23"/>
          <w:szCs w:val="23"/>
          <w:shd w:val="clear" w:color="auto" w:fill="FFFFFF"/>
        </w:rPr>
      </w:pPr>
      <w:r>
        <w:rPr>
          <w:rFonts w:cstheme="minorHAnsi"/>
          <w:b/>
          <w:bCs/>
          <w:color w:val="000000"/>
          <w:sz w:val="24"/>
          <w:szCs w:val="24"/>
          <w:u w:val="single"/>
          <w:shd w:val="clear" w:color="auto" w:fill="FFFFFF"/>
        </w:rPr>
        <w:t xml:space="preserve">4.4 </w:t>
      </w:r>
      <w:r w:rsidRPr="00F86673">
        <w:rPr>
          <w:rFonts w:cstheme="minorHAnsi"/>
          <w:color w:val="000000"/>
          <w:sz w:val="24"/>
          <w:szCs w:val="24"/>
          <w:shd w:val="clear" w:color="auto" w:fill="FFFFFF"/>
        </w:rPr>
        <w:t>The</w:t>
      </w:r>
      <w:r>
        <w:rPr>
          <w:rFonts w:cstheme="minorHAnsi"/>
          <w:color w:val="000000"/>
          <w:sz w:val="24"/>
          <w:szCs w:val="24"/>
          <w:shd w:val="clear" w:color="auto" w:fill="FFFFFF"/>
        </w:rPr>
        <w:t xml:space="preserve"> judge went onto conclude that the documents sought after by the defendant were or may be “Cloaked with the cover of privileged”. Was not a reason to refuse </w:t>
      </w:r>
      <w:r>
        <w:rPr>
          <w:rFonts w:cstheme="minorHAnsi"/>
          <w:color w:val="000000"/>
          <w:sz w:val="24"/>
          <w:szCs w:val="24"/>
          <w:shd w:val="clear" w:color="auto" w:fill="FFFFFF"/>
        </w:rPr>
        <w:lastRenderedPageBreak/>
        <w:t xml:space="preserve">their disclosure as a part of the price which the claimant had to pay in order to call the new experts as it’s expert witness at trail. </w:t>
      </w:r>
      <w:r>
        <w:rPr>
          <w:rFonts w:ascii="Arial" w:hAnsi="Arial" w:cs="Arial"/>
          <w:color w:val="000000"/>
          <w:sz w:val="23"/>
          <w:szCs w:val="23"/>
          <w:shd w:val="clear" w:color="auto" w:fill="FFFFFF"/>
        </w:rPr>
        <w:t>(Eversheds Sunderland,2016)</w:t>
      </w:r>
    </w:p>
    <w:p w14:paraId="2B1B9C0C" w14:textId="77777777" w:rsidR="00386BB4" w:rsidRDefault="00386BB4" w:rsidP="0017371C">
      <w:pPr>
        <w:spacing w:line="276" w:lineRule="auto"/>
        <w:ind w:left="720"/>
        <w:jc w:val="both"/>
        <w:rPr>
          <w:rFonts w:cstheme="minorHAnsi"/>
          <w:b/>
          <w:bCs/>
          <w:color w:val="000000"/>
          <w:sz w:val="24"/>
          <w:szCs w:val="24"/>
          <w:u w:val="single"/>
          <w:shd w:val="clear" w:color="auto" w:fill="FFFFFF"/>
        </w:rPr>
      </w:pPr>
    </w:p>
    <w:p w14:paraId="1FFDE813" w14:textId="51CD3FB0" w:rsidR="006D48A9" w:rsidRDefault="006D48A9" w:rsidP="0017371C">
      <w:pPr>
        <w:spacing w:line="276" w:lineRule="auto"/>
        <w:ind w:left="720"/>
        <w:jc w:val="both"/>
        <w:rPr>
          <w:rFonts w:eastAsia="Times New Roman" w:cstheme="minorHAnsi"/>
          <w:sz w:val="24"/>
          <w:szCs w:val="24"/>
          <w:shd w:val="clear" w:color="auto" w:fill="FFFFFF"/>
          <w:lang w:eastAsia="en-GB"/>
        </w:rPr>
      </w:pPr>
      <w:r>
        <w:rPr>
          <w:rFonts w:cstheme="minorHAnsi"/>
          <w:b/>
          <w:bCs/>
          <w:color w:val="000000"/>
          <w:sz w:val="24"/>
          <w:szCs w:val="24"/>
          <w:u w:val="single"/>
          <w:shd w:val="clear" w:color="auto" w:fill="FFFFFF"/>
        </w:rPr>
        <w:t xml:space="preserve">4.5 </w:t>
      </w:r>
      <w:r>
        <w:rPr>
          <w:rFonts w:cstheme="minorHAnsi"/>
          <w:color w:val="000000"/>
          <w:sz w:val="24"/>
          <w:szCs w:val="24"/>
          <w:shd w:val="clear" w:color="auto" w:fill="FFFFFF"/>
        </w:rPr>
        <w:t>I</w:t>
      </w:r>
      <w:r w:rsidR="00386BB4">
        <w:rPr>
          <w:rFonts w:cstheme="minorHAnsi"/>
          <w:color w:val="000000"/>
          <w:sz w:val="24"/>
          <w:szCs w:val="24"/>
          <w:shd w:val="clear" w:color="auto" w:fill="FFFFFF"/>
        </w:rPr>
        <w:t xml:space="preserve"> will now </w:t>
      </w:r>
      <w:r>
        <w:rPr>
          <w:rFonts w:cstheme="minorHAnsi"/>
          <w:color w:val="000000"/>
          <w:sz w:val="24"/>
          <w:szCs w:val="24"/>
          <w:shd w:val="clear" w:color="auto" w:fill="FFFFFF"/>
        </w:rPr>
        <w:t>investigate</w:t>
      </w:r>
      <w:r w:rsidR="00386BB4">
        <w:rPr>
          <w:rFonts w:cstheme="minorHAnsi"/>
          <w:color w:val="000000"/>
          <w:sz w:val="24"/>
          <w:szCs w:val="24"/>
          <w:shd w:val="clear" w:color="auto" w:fill="FFFFFF"/>
        </w:rPr>
        <w:t xml:space="preserve"> the case of </w:t>
      </w:r>
      <w:bookmarkStart w:id="2" w:name="_Hlk120612574"/>
      <w:r w:rsidR="00386BB4" w:rsidRPr="008D5FF1">
        <w:rPr>
          <w:rFonts w:eastAsia="Times New Roman" w:cstheme="minorHAnsi"/>
          <w:sz w:val="24"/>
          <w:szCs w:val="24"/>
          <w:lang w:eastAsia="en-GB"/>
        </w:rPr>
        <w:t xml:space="preserve">Vinci </w:t>
      </w:r>
      <w:r w:rsidR="00386BB4" w:rsidRPr="008D5FF1">
        <w:rPr>
          <w:rFonts w:eastAsia="Times New Roman" w:cstheme="minorHAnsi"/>
          <w:sz w:val="24"/>
          <w:szCs w:val="24"/>
          <w:shd w:val="clear" w:color="auto" w:fill="FFFFFF"/>
          <w:lang w:eastAsia="en-GB"/>
        </w:rPr>
        <w:t xml:space="preserve">Construction UK Ltd v Beumer Group </w:t>
      </w:r>
      <w:bookmarkEnd w:id="2"/>
      <w:r w:rsidR="00386BB4" w:rsidRPr="008D5FF1">
        <w:rPr>
          <w:rFonts w:eastAsia="Times New Roman" w:cstheme="minorHAnsi"/>
          <w:sz w:val="24"/>
          <w:szCs w:val="24"/>
          <w:shd w:val="clear" w:color="auto" w:fill="FFFFFF"/>
          <w:lang w:eastAsia="en-GB"/>
        </w:rPr>
        <w:t>UK Ltd [2018</w:t>
      </w:r>
      <w:r w:rsidR="00663F41">
        <w:rPr>
          <w:rFonts w:eastAsia="Times New Roman" w:cstheme="minorHAnsi"/>
          <w:sz w:val="24"/>
          <w:szCs w:val="24"/>
          <w:shd w:val="clear" w:color="auto" w:fill="FFFFFF"/>
          <w:lang w:eastAsia="en-GB"/>
        </w:rPr>
        <w:t xml:space="preserve">]. </w:t>
      </w:r>
      <w:r w:rsidR="006F4294">
        <w:rPr>
          <w:rFonts w:eastAsia="Times New Roman" w:cstheme="minorHAnsi"/>
          <w:sz w:val="24"/>
          <w:szCs w:val="24"/>
          <w:shd w:val="clear" w:color="auto" w:fill="FFFFFF"/>
          <w:lang w:eastAsia="en-GB"/>
        </w:rPr>
        <w:t xml:space="preserve">The </w:t>
      </w:r>
      <w:r w:rsidR="00291310">
        <w:rPr>
          <w:rFonts w:eastAsia="Times New Roman" w:cstheme="minorHAnsi"/>
          <w:sz w:val="24"/>
          <w:szCs w:val="24"/>
          <w:shd w:val="clear" w:color="auto" w:fill="FFFFFF"/>
          <w:lang w:eastAsia="en-GB"/>
        </w:rPr>
        <w:t>detail</w:t>
      </w:r>
      <w:r w:rsidR="006F4294">
        <w:rPr>
          <w:rFonts w:eastAsia="Times New Roman" w:cstheme="minorHAnsi"/>
          <w:sz w:val="24"/>
          <w:szCs w:val="24"/>
          <w:shd w:val="clear" w:color="auto" w:fill="FFFFFF"/>
          <w:lang w:eastAsia="en-GB"/>
        </w:rPr>
        <w:t xml:space="preserve"> of this case concerns Vinci’s entitlement to liquidate damages from this </w:t>
      </w:r>
      <w:r>
        <w:rPr>
          <w:rFonts w:eastAsia="Times New Roman" w:cstheme="minorHAnsi"/>
          <w:sz w:val="24"/>
          <w:szCs w:val="24"/>
          <w:shd w:val="clear" w:color="auto" w:fill="FFFFFF"/>
          <w:lang w:eastAsia="en-GB"/>
        </w:rPr>
        <w:t>sub-contractor</w:t>
      </w:r>
      <w:r w:rsidR="006F4294">
        <w:rPr>
          <w:rFonts w:eastAsia="Times New Roman" w:cstheme="minorHAnsi"/>
          <w:sz w:val="24"/>
          <w:szCs w:val="24"/>
          <w:shd w:val="clear" w:color="auto" w:fill="FFFFFF"/>
          <w:lang w:eastAsia="en-GB"/>
        </w:rPr>
        <w:t xml:space="preserve"> </w:t>
      </w:r>
      <w:r>
        <w:rPr>
          <w:rFonts w:eastAsia="Times New Roman" w:cstheme="minorHAnsi"/>
          <w:sz w:val="24"/>
          <w:szCs w:val="24"/>
          <w:shd w:val="clear" w:color="auto" w:fill="FFFFFF"/>
          <w:lang w:eastAsia="en-GB"/>
        </w:rPr>
        <w:t>(Beumer</w:t>
      </w:r>
      <w:r w:rsidR="006F4294">
        <w:rPr>
          <w:rFonts w:eastAsia="Times New Roman" w:cstheme="minorHAnsi"/>
          <w:sz w:val="24"/>
          <w:szCs w:val="24"/>
          <w:shd w:val="clear" w:color="auto" w:fill="FFFFFF"/>
          <w:lang w:eastAsia="en-GB"/>
        </w:rPr>
        <w:t xml:space="preserve">) </w:t>
      </w:r>
      <w:r>
        <w:rPr>
          <w:rFonts w:eastAsia="Times New Roman" w:cstheme="minorHAnsi"/>
          <w:sz w:val="24"/>
          <w:szCs w:val="24"/>
          <w:shd w:val="clear" w:color="auto" w:fill="FFFFFF"/>
          <w:lang w:eastAsia="en-GB"/>
        </w:rPr>
        <w:t xml:space="preserve">in relation to a subcontract concerning the provision of a baggage handling system at Gatwick airport. </w:t>
      </w:r>
    </w:p>
    <w:p w14:paraId="1481AB32" w14:textId="5B654ED8" w:rsidR="00E20EA9" w:rsidRDefault="00E20EA9" w:rsidP="0017371C">
      <w:pPr>
        <w:spacing w:line="276" w:lineRule="auto"/>
        <w:ind w:left="720"/>
        <w:jc w:val="both"/>
        <w:rPr>
          <w:rFonts w:cstheme="minorHAnsi"/>
          <w:color w:val="000000"/>
          <w:sz w:val="24"/>
          <w:szCs w:val="24"/>
          <w:shd w:val="clear" w:color="auto" w:fill="FFFFFF"/>
        </w:rPr>
      </w:pPr>
      <w:r>
        <w:rPr>
          <w:rFonts w:cstheme="minorHAnsi"/>
          <w:color w:val="000000"/>
          <w:sz w:val="24"/>
          <w:szCs w:val="24"/>
          <w:shd w:val="clear" w:color="auto" w:fill="FFFFFF"/>
        </w:rPr>
        <w:t>Within this argument there are three principal arguments were raised on enforcement, The first point that Beumer argued was that the decision was inconsistent with earlier decisions of the same adjudicator in disputers it has referred to adjudication.</w:t>
      </w:r>
    </w:p>
    <w:p w14:paraId="7D07C23D" w14:textId="581982A0" w:rsidR="00E20EA9" w:rsidRDefault="00E20EA9"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The second argument that Beumer argued was that the adjudicator failed to give any adequate reasons. </w:t>
      </w:r>
    </w:p>
    <w:p w14:paraId="22785EE6" w14:textId="3305F522" w:rsidR="00291310" w:rsidRDefault="00E20EA9"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The final argument Beumer looked to argue was to reply on an argument that a breach or justice had occurred </w:t>
      </w:r>
      <w:r w:rsidR="006E4BD2">
        <w:rPr>
          <w:rFonts w:eastAsia="Times New Roman" w:cstheme="minorHAnsi"/>
          <w:sz w:val="24"/>
          <w:szCs w:val="24"/>
          <w:shd w:val="clear" w:color="auto" w:fill="FFFFFF"/>
          <w:lang w:eastAsia="en-GB"/>
        </w:rPr>
        <w:t>because</w:t>
      </w:r>
      <w:r>
        <w:rPr>
          <w:rFonts w:eastAsia="Times New Roman" w:cstheme="minorHAnsi"/>
          <w:sz w:val="24"/>
          <w:szCs w:val="24"/>
          <w:shd w:val="clear" w:color="auto" w:fill="FFFFFF"/>
          <w:lang w:eastAsia="en-GB"/>
        </w:rPr>
        <w:t xml:space="preserve"> the adjudicator had not ordered Vinci to disclose documents from a 2016 adjudication commenced by another subcontractor against Vinci on the same </w:t>
      </w:r>
      <w:r w:rsidR="00291310">
        <w:rPr>
          <w:rFonts w:eastAsia="Times New Roman" w:cstheme="minorHAnsi"/>
          <w:sz w:val="24"/>
          <w:szCs w:val="24"/>
          <w:shd w:val="clear" w:color="auto" w:fill="FFFFFF"/>
          <w:lang w:eastAsia="en-GB"/>
        </w:rPr>
        <w:t xml:space="preserve">project in which he was also </w:t>
      </w:r>
      <w:r w:rsidR="006F45A8">
        <w:rPr>
          <w:rFonts w:eastAsia="Times New Roman" w:cstheme="minorHAnsi"/>
          <w:sz w:val="24"/>
          <w:szCs w:val="24"/>
          <w:shd w:val="clear" w:color="auto" w:fill="FFFFFF"/>
          <w:lang w:eastAsia="en-GB"/>
        </w:rPr>
        <w:t>an</w:t>
      </w:r>
      <w:r w:rsidR="00291310">
        <w:rPr>
          <w:rFonts w:eastAsia="Times New Roman" w:cstheme="minorHAnsi"/>
          <w:sz w:val="24"/>
          <w:szCs w:val="24"/>
          <w:shd w:val="clear" w:color="auto" w:fill="FFFFFF"/>
          <w:lang w:eastAsia="en-GB"/>
        </w:rPr>
        <w:t xml:space="preserve"> adjudicator.</w:t>
      </w:r>
      <w:r w:rsidR="00CA14C3">
        <w:rPr>
          <w:rFonts w:eastAsia="Times New Roman" w:cstheme="minorHAnsi"/>
          <w:sz w:val="24"/>
          <w:szCs w:val="24"/>
          <w:shd w:val="clear" w:color="auto" w:fill="FFFFFF"/>
          <w:lang w:eastAsia="en-GB"/>
        </w:rPr>
        <w:t xml:space="preserve"> (Atkin Chambers Limited, July 24th</w:t>
      </w:r>
      <w:r w:rsidR="006E4BD2">
        <w:rPr>
          <w:rFonts w:eastAsia="Times New Roman" w:cstheme="minorHAnsi"/>
          <w:sz w:val="24"/>
          <w:szCs w:val="24"/>
          <w:shd w:val="clear" w:color="auto" w:fill="FFFFFF"/>
          <w:lang w:eastAsia="en-GB"/>
        </w:rPr>
        <w:t>, 2018</w:t>
      </w:r>
      <w:r w:rsidR="00CA14C3">
        <w:rPr>
          <w:rFonts w:eastAsia="Times New Roman" w:cstheme="minorHAnsi"/>
          <w:sz w:val="24"/>
          <w:szCs w:val="24"/>
          <w:shd w:val="clear" w:color="auto" w:fill="FFFFFF"/>
          <w:lang w:eastAsia="en-GB"/>
        </w:rPr>
        <w:t>)</w:t>
      </w:r>
    </w:p>
    <w:p w14:paraId="0260779A" w14:textId="49D908B7" w:rsidR="00CA14C3" w:rsidRDefault="00CA14C3" w:rsidP="0017371C">
      <w:pPr>
        <w:spacing w:line="276" w:lineRule="auto"/>
        <w:ind w:left="720"/>
        <w:jc w:val="both"/>
        <w:rPr>
          <w:rFonts w:eastAsia="Times New Roman" w:cstheme="minorHAnsi"/>
          <w:sz w:val="24"/>
          <w:szCs w:val="24"/>
          <w:shd w:val="clear" w:color="auto" w:fill="FFFFFF"/>
          <w:lang w:eastAsia="en-GB"/>
        </w:rPr>
      </w:pPr>
    </w:p>
    <w:p w14:paraId="2630300C" w14:textId="0AE9D83B" w:rsidR="00CA14C3" w:rsidRDefault="00CA14C3" w:rsidP="0017371C">
      <w:pPr>
        <w:spacing w:line="276" w:lineRule="auto"/>
        <w:ind w:left="720"/>
        <w:jc w:val="both"/>
        <w:rPr>
          <w:rFonts w:eastAsia="Times New Roman" w:cstheme="minorHAnsi"/>
          <w:sz w:val="24"/>
          <w:szCs w:val="24"/>
          <w:shd w:val="clear" w:color="auto" w:fill="FFFFFF"/>
          <w:lang w:eastAsia="en-GB"/>
        </w:rPr>
      </w:pPr>
      <w:r>
        <w:rPr>
          <w:rFonts w:eastAsia="Times New Roman" w:cstheme="minorHAnsi"/>
          <w:b/>
          <w:bCs/>
          <w:sz w:val="24"/>
          <w:szCs w:val="24"/>
          <w:u w:val="single"/>
          <w:shd w:val="clear" w:color="auto" w:fill="FFFFFF"/>
          <w:lang w:eastAsia="en-GB"/>
        </w:rPr>
        <w:t xml:space="preserve">4.6 </w:t>
      </w:r>
      <w:r w:rsidR="00D91A27">
        <w:rPr>
          <w:rFonts w:eastAsia="Times New Roman" w:cstheme="minorHAnsi"/>
          <w:sz w:val="24"/>
          <w:szCs w:val="24"/>
          <w:shd w:val="clear" w:color="auto" w:fill="FFFFFF"/>
          <w:lang w:eastAsia="en-GB"/>
        </w:rPr>
        <w:t>The final decision came into judge O’Farrell’s decision. O’Farrell identified that both Vinci and Beumer clearly pl</w:t>
      </w:r>
      <w:r w:rsidR="006E4BD2">
        <w:rPr>
          <w:rFonts w:eastAsia="Times New Roman" w:cstheme="minorHAnsi"/>
          <w:sz w:val="24"/>
          <w:szCs w:val="24"/>
          <w:shd w:val="clear" w:color="auto" w:fill="FFFFFF"/>
          <w:lang w:eastAsia="en-GB"/>
        </w:rPr>
        <w:t>anned for delayed liquidation damages to be added to each section of the contract for each section of the works completion dates. This was done to give Beumer a clear incentive for the works to be done on time. “</w:t>
      </w:r>
      <w:r w:rsidR="006E4BD2" w:rsidRPr="006E4BD2">
        <w:rPr>
          <w:rFonts w:eastAsia="Times New Roman" w:cstheme="minorHAnsi"/>
          <w:sz w:val="24"/>
          <w:szCs w:val="24"/>
          <w:shd w:val="clear" w:color="auto" w:fill="FFFFFF"/>
          <w:lang w:eastAsia="en-GB"/>
        </w:rPr>
        <w:t>Consequently, on a proper construction of the sub-contract, the court held that those provisions were "operable and enforceable".</w:t>
      </w:r>
      <w:r w:rsidR="006E4BD2">
        <w:rPr>
          <w:rFonts w:eastAsia="Times New Roman" w:cstheme="minorHAnsi"/>
          <w:sz w:val="24"/>
          <w:szCs w:val="24"/>
          <w:shd w:val="clear" w:color="auto" w:fill="FFFFFF"/>
          <w:lang w:eastAsia="en-GB"/>
        </w:rPr>
        <w:t xml:space="preserve">” By this it means that the contract is </w:t>
      </w:r>
      <w:r w:rsidR="00DE4180">
        <w:rPr>
          <w:rFonts w:eastAsia="Times New Roman" w:cstheme="minorHAnsi"/>
          <w:sz w:val="24"/>
          <w:szCs w:val="24"/>
          <w:shd w:val="clear" w:color="auto" w:fill="FFFFFF"/>
          <w:lang w:eastAsia="en-GB"/>
        </w:rPr>
        <w:t>still</w:t>
      </w:r>
      <w:r w:rsidR="006E4BD2">
        <w:rPr>
          <w:rFonts w:eastAsia="Times New Roman" w:cstheme="minorHAnsi"/>
          <w:sz w:val="24"/>
          <w:szCs w:val="24"/>
          <w:shd w:val="clear" w:color="auto" w:fill="FFFFFF"/>
          <w:lang w:eastAsia="en-GB"/>
        </w:rPr>
        <w:t xml:space="preserve"> going to be used and will be the decide that Beumer are liable for the </w:t>
      </w:r>
      <w:r w:rsidR="00DE4180">
        <w:rPr>
          <w:rFonts w:eastAsia="Times New Roman" w:cstheme="minorHAnsi"/>
          <w:sz w:val="24"/>
          <w:szCs w:val="24"/>
          <w:shd w:val="clear" w:color="auto" w:fill="FFFFFF"/>
          <w:lang w:eastAsia="en-GB"/>
        </w:rPr>
        <w:t>liquidated</w:t>
      </w:r>
      <w:r w:rsidR="006E4BD2">
        <w:rPr>
          <w:rFonts w:eastAsia="Times New Roman" w:cstheme="minorHAnsi"/>
          <w:sz w:val="24"/>
          <w:szCs w:val="24"/>
          <w:shd w:val="clear" w:color="auto" w:fill="FFFFFF"/>
          <w:lang w:eastAsia="en-GB"/>
        </w:rPr>
        <w:t xml:space="preserve"> damages</w:t>
      </w:r>
      <w:r w:rsidR="00DE4180">
        <w:rPr>
          <w:rFonts w:eastAsia="Times New Roman" w:cstheme="minorHAnsi"/>
          <w:sz w:val="24"/>
          <w:szCs w:val="24"/>
          <w:shd w:val="clear" w:color="auto" w:fill="FFFFFF"/>
          <w:lang w:eastAsia="en-GB"/>
        </w:rPr>
        <w:t xml:space="preserve"> caused by their negligence of not completing the works on time. (Fenwick Elliot LLP)</w:t>
      </w:r>
    </w:p>
    <w:p w14:paraId="7C4B8970" w14:textId="1DCFFBC6" w:rsidR="003B6BA3" w:rsidRDefault="003B6BA3" w:rsidP="00386BB4">
      <w:pPr>
        <w:spacing w:line="276" w:lineRule="auto"/>
        <w:ind w:left="720"/>
        <w:rPr>
          <w:rFonts w:eastAsia="Times New Roman" w:cstheme="minorHAnsi"/>
          <w:sz w:val="24"/>
          <w:szCs w:val="24"/>
          <w:shd w:val="clear" w:color="auto" w:fill="FFFFFF"/>
          <w:lang w:eastAsia="en-GB"/>
        </w:rPr>
      </w:pPr>
    </w:p>
    <w:p w14:paraId="4EFA96B9" w14:textId="7E750F18" w:rsidR="003A4C7F" w:rsidRDefault="003A4C7F" w:rsidP="00386BB4">
      <w:pPr>
        <w:spacing w:line="276" w:lineRule="auto"/>
        <w:ind w:left="720"/>
        <w:rPr>
          <w:rFonts w:eastAsia="Times New Roman" w:cstheme="minorHAnsi"/>
          <w:sz w:val="24"/>
          <w:szCs w:val="24"/>
          <w:shd w:val="clear" w:color="auto" w:fill="FFFFFF"/>
          <w:lang w:eastAsia="en-GB"/>
        </w:rPr>
      </w:pPr>
    </w:p>
    <w:p w14:paraId="6BD10E64" w14:textId="35A00A13" w:rsidR="003A4C7F" w:rsidRDefault="003A4C7F"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After gaining a large amount of my knowledge through both my findings as well as my original knowledge that I gained within my lectures. When looking back through my findings I can see how the </w:t>
      </w:r>
      <w:r w:rsidR="000E3DB6">
        <w:rPr>
          <w:rFonts w:eastAsia="Times New Roman" w:cstheme="minorHAnsi"/>
          <w:sz w:val="24"/>
          <w:szCs w:val="24"/>
          <w:shd w:val="clear" w:color="auto" w:fill="FFFFFF"/>
          <w:lang w:eastAsia="en-GB"/>
        </w:rPr>
        <w:t>importance</w:t>
      </w:r>
      <w:r w:rsidR="00BA15BF">
        <w:rPr>
          <w:rFonts w:eastAsia="Times New Roman" w:cstheme="minorHAnsi"/>
          <w:sz w:val="24"/>
          <w:szCs w:val="24"/>
          <w:shd w:val="clear" w:color="auto" w:fill="FFFFFF"/>
          <w:lang w:eastAsia="en-GB"/>
        </w:rPr>
        <w:t xml:space="preserve"> torts law of negligence is when it comes to </w:t>
      </w:r>
      <w:r w:rsidR="000E3DB6">
        <w:rPr>
          <w:rFonts w:eastAsia="Times New Roman" w:cstheme="minorHAnsi"/>
          <w:sz w:val="24"/>
          <w:szCs w:val="24"/>
          <w:shd w:val="clear" w:color="auto" w:fill="FFFFFF"/>
          <w:lang w:eastAsia="en-GB"/>
        </w:rPr>
        <w:t xml:space="preserve">construction. This can be shown through both cases that I looked </w:t>
      </w:r>
      <w:r w:rsidR="0017635E">
        <w:rPr>
          <w:rFonts w:eastAsia="Times New Roman" w:cstheme="minorHAnsi"/>
          <w:sz w:val="24"/>
          <w:szCs w:val="24"/>
          <w:shd w:val="clear" w:color="auto" w:fill="FFFFFF"/>
          <w:lang w:eastAsia="en-GB"/>
        </w:rPr>
        <w:t>at</w:t>
      </w:r>
      <w:r w:rsidR="000E3DB6">
        <w:rPr>
          <w:rFonts w:eastAsia="Times New Roman" w:cstheme="minorHAnsi"/>
          <w:sz w:val="24"/>
          <w:szCs w:val="24"/>
          <w:shd w:val="clear" w:color="auto" w:fill="FFFFFF"/>
          <w:lang w:eastAsia="en-GB"/>
        </w:rPr>
        <w:t xml:space="preserve">. Negligent acts can take place in many ways. It can be the smallest of actions that cause damage to companies. For example, it comes to Allen tod V Capita property infrastructure, The </w:t>
      </w:r>
      <w:r w:rsidR="000E3DB6">
        <w:rPr>
          <w:rFonts w:eastAsia="Times New Roman" w:cstheme="minorHAnsi"/>
          <w:sz w:val="24"/>
          <w:szCs w:val="24"/>
          <w:shd w:val="clear" w:color="auto" w:fill="FFFFFF"/>
          <w:lang w:eastAsia="en-GB"/>
        </w:rPr>
        <w:lastRenderedPageBreak/>
        <w:t xml:space="preserve">negligent act was an expert structural engineer not completing his work on time. Because of this it meant that works had to be slowed down and lead to a large case were both companies suffered financially. </w:t>
      </w:r>
      <w:r w:rsidR="00885BEA">
        <w:rPr>
          <w:rFonts w:eastAsia="Times New Roman" w:cstheme="minorHAnsi"/>
          <w:sz w:val="24"/>
          <w:szCs w:val="24"/>
          <w:shd w:val="clear" w:color="auto" w:fill="FFFFFF"/>
          <w:lang w:eastAsia="en-GB"/>
        </w:rPr>
        <w:t>Likewise,</w:t>
      </w:r>
      <w:r w:rsidR="0070386A">
        <w:rPr>
          <w:rFonts w:eastAsia="Times New Roman" w:cstheme="minorHAnsi"/>
          <w:sz w:val="24"/>
          <w:szCs w:val="24"/>
          <w:shd w:val="clear" w:color="auto" w:fill="FFFFFF"/>
          <w:lang w:eastAsia="en-GB"/>
        </w:rPr>
        <w:t xml:space="preserve"> within the </w:t>
      </w:r>
      <w:r w:rsidR="0070386A" w:rsidRPr="0070386A">
        <w:rPr>
          <w:rFonts w:eastAsia="Times New Roman" w:cstheme="minorHAnsi"/>
          <w:sz w:val="24"/>
          <w:szCs w:val="24"/>
          <w:shd w:val="clear" w:color="auto" w:fill="FFFFFF"/>
          <w:lang w:eastAsia="en-GB"/>
        </w:rPr>
        <w:t>Vinci Construction UK Ltd v Beumer Group</w:t>
      </w:r>
      <w:r w:rsidR="0070386A">
        <w:rPr>
          <w:rFonts w:eastAsia="Times New Roman" w:cstheme="minorHAnsi"/>
          <w:sz w:val="24"/>
          <w:szCs w:val="24"/>
          <w:shd w:val="clear" w:color="auto" w:fill="FFFFFF"/>
          <w:lang w:eastAsia="en-GB"/>
        </w:rPr>
        <w:t xml:space="preserve"> case, it was based over a very long </w:t>
      </w:r>
      <w:r w:rsidR="00885BEA">
        <w:rPr>
          <w:rFonts w:eastAsia="Times New Roman" w:cstheme="minorHAnsi"/>
          <w:sz w:val="24"/>
          <w:szCs w:val="24"/>
          <w:shd w:val="clear" w:color="auto" w:fill="FFFFFF"/>
          <w:lang w:eastAsia="en-GB"/>
        </w:rPr>
        <w:t>period</w:t>
      </w:r>
      <w:r w:rsidR="0070386A">
        <w:rPr>
          <w:rFonts w:eastAsia="Times New Roman" w:cstheme="minorHAnsi"/>
          <w:sz w:val="24"/>
          <w:szCs w:val="24"/>
          <w:shd w:val="clear" w:color="auto" w:fill="FFFFFF"/>
          <w:lang w:eastAsia="en-GB"/>
        </w:rPr>
        <w:t xml:space="preserve">. This case took years to be completed due to adjunctions coming into place. </w:t>
      </w:r>
      <w:r w:rsidR="00885BEA">
        <w:rPr>
          <w:rFonts w:eastAsia="Times New Roman" w:cstheme="minorHAnsi"/>
          <w:sz w:val="24"/>
          <w:szCs w:val="24"/>
          <w:shd w:val="clear" w:color="auto" w:fill="FFFFFF"/>
          <w:lang w:eastAsia="en-GB"/>
        </w:rPr>
        <w:t xml:space="preserve">This meant that it cost both companies even more money as they kept the case going for so long which would result in a large loss of profit. However, with this case it was found that Vinci was owed the money that they lost due to liquidated damages. </w:t>
      </w:r>
    </w:p>
    <w:p w14:paraId="7463474B" w14:textId="1FB2F292" w:rsidR="003B6BA3" w:rsidRDefault="003B6BA3" w:rsidP="00386BB4">
      <w:pPr>
        <w:spacing w:line="276" w:lineRule="auto"/>
        <w:ind w:left="720"/>
        <w:rPr>
          <w:rFonts w:eastAsia="Times New Roman" w:cstheme="minorHAnsi"/>
          <w:sz w:val="24"/>
          <w:szCs w:val="24"/>
          <w:shd w:val="clear" w:color="auto" w:fill="FFFFFF"/>
          <w:lang w:eastAsia="en-GB"/>
        </w:rPr>
      </w:pPr>
    </w:p>
    <w:p w14:paraId="1F2EA6B1" w14:textId="77777777" w:rsidR="003B6BA3" w:rsidRPr="003B6BA3" w:rsidRDefault="003B6BA3" w:rsidP="00386BB4">
      <w:pPr>
        <w:spacing w:line="276" w:lineRule="auto"/>
        <w:ind w:left="720"/>
        <w:rPr>
          <w:rFonts w:eastAsia="Times New Roman" w:cstheme="minorHAnsi"/>
          <w:b/>
          <w:bCs/>
          <w:sz w:val="24"/>
          <w:szCs w:val="24"/>
          <w:u w:val="single"/>
          <w:shd w:val="clear" w:color="auto" w:fill="FFFFFF"/>
          <w:lang w:eastAsia="en-GB"/>
        </w:rPr>
      </w:pPr>
    </w:p>
    <w:p w14:paraId="0B40F42B" w14:textId="77777777" w:rsidR="00291310" w:rsidRDefault="00291310" w:rsidP="00386BB4">
      <w:pPr>
        <w:spacing w:line="276" w:lineRule="auto"/>
        <w:ind w:left="720"/>
        <w:rPr>
          <w:rFonts w:eastAsia="Times New Roman" w:cstheme="minorHAnsi"/>
          <w:sz w:val="24"/>
          <w:szCs w:val="24"/>
          <w:shd w:val="clear" w:color="auto" w:fill="FFFFFF"/>
          <w:lang w:eastAsia="en-GB"/>
        </w:rPr>
      </w:pPr>
    </w:p>
    <w:p w14:paraId="65B52377" w14:textId="55E3CE7E" w:rsidR="00E20EA9" w:rsidRPr="00E20EA9" w:rsidRDefault="00291310"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 </w:t>
      </w:r>
    </w:p>
    <w:p w14:paraId="62F20234" w14:textId="6B4026FC" w:rsidR="00386BB4" w:rsidRDefault="006D48A9" w:rsidP="00386BB4">
      <w:pPr>
        <w:spacing w:line="276" w:lineRule="auto"/>
        <w:ind w:left="720"/>
        <w:rPr>
          <w:rFonts w:eastAsia="Times New Roman" w:cstheme="minorHAnsi"/>
          <w:sz w:val="24"/>
          <w:szCs w:val="24"/>
          <w:shd w:val="clear" w:color="auto" w:fill="FFFFFF"/>
          <w:lang w:eastAsia="en-GB"/>
        </w:rPr>
      </w:pPr>
      <w:r>
        <w:rPr>
          <w:rFonts w:eastAsia="Times New Roman" w:cstheme="minorHAnsi"/>
          <w:sz w:val="24"/>
          <w:szCs w:val="24"/>
          <w:shd w:val="clear" w:color="auto" w:fill="FFFFFF"/>
          <w:lang w:eastAsia="en-GB"/>
        </w:rPr>
        <w:t xml:space="preserve"> </w:t>
      </w:r>
    </w:p>
    <w:p w14:paraId="4ECF8A70" w14:textId="77777777" w:rsidR="007E731D" w:rsidRDefault="007E731D" w:rsidP="006D248C">
      <w:pPr>
        <w:spacing w:line="480" w:lineRule="auto"/>
        <w:rPr>
          <w:rFonts w:cstheme="minorHAnsi"/>
          <w:color w:val="000000"/>
          <w:sz w:val="24"/>
          <w:szCs w:val="24"/>
          <w:shd w:val="clear" w:color="auto" w:fill="FFFFFF"/>
        </w:rPr>
      </w:pPr>
    </w:p>
    <w:p w14:paraId="6AF43EA5" w14:textId="77777777" w:rsidR="007E731D" w:rsidRDefault="007E731D" w:rsidP="006D248C">
      <w:pPr>
        <w:spacing w:line="480" w:lineRule="auto"/>
        <w:rPr>
          <w:rFonts w:cstheme="minorHAnsi"/>
          <w:color w:val="000000"/>
          <w:sz w:val="24"/>
          <w:szCs w:val="24"/>
          <w:shd w:val="clear" w:color="auto" w:fill="FFFFFF"/>
        </w:rPr>
      </w:pPr>
    </w:p>
    <w:p w14:paraId="1ABA8D8F" w14:textId="77777777" w:rsidR="007E731D" w:rsidRDefault="007E731D" w:rsidP="006D248C">
      <w:pPr>
        <w:spacing w:line="480" w:lineRule="auto"/>
        <w:rPr>
          <w:rFonts w:cstheme="minorHAnsi"/>
          <w:color w:val="000000"/>
          <w:sz w:val="24"/>
          <w:szCs w:val="24"/>
          <w:shd w:val="clear" w:color="auto" w:fill="FFFFFF"/>
        </w:rPr>
      </w:pPr>
    </w:p>
    <w:p w14:paraId="72F7A260" w14:textId="77777777" w:rsidR="007E731D" w:rsidRDefault="007E731D" w:rsidP="006D248C">
      <w:pPr>
        <w:spacing w:line="480" w:lineRule="auto"/>
        <w:rPr>
          <w:rFonts w:cstheme="minorHAnsi"/>
          <w:color w:val="000000"/>
          <w:sz w:val="24"/>
          <w:szCs w:val="24"/>
          <w:shd w:val="clear" w:color="auto" w:fill="FFFFFF"/>
        </w:rPr>
      </w:pPr>
    </w:p>
    <w:p w14:paraId="42F6F1D3" w14:textId="77777777" w:rsidR="00DF69F7" w:rsidRDefault="00DF69F7" w:rsidP="006D248C">
      <w:pPr>
        <w:spacing w:line="480" w:lineRule="auto"/>
        <w:rPr>
          <w:b/>
          <w:bCs/>
          <w:sz w:val="24"/>
          <w:szCs w:val="24"/>
          <w:u w:val="single"/>
        </w:rPr>
      </w:pPr>
    </w:p>
    <w:p w14:paraId="46634A65" w14:textId="77777777" w:rsidR="00DF69F7" w:rsidRDefault="00DF69F7" w:rsidP="006D248C">
      <w:pPr>
        <w:spacing w:line="480" w:lineRule="auto"/>
        <w:rPr>
          <w:b/>
          <w:bCs/>
          <w:sz w:val="24"/>
          <w:szCs w:val="24"/>
          <w:u w:val="single"/>
        </w:rPr>
      </w:pPr>
    </w:p>
    <w:p w14:paraId="62E35DBB" w14:textId="77777777" w:rsidR="00DF69F7" w:rsidRDefault="00DF69F7" w:rsidP="006D248C">
      <w:pPr>
        <w:spacing w:line="480" w:lineRule="auto"/>
        <w:rPr>
          <w:b/>
          <w:bCs/>
          <w:sz w:val="24"/>
          <w:szCs w:val="24"/>
          <w:u w:val="single"/>
        </w:rPr>
      </w:pPr>
    </w:p>
    <w:p w14:paraId="72358CF4" w14:textId="77777777" w:rsidR="00DF69F7" w:rsidRDefault="00DF69F7" w:rsidP="006D248C">
      <w:pPr>
        <w:spacing w:line="480" w:lineRule="auto"/>
        <w:rPr>
          <w:b/>
          <w:bCs/>
          <w:sz w:val="24"/>
          <w:szCs w:val="24"/>
          <w:u w:val="single"/>
        </w:rPr>
      </w:pPr>
    </w:p>
    <w:p w14:paraId="7F99705A" w14:textId="77777777" w:rsidR="00DF69F7" w:rsidRDefault="00DF69F7" w:rsidP="006D248C">
      <w:pPr>
        <w:spacing w:line="480" w:lineRule="auto"/>
        <w:rPr>
          <w:b/>
          <w:bCs/>
          <w:sz w:val="24"/>
          <w:szCs w:val="24"/>
          <w:u w:val="single"/>
        </w:rPr>
      </w:pPr>
    </w:p>
    <w:p w14:paraId="671D7F5E" w14:textId="77777777" w:rsidR="00DF69F7" w:rsidRDefault="00DF69F7" w:rsidP="006D248C">
      <w:pPr>
        <w:spacing w:line="480" w:lineRule="auto"/>
        <w:rPr>
          <w:b/>
          <w:bCs/>
          <w:sz w:val="24"/>
          <w:szCs w:val="24"/>
          <w:u w:val="single"/>
        </w:rPr>
      </w:pPr>
    </w:p>
    <w:p w14:paraId="76CDA71D" w14:textId="77777777" w:rsidR="00DF69F7" w:rsidRDefault="00DF69F7" w:rsidP="006D248C">
      <w:pPr>
        <w:spacing w:line="480" w:lineRule="auto"/>
        <w:rPr>
          <w:b/>
          <w:bCs/>
          <w:sz w:val="24"/>
          <w:szCs w:val="24"/>
          <w:u w:val="single"/>
        </w:rPr>
      </w:pPr>
    </w:p>
    <w:p w14:paraId="38E4746D" w14:textId="77777777" w:rsidR="00DF69F7" w:rsidRDefault="00DF69F7" w:rsidP="006D248C">
      <w:pPr>
        <w:spacing w:line="480" w:lineRule="auto"/>
        <w:rPr>
          <w:b/>
          <w:bCs/>
          <w:sz w:val="24"/>
          <w:szCs w:val="24"/>
          <w:u w:val="single"/>
        </w:rPr>
      </w:pPr>
    </w:p>
    <w:p w14:paraId="76116916" w14:textId="77777777" w:rsidR="00B16C96" w:rsidRDefault="00B16C96" w:rsidP="006D248C">
      <w:pPr>
        <w:spacing w:line="480" w:lineRule="auto"/>
        <w:rPr>
          <w:b/>
          <w:bCs/>
          <w:sz w:val="24"/>
          <w:szCs w:val="24"/>
          <w:u w:val="single"/>
        </w:rPr>
      </w:pPr>
    </w:p>
    <w:p w14:paraId="2230140B" w14:textId="77777777" w:rsidR="00DD31FF" w:rsidRDefault="006D248C" w:rsidP="004E0C49">
      <w:pPr>
        <w:spacing w:line="480" w:lineRule="auto"/>
        <w:rPr>
          <w:b/>
          <w:bCs/>
          <w:sz w:val="24"/>
          <w:szCs w:val="24"/>
          <w:u w:val="single"/>
        </w:rPr>
      </w:pPr>
      <w:r>
        <w:rPr>
          <w:b/>
          <w:bCs/>
          <w:sz w:val="24"/>
          <w:szCs w:val="24"/>
          <w:u w:val="single"/>
        </w:rPr>
        <w:t>5.</w:t>
      </w:r>
      <w:r w:rsidR="003F3A16">
        <w:rPr>
          <w:b/>
          <w:bCs/>
          <w:sz w:val="24"/>
          <w:szCs w:val="24"/>
          <w:u w:val="single"/>
        </w:rPr>
        <w:t xml:space="preserve">0 References </w:t>
      </w:r>
    </w:p>
    <w:p w14:paraId="72327C86" w14:textId="2F1FB10B" w:rsidR="004E0C49" w:rsidRPr="00DD31FF" w:rsidRDefault="00DD31FF" w:rsidP="004E0C49">
      <w:pPr>
        <w:spacing w:line="480" w:lineRule="auto"/>
        <w:rPr>
          <w:b/>
          <w:bCs/>
          <w:sz w:val="24"/>
          <w:szCs w:val="24"/>
          <w:u w:val="single"/>
        </w:rPr>
      </w:pPr>
      <w:r w:rsidRPr="00DD31FF">
        <w:t xml:space="preserve">THOMSON REUTERS </w:t>
      </w:r>
      <w:r w:rsidR="00340212">
        <w:t>(</w:t>
      </w:r>
      <w:r w:rsidR="00340212" w:rsidRPr="00DD31FF">
        <w:t>2022</w:t>
      </w:r>
      <w:r w:rsidR="00340212">
        <w:t>)</w:t>
      </w:r>
      <w:r w:rsidR="00340212" w:rsidRPr="00DD31FF">
        <w:t xml:space="preserve"> Practical</w:t>
      </w:r>
      <w:r>
        <w:t xml:space="preserve"> Law. Available at: </w:t>
      </w:r>
      <w:hyperlink r:id="rId8" w:anchor=":~:text=The%20most%20common%20tort%20is,injured%20by%20any%20particular%20conduct" w:history="1">
        <w:r w:rsidRPr="009C2AE2">
          <w:rPr>
            <w:rStyle w:val="Hyperlink"/>
            <w:sz w:val="24"/>
            <w:szCs w:val="24"/>
          </w:rPr>
          <w:t>https://uk.practicallaw.thomsonreuters.com/6-107-7397?transitionType=Default&amp;contextData=(sc.Default)&amp;firstPage=true#:~:text=The%20most%20common%20tort%20is,injured%20by%20any%20particular%20conduct</w:t>
        </w:r>
      </w:hyperlink>
      <w:r w:rsidR="004E0C49" w:rsidRPr="004E0C49">
        <w:rPr>
          <w:sz w:val="24"/>
          <w:szCs w:val="24"/>
        </w:rPr>
        <w:t>.</w:t>
      </w:r>
      <w:r w:rsidR="0002059D">
        <w:rPr>
          <w:sz w:val="24"/>
          <w:szCs w:val="24"/>
        </w:rPr>
        <w:t xml:space="preserve"> </w:t>
      </w:r>
    </w:p>
    <w:p w14:paraId="3202E2D5" w14:textId="0A719422" w:rsidR="006D248C" w:rsidRDefault="00630E0E" w:rsidP="004E0C49">
      <w:pPr>
        <w:spacing w:line="480" w:lineRule="auto"/>
        <w:rPr>
          <w:sz w:val="24"/>
          <w:szCs w:val="24"/>
        </w:rPr>
      </w:pPr>
      <w:r>
        <w:t>Evershreds Sutherland</w:t>
      </w:r>
      <w:r w:rsidR="00340212">
        <w:t xml:space="preserve"> (</w:t>
      </w:r>
      <w:r>
        <w:t>2016</w:t>
      </w:r>
      <w:r w:rsidR="00340212">
        <w:t>)</w:t>
      </w:r>
      <w:r>
        <w:t xml:space="preserve"> Top 3 Construction Cases. Available at: </w:t>
      </w:r>
      <w:hyperlink r:id="rId9" w:history="1">
        <w:r w:rsidRPr="009C2AE2">
          <w:rPr>
            <w:rStyle w:val="Hyperlink"/>
            <w:sz w:val="24"/>
            <w:szCs w:val="24"/>
          </w:rPr>
          <w:t>https://www.eversheds-sutherland.com/global/en/what/articles/index.page?ArticleID=en/Construction_And_Engineering/Top_three_construction_cases_September_2016</w:t>
        </w:r>
      </w:hyperlink>
      <w:r w:rsidR="0002059D">
        <w:rPr>
          <w:sz w:val="24"/>
          <w:szCs w:val="24"/>
        </w:rPr>
        <w:t xml:space="preserve"> </w:t>
      </w:r>
    </w:p>
    <w:p w14:paraId="33A4E565" w14:textId="5B901335" w:rsidR="006D248C" w:rsidRDefault="00630E0E" w:rsidP="004E0C49">
      <w:pPr>
        <w:spacing w:line="480" w:lineRule="auto"/>
        <w:rPr>
          <w:sz w:val="24"/>
          <w:szCs w:val="24"/>
        </w:rPr>
      </w:pPr>
      <w:r>
        <w:t xml:space="preserve">Introduction into English tort law. Available at: </w:t>
      </w:r>
      <w:hyperlink r:id="rId10" w:history="1">
        <w:r w:rsidRPr="009C2AE2">
          <w:rPr>
            <w:rStyle w:val="Hyperlink"/>
            <w:sz w:val="24"/>
            <w:szCs w:val="24"/>
          </w:rPr>
          <w:t>https://www.biicl.org/files/763_introduction_to_english_tort_law.pdf</w:t>
        </w:r>
      </w:hyperlink>
      <w:r w:rsidR="00042F3D">
        <w:rPr>
          <w:sz w:val="24"/>
          <w:szCs w:val="24"/>
        </w:rPr>
        <w:t xml:space="preserve"> </w:t>
      </w:r>
    </w:p>
    <w:p w14:paraId="1CFB48F5" w14:textId="7A8B9458" w:rsidR="006D248C" w:rsidRDefault="00630E0E" w:rsidP="004E0C49">
      <w:pPr>
        <w:spacing w:line="480" w:lineRule="auto"/>
      </w:pPr>
      <w:r w:rsidRPr="00340212">
        <w:t xml:space="preserve">e-lawresoursces.co.uk. Available at: </w:t>
      </w:r>
      <w:r w:rsidR="00340212" w:rsidRPr="00340212">
        <w:t xml:space="preserve"> </w:t>
      </w:r>
      <w:hyperlink r:id="rId11" w:anchor=":~:text=The%20modern%20law%20of%20negligence,AC%20562%20(Case%20summary)" w:history="1">
        <w:r w:rsidR="00340212" w:rsidRPr="009C2AE2">
          <w:rPr>
            <w:rStyle w:val="Hyperlink"/>
          </w:rPr>
          <w:t>http://www.e-lawresources.co.uk/Negligence.php#:~:text=The%20modern%20law%20of%20negligence,AC%20562%20(Case%20summary)</w:t>
        </w:r>
      </w:hyperlink>
    </w:p>
    <w:p w14:paraId="48699B77" w14:textId="6CECD578" w:rsidR="00381D24" w:rsidRDefault="00630E0E" w:rsidP="004E0C49">
      <w:pPr>
        <w:spacing w:line="480" w:lineRule="auto"/>
        <w:rPr>
          <w:sz w:val="24"/>
          <w:szCs w:val="24"/>
        </w:rPr>
      </w:pPr>
      <w:r>
        <w:t>atkinchambers.com</w:t>
      </w:r>
      <w:r w:rsidR="00340212">
        <w:t xml:space="preserve"> (</w:t>
      </w:r>
      <w:r>
        <w:t>2018</w:t>
      </w:r>
      <w:r w:rsidR="00340212">
        <w:t>)</w:t>
      </w:r>
      <w:r>
        <w:t xml:space="preserve"> </w:t>
      </w:r>
      <w:r w:rsidRPr="00630E0E">
        <w:t>Vinci Construction UK Ltd v Beumer Group UK Ltd [2018] EWHC 1874 (TCC) (24 July 2018)</w:t>
      </w:r>
      <w:r>
        <w:t xml:space="preserve">. Available at: </w:t>
      </w:r>
      <w:hyperlink r:id="rId12" w:history="1">
        <w:r w:rsidR="00340212" w:rsidRPr="009C2AE2">
          <w:rPr>
            <w:rStyle w:val="Hyperlink"/>
            <w:sz w:val="24"/>
            <w:szCs w:val="24"/>
          </w:rPr>
          <w:t>https://www.atkinchambers.com/vinci-construction-uk-ltd-v-beumer-group-uk-ltd-2018-ewhc-1874-tcc-24-july-2018/</w:t>
        </w:r>
      </w:hyperlink>
      <w:r w:rsidR="00381D24">
        <w:rPr>
          <w:sz w:val="24"/>
          <w:szCs w:val="24"/>
        </w:rPr>
        <w:t xml:space="preserve"> </w:t>
      </w:r>
    </w:p>
    <w:p w14:paraId="445374C5" w14:textId="37C25D0F" w:rsidR="00381D24" w:rsidRDefault="00340212" w:rsidP="004E0C49">
      <w:pPr>
        <w:spacing w:line="480" w:lineRule="auto"/>
        <w:rPr>
          <w:sz w:val="24"/>
          <w:szCs w:val="24"/>
        </w:rPr>
      </w:pPr>
      <w:r>
        <w:t xml:space="preserve">Fenwickelliot.com(2017) </w:t>
      </w:r>
      <w:r w:rsidRPr="00340212">
        <w:t>Vinci Construction UK Ltd v Beumer Group UK Ltd</w:t>
      </w:r>
      <w:r>
        <w:t xml:space="preserve">. Available at: </w:t>
      </w:r>
      <w:hyperlink r:id="rId13" w:history="1">
        <w:r w:rsidR="00B86609" w:rsidRPr="009C2AE2">
          <w:rPr>
            <w:rStyle w:val="Hyperlink"/>
            <w:sz w:val="24"/>
            <w:szCs w:val="24"/>
          </w:rPr>
          <w:t>https://www.fenwickelliott.com/research-insight/adjudication-case-notes/vinci-construction-uk-ltd-v-beumer-group-uk-ltd</w:t>
        </w:r>
      </w:hyperlink>
      <w:r w:rsidR="00DE4180">
        <w:rPr>
          <w:sz w:val="24"/>
          <w:szCs w:val="24"/>
        </w:rPr>
        <w:t xml:space="preserve"> </w:t>
      </w:r>
    </w:p>
    <w:p w14:paraId="5594FC88" w14:textId="77777777" w:rsidR="00DE4180" w:rsidRDefault="00DE4180" w:rsidP="004E0C49">
      <w:pPr>
        <w:spacing w:line="480" w:lineRule="auto"/>
        <w:rPr>
          <w:sz w:val="24"/>
          <w:szCs w:val="24"/>
        </w:rPr>
      </w:pPr>
    </w:p>
    <w:p w14:paraId="22731E05" w14:textId="77777777" w:rsidR="003F3A16" w:rsidRPr="00CA50D5" w:rsidRDefault="003F3A16" w:rsidP="00B16C96">
      <w:pPr>
        <w:spacing w:line="480" w:lineRule="auto"/>
        <w:rPr>
          <w:b/>
          <w:bCs/>
          <w:sz w:val="24"/>
          <w:szCs w:val="24"/>
          <w:u w:val="single"/>
        </w:rPr>
      </w:pPr>
    </w:p>
    <w:sectPr w:rsidR="003F3A16" w:rsidRPr="00CA50D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A891C" w14:textId="77777777" w:rsidR="0046495C" w:rsidRDefault="0046495C" w:rsidP="00410FE0">
      <w:pPr>
        <w:spacing w:after="0" w:line="240" w:lineRule="auto"/>
      </w:pPr>
      <w:r>
        <w:separator/>
      </w:r>
    </w:p>
  </w:endnote>
  <w:endnote w:type="continuationSeparator" w:id="0">
    <w:p w14:paraId="355BBEA4" w14:textId="77777777" w:rsidR="0046495C" w:rsidRDefault="0046495C" w:rsidP="00410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485053"/>
      <w:docPartObj>
        <w:docPartGallery w:val="Page Numbers (Bottom of Page)"/>
        <w:docPartUnique/>
      </w:docPartObj>
    </w:sdtPr>
    <w:sdtEndPr>
      <w:rPr>
        <w:noProof/>
      </w:rPr>
    </w:sdtEndPr>
    <w:sdtContent>
      <w:p w14:paraId="0F143F61" w14:textId="77777777" w:rsidR="00410FE0" w:rsidRDefault="00410FE0">
        <w:pPr>
          <w:pStyle w:val="Footer"/>
          <w:jc w:val="center"/>
        </w:pPr>
      </w:p>
      <w:p w14:paraId="62DA48A9" w14:textId="09655255" w:rsidR="00410FE0" w:rsidRDefault="00410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AAA7B" w14:textId="77777777" w:rsidR="00410FE0" w:rsidRDefault="00410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5CEBF" w14:textId="77777777" w:rsidR="0046495C" w:rsidRDefault="0046495C" w:rsidP="00410FE0">
      <w:pPr>
        <w:spacing w:after="0" w:line="240" w:lineRule="auto"/>
      </w:pPr>
      <w:r>
        <w:separator/>
      </w:r>
    </w:p>
  </w:footnote>
  <w:footnote w:type="continuationSeparator" w:id="0">
    <w:p w14:paraId="41496FAE" w14:textId="77777777" w:rsidR="0046495C" w:rsidRDefault="0046495C" w:rsidP="00410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85DFA" w14:textId="2858D5F1" w:rsidR="00410FE0" w:rsidRDefault="00410FE0">
    <w:pPr>
      <w:pStyle w:val="Header"/>
    </w:pPr>
    <w:r>
      <w:t xml:space="preserve">Ieuan Vokes </w:t>
    </w:r>
    <w:r>
      <w:ptab w:relativeTo="margin" w:alignment="center" w:leader="none"/>
    </w:r>
    <w:r>
      <w:t xml:space="preserve">Negligence in construction </w:t>
    </w:r>
    <w:r>
      <w:ptab w:relativeTo="margin" w:alignment="right" w:leader="none"/>
    </w:r>
    <w:r>
      <w:t xml:space="preserve">2203952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17987"/>
    <w:multiLevelType w:val="multilevel"/>
    <w:tmpl w:val="E0CC6C48"/>
    <w:lvl w:ilvl="0">
      <w:start w:val="1"/>
      <w:numFmt w:val="decimal"/>
      <w:lvlText w:val="%1.0"/>
      <w:lvlJc w:val="left"/>
      <w:pPr>
        <w:ind w:left="1069"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2869" w:hanging="720"/>
      </w:pPr>
      <w:rPr>
        <w:rFonts w:hint="default"/>
      </w:rPr>
    </w:lvl>
    <w:lvl w:ilvl="3">
      <w:start w:val="1"/>
      <w:numFmt w:val="decimal"/>
      <w:lvlText w:val="%1.%2.%3.%4"/>
      <w:lvlJc w:val="left"/>
      <w:pPr>
        <w:ind w:left="3589" w:hanging="720"/>
      </w:pPr>
      <w:rPr>
        <w:rFonts w:hint="default"/>
      </w:rPr>
    </w:lvl>
    <w:lvl w:ilvl="4">
      <w:start w:val="1"/>
      <w:numFmt w:val="decimal"/>
      <w:lvlText w:val="%1.%2.%3.%4.%5"/>
      <w:lvlJc w:val="left"/>
      <w:pPr>
        <w:ind w:left="4669" w:hanging="1080"/>
      </w:pPr>
      <w:rPr>
        <w:rFonts w:hint="default"/>
      </w:rPr>
    </w:lvl>
    <w:lvl w:ilvl="5">
      <w:start w:val="1"/>
      <w:numFmt w:val="decimal"/>
      <w:lvlText w:val="%1.%2.%3.%4.%5.%6"/>
      <w:lvlJc w:val="left"/>
      <w:pPr>
        <w:ind w:left="5389" w:hanging="1080"/>
      </w:pPr>
      <w:rPr>
        <w:rFonts w:hint="default"/>
      </w:rPr>
    </w:lvl>
    <w:lvl w:ilvl="6">
      <w:start w:val="1"/>
      <w:numFmt w:val="decimal"/>
      <w:lvlText w:val="%1.%2.%3.%4.%5.%6.%7"/>
      <w:lvlJc w:val="left"/>
      <w:pPr>
        <w:ind w:left="6469" w:hanging="1440"/>
      </w:pPr>
      <w:rPr>
        <w:rFonts w:hint="default"/>
      </w:rPr>
    </w:lvl>
    <w:lvl w:ilvl="7">
      <w:start w:val="1"/>
      <w:numFmt w:val="decimal"/>
      <w:lvlText w:val="%1.%2.%3.%4.%5.%6.%7.%8"/>
      <w:lvlJc w:val="left"/>
      <w:pPr>
        <w:ind w:left="7189" w:hanging="1440"/>
      </w:pPr>
      <w:rPr>
        <w:rFonts w:hint="default"/>
      </w:rPr>
    </w:lvl>
    <w:lvl w:ilvl="8">
      <w:start w:val="1"/>
      <w:numFmt w:val="decimal"/>
      <w:lvlText w:val="%1.%2.%3.%4.%5.%6.%7.%8.%9"/>
      <w:lvlJc w:val="left"/>
      <w:pPr>
        <w:ind w:left="8269" w:hanging="1800"/>
      </w:pPr>
      <w:rPr>
        <w:rFonts w:hint="default"/>
      </w:rPr>
    </w:lvl>
  </w:abstractNum>
  <w:abstractNum w:abstractNumId="1" w15:restartNumberingAfterBreak="0">
    <w:nsid w:val="6DDA0AB1"/>
    <w:multiLevelType w:val="multilevel"/>
    <w:tmpl w:val="909C4F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2201208">
    <w:abstractNumId w:val="1"/>
  </w:num>
  <w:num w:numId="2" w16cid:durableId="876509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FE0"/>
    <w:rsid w:val="00010821"/>
    <w:rsid w:val="0002059D"/>
    <w:rsid w:val="000226AE"/>
    <w:rsid w:val="0004091E"/>
    <w:rsid w:val="00042F3D"/>
    <w:rsid w:val="000620D5"/>
    <w:rsid w:val="00080427"/>
    <w:rsid w:val="000B667D"/>
    <w:rsid w:val="000C662A"/>
    <w:rsid w:val="000E3DB6"/>
    <w:rsid w:val="00141FB5"/>
    <w:rsid w:val="0017171F"/>
    <w:rsid w:val="0017371C"/>
    <w:rsid w:val="0017635E"/>
    <w:rsid w:val="001961BF"/>
    <w:rsid w:val="001B027F"/>
    <w:rsid w:val="00264B1C"/>
    <w:rsid w:val="00291310"/>
    <w:rsid w:val="002B5B44"/>
    <w:rsid w:val="002F4495"/>
    <w:rsid w:val="002F4588"/>
    <w:rsid w:val="00340212"/>
    <w:rsid w:val="00360419"/>
    <w:rsid w:val="00364694"/>
    <w:rsid w:val="00380C47"/>
    <w:rsid w:val="00381D24"/>
    <w:rsid w:val="00386BB4"/>
    <w:rsid w:val="003A4C7F"/>
    <w:rsid w:val="003B6445"/>
    <w:rsid w:val="003B6BA3"/>
    <w:rsid w:val="003D6FF1"/>
    <w:rsid w:val="003E2035"/>
    <w:rsid w:val="003F3A16"/>
    <w:rsid w:val="003F6DAD"/>
    <w:rsid w:val="003F6E42"/>
    <w:rsid w:val="00410FE0"/>
    <w:rsid w:val="00437FE9"/>
    <w:rsid w:val="00460487"/>
    <w:rsid w:val="0046495C"/>
    <w:rsid w:val="0048400E"/>
    <w:rsid w:val="004A5DD7"/>
    <w:rsid w:val="004B07E3"/>
    <w:rsid w:val="004E0C49"/>
    <w:rsid w:val="004F0A4C"/>
    <w:rsid w:val="004F67E9"/>
    <w:rsid w:val="00502374"/>
    <w:rsid w:val="0052499E"/>
    <w:rsid w:val="0055455F"/>
    <w:rsid w:val="0055458D"/>
    <w:rsid w:val="005B037B"/>
    <w:rsid w:val="005B0EAB"/>
    <w:rsid w:val="005C5D48"/>
    <w:rsid w:val="005F5A03"/>
    <w:rsid w:val="00601F8F"/>
    <w:rsid w:val="00630E0E"/>
    <w:rsid w:val="006416CF"/>
    <w:rsid w:val="00663F41"/>
    <w:rsid w:val="006B20CB"/>
    <w:rsid w:val="006C7198"/>
    <w:rsid w:val="006D248C"/>
    <w:rsid w:val="006D48A9"/>
    <w:rsid w:val="006D4E49"/>
    <w:rsid w:val="006E4BD2"/>
    <w:rsid w:val="006E7A47"/>
    <w:rsid w:val="006F4294"/>
    <w:rsid w:val="006F45A8"/>
    <w:rsid w:val="006F4A0C"/>
    <w:rsid w:val="0070386A"/>
    <w:rsid w:val="007076F9"/>
    <w:rsid w:val="007137D6"/>
    <w:rsid w:val="00724491"/>
    <w:rsid w:val="00742D61"/>
    <w:rsid w:val="00754402"/>
    <w:rsid w:val="0079510E"/>
    <w:rsid w:val="0079693F"/>
    <w:rsid w:val="007C2B41"/>
    <w:rsid w:val="007E731D"/>
    <w:rsid w:val="008263F9"/>
    <w:rsid w:val="00847BFA"/>
    <w:rsid w:val="00877FFD"/>
    <w:rsid w:val="00885BEA"/>
    <w:rsid w:val="008D5FF1"/>
    <w:rsid w:val="008D7C75"/>
    <w:rsid w:val="00930091"/>
    <w:rsid w:val="009640C1"/>
    <w:rsid w:val="009677A9"/>
    <w:rsid w:val="009C6265"/>
    <w:rsid w:val="009F6B87"/>
    <w:rsid w:val="00A87539"/>
    <w:rsid w:val="00AA3AF5"/>
    <w:rsid w:val="00AC726D"/>
    <w:rsid w:val="00B16C96"/>
    <w:rsid w:val="00B32AD1"/>
    <w:rsid w:val="00B819EE"/>
    <w:rsid w:val="00B86609"/>
    <w:rsid w:val="00BA15BF"/>
    <w:rsid w:val="00BD78B8"/>
    <w:rsid w:val="00C0017E"/>
    <w:rsid w:val="00C228F5"/>
    <w:rsid w:val="00C51E54"/>
    <w:rsid w:val="00C6398A"/>
    <w:rsid w:val="00C729AA"/>
    <w:rsid w:val="00C80A29"/>
    <w:rsid w:val="00CA14C3"/>
    <w:rsid w:val="00CA50D5"/>
    <w:rsid w:val="00CD52B0"/>
    <w:rsid w:val="00CE732A"/>
    <w:rsid w:val="00D12C12"/>
    <w:rsid w:val="00D236D0"/>
    <w:rsid w:val="00D45B71"/>
    <w:rsid w:val="00D46450"/>
    <w:rsid w:val="00D672E9"/>
    <w:rsid w:val="00D91A27"/>
    <w:rsid w:val="00D97FCA"/>
    <w:rsid w:val="00DC1B28"/>
    <w:rsid w:val="00DD31FF"/>
    <w:rsid w:val="00DE4180"/>
    <w:rsid w:val="00DF69F7"/>
    <w:rsid w:val="00E20EA9"/>
    <w:rsid w:val="00E26798"/>
    <w:rsid w:val="00E3016C"/>
    <w:rsid w:val="00E370BF"/>
    <w:rsid w:val="00E71783"/>
    <w:rsid w:val="00EA7D2E"/>
    <w:rsid w:val="00ED5B7C"/>
    <w:rsid w:val="00F4671C"/>
    <w:rsid w:val="00F86673"/>
    <w:rsid w:val="00FC5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D762"/>
  <w15:chartTrackingRefBased/>
  <w15:docId w15:val="{023D3CB1-AC73-4DEC-B449-955B09F8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FE0"/>
  </w:style>
  <w:style w:type="paragraph" w:styleId="Footer">
    <w:name w:val="footer"/>
    <w:basedOn w:val="Normal"/>
    <w:link w:val="FooterChar"/>
    <w:uiPriority w:val="99"/>
    <w:unhideWhenUsed/>
    <w:rsid w:val="00410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FE0"/>
  </w:style>
  <w:style w:type="paragraph" w:styleId="ListParagraph">
    <w:name w:val="List Paragraph"/>
    <w:basedOn w:val="Normal"/>
    <w:uiPriority w:val="34"/>
    <w:qFormat/>
    <w:rsid w:val="00E370BF"/>
    <w:pPr>
      <w:ind w:left="720"/>
      <w:contextualSpacing/>
    </w:pPr>
  </w:style>
  <w:style w:type="paragraph" w:styleId="EndnoteText">
    <w:name w:val="endnote text"/>
    <w:basedOn w:val="Normal"/>
    <w:link w:val="EndnoteTextChar"/>
    <w:uiPriority w:val="99"/>
    <w:semiHidden/>
    <w:unhideWhenUsed/>
    <w:rsid w:val="004E0C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0C49"/>
    <w:rPr>
      <w:sz w:val="20"/>
      <w:szCs w:val="20"/>
    </w:rPr>
  </w:style>
  <w:style w:type="character" w:styleId="EndnoteReference">
    <w:name w:val="endnote reference"/>
    <w:basedOn w:val="DefaultParagraphFont"/>
    <w:uiPriority w:val="99"/>
    <w:semiHidden/>
    <w:unhideWhenUsed/>
    <w:rsid w:val="004E0C49"/>
    <w:rPr>
      <w:vertAlign w:val="superscript"/>
    </w:rPr>
  </w:style>
  <w:style w:type="character" w:styleId="Hyperlink">
    <w:name w:val="Hyperlink"/>
    <w:basedOn w:val="DefaultParagraphFont"/>
    <w:uiPriority w:val="99"/>
    <w:unhideWhenUsed/>
    <w:rsid w:val="004E0C49"/>
    <w:rPr>
      <w:color w:val="0563C1" w:themeColor="hyperlink"/>
      <w:u w:val="single"/>
    </w:rPr>
  </w:style>
  <w:style w:type="character" w:styleId="UnresolvedMention">
    <w:name w:val="Unresolved Mention"/>
    <w:basedOn w:val="DefaultParagraphFont"/>
    <w:uiPriority w:val="99"/>
    <w:semiHidden/>
    <w:unhideWhenUsed/>
    <w:rsid w:val="004E0C49"/>
    <w:rPr>
      <w:color w:val="605E5C"/>
      <w:shd w:val="clear" w:color="auto" w:fill="E1DFDD"/>
    </w:rPr>
  </w:style>
  <w:style w:type="character" w:styleId="FollowedHyperlink">
    <w:name w:val="FollowedHyperlink"/>
    <w:basedOn w:val="DefaultParagraphFont"/>
    <w:uiPriority w:val="99"/>
    <w:semiHidden/>
    <w:unhideWhenUsed/>
    <w:rsid w:val="000108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23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practicallaw.thomsonreuters.com/6-107-7397?transitionType=Default&amp;contextData=(sc.Default)&amp;firstPage=true" TargetMode="External"/><Relationship Id="rId13" Type="http://schemas.openxmlformats.org/officeDocument/2006/relationships/hyperlink" Target="https://www.fenwickelliott.com/research-insight/adjudication-case-notes/vinci-construction-uk-ltd-v-beumer-group-uk-lt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tkinchambers.com/vinci-construction-uk-ltd-v-beumer-group-uk-ltd-2018-ewhc-1874-tcc-24-july-20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awresources.co.uk/Negligence.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icl.org/files/763_introduction_to_english_tort_law.pdf" TargetMode="External"/><Relationship Id="rId4" Type="http://schemas.openxmlformats.org/officeDocument/2006/relationships/settings" Target="settings.xml"/><Relationship Id="rId9" Type="http://schemas.openxmlformats.org/officeDocument/2006/relationships/hyperlink" Target="https://www.eversheds-sutherland.com/global/en/what/articles/index.page?ArticleID=en/Construction_And_Engineering/Top_three_construction_cases_September_201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Tho22</b:Tag>
    <b:SourceType>InternetSite</b:SourceType>
    <b:Guid>{A6F2CBB3-60E1-447F-A7A1-5B746A593CF7}</b:Guid>
    <b:Author>
      <b:Author>
        <b:Corporate>Thomson Reuters </b:Corporate>
      </b:Author>
    </b:Author>
    <b:Title>Practical Law </b:Title>
    <b:Year>2022</b:Year>
    <b:YearAccessed>2022</b:YearAccessed>
    <b:MonthAccessed>November </b:MonthAccessed>
    <b:DayAccessed>10th </b:DayAccessed>
    <b:URL>https://uk.practicallaw.thomsonreuters.com/6-107-7397?transitionType=Default&amp;contextData=(sc.Default)&amp;firstPage=true#:~:text=The%20most%20common%20tort%20is,injured%20by%20any%20particular%20conduct.</b:URL>
    <b:RefOrder>1</b:RefOrder>
  </b:Source>
</b:Sources>
</file>

<file path=customXml/itemProps1.xml><?xml version="1.0" encoding="utf-8"?>
<ds:datastoreItem xmlns:ds="http://schemas.openxmlformats.org/officeDocument/2006/customXml" ds:itemID="{0EA7A144-15AE-4D45-8EC9-6414AAF3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8</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dc:creator>
  <cp:keywords/>
  <dc:description/>
  <cp:lastModifiedBy>Ieuan</cp:lastModifiedBy>
  <cp:revision>48</cp:revision>
  <dcterms:created xsi:type="dcterms:W3CDTF">2022-11-08T11:51:00Z</dcterms:created>
  <dcterms:modified xsi:type="dcterms:W3CDTF">2022-12-01T21:41:00Z</dcterms:modified>
</cp:coreProperties>
</file>