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18C35CEC">
      <w:pPr>
        <w:pStyle w:val="2"/>
        <w:keepNext w:val="0"/>
        <w:keepLines w:val="0"/>
        <w:widowControl/>
        <w:suppressLineNumbers w:val="0"/>
      </w:pPr>
      <w:r>
        <w:drawing>
          <wp:anchor distT="0" distB="0" distL="114300" distR="114300" simplePos="0" relativeHeight="251661312" behindDoc="1" locked="0" layoutInCell="1" allowOverlap="1">
            <wp:simplePos x="0" y="0"/>
            <wp:positionH relativeFrom="column">
              <wp:posOffset>-1706245</wp:posOffset>
            </wp:positionH>
            <wp:positionV relativeFrom="paragraph">
              <wp:posOffset>-1369695</wp:posOffset>
            </wp:positionV>
            <wp:extent cx="8333105" cy="11666220"/>
            <wp:effectExtent l="0" t="0" r="3175" b="7620"/>
            <wp:wrapNone/>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6"/>
                    <a:stretch>
                      <a:fillRect/>
                    </a:stretch>
                  </pic:blipFill>
                  <pic:spPr>
                    <a:xfrm>
                      <a:off x="0" y="0"/>
                      <a:ext cx="8333105" cy="11666220"/>
                    </a:xfrm>
                    <a:prstGeom prst="rect">
                      <a:avLst/>
                    </a:prstGeom>
                    <a:noFill/>
                    <a:ln>
                      <a:noFill/>
                    </a:ln>
                  </pic:spPr>
                </pic:pic>
              </a:graphicData>
            </a:graphic>
          </wp:anchor>
        </w:drawing>
      </w:r>
    </w:p>
    <w:p w14:paraId="335F4A9A">
      <w:pPr>
        <w:pStyle w:val="2"/>
        <w:keepNext w:val="0"/>
        <w:keepLines w:val="0"/>
        <w:widowControl/>
        <w:suppressLineNumbers w:val="0"/>
      </w:pPr>
    </w:p>
    <w:p w14:paraId="55EA236C">
      <w:pPr>
        <w:pStyle w:val="2"/>
        <w:keepNext w:val="0"/>
        <w:keepLines w:val="0"/>
        <w:widowControl/>
        <w:suppressLineNumbers w:val="0"/>
      </w:pPr>
    </w:p>
    <w:p w14:paraId="400A1CE4">
      <w:pPr>
        <w:pStyle w:val="2"/>
        <w:keepNext w:val="0"/>
        <w:keepLines w:val="0"/>
        <w:widowControl/>
        <w:suppressLineNumbers w:val="0"/>
        <w:jc w:val="center"/>
        <w:rPr>
          <w:rFonts w:hint="default" w:eastAsia="宋体"/>
          <w:sz w:val="72"/>
          <w:szCs w:val="72"/>
          <w:lang w:val="en-US" w:eastAsia="zh-CN"/>
        </w:rPr>
      </w:pPr>
      <w:r>
        <w:rPr>
          <w:rFonts w:hint="eastAsia"/>
          <w:b/>
          <w:bCs/>
          <w:sz w:val="72"/>
          <w:szCs w:val="72"/>
          <w:lang w:val="en-US" w:eastAsia="zh-CN"/>
        </w:rPr>
        <w:t>Research-Led Practice</w:t>
      </w:r>
    </w:p>
    <w:p w14:paraId="3016618B">
      <w:pPr>
        <w:pStyle w:val="2"/>
        <w:keepNext w:val="0"/>
        <w:keepLines w:val="0"/>
        <w:widowControl/>
        <w:suppressLineNumbers w:val="0"/>
        <w:rPr>
          <w:rFonts w:hint="eastAsia"/>
          <w:lang w:eastAsia="zh-CN"/>
        </w:rPr>
      </w:pPr>
    </w:p>
    <w:p w14:paraId="1D0C6236">
      <w:pPr>
        <w:pStyle w:val="2"/>
        <w:keepNext w:val="0"/>
        <w:keepLines w:val="0"/>
        <w:widowControl/>
        <w:suppressLineNumbers w:val="0"/>
        <w:rPr>
          <w:rFonts w:hint="eastAsia"/>
          <w:lang w:eastAsia="zh-CN"/>
        </w:rPr>
      </w:pPr>
    </w:p>
    <w:p w14:paraId="11454845">
      <w:pPr>
        <w:pStyle w:val="2"/>
        <w:keepNext w:val="0"/>
        <w:keepLines w:val="0"/>
        <w:widowControl/>
        <w:suppressLineNumbers w:val="0"/>
        <w:rPr>
          <w:rFonts w:hint="eastAsia"/>
          <w:lang w:eastAsia="zh-CN"/>
        </w:rPr>
      </w:pPr>
    </w:p>
    <w:p w14:paraId="2138BE7F">
      <w:pPr>
        <w:pStyle w:val="2"/>
        <w:keepNext w:val="0"/>
        <w:keepLines w:val="0"/>
        <w:widowControl/>
        <w:suppressLineNumbers w:val="0"/>
        <w:rPr>
          <w:rFonts w:hint="eastAsia"/>
          <w:lang w:eastAsia="zh-CN"/>
        </w:rPr>
      </w:pPr>
    </w:p>
    <w:p w14:paraId="0616D156">
      <w:pPr>
        <w:pStyle w:val="2"/>
        <w:keepNext w:val="0"/>
        <w:keepLines w:val="0"/>
        <w:widowControl/>
        <w:suppressLineNumbers w:val="0"/>
        <w:rPr>
          <w:rFonts w:hint="eastAsia"/>
          <w:lang w:eastAsia="zh-CN"/>
        </w:rPr>
      </w:pPr>
    </w:p>
    <w:p w14:paraId="55E60DAF">
      <w:pPr>
        <w:pStyle w:val="2"/>
        <w:keepNext w:val="0"/>
        <w:keepLines w:val="0"/>
        <w:widowControl/>
        <w:suppressLineNumbers w:val="0"/>
        <w:rPr>
          <w:rFonts w:hint="eastAsia"/>
          <w:lang w:eastAsia="zh-CN"/>
        </w:rPr>
      </w:pPr>
      <w:r>
        <w:rPr>
          <w:sz w:val="48"/>
        </w:rPr>
        <mc:AlternateContent>
          <mc:Choice Requires="wps">
            <w:drawing>
              <wp:anchor distT="0" distB="0" distL="114300" distR="114300" simplePos="0" relativeHeight="251662336" behindDoc="0" locked="0" layoutInCell="1" allowOverlap="1">
                <wp:simplePos x="0" y="0"/>
                <wp:positionH relativeFrom="column">
                  <wp:posOffset>-387985</wp:posOffset>
                </wp:positionH>
                <wp:positionV relativeFrom="paragraph">
                  <wp:posOffset>450215</wp:posOffset>
                </wp:positionV>
                <wp:extent cx="6324600" cy="2293620"/>
                <wp:effectExtent l="5080" t="4445" r="10160" b="18415"/>
                <wp:wrapNone/>
                <wp:docPr id="2" name="文本框 2"/>
                <wp:cNvGraphicFramePr/>
                <a:graphic xmlns:a="http://schemas.openxmlformats.org/drawingml/2006/main">
                  <a:graphicData uri="http://schemas.microsoft.com/office/word/2010/wordprocessingShape">
                    <wps:wsp>
                      <wps:cNvSpPr txBox="1"/>
                      <wps:spPr>
                        <a:xfrm>
                          <a:off x="755015" y="7897495"/>
                          <a:ext cx="6324600" cy="2293620"/>
                        </a:xfrm>
                        <a:prstGeom prst="rect">
                          <a:avLst/>
                        </a:prstGeom>
                        <a:solidFill>
                          <a:schemeClr val="lt1"/>
                        </a:solidFill>
                        <a:ln w="6350">
                          <a:solidFill>
                            <a:schemeClr val="bg1"/>
                          </a:solidFill>
                        </a:ln>
                      </wps:spPr>
                      <wps:style>
                        <a:lnRef idx="0">
                          <a:schemeClr val="accent1"/>
                        </a:lnRef>
                        <a:fillRef idx="0">
                          <a:schemeClr val="accent1"/>
                        </a:fillRef>
                        <a:effectRef idx="0">
                          <a:schemeClr val="accent1"/>
                        </a:effectRef>
                        <a:fontRef idx="minor">
                          <a:schemeClr val="dk1"/>
                        </a:fontRef>
                      </wps:style>
                      <wps:txbx>
                        <w:txbxContent>
                          <w:p w14:paraId="42D9B321">
                            <w:pPr>
                              <w:pStyle w:val="4"/>
                              <w:bidi w:val="0"/>
                              <w:jc w:val="center"/>
                              <w:rPr>
                                <w:rFonts w:hint="eastAsia"/>
                                <w:b/>
                                <w:bCs/>
                                <w:sz w:val="48"/>
                                <w:szCs w:val="48"/>
                                <w:lang w:val="en-US" w:eastAsia="zh-CN"/>
                              </w:rPr>
                            </w:pPr>
                            <w:r>
                              <w:rPr>
                                <w:rFonts w:hint="eastAsia"/>
                                <w:b/>
                                <w:bCs/>
                                <w:sz w:val="48"/>
                                <w:szCs w:val="48"/>
                                <w:lang w:val="en-US" w:eastAsia="zh-CN"/>
                              </w:rPr>
                              <w:t>Reporter：Zexuan Liu</w:t>
                            </w:r>
                          </w:p>
                          <w:p w14:paraId="72390804">
                            <w:pPr>
                              <w:pStyle w:val="4"/>
                              <w:bidi w:val="0"/>
                              <w:jc w:val="center"/>
                              <w:rPr>
                                <w:rFonts w:hint="default"/>
                                <w:b/>
                                <w:bCs/>
                                <w:sz w:val="48"/>
                                <w:szCs w:val="48"/>
                                <w:lang w:val="en-US" w:eastAsia="zh-CN"/>
                              </w:rPr>
                            </w:pPr>
                            <w:r>
                              <w:rPr>
                                <w:rFonts w:hint="eastAsia"/>
                                <w:b/>
                                <w:bCs/>
                                <w:sz w:val="48"/>
                                <w:szCs w:val="48"/>
                                <w:lang w:val="en-US" w:eastAsia="zh-CN"/>
                              </w:rPr>
                              <w:t>Date：May12th</w:t>
                            </w:r>
                          </w:p>
                          <w:p w14:paraId="60C0F4C4"/>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0.55pt;margin-top:35.45pt;height:180.6pt;width:498pt;z-index:251662336;mso-width-relative:page;mso-height-relative:page;" fillcolor="#FFFFFF [3201]" filled="t" stroked="t" coordsize="21600,21600" o:gfxdata="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">
                <v:fill on="t" focussize="0,0"/>
                <v:stroke weight="0.5pt" color="#FFFFFF [3212]" joinstyle="round"/>
                <v:imagedata o:title=""/>
                <o:lock v:ext="edit" aspectratio="f"/>
                <v:textbox>
                  <w:txbxContent>
                    <w:p w14:paraId="42D9B321">
                      <w:pPr>
                        <w:pStyle w:val="4"/>
                        <w:bidi w:val="0"/>
                        <w:jc w:val="center"/>
                        <w:rPr>
                          <w:rFonts w:hint="eastAsia"/>
                          <w:b/>
                          <w:bCs/>
                          <w:sz w:val="48"/>
                          <w:szCs w:val="48"/>
                          <w:lang w:val="en-US" w:eastAsia="zh-CN"/>
                        </w:rPr>
                      </w:pPr>
                      <w:r>
                        <w:rPr>
                          <w:rFonts w:hint="eastAsia"/>
                          <w:b/>
                          <w:bCs/>
                          <w:sz w:val="48"/>
                          <w:szCs w:val="48"/>
                          <w:lang w:val="en-US" w:eastAsia="zh-CN"/>
                        </w:rPr>
                        <w:t>Reporter：Zexuan Liu</w:t>
                      </w:r>
                    </w:p>
                    <w:p w14:paraId="72390804">
                      <w:pPr>
                        <w:pStyle w:val="4"/>
                        <w:bidi w:val="0"/>
                        <w:jc w:val="center"/>
                        <w:rPr>
                          <w:rFonts w:hint="default"/>
                          <w:b/>
                          <w:bCs/>
                          <w:sz w:val="48"/>
                          <w:szCs w:val="48"/>
                          <w:lang w:val="en-US" w:eastAsia="zh-CN"/>
                        </w:rPr>
                      </w:pPr>
                      <w:r>
                        <w:rPr>
                          <w:rFonts w:hint="eastAsia"/>
                          <w:b/>
                          <w:bCs/>
                          <w:sz w:val="48"/>
                          <w:szCs w:val="48"/>
                          <w:lang w:val="en-US" w:eastAsia="zh-CN"/>
                        </w:rPr>
                        <w:t>Date：May12th</w:t>
                      </w:r>
                    </w:p>
                    <w:p w14:paraId="60C0F4C4"/>
                  </w:txbxContent>
                </v:textbox>
              </v:shape>
            </w:pict>
          </mc:Fallback>
        </mc:AlternateContent>
      </w:r>
    </w:p>
    <w:p w14:paraId="28F225DB">
      <w:pPr>
        <w:pStyle w:val="2"/>
        <w:keepNext w:val="0"/>
        <w:keepLines w:val="0"/>
        <w:widowControl/>
        <w:suppressLineNumbers w:val="0"/>
        <w:rPr>
          <w:rFonts w:hint="eastAsia"/>
          <w:lang w:eastAsia="zh-CN"/>
        </w:rPr>
      </w:pPr>
    </w:p>
    <w:p w14:paraId="26753725">
      <w:pPr>
        <w:pStyle w:val="2"/>
        <w:keepNext w:val="0"/>
        <w:keepLines w:val="0"/>
        <w:widowControl/>
        <w:suppressLineNumbers w:val="0"/>
        <w:rPr>
          <w:rFonts w:hint="eastAsia"/>
          <w:lang w:eastAsia="zh-CN"/>
        </w:rPr>
      </w:pPr>
    </w:p>
    <w:p w14:paraId="68BCFA4A"/>
    <w:p w14:paraId="74A24B3C">
      <w:pPr>
        <w:pStyle w:val="3"/>
        <w:keepNext w:val="0"/>
        <w:keepLines w:val="0"/>
        <w:pageBreakBefore w:val="0"/>
        <w:widowControl/>
        <w:suppressLineNumbers w:val="0"/>
        <w:shd w:val="clear" w:fill="FFFFFF"/>
        <w:kinsoku/>
        <w:wordWrap/>
        <w:overflowPunct/>
        <w:topLinePunct w:val="0"/>
        <w:autoSpaceDE/>
        <w:autoSpaceDN/>
        <w:bidi w:val="0"/>
        <w:adjustRightInd/>
        <w:snapToGrid/>
        <w:spacing w:before="384" w:beforeAutospacing="0" w:after="192" w:afterAutospacing="0" w:line="15" w:lineRule="auto"/>
        <w:ind w:left="0" w:right="0" w:firstLine="0"/>
        <w:textAlignment w:val="auto"/>
        <w:rPr>
          <w:rFonts w:hint="eastAsia" w:ascii="微软雅黑" w:hAnsi="微软雅黑" w:eastAsia="微软雅黑" w:cs="微软雅黑"/>
          <w:b/>
          <w:bCs/>
          <w:caps w:val="0"/>
          <w:color w:val="0F1115"/>
          <w:spacing w:val="0"/>
          <w:sz w:val="26"/>
          <w:szCs w:val="26"/>
        </w:rPr>
      </w:pPr>
      <w:r>
        <w:rPr>
          <w:rFonts w:hint="eastAsia" w:ascii="微软雅黑" w:hAnsi="微软雅黑" w:eastAsia="微软雅黑" w:cs="微软雅黑"/>
          <w:b/>
          <w:bCs/>
          <w:caps w:val="0"/>
          <w:color w:val="0F1115"/>
          <w:spacing w:val="0"/>
          <w:sz w:val="26"/>
          <w:szCs w:val="26"/>
          <w:shd w:val="clear" w:fill="FFFFFF"/>
        </w:rPr>
        <w:t>Table of Contents</w:t>
      </w:r>
    </w:p>
    <w:p w14:paraId="4D4772FC">
      <w:pPr>
        <w:pStyle w:val="7"/>
        <w:keepNext w:val="0"/>
        <w:keepLines w:val="0"/>
        <w:pageBreakBefore w:val="0"/>
        <w:widowControl/>
        <w:suppressLineNumbers w:val="0"/>
        <w:shd w:val="clear" w:fill="FFFFFF"/>
        <w:kinsoku/>
        <w:wordWrap/>
        <w:overflowPunct/>
        <w:topLinePunct w:val="0"/>
        <w:autoSpaceDE/>
        <w:autoSpaceDN/>
        <w:bidi w:val="0"/>
        <w:adjustRightInd/>
        <w:snapToGrid/>
        <w:spacing w:before="192" w:beforeAutospacing="0" w:after="192" w:afterAutospacing="0" w:line="15" w:lineRule="auto"/>
        <w:ind w:left="0" w:right="0" w:firstLine="0"/>
        <w:textAlignment w:val="auto"/>
        <w:rPr>
          <w:rFonts w:hint="eastAsia" w:ascii="微软雅黑" w:hAnsi="微软雅黑" w:eastAsia="微软雅黑" w:cs="微软雅黑"/>
          <w:b/>
          <w:bCs/>
          <w:i w:val="0"/>
          <w:iCs w:val="0"/>
          <w:caps w:val="0"/>
          <w:color w:val="0F1115"/>
          <w:spacing w:val="0"/>
          <w:sz w:val="19"/>
          <w:szCs w:val="19"/>
          <w:shd w:val="clear" w:fill="FFFFFF"/>
        </w:rPr>
      </w:pPr>
    </w:p>
    <w:p w14:paraId="287FA3A6">
      <w:pPr>
        <w:pStyle w:val="7"/>
        <w:keepNext w:val="0"/>
        <w:keepLines w:val="0"/>
        <w:pageBreakBefore w:val="0"/>
        <w:widowControl/>
        <w:suppressLineNumbers w:val="0"/>
        <w:shd w:val="clear" w:fill="FFFFFF"/>
        <w:kinsoku/>
        <w:wordWrap/>
        <w:overflowPunct/>
        <w:topLinePunct w:val="0"/>
        <w:autoSpaceDE/>
        <w:autoSpaceDN/>
        <w:bidi w:val="0"/>
        <w:adjustRightInd/>
        <w:snapToGrid/>
        <w:spacing w:before="192" w:beforeAutospacing="0" w:after="192" w:afterAutospacing="0" w:line="15" w:lineRule="auto"/>
        <w:ind w:left="0" w:right="0" w:firstLine="0"/>
        <w:textAlignment w:val="auto"/>
        <w:rPr>
          <w:rFonts w:hint="eastAsia" w:ascii="微软雅黑" w:hAnsi="微软雅黑" w:eastAsia="微软雅黑" w:cs="微软雅黑"/>
          <w:i w:val="0"/>
          <w:iCs w:val="0"/>
          <w:caps w:val="0"/>
          <w:color w:val="0F1115"/>
          <w:spacing w:val="0"/>
          <w:sz w:val="18"/>
          <w:szCs w:val="18"/>
        </w:rPr>
      </w:pPr>
      <w:r>
        <w:rPr>
          <w:rFonts w:hint="eastAsia" w:ascii="微软雅黑" w:hAnsi="微软雅黑" w:eastAsia="微软雅黑" w:cs="微软雅黑"/>
          <w:b/>
          <w:bCs/>
          <w:i w:val="0"/>
          <w:iCs w:val="0"/>
          <w:caps w:val="0"/>
          <w:color w:val="0F1115"/>
          <w:spacing w:val="0"/>
          <w:sz w:val="18"/>
          <w:szCs w:val="18"/>
          <w:shd w:val="clear" w:fill="FFFFFF"/>
        </w:rPr>
        <w:t>Abstract</w:t>
      </w:r>
      <w:r>
        <w:rPr>
          <w:rFonts w:hint="eastAsia" w:ascii="微软雅黑" w:hAnsi="微软雅黑" w:eastAsia="微软雅黑" w:cs="微软雅黑"/>
          <w:i w:val="0"/>
          <w:iCs w:val="0"/>
          <w:caps w:val="0"/>
          <w:color w:val="0F1115"/>
          <w:spacing w:val="0"/>
          <w:sz w:val="18"/>
          <w:szCs w:val="18"/>
          <w:shd w:val="clear" w:fill="FFFFFF"/>
        </w:rPr>
        <w:t xml:space="preserve"> ................................................................................................................. </w:t>
      </w:r>
      <w:r>
        <w:rPr>
          <w:rFonts w:hint="eastAsia" w:ascii="微软雅黑" w:hAnsi="微软雅黑" w:eastAsia="微软雅黑" w:cs="微软雅黑"/>
          <w:i w:val="0"/>
          <w:iCs w:val="0"/>
          <w:caps w:val="0"/>
          <w:color w:val="0F1115"/>
          <w:spacing w:val="0"/>
          <w:sz w:val="18"/>
          <w:szCs w:val="18"/>
          <w:shd w:val="clear" w:fill="FFFFFF"/>
        </w:rPr>
        <w:br w:type="textWrapping"/>
      </w:r>
      <w:r>
        <w:rPr>
          <w:rFonts w:hint="eastAsia" w:ascii="微软雅黑" w:hAnsi="微软雅黑" w:eastAsia="微软雅黑" w:cs="微软雅黑"/>
          <w:b/>
          <w:bCs/>
          <w:i w:val="0"/>
          <w:iCs w:val="0"/>
          <w:caps w:val="0"/>
          <w:color w:val="0F1115"/>
          <w:spacing w:val="0"/>
          <w:sz w:val="18"/>
          <w:szCs w:val="18"/>
          <w:shd w:val="clear" w:fill="FFFFFF"/>
        </w:rPr>
        <w:t>Keywords</w:t>
      </w:r>
      <w:r>
        <w:rPr>
          <w:rFonts w:hint="eastAsia" w:ascii="微软雅黑" w:hAnsi="微软雅黑" w:eastAsia="微软雅黑" w:cs="微软雅黑"/>
          <w:i w:val="0"/>
          <w:iCs w:val="0"/>
          <w:caps w:val="0"/>
          <w:color w:val="0F1115"/>
          <w:spacing w:val="0"/>
          <w:sz w:val="18"/>
          <w:szCs w:val="18"/>
          <w:shd w:val="clear" w:fill="FFFFFF"/>
        </w:rPr>
        <w:t> ...................................................................................................................</w:t>
      </w:r>
    </w:p>
    <w:p w14:paraId="548874C1">
      <w:pPr>
        <w:pStyle w:val="7"/>
        <w:keepNext w:val="0"/>
        <w:keepLines w:val="0"/>
        <w:pageBreakBefore w:val="0"/>
        <w:widowControl/>
        <w:suppressLineNumbers w:val="0"/>
        <w:shd w:val="clear" w:fill="FFFFFF"/>
        <w:kinsoku/>
        <w:wordWrap/>
        <w:overflowPunct/>
        <w:topLinePunct w:val="0"/>
        <w:autoSpaceDE/>
        <w:autoSpaceDN/>
        <w:bidi w:val="0"/>
        <w:adjustRightInd/>
        <w:snapToGrid/>
        <w:spacing w:before="192" w:beforeAutospacing="0" w:after="192" w:afterAutospacing="0" w:line="15" w:lineRule="auto"/>
        <w:ind w:left="0" w:right="0" w:firstLine="0"/>
        <w:textAlignment w:val="auto"/>
        <w:rPr>
          <w:rFonts w:hint="eastAsia" w:ascii="微软雅黑" w:hAnsi="微软雅黑" w:eastAsia="微软雅黑" w:cs="微软雅黑"/>
          <w:i w:val="0"/>
          <w:iCs w:val="0"/>
          <w:caps w:val="0"/>
          <w:color w:val="0F1115"/>
          <w:spacing w:val="0"/>
          <w:sz w:val="18"/>
          <w:szCs w:val="18"/>
        </w:rPr>
      </w:pPr>
      <w:r>
        <w:rPr>
          <w:rFonts w:hint="eastAsia" w:ascii="微软雅黑" w:hAnsi="微软雅黑" w:eastAsia="微软雅黑" w:cs="微软雅黑"/>
          <w:b/>
          <w:bCs/>
          <w:i w:val="0"/>
          <w:iCs w:val="0"/>
          <w:caps w:val="0"/>
          <w:color w:val="0F1115"/>
          <w:spacing w:val="0"/>
          <w:sz w:val="18"/>
          <w:szCs w:val="18"/>
          <w:shd w:val="clear" w:fill="FFFFFF"/>
        </w:rPr>
        <w:t>1. Introduction</w:t>
      </w:r>
      <w:r>
        <w:rPr>
          <w:rFonts w:hint="eastAsia" w:ascii="微软雅黑" w:hAnsi="微软雅黑" w:eastAsia="微软雅黑" w:cs="微软雅黑"/>
          <w:i w:val="0"/>
          <w:iCs w:val="0"/>
          <w:caps w:val="0"/>
          <w:color w:val="0F1115"/>
          <w:spacing w:val="0"/>
          <w:sz w:val="18"/>
          <w:szCs w:val="18"/>
          <w:shd w:val="clear" w:fill="FFFFFF"/>
        </w:rPr>
        <w:t xml:space="preserve"> ......................................................................................................... </w:t>
      </w:r>
      <w:r>
        <w:rPr>
          <w:rFonts w:hint="eastAsia" w:ascii="微软雅黑" w:hAnsi="微软雅黑" w:eastAsia="微软雅黑" w:cs="微软雅黑"/>
          <w:i w:val="0"/>
          <w:iCs w:val="0"/>
          <w:caps w:val="0"/>
          <w:color w:val="0F1115"/>
          <w:spacing w:val="0"/>
          <w:sz w:val="18"/>
          <w:szCs w:val="18"/>
          <w:shd w:val="clear" w:fill="FFFFFF"/>
        </w:rPr>
        <w:br w:type="textWrapping"/>
      </w:r>
      <w:r>
        <w:rPr>
          <w:rFonts w:hint="eastAsia" w:ascii="微软雅黑" w:hAnsi="微软雅黑" w:eastAsia="微软雅黑" w:cs="微软雅黑"/>
          <w:i w:val="0"/>
          <w:iCs w:val="0"/>
          <w:caps w:val="0"/>
          <w:color w:val="0F1115"/>
          <w:spacing w:val="0"/>
          <w:sz w:val="18"/>
          <w:szCs w:val="18"/>
          <w:shd w:val="clear" w:fill="FFFFFF"/>
        </w:rPr>
        <w:t xml:space="preserve"> 1.1 Research Background and Questions ..................................................................... </w:t>
      </w:r>
      <w:r>
        <w:rPr>
          <w:rFonts w:hint="eastAsia" w:ascii="微软雅黑" w:hAnsi="微软雅黑" w:eastAsia="微软雅黑" w:cs="微软雅黑"/>
          <w:i w:val="0"/>
          <w:iCs w:val="0"/>
          <w:caps w:val="0"/>
          <w:color w:val="0F1115"/>
          <w:spacing w:val="0"/>
          <w:sz w:val="18"/>
          <w:szCs w:val="18"/>
          <w:shd w:val="clear" w:fill="FFFFFF"/>
        </w:rPr>
        <w:br w:type="textWrapping"/>
      </w:r>
      <w:r>
        <w:rPr>
          <w:rFonts w:hint="eastAsia" w:ascii="微软雅黑" w:hAnsi="微软雅黑" w:eastAsia="微软雅黑" w:cs="微软雅黑"/>
          <w:i w:val="0"/>
          <w:iCs w:val="0"/>
          <w:caps w:val="0"/>
          <w:color w:val="0F1115"/>
          <w:spacing w:val="0"/>
          <w:sz w:val="18"/>
          <w:szCs w:val="18"/>
          <w:shd w:val="clear" w:fill="FFFFFF"/>
        </w:rPr>
        <w:t xml:space="preserve"> 1.2 Research Methods and Data Sources ...................................................................... </w:t>
      </w:r>
    </w:p>
    <w:p w14:paraId="136349A7">
      <w:pPr>
        <w:pStyle w:val="7"/>
        <w:keepNext w:val="0"/>
        <w:keepLines w:val="0"/>
        <w:pageBreakBefore w:val="0"/>
        <w:widowControl/>
        <w:suppressLineNumbers w:val="0"/>
        <w:shd w:val="clear" w:fill="FFFFFF"/>
        <w:kinsoku/>
        <w:wordWrap/>
        <w:overflowPunct/>
        <w:topLinePunct w:val="0"/>
        <w:autoSpaceDE/>
        <w:autoSpaceDN/>
        <w:bidi w:val="0"/>
        <w:adjustRightInd/>
        <w:snapToGrid/>
        <w:spacing w:before="192" w:beforeAutospacing="0" w:after="192" w:afterAutospacing="0" w:line="15" w:lineRule="auto"/>
        <w:ind w:left="0" w:right="0" w:firstLine="0"/>
        <w:textAlignment w:val="auto"/>
        <w:rPr>
          <w:rFonts w:hint="eastAsia" w:ascii="微软雅黑" w:hAnsi="微软雅黑" w:eastAsia="微软雅黑" w:cs="微软雅黑"/>
          <w:i w:val="0"/>
          <w:iCs w:val="0"/>
          <w:caps w:val="0"/>
          <w:color w:val="0F1115"/>
          <w:spacing w:val="0"/>
          <w:sz w:val="18"/>
          <w:szCs w:val="18"/>
        </w:rPr>
      </w:pPr>
      <w:r>
        <w:rPr>
          <w:rFonts w:hint="eastAsia" w:ascii="微软雅黑" w:hAnsi="微软雅黑" w:eastAsia="微软雅黑" w:cs="微软雅黑"/>
          <w:b/>
          <w:bCs/>
          <w:i w:val="0"/>
          <w:iCs w:val="0"/>
          <w:caps w:val="0"/>
          <w:color w:val="0F1115"/>
          <w:spacing w:val="0"/>
          <w:sz w:val="18"/>
          <w:szCs w:val="18"/>
          <w:shd w:val="clear" w:fill="FFFFFF"/>
        </w:rPr>
        <w:t>2. The Narrative Mechanism of Myth: “Veil” as a Cross-Cultural Archetype</w:t>
      </w:r>
      <w:r>
        <w:rPr>
          <w:rFonts w:hint="eastAsia" w:ascii="微软雅黑" w:hAnsi="微软雅黑" w:eastAsia="微软雅黑" w:cs="微软雅黑"/>
          <w:i w:val="0"/>
          <w:iCs w:val="0"/>
          <w:caps w:val="0"/>
          <w:color w:val="0F1115"/>
          <w:spacing w:val="0"/>
          <w:sz w:val="18"/>
          <w:szCs w:val="18"/>
          <w:shd w:val="clear" w:fill="FFFFFF"/>
        </w:rPr>
        <w:t> .............</w:t>
      </w:r>
      <w:r>
        <w:rPr>
          <w:rFonts w:hint="eastAsia" w:ascii="微软雅黑" w:hAnsi="微软雅黑" w:eastAsia="微软雅黑" w:cs="微软雅黑"/>
          <w:i w:val="0"/>
          <w:iCs w:val="0"/>
          <w:caps w:val="0"/>
          <w:color w:val="0F1115"/>
          <w:spacing w:val="0"/>
          <w:sz w:val="18"/>
          <w:szCs w:val="18"/>
          <w:shd w:val="clear" w:fill="FFFFFF"/>
        </w:rPr>
        <w:br w:type="textWrapping"/>
      </w:r>
      <w:r>
        <w:rPr>
          <w:rFonts w:hint="eastAsia" w:ascii="微软雅黑" w:hAnsi="微软雅黑" w:eastAsia="微软雅黑" w:cs="微软雅黑"/>
          <w:i w:val="0"/>
          <w:iCs w:val="0"/>
          <w:caps w:val="0"/>
          <w:color w:val="0F1115"/>
          <w:spacing w:val="0"/>
          <w:sz w:val="18"/>
          <w:szCs w:val="18"/>
          <w:shd w:val="clear" w:fill="FFFFFF"/>
        </w:rPr>
        <w:t xml:space="preserve"> 2.1 Why Does Myth Still Work Today? ......................................................................... </w:t>
      </w:r>
      <w:r>
        <w:rPr>
          <w:rFonts w:hint="eastAsia" w:ascii="微软雅黑" w:hAnsi="微软雅黑" w:eastAsia="微软雅黑" w:cs="微软雅黑"/>
          <w:i w:val="0"/>
          <w:iCs w:val="0"/>
          <w:caps w:val="0"/>
          <w:color w:val="0F1115"/>
          <w:spacing w:val="0"/>
          <w:sz w:val="18"/>
          <w:szCs w:val="18"/>
          <w:shd w:val="clear" w:fill="FFFFFF"/>
        </w:rPr>
        <w:br w:type="textWrapping"/>
      </w:r>
      <w:r>
        <w:rPr>
          <w:rFonts w:hint="eastAsia" w:ascii="微软雅黑" w:hAnsi="微软雅黑" w:eastAsia="微软雅黑" w:cs="微软雅黑"/>
          <w:i w:val="0"/>
          <w:iCs w:val="0"/>
          <w:caps w:val="0"/>
          <w:color w:val="0F1115"/>
          <w:spacing w:val="0"/>
          <w:sz w:val="18"/>
          <w:szCs w:val="18"/>
          <w:shd w:val="clear" w:fill="FFFFFF"/>
        </w:rPr>
        <w:t xml:space="preserve"> 2.2 Comparative Study of the “Crossing the Veil” Motif in Three Cultures ................... </w:t>
      </w:r>
      <w:r>
        <w:rPr>
          <w:rFonts w:hint="eastAsia" w:ascii="微软雅黑" w:hAnsi="微软雅黑" w:eastAsia="微软雅黑" w:cs="微软雅黑"/>
          <w:i w:val="0"/>
          <w:iCs w:val="0"/>
          <w:caps w:val="0"/>
          <w:color w:val="0F1115"/>
          <w:spacing w:val="0"/>
          <w:sz w:val="18"/>
          <w:szCs w:val="18"/>
          <w:shd w:val="clear" w:fill="FFFFFF"/>
        </w:rPr>
        <w:br w:type="textWrapping"/>
      </w:r>
      <w:r>
        <w:rPr>
          <w:rFonts w:hint="eastAsia" w:ascii="微软雅黑" w:hAnsi="微软雅黑" w:eastAsia="微软雅黑" w:cs="微软雅黑"/>
          <w:i w:val="0"/>
          <w:iCs w:val="0"/>
          <w:caps w:val="0"/>
          <w:color w:val="0F1115"/>
          <w:spacing w:val="0"/>
          <w:sz w:val="18"/>
          <w:szCs w:val="18"/>
          <w:shd w:val="clear" w:fill="FFFFFF"/>
        </w:rPr>
        <w:t xml:space="preserve"> 2.3 Transformations of the “Veil” in Contemporary Cinema .......................................... </w:t>
      </w:r>
    </w:p>
    <w:p w14:paraId="13D1CED0">
      <w:pPr>
        <w:pStyle w:val="7"/>
        <w:keepNext w:val="0"/>
        <w:keepLines w:val="0"/>
        <w:pageBreakBefore w:val="0"/>
        <w:widowControl/>
        <w:suppressLineNumbers w:val="0"/>
        <w:shd w:val="clear" w:fill="FFFFFF"/>
        <w:kinsoku/>
        <w:wordWrap/>
        <w:overflowPunct/>
        <w:topLinePunct w:val="0"/>
        <w:autoSpaceDE/>
        <w:autoSpaceDN/>
        <w:bidi w:val="0"/>
        <w:adjustRightInd/>
        <w:snapToGrid/>
        <w:spacing w:before="192" w:beforeAutospacing="0" w:after="192" w:afterAutospacing="0" w:line="15" w:lineRule="auto"/>
        <w:ind w:left="0" w:right="0" w:firstLine="0"/>
        <w:textAlignment w:val="auto"/>
        <w:rPr>
          <w:rFonts w:hint="eastAsia" w:ascii="微软雅黑" w:hAnsi="微软雅黑" w:eastAsia="微软雅黑" w:cs="微软雅黑"/>
          <w:i w:val="0"/>
          <w:iCs w:val="0"/>
          <w:caps w:val="0"/>
          <w:color w:val="0F1115"/>
          <w:spacing w:val="0"/>
          <w:sz w:val="18"/>
          <w:szCs w:val="18"/>
        </w:rPr>
      </w:pPr>
      <w:r>
        <w:rPr>
          <w:rFonts w:hint="eastAsia" w:ascii="微软雅黑" w:hAnsi="微软雅黑" w:eastAsia="微软雅黑" w:cs="微软雅黑"/>
          <w:b/>
          <w:bCs/>
          <w:i w:val="0"/>
          <w:iCs w:val="0"/>
          <w:caps w:val="0"/>
          <w:color w:val="0F1115"/>
          <w:spacing w:val="0"/>
          <w:sz w:val="18"/>
          <w:szCs w:val="18"/>
          <w:shd w:val="clear" w:fill="FFFFFF"/>
        </w:rPr>
        <w:t>3. Case Studies: How Contemporary Cinema Succeeds or Fails to Appropriate Myth</w:t>
      </w:r>
      <w:r>
        <w:rPr>
          <w:rFonts w:hint="eastAsia" w:ascii="微软雅黑" w:hAnsi="微软雅黑" w:eastAsia="微软雅黑" w:cs="微软雅黑"/>
          <w:i w:val="0"/>
          <w:iCs w:val="0"/>
          <w:caps w:val="0"/>
          <w:color w:val="0F1115"/>
          <w:spacing w:val="0"/>
          <w:sz w:val="18"/>
          <w:szCs w:val="18"/>
          <w:shd w:val="clear" w:fill="FFFFFF"/>
        </w:rPr>
        <w:t xml:space="preserve"> .. </w:t>
      </w:r>
      <w:r>
        <w:rPr>
          <w:rFonts w:hint="eastAsia" w:ascii="微软雅黑" w:hAnsi="微软雅黑" w:eastAsia="微软雅黑" w:cs="微软雅黑"/>
          <w:i w:val="0"/>
          <w:iCs w:val="0"/>
          <w:caps w:val="0"/>
          <w:color w:val="0F1115"/>
          <w:spacing w:val="0"/>
          <w:sz w:val="18"/>
          <w:szCs w:val="18"/>
          <w:shd w:val="clear" w:fill="FFFFFF"/>
        </w:rPr>
        <w:br w:type="textWrapping"/>
      </w:r>
      <w:r>
        <w:rPr>
          <w:rFonts w:hint="eastAsia" w:ascii="微软雅黑" w:hAnsi="微软雅黑" w:eastAsia="微软雅黑" w:cs="微软雅黑"/>
          <w:i w:val="0"/>
          <w:iCs w:val="0"/>
          <w:caps w:val="0"/>
          <w:color w:val="0F1115"/>
          <w:spacing w:val="0"/>
          <w:sz w:val="18"/>
          <w:szCs w:val="18"/>
          <w:shd w:val="clear" w:fill="FFFFFF"/>
        </w:rPr>
        <w:t xml:space="preserve"> 3.1 Coco: The Reversible Bridge of Marigold Petals ...................................................... </w:t>
      </w:r>
      <w:r>
        <w:rPr>
          <w:rFonts w:hint="eastAsia" w:ascii="微软雅黑" w:hAnsi="微软雅黑" w:eastAsia="微软雅黑" w:cs="微软雅黑"/>
          <w:i w:val="0"/>
          <w:iCs w:val="0"/>
          <w:caps w:val="0"/>
          <w:color w:val="0F1115"/>
          <w:spacing w:val="0"/>
          <w:sz w:val="18"/>
          <w:szCs w:val="18"/>
          <w:shd w:val="clear" w:fill="FFFFFF"/>
        </w:rPr>
        <w:br w:type="textWrapping"/>
      </w:r>
      <w:r>
        <w:rPr>
          <w:rFonts w:hint="eastAsia" w:ascii="微软雅黑" w:hAnsi="微软雅黑" w:eastAsia="微软雅黑" w:cs="微软雅黑"/>
          <w:i w:val="0"/>
          <w:iCs w:val="0"/>
          <w:caps w:val="0"/>
          <w:color w:val="0F1115"/>
          <w:spacing w:val="0"/>
          <w:sz w:val="18"/>
          <w:szCs w:val="18"/>
          <w:shd w:val="clear" w:fill="FFFFFF"/>
        </w:rPr>
        <w:t xml:space="preserve"> 3.2 Samsara: The Risk of Myth Without Dialogue ........................................................ </w:t>
      </w:r>
      <w:r>
        <w:rPr>
          <w:rFonts w:hint="eastAsia" w:ascii="微软雅黑" w:hAnsi="微软雅黑" w:eastAsia="微软雅黑" w:cs="微软雅黑"/>
          <w:i w:val="0"/>
          <w:iCs w:val="0"/>
          <w:caps w:val="0"/>
          <w:color w:val="0F1115"/>
          <w:spacing w:val="0"/>
          <w:sz w:val="18"/>
          <w:szCs w:val="18"/>
          <w:shd w:val="clear" w:fill="FFFFFF"/>
        </w:rPr>
        <w:br w:type="textWrapping"/>
      </w:r>
      <w:r>
        <w:rPr>
          <w:rFonts w:hint="eastAsia" w:ascii="微软雅黑" w:hAnsi="微软雅黑" w:eastAsia="微软雅黑" w:cs="微软雅黑"/>
          <w:i w:val="0"/>
          <w:iCs w:val="0"/>
          <w:caps w:val="0"/>
          <w:color w:val="0F1115"/>
          <w:spacing w:val="0"/>
          <w:sz w:val="18"/>
          <w:szCs w:val="18"/>
          <w:shd w:val="clear" w:fill="FFFFFF"/>
        </w:rPr>
        <w:t xml:space="preserve"> 3.3 The Giver: When the Price is Erased ......................................................................... </w:t>
      </w:r>
    </w:p>
    <w:p w14:paraId="41D0B3D5">
      <w:pPr>
        <w:pStyle w:val="7"/>
        <w:keepNext w:val="0"/>
        <w:keepLines w:val="0"/>
        <w:pageBreakBefore w:val="0"/>
        <w:widowControl/>
        <w:suppressLineNumbers w:val="0"/>
        <w:shd w:val="clear" w:fill="FFFFFF"/>
        <w:kinsoku/>
        <w:wordWrap/>
        <w:overflowPunct/>
        <w:topLinePunct w:val="0"/>
        <w:autoSpaceDE/>
        <w:autoSpaceDN/>
        <w:bidi w:val="0"/>
        <w:adjustRightInd/>
        <w:snapToGrid/>
        <w:spacing w:before="192" w:beforeAutospacing="0" w:after="192" w:afterAutospacing="0" w:line="15" w:lineRule="auto"/>
        <w:ind w:left="0" w:right="0" w:firstLine="0"/>
        <w:textAlignment w:val="auto"/>
        <w:rPr>
          <w:rFonts w:hint="eastAsia" w:ascii="微软雅黑" w:hAnsi="微软雅黑" w:eastAsia="微软雅黑" w:cs="微软雅黑"/>
          <w:i w:val="0"/>
          <w:iCs w:val="0"/>
          <w:caps w:val="0"/>
          <w:color w:val="0F1115"/>
          <w:spacing w:val="0"/>
          <w:sz w:val="18"/>
          <w:szCs w:val="18"/>
        </w:rPr>
      </w:pPr>
      <w:r>
        <w:rPr>
          <w:rFonts w:hint="eastAsia" w:ascii="微软雅黑" w:hAnsi="微软雅黑" w:eastAsia="微软雅黑" w:cs="微软雅黑"/>
          <w:b/>
          <w:bCs/>
          <w:i w:val="0"/>
          <w:iCs w:val="0"/>
          <w:caps w:val="0"/>
          <w:color w:val="0F1115"/>
          <w:spacing w:val="0"/>
          <w:sz w:val="18"/>
          <w:szCs w:val="18"/>
          <w:shd w:val="clear" w:fill="FFFFFF"/>
        </w:rPr>
        <w:t>4. An Original Model: Designing a Culturally Hybrid Veil for BEYOND THE VEIL</w:t>
      </w:r>
      <w:r>
        <w:rPr>
          <w:rFonts w:hint="eastAsia" w:ascii="微软雅黑" w:hAnsi="微软雅黑" w:eastAsia="微软雅黑" w:cs="微软雅黑"/>
          <w:i w:val="0"/>
          <w:iCs w:val="0"/>
          <w:caps w:val="0"/>
          <w:color w:val="0F1115"/>
          <w:spacing w:val="0"/>
          <w:sz w:val="18"/>
          <w:szCs w:val="18"/>
          <w:shd w:val="clear" w:fill="FFFFFF"/>
        </w:rPr>
        <w:t xml:space="preserve"> .... </w:t>
      </w:r>
      <w:r>
        <w:rPr>
          <w:rFonts w:hint="eastAsia" w:ascii="微软雅黑" w:hAnsi="微软雅黑" w:eastAsia="微软雅黑" w:cs="微软雅黑"/>
          <w:i w:val="0"/>
          <w:iCs w:val="0"/>
          <w:caps w:val="0"/>
          <w:color w:val="0F1115"/>
          <w:spacing w:val="0"/>
          <w:sz w:val="18"/>
          <w:szCs w:val="18"/>
          <w:shd w:val="clear" w:fill="FFFFFF"/>
        </w:rPr>
        <w:br w:type="textWrapping"/>
      </w:r>
      <w:r>
        <w:rPr>
          <w:rFonts w:hint="eastAsia" w:ascii="微软雅黑" w:hAnsi="微软雅黑" w:eastAsia="微软雅黑" w:cs="微软雅黑"/>
          <w:i w:val="0"/>
          <w:iCs w:val="0"/>
          <w:caps w:val="0"/>
          <w:color w:val="0F1115"/>
          <w:spacing w:val="0"/>
          <w:sz w:val="18"/>
          <w:szCs w:val="18"/>
          <w:shd w:val="clear" w:fill="FFFFFF"/>
        </w:rPr>
        <w:t xml:space="preserve"> 4.1 A Seven-Layer Spiral Structure of Crossing .............................................................. </w:t>
      </w:r>
      <w:r>
        <w:rPr>
          <w:rFonts w:hint="eastAsia" w:ascii="微软雅黑" w:hAnsi="微软雅黑" w:eastAsia="微软雅黑" w:cs="微软雅黑"/>
          <w:i w:val="0"/>
          <w:iCs w:val="0"/>
          <w:caps w:val="0"/>
          <w:color w:val="0F1115"/>
          <w:spacing w:val="0"/>
          <w:sz w:val="18"/>
          <w:szCs w:val="18"/>
          <w:shd w:val="clear" w:fill="FFFFFF"/>
        </w:rPr>
        <w:br w:type="textWrapping"/>
      </w:r>
      <w:r>
        <w:rPr>
          <w:rFonts w:hint="eastAsia" w:ascii="微软雅黑" w:hAnsi="微软雅黑" w:eastAsia="微软雅黑" w:cs="微软雅黑"/>
          <w:i w:val="0"/>
          <w:iCs w:val="0"/>
          <w:caps w:val="0"/>
          <w:color w:val="0F1115"/>
          <w:spacing w:val="0"/>
          <w:sz w:val="18"/>
          <w:szCs w:val="18"/>
          <w:shd w:val="clear" w:fill="FFFFFF"/>
        </w:rPr>
        <w:t xml:space="preserve"> 4.2 Three Core Design Principles .................................................................................. </w:t>
      </w:r>
    </w:p>
    <w:p w14:paraId="19FA733E">
      <w:pPr>
        <w:pStyle w:val="7"/>
        <w:keepNext w:val="0"/>
        <w:keepLines w:val="0"/>
        <w:pageBreakBefore w:val="0"/>
        <w:widowControl/>
        <w:suppressLineNumbers w:val="0"/>
        <w:shd w:val="clear" w:fill="FFFFFF"/>
        <w:kinsoku/>
        <w:wordWrap/>
        <w:overflowPunct/>
        <w:topLinePunct w:val="0"/>
        <w:autoSpaceDE/>
        <w:autoSpaceDN/>
        <w:bidi w:val="0"/>
        <w:adjustRightInd/>
        <w:snapToGrid/>
        <w:spacing w:before="192" w:beforeAutospacing="0" w:after="192" w:afterAutospacing="0" w:line="15" w:lineRule="auto"/>
        <w:ind w:left="0" w:right="0" w:firstLine="0"/>
        <w:textAlignment w:val="auto"/>
        <w:rPr>
          <w:rFonts w:hint="eastAsia" w:ascii="微软雅黑" w:hAnsi="微软雅黑" w:eastAsia="微软雅黑" w:cs="微软雅黑"/>
          <w:i w:val="0"/>
          <w:iCs w:val="0"/>
          <w:caps w:val="0"/>
          <w:color w:val="0F1115"/>
          <w:spacing w:val="0"/>
          <w:sz w:val="18"/>
          <w:szCs w:val="18"/>
        </w:rPr>
      </w:pPr>
      <w:r>
        <w:rPr>
          <w:rFonts w:hint="eastAsia" w:ascii="微软雅黑" w:hAnsi="微软雅黑" w:eastAsia="微软雅黑" w:cs="微软雅黑"/>
          <w:b/>
          <w:bCs/>
          <w:i w:val="0"/>
          <w:iCs w:val="0"/>
          <w:caps w:val="0"/>
          <w:color w:val="0F1115"/>
          <w:spacing w:val="0"/>
          <w:sz w:val="18"/>
          <w:szCs w:val="18"/>
          <w:shd w:val="clear" w:fill="FFFFFF"/>
        </w:rPr>
        <w:t>5. Proposal Plan: Theoretical Basis and Implementation Strategy from Research to Production</w:t>
      </w:r>
      <w:r>
        <w:rPr>
          <w:rFonts w:hint="eastAsia" w:ascii="微软雅黑" w:hAnsi="微软雅黑" w:eastAsia="微软雅黑" w:cs="微软雅黑"/>
          <w:i w:val="0"/>
          <w:iCs w:val="0"/>
          <w:caps w:val="0"/>
          <w:color w:val="0F1115"/>
          <w:spacing w:val="0"/>
          <w:sz w:val="18"/>
          <w:szCs w:val="18"/>
          <w:shd w:val="clear" w:fill="FFFFFF"/>
        </w:rPr>
        <w:t xml:space="preserve"> ............................................................................................................... </w:t>
      </w:r>
      <w:r>
        <w:rPr>
          <w:rFonts w:hint="eastAsia" w:ascii="微软雅黑" w:hAnsi="微软雅黑" w:eastAsia="微软雅黑" w:cs="微软雅黑"/>
          <w:i w:val="0"/>
          <w:iCs w:val="0"/>
          <w:caps w:val="0"/>
          <w:color w:val="0F1115"/>
          <w:spacing w:val="0"/>
          <w:sz w:val="18"/>
          <w:szCs w:val="18"/>
          <w:shd w:val="clear" w:fill="FFFFFF"/>
        </w:rPr>
        <w:br w:type="textWrapping"/>
      </w:r>
      <w:r>
        <w:rPr>
          <w:rFonts w:hint="eastAsia" w:ascii="微软雅黑" w:hAnsi="微软雅黑" w:eastAsia="微软雅黑" w:cs="微软雅黑"/>
          <w:i w:val="0"/>
          <w:iCs w:val="0"/>
          <w:caps w:val="0"/>
          <w:color w:val="0F1115"/>
          <w:spacing w:val="0"/>
          <w:sz w:val="18"/>
          <w:szCs w:val="18"/>
          <w:shd w:val="clear" w:fill="FFFFFF"/>
        </w:rPr>
        <w:t xml:space="preserve"> 5.1 Summary of Theoretical Basis ................................................................................. </w:t>
      </w:r>
      <w:r>
        <w:rPr>
          <w:rFonts w:hint="eastAsia" w:ascii="微软雅黑" w:hAnsi="微软雅黑" w:eastAsia="微软雅黑" w:cs="微软雅黑"/>
          <w:i w:val="0"/>
          <w:iCs w:val="0"/>
          <w:caps w:val="0"/>
          <w:color w:val="0F1115"/>
          <w:spacing w:val="0"/>
          <w:sz w:val="18"/>
          <w:szCs w:val="18"/>
          <w:shd w:val="clear" w:fill="FFFFFF"/>
        </w:rPr>
        <w:br w:type="textWrapping"/>
      </w:r>
      <w:r>
        <w:rPr>
          <w:rFonts w:hint="eastAsia" w:ascii="微软雅黑" w:hAnsi="微软雅黑" w:eastAsia="微软雅黑" w:cs="微软雅黑"/>
          <w:i w:val="0"/>
          <w:iCs w:val="0"/>
          <w:caps w:val="0"/>
          <w:color w:val="0F1115"/>
          <w:spacing w:val="0"/>
          <w:sz w:val="18"/>
          <w:szCs w:val="18"/>
          <w:shd w:val="clear" w:fill="FFFFFF"/>
        </w:rPr>
        <w:t xml:space="preserve"> 5.2 Phased Implementation Plan ................................................................................... </w:t>
      </w:r>
      <w:r>
        <w:rPr>
          <w:rFonts w:hint="eastAsia" w:ascii="微软雅黑" w:hAnsi="微软雅黑" w:eastAsia="微软雅黑" w:cs="微软雅黑"/>
          <w:i w:val="0"/>
          <w:iCs w:val="0"/>
          <w:caps w:val="0"/>
          <w:color w:val="0F1115"/>
          <w:spacing w:val="0"/>
          <w:sz w:val="18"/>
          <w:szCs w:val="18"/>
          <w:shd w:val="clear" w:fill="FFFFFF"/>
        </w:rPr>
        <w:br w:type="textWrapping"/>
      </w:r>
      <w:r>
        <w:rPr>
          <w:rFonts w:hint="eastAsia" w:ascii="微软雅黑" w:hAnsi="微软雅黑" w:eastAsia="微软雅黑" w:cs="微软雅黑"/>
          <w:i w:val="0"/>
          <w:iCs w:val="0"/>
          <w:caps w:val="0"/>
          <w:color w:val="0F1115"/>
          <w:spacing w:val="0"/>
          <w:sz w:val="18"/>
          <w:szCs w:val="18"/>
          <w:shd w:val="clear" w:fill="FFFFFF"/>
        </w:rPr>
        <w:t xml:space="preserve"> 5.3 Risks and Countermeasures .................................................................................... </w:t>
      </w:r>
    </w:p>
    <w:p w14:paraId="706429A8">
      <w:pPr>
        <w:pStyle w:val="7"/>
        <w:keepNext w:val="0"/>
        <w:keepLines w:val="0"/>
        <w:pageBreakBefore w:val="0"/>
        <w:widowControl/>
        <w:suppressLineNumbers w:val="0"/>
        <w:shd w:val="clear" w:fill="FFFFFF"/>
        <w:kinsoku/>
        <w:wordWrap/>
        <w:overflowPunct/>
        <w:topLinePunct w:val="0"/>
        <w:autoSpaceDE/>
        <w:autoSpaceDN/>
        <w:bidi w:val="0"/>
        <w:adjustRightInd/>
        <w:snapToGrid/>
        <w:spacing w:before="192" w:beforeAutospacing="0" w:after="192" w:afterAutospacing="0" w:line="15" w:lineRule="auto"/>
        <w:ind w:left="0" w:right="0" w:firstLine="0"/>
        <w:textAlignment w:val="auto"/>
        <w:rPr>
          <w:rFonts w:hint="eastAsia" w:ascii="微软雅黑" w:hAnsi="微软雅黑" w:eastAsia="微软雅黑" w:cs="微软雅黑"/>
          <w:i w:val="0"/>
          <w:iCs w:val="0"/>
          <w:caps w:val="0"/>
          <w:color w:val="0F1115"/>
          <w:spacing w:val="0"/>
          <w:sz w:val="18"/>
          <w:szCs w:val="18"/>
        </w:rPr>
      </w:pPr>
      <w:r>
        <w:rPr>
          <w:rFonts w:hint="eastAsia" w:ascii="微软雅黑" w:hAnsi="微软雅黑" w:eastAsia="微软雅黑" w:cs="微软雅黑"/>
          <w:b/>
          <w:bCs/>
          <w:i w:val="0"/>
          <w:iCs w:val="0"/>
          <w:caps w:val="0"/>
          <w:color w:val="0F1115"/>
          <w:spacing w:val="0"/>
          <w:sz w:val="18"/>
          <w:szCs w:val="18"/>
          <w:shd w:val="clear" w:fill="FFFFFF"/>
        </w:rPr>
        <w:t>6. Conclusion</w:t>
      </w:r>
      <w:r>
        <w:rPr>
          <w:rFonts w:hint="eastAsia" w:ascii="微软雅黑" w:hAnsi="微软雅黑" w:eastAsia="微软雅黑" w:cs="微软雅黑"/>
          <w:i w:val="0"/>
          <w:iCs w:val="0"/>
          <w:caps w:val="0"/>
          <w:color w:val="0F1115"/>
          <w:spacing w:val="0"/>
          <w:sz w:val="18"/>
          <w:szCs w:val="18"/>
          <w:shd w:val="clear" w:fill="FFFFFF"/>
        </w:rPr>
        <w:t xml:space="preserve"> ........................................................................................................... </w:t>
      </w:r>
    </w:p>
    <w:p w14:paraId="521FEBC2">
      <w:pPr>
        <w:pStyle w:val="7"/>
        <w:keepNext w:val="0"/>
        <w:keepLines w:val="0"/>
        <w:widowControl/>
        <w:suppressLineNumbers w:val="0"/>
        <w:rPr>
          <w:rFonts w:hint="eastAsia" w:ascii="微软雅黑" w:hAnsi="微软雅黑" w:eastAsia="微软雅黑" w:cs="微软雅黑"/>
          <w:i w:val="0"/>
          <w:iCs w:val="0"/>
          <w:caps w:val="0"/>
          <w:color w:val="0F1115"/>
          <w:spacing w:val="0"/>
          <w:sz w:val="18"/>
          <w:szCs w:val="18"/>
        </w:rPr>
      </w:pPr>
      <w:r>
        <w:rPr>
          <w:rFonts w:hint="eastAsia" w:ascii="微软雅黑" w:hAnsi="微软雅黑" w:eastAsia="微软雅黑" w:cs="微软雅黑"/>
          <w:b/>
          <w:bCs/>
          <w:i w:val="0"/>
          <w:iCs w:val="0"/>
          <w:caps w:val="0"/>
          <w:color w:val="0F1115"/>
          <w:spacing w:val="0"/>
          <w:sz w:val="18"/>
          <w:szCs w:val="18"/>
          <w:shd w:val="clear" w:fill="FFFFFF"/>
        </w:rPr>
        <w:t>References</w:t>
      </w:r>
      <w:r>
        <w:rPr>
          <w:rFonts w:hint="eastAsia" w:ascii="微软雅黑" w:hAnsi="微软雅黑" w:eastAsia="微软雅黑" w:cs="微软雅黑"/>
          <w:i w:val="0"/>
          <w:iCs w:val="0"/>
          <w:caps w:val="0"/>
          <w:color w:val="0F1115"/>
          <w:spacing w:val="0"/>
          <w:sz w:val="40"/>
          <w:szCs w:val="40"/>
          <w:shd w:val="clear" w:fill="FFFFFF"/>
        </w:rPr>
        <w:t> </w:t>
      </w:r>
      <w:r>
        <w:rPr>
          <w:rFonts w:hint="eastAsia" w:ascii="微软雅黑" w:hAnsi="微软雅黑" w:eastAsia="微软雅黑" w:cs="微软雅黑"/>
          <w:i w:val="0"/>
          <w:iCs w:val="0"/>
          <w:caps w:val="0"/>
          <w:color w:val="0F1115"/>
          <w:spacing w:val="0"/>
          <w:sz w:val="18"/>
          <w:szCs w:val="18"/>
          <w:shd w:val="clear" w:fill="FFFFFF"/>
        </w:rPr>
        <w:t>..............................................................................................................</w:t>
      </w:r>
    </w:p>
    <w:p w14:paraId="41CC90A2">
      <w:pPr>
        <w:pStyle w:val="3"/>
        <w:keepNext w:val="0"/>
        <w:keepLines w:val="0"/>
        <w:widowControl/>
        <w:suppressLineNumbers w:val="0"/>
      </w:pPr>
    </w:p>
    <w:p w14:paraId="47BDBEAA">
      <w:pPr>
        <w:pStyle w:val="2"/>
        <w:keepNext w:val="0"/>
        <w:keepLines w:val="0"/>
        <w:widowControl/>
        <w:suppressLineNumbers w:val="0"/>
        <w:rPr>
          <w:b/>
          <w:bCs/>
        </w:rPr>
        <w:sectPr>
          <w:pgSz w:w="11906" w:h="16838"/>
          <w:pgMar w:top="1440" w:right="1800" w:bottom="1440" w:left="1800" w:header="851" w:footer="992" w:gutter="0"/>
          <w:cols w:space="425" w:num="1"/>
          <w:docGrid w:type="lines" w:linePitch="312" w:charSpace="0"/>
        </w:sectPr>
      </w:pPr>
    </w:p>
    <w:p w14:paraId="3BB1E387">
      <w:pPr>
        <w:pStyle w:val="2"/>
        <w:keepNext w:val="0"/>
        <w:keepLines w:val="0"/>
        <w:widowControl/>
        <w:suppressLineNumbers w:val="0"/>
        <w:rPr>
          <w:b/>
          <w:bCs/>
        </w:rPr>
      </w:pPr>
      <w:r>
        <w:rPr>
          <w:b/>
          <w:bCs/>
        </w:rPr>
        <w:t xml:space="preserve">The Power of Myth and Filmmaking: Constructing a Liminal Narrative for </w:t>
      </w:r>
      <w:r>
        <w:rPr>
          <w:rStyle w:val="11"/>
          <w:b/>
          <w:bCs/>
        </w:rPr>
        <w:t>BEYOND THE VEIL</w:t>
      </w:r>
    </w:p>
    <w:p w14:paraId="2778CB2A">
      <w:pPr>
        <w:pStyle w:val="3"/>
        <w:keepNext w:val="0"/>
        <w:keepLines w:val="0"/>
        <w:widowControl/>
        <w:suppressLineNumbers w:val="0"/>
      </w:pPr>
      <w:r>
        <w:t>Abstract</w:t>
      </w:r>
    </w:p>
    <w:p w14:paraId="3AB509C7">
      <w:pPr>
        <w:pStyle w:val="7"/>
        <w:keepNext w:val="0"/>
        <w:keepLines w:val="0"/>
        <w:widowControl/>
        <w:suppressLineNumbers w:val="0"/>
      </w:pPr>
      <w:r>
        <w:t xml:space="preserve">This paper explores the intersection between mythic narrative and contemporary filmmaking through the practical development of a hypothetical fantasy series, </w:t>
      </w:r>
      <w:r>
        <w:rPr>
          <w:rStyle w:val="11"/>
        </w:rPr>
        <w:t>BEYOND THE VEIL</w:t>
      </w:r>
      <w:r>
        <w:t>. By combining comparative mythology, case studies, and structuralist narrative analysis, the study extracts the deep structures of the “underworld crossing” motif from Greek, Norse, and East Asian mythological systems, while also examining the successes and failures of three contemporary film and television works. Based on this analysis, the paper proposes a “culturally hybrid veil” narrative model composed of a seven-layer crossing structure and three core design principles, ultimately forming a phased development proposal. The study argues that the power of myth lies not in providing fixed answers, but in organizing “irreversible rites of passage.” Filmmaking should therefore treat myth as an operational grammar rather than decorative imagery.</w:t>
      </w:r>
    </w:p>
    <w:p w14:paraId="738C85BE">
      <w:pPr>
        <w:pStyle w:val="7"/>
        <w:keepNext w:val="0"/>
        <w:keepLines w:val="0"/>
        <w:widowControl/>
        <w:suppressLineNumbers w:val="0"/>
      </w:pPr>
      <w:r>
        <w:rPr>
          <w:rStyle w:val="10"/>
        </w:rPr>
        <w:t>Keywords:</w:t>
      </w:r>
      <w:r>
        <w:t xml:space="preserve"> mythic narrative; liminality; filmmaking; cross-cultural storytelling; </w:t>
      </w:r>
      <w:r>
        <w:rPr>
          <w:rStyle w:val="11"/>
        </w:rPr>
        <w:t>BEYOND THE VEIL</w:t>
      </w:r>
      <w:r>
        <w:t>; hero’s journey</w:t>
      </w:r>
    </w:p>
    <w:p w14:paraId="31844558">
      <w:pPr>
        <w:keepNext w:val="0"/>
        <w:keepLines w:val="0"/>
        <w:widowControl/>
        <w:suppressLineNumbers w:val="0"/>
      </w:pPr>
    </w:p>
    <w:p w14:paraId="4EAD0253">
      <w:pPr>
        <w:pStyle w:val="2"/>
        <w:keepNext w:val="0"/>
        <w:keepLines w:val="0"/>
        <w:widowControl/>
        <w:suppressLineNumbers w:val="0"/>
      </w:pPr>
      <w:r>
        <w:rPr>
          <w:rFonts w:hint="eastAsia"/>
          <w:lang w:val="en-US" w:eastAsia="zh-CN"/>
        </w:rPr>
        <w:t>1</w:t>
      </w:r>
      <w:r>
        <w:t>. Introduction</w:t>
      </w:r>
    </w:p>
    <w:p w14:paraId="592BD9F1">
      <w:pPr>
        <w:pStyle w:val="3"/>
        <w:keepNext w:val="0"/>
        <w:keepLines w:val="0"/>
        <w:widowControl/>
        <w:suppressLineNumbers w:val="0"/>
      </w:pPr>
      <w:r>
        <w:t>1.1 Research Background and Central Question</w:t>
      </w:r>
    </w:p>
    <w:p w14:paraId="0EEAD21F">
      <w:pPr>
        <w:pStyle w:val="7"/>
        <w:keepNext w:val="0"/>
        <w:keepLines w:val="0"/>
        <w:widowControl/>
        <w:suppressLineNumbers w:val="0"/>
      </w:pPr>
      <w:r>
        <w:t xml:space="preserve">In today’s film industry, two parallel trends have become increasingly visible. On one side, superhero franchises such as Marvel and DC frequently borrow the outer shell of Norse or Greek mythology. On the other side, works like </w:t>
      </w:r>
      <w:r>
        <w:rPr>
          <w:rStyle w:val="11"/>
        </w:rPr>
        <w:t>Everything Everywhere All at Once</w:t>
      </w:r>
      <w:r>
        <w:t xml:space="preserve"> and </w:t>
      </w:r>
      <w:r>
        <w:rPr>
          <w:rStyle w:val="11"/>
        </w:rPr>
        <w:t>Coco</w:t>
      </w:r>
      <w:r>
        <w:t xml:space="preserve"> do not directly retell ancient myths, yet still evoke a distinctly mythic emotional force. This raises an important question: how should contemporary cinema reconstruct the “liminal function” of ancient myth?</w:t>
      </w:r>
    </w:p>
    <w:p w14:paraId="2BA9BC43">
      <w:pPr>
        <w:pStyle w:val="7"/>
        <w:keepNext w:val="0"/>
        <w:keepLines w:val="0"/>
        <w:widowControl/>
        <w:suppressLineNumbers w:val="0"/>
      </w:pPr>
      <w:r>
        <w:t>The term “liminal function,” derived from anthropological ritual studies by Arnold van Gennep and Victor Turner, refers to the ability of rituals to guide individuals from one state of identity into another. In mythology, this often appears as journeys into the underworld, ascensions to heaven, or passages through forbidden gates. In modern life, however, people still confront death, identity crises, loss, and rebirth. The real question is whether myth can still be honestly translated onto the screen in an age dominated by rationality and technology.</w:t>
      </w:r>
    </w:p>
    <w:p w14:paraId="44CD18A5">
      <w:pPr>
        <w:pStyle w:val="7"/>
        <w:keepNext w:val="0"/>
        <w:keepLines w:val="0"/>
        <w:widowControl/>
        <w:suppressLineNumbers w:val="0"/>
      </w:pPr>
      <w:r>
        <w:t xml:space="preserve">To address this question, this paper proposes a hypothetical fantasy-psychological series titled </w:t>
      </w:r>
      <w:r>
        <w:rPr>
          <w:rStyle w:val="11"/>
        </w:rPr>
        <w:t>BEYOND THE VEIL</w:t>
      </w:r>
      <w:r>
        <w:t>. The protagonist enters a state of clinical near-death after an accident and must traverse seven layers of a “veil world” constructed from overlapping mythological systems. With each layer crossed, the protagonist must permanently abandon a modern identity marker before eventually returning to ordinary life with irreversible damage. The premise itself functions as an extreme experiment in liminality.</w:t>
      </w:r>
    </w:p>
    <w:p w14:paraId="504CC857">
      <w:pPr>
        <w:pStyle w:val="3"/>
        <w:keepNext w:val="0"/>
        <w:keepLines w:val="0"/>
        <w:widowControl/>
        <w:suppressLineNumbers w:val="0"/>
      </w:pPr>
      <w:r>
        <w:t>1.2 Research Methods and Sources</w:t>
      </w:r>
    </w:p>
    <w:p w14:paraId="2EB481D0">
      <w:pPr>
        <w:pStyle w:val="7"/>
        <w:keepNext w:val="0"/>
        <w:keepLines w:val="0"/>
        <w:widowControl/>
        <w:suppressLineNumbers w:val="0"/>
      </w:pPr>
      <w:r>
        <w:t>This paper adopts what may be called a “cross-media myth analysis” model, consisting of three major components.</w:t>
      </w:r>
    </w:p>
    <w:p w14:paraId="11F51354">
      <w:pPr>
        <w:pStyle w:val="7"/>
        <w:keepNext w:val="0"/>
        <w:keepLines w:val="0"/>
        <w:widowControl/>
        <w:suppressLineNumbers w:val="0"/>
      </w:pPr>
      <w:r>
        <w:t>First is comparative textual analysis. Narrative atoms related to “crossing the veil” are extracted from Greek mythology (primarily the story of Orpheus and Eurydice), Norse mythology (Hermod’s journey to Hel), and Japanese mythology (Izanagi’s descent into Yomi). These three cultural systems were selected because their visions of death differ radically while sharing striking similarities in their emphasis on irreversible cost.</w:t>
      </w:r>
    </w:p>
    <w:p w14:paraId="724AD1EF">
      <w:pPr>
        <w:pStyle w:val="7"/>
        <w:keepNext w:val="0"/>
        <w:keepLines w:val="0"/>
        <w:widowControl/>
        <w:suppressLineNumbers w:val="0"/>
      </w:pPr>
      <w:r>
        <w:t xml:space="preserve">Second is case study analysis. The paper examines </w:t>
      </w:r>
      <w:r>
        <w:rPr>
          <w:rStyle w:val="11"/>
        </w:rPr>
        <w:t>Coco</w:t>
      </w:r>
      <w:r>
        <w:t xml:space="preserve">, </w:t>
      </w:r>
      <w:r>
        <w:rPr>
          <w:rStyle w:val="11"/>
        </w:rPr>
        <w:t>Samsara</w:t>
      </w:r>
      <w:r>
        <w:t xml:space="preserve"> (2011), and </w:t>
      </w:r>
      <w:r>
        <w:rPr>
          <w:rStyle w:val="11"/>
        </w:rPr>
        <w:t>The Giver</w:t>
      </w:r>
      <w:r>
        <w:t xml:space="preserve"> (2014) as examples of both successful and unsuccessful mythic adaptation in modern cinema.</w:t>
      </w:r>
    </w:p>
    <w:p w14:paraId="618C24E8">
      <w:pPr>
        <w:pStyle w:val="7"/>
        <w:keepNext w:val="0"/>
        <w:keepLines w:val="0"/>
        <w:widowControl/>
        <w:suppressLineNumbers w:val="0"/>
      </w:pPr>
      <w:r>
        <w:t>Third is structuralist narrative analysis. Drawing from Vladimir Propp’s narrative functions, Joseph Campbell’s “Hero’s Journey,” and Algirdas Greimas’s actantial model, the study does not aim to mechanically apply formulas, but rather to isolate narrative “atoms” that can function concretely in filmmaking—elements such as “the guardian,” “crossing fare,” “forbidden gaze,” and “damaged return.”</w:t>
      </w:r>
    </w:p>
    <w:p w14:paraId="71A590E6">
      <w:pPr>
        <w:pStyle w:val="7"/>
        <w:keepNext w:val="0"/>
        <w:keepLines w:val="0"/>
        <w:widowControl/>
        <w:suppressLineNumbers w:val="0"/>
      </w:pPr>
      <w:r>
        <w:t xml:space="preserve">Throughout the study, complete academic objectivity is neither possible nor intended. The author is personally one of the conceptual initiators behind the hypothetical </w:t>
      </w:r>
      <w:r>
        <w:rPr>
          <w:rStyle w:val="11"/>
        </w:rPr>
        <w:t>BEYOND THE VEIL</w:t>
      </w:r>
      <w:r>
        <w:t xml:space="preserve"> project, meaning the research carries a clear design-oriented and practical purpose. This is also why the latter half of the paper directly develops into a production proposal.</w:t>
      </w:r>
    </w:p>
    <w:p w14:paraId="308C58FB">
      <w:pPr>
        <w:keepNext w:val="0"/>
        <w:keepLines w:val="0"/>
        <w:widowControl/>
        <w:suppressLineNumbers w:val="0"/>
      </w:pPr>
    </w:p>
    <w:p w14:paraId="65826C12">
      <w:pPr>
        <w:pStyle w:val="2"/>
        <w:keepNext w:val="0"/>
        <w:keepLines w:val="0"/>
        <w:widowControl/>
        <w:suppressLineNumbers w:val="0"/>
      </w:pPr>
      <w:r>
        <w:rPr>
          <w:rFonts w:hint="eastAsia"/>
          <w:lang w:val="en-US" w:eastAsia="zh-CN"/>
        </w:rPr>
        <w:t>2</w:t>
      </w:r>
      <w:r>
        <w:t>. Mythic Narrative Mechanisms: “The Veil” as a Cross-Cultural Archetype</w:t>
      </w:r>
    </w:p>
    <w:p w14:paraId="0EF20A5E">
      <w:pPr>
        <w:pStyle w:val="3"/>
        <w:keepNext w:val="0"/>
        <w:keepLines w:val="0"/>
        <w:widowControl/>
        <w:suppressLineNumbers w:val="0"/>
      </w:pPr>
      <w:r>
        <w:t>2.1 Why Does Myth Still Function Today?</w:t>
      </w:r>
    </w:p>
    <w:p w14:paraId="3C921787">
      <w:pPr>
        <w:pStyle w:val="7"/>
        <w:keepNext w:val="0"/>
        <w:keepLines w:val="0"/>
        <w:widowControl/>
        <w:suppressLineNumbers w:val="0"/>
      </w:pPr>
      <w:r>
        <w:t>Many people regard myth as either childish fantasy or merely cultural heritage. Jungian theory, however, suggests that myths are structured expressions of the collective unconscious. In other words, myths are not designed to be “believed” so much as “operated.” Their power functions on three levels.</w:t>
      </w:r>
    </w:p>
    <w:p w14:paraId="6469D3AB">
      <w:pPr>
        <w:pStyle w:val="7"/>
        <w:keepNext w:val="0"/>
        <w:keepLines w:val="0"/>
        <w:widowControl/>
        <w:suppressLineNumbers w:val="0"/>
      </w:pPr>
      <w:r>
        <w:t>The first is cognitive. Ancient peoples confronted death, disease, and natural disaster through mythic systems that transformed chaos into order. For example, the Greek conception of death as crossing the River Styx converts abstract terror into a narratable and negotiable process. For filmmaking, this means that the effectiveness of liminal storytelling depends less on visual spectacle and more on the clarity of rules.</w:t>
      </w:r>
    </w:p>
    <w:p w14:paraId="5F884A77">
      <w:pPr>
        <w:pStyle w:val="7"/>
        <w:keepNext w:val="0"/>
        <w:keepLines w:val="0"/>
        <w:widowControl/>
        <w:suppressLineNumbers w:val="0"/>
      </w:pPr>
      <w:r>
        <w:t xml:space="preserve">The second is communal. Shared mythic symbols generate forms of collective recognition that require little explanation. Dante’s </w:t>
      </w:r>
      <w:r>
        <w:rPr>
          <w:rStyle w:val="11"/>
        </w:rPr>
        <w:t>Divine Comedy</w:t>
      </w:r>
      <w:r>
        <w:t xml:space="preserve"> established the vertical structure of Hell, Purgatory, and Heaven within the Western imagination. Even people who have never read Dante instinctively understand the meaning of “the ninth circle of Hell.” For </w:t>
      </w:r>
      <w:r>
        <w:rPr>
          <w:rStyle w:val="11"/>
        </w:rPr>
        <w:t>BEYOND THE VEIL</w:t>
      </w:r>
      <w:r>
        <w:t>, this implies that the series cannot rely on a single mythological tradition; audiences from different cultural backgrounds must each encounter familiar fragments within the veil.</w:t>
      </w:r>
    </w:p>
    <w:p w14:paraId="4D5C962A">
      <w:pPr>
        <w:pStyle w:val="7"/>
        <w:keepNext w:val="0"/>
        <w:keepLines w:val="0"/>
        <w:widowControl/>
        <w:suppressLineNumbers w:val="0"/>
      </w:pPr>
      <w:r>
        <w:t xml:space="preserve">The third is psychological healing. Campbell’s most famous argument is that the Hero’s Journey externalizes the process of individuation. Within the context of </w:t>
      </w:r>
      <w:r>
        <w:rPr>
          <w:rStyle w:val="11"/>
        </w:rPr>
        <w:t>BEYOND THE VEIL</w:t>
      </w:r>
      <w:r>
        <w:t>, every layer of the veil may represent a psychological defense mechanism: denial, anger, bargaining, depression, acceptance, and so on. Myth allows these invisible psychological states to become visible, tangible, and even monstrous opponents. This is precisely why cinema possesses a unique power beyond documentary realism or therapeutic discourse.</w:t>
      </w:r>
    </w:p>
    <w:p w14:paraId="60C54A47">
      <w:pPr>
        <w:pStyle w:val="3"/>
        <w:keepNext w:val="0"/>
        <w:keepLines w:val="0"/>
        <w:widowControl/>
        <w:suppressLineNumbers w:val="0"/>
      </w:pPr>
      <w:r>
        <w:t>2.2 Comparing the “Crossing the Veil” Motif Across Three Cultures</w:t>
      </w:r>
    </w:p>
    <w:p w14:paraId="27EB2AEB">
      <w:pPr>
        <w:pStyle w:val="7"/>
        <w:keepNext w:val="0"/>
        <w:keepLines w:val="0"/>
        <w:widowControl/>
        <w:suppressLineNumbers w:val="0"/>
      </w:pPr>
      <w:r>
        <w:t>The myths discussed above each contribute distinct structural elements.</w:t>
      </w:r>
    </w:p>
    <w:p w14:paraId="721B64B1">
      <w:pPr>
        <w:pStyle w:val="7"/>
        <w:keepNext w:val="0"/>
        <w:keepLines w:val="0"/>
        <w:widowControl/>
        <w:suppressLineNumbers w:val="0"/>
      </w:pPr>
      <w:r>
        <w:t>First is the Greek myth of Orpheus. Through the power of his music, Orpheus persuades Hades to allow Eurydice to return to the living world under one condition: he must not look back before leaving the underworld. At the final moment, consumed by love and doubt, he turns around and loses her forever. The central narrative atom here is the “forbidden gaze.” The closer the hero comes to escape, the greater the risk of failure. Importantly, the punishment is not death itself, but the agony of almost succeeding. Structurally, this creates an ideal model for a third-act reversal.</w:t>
      </w:r>
    </w:p>
    <w:p w14:paraId="1EF9C0B8">
      <w:pPr>
        <w:pStyle w:val="7"/>
        <w:keepNext w:val="0"/>
        <w:keepLines w:val="0"/>
        <w:widowControl/>
        <w:suppressLineNumbers w:val="0"/>
      </w:pPr>
      <w:r>
        <w:t xml:space="preserve">The Japanese myth of Yomi introduces another dimension. Izanagi descends into the land of the dead to retrieve Izanami, who warns him not to look upon her. Unable to resist, he lights a torch and discovers her decaying body infested with maggots. Horrified, he flees while pursued by thunder deities, eventually sealing the entrance to Yomi with a massive boulder. The key element here is not merely the forbidden gaze, but the irreversibility of impurity. Seeing what should not be seen contaminates existence itself. Izanagi later undergoes purification rituals that become foundational to Shinto practice. Within </w:t>
      </w:r>
      <w:r>
        <w:rPr>
          <w:rStyle w:val="11"/>
        </w:rPr>
        <w:t>BEYOND THE VEIL</w:t>
      </w:r>
      <w:r>
        <w:t>, this concept inspires the idea of “crossing aftereffects”: the protagonist does not return empowered, but permanently unclean.</w:t>
      </w:r>
    </w:p>
    <w:p w14:paraId="432A9BD9">
      <w:pPr>
        <w:pStyle w:val="7"/>
        <w:keepNext w:val="0"/>
        <w:keepLines w:val="0"/>
        <w:widowControl/>
        <w:suppressLineNumbers w:val="0"/>
      </w:pPr>
      <w:r>
        <w:t>Norse mythology offers a third structure. After the death of Baldr, Hermod rides Odin’s eight-legged horse to Helheim to plead for Baldr’s release. Hel agrees on one condition: every being in the world must weep for Baldr. All do except for a single giantess—actually Loki in disguise. Baldr remains among the dead. What makes this myth powerful is its sense of incomplete failure: hope returns, but the loved one does not. Such ambiguous endings often resonate more deeply with contemporary audiences than either total tragedy or total triumph.</w:t>
      </w:r>
    </w:p>
    <w:p w14:paraId="0A7E5A88">
      <w:pPr>
        <w:pStyle w:val="7"/>
        <w:keepNext w:val="0"/>
        <w:keepLines w:val="0"/>
        <w:widowControl/>
        <w:suppressLineNumbers w:val="0"/>
      </w:pPr>
      <w:r>
        <w:t xml:space="preserve">Placed side by side, these myths reveal a shared deep structure: every crossing follows the pattern of separation, trial, and damaged return. No successful passage leaves the traveler intact. Orpheus loses Eurydice, Izanagi loses purity, Hermod retrieves only hope. This principle is essential for </w:t>
      </w:r>
      <w:r>
        <w:rPr>
          <w:rStyle w:val="11"/>
        </w:rPr>
        <w:t>BEYOND THE VEIL</w:t>
      </w:r>
      <w:r>
        <w:t>. If the protagonist emerges from the veil stronger and rewarded with superpowers, the project fundamentally betrays mythic logic.</w:t>
      </w:r>
    </w:p>
    <w:p w14:paraId="201AAB4D">
      <w:pPr>
        <w:keepNext w:val="0"/>
        <w:keepLines w:val="0"/>
        <w:widowControl/>
        <w:suppressLineNumbers w:val="0"/>
      </w:pPr>
    </w:p>
    <w:p w14:paraId="66773F7D">
      <w:pPr>
        <w:pStyle w:val="2"/>
        <w:keepNext w:val="0"/>
        <w:keepLines w:val="0"/>
        <w:widowControl/>
        <w:suppressLineNumbers w:val="0"/>
      </w:pPr>
      <w:r>
        <w:rPr>
          <w:rFonts w:hint="eastAsia"/>
          <w:lang w:val="en-US" w:eastAsia="zh-CN"/>
        </w:rPr>
        <w:t>3</w:t>
      </w:r>
      <w:r>
        <w:t>. Case Studies: Successes and Failures in Contemporary Mythic Adaptation</w:t>
      </w:r>
    </w:p>
    <w:p w14:paraId="3F3C77E1">
      <w:pPr>
        <w:pStyle w:val="3"/>
        <w:keepNext w:val="0"/>
        <w:keepLines w:val="0"/>
        <w:widowControl/>
        <w:suppressLineNumbers w:val="0"/>
      </w:pPr>
      <w:r>
        <w:t xml:space="preserve">3.1 </w:t>
      </w:r>
      <w:r>
        <w:rPr>
          <w:rStyle w:val="11"/>
        </w:rPr>
        <w:t>Coco</w:t>
      </w:r>
      <w:r>
        <w:t>: The Experiment of Reversible Crossing</w:t>
      </w:r>
    </w:p>
    <w:p w14:paraId="4421D72E">
      <w:pPr>
        <w:pStyle w:val="7"/>
        <w:keepNext w:val="0"/>
        <w:keepLines w:val="0"/>
        <w:widowControl/>
        <w:suppressLineNumbers w:val="0"/>
      </w:pPr>
      <w:r>
        <w:t xml:space="preserve">Pixar’s </w:t>
      </w:r>
      <w:r>
        <w:rPr>
          <w:rStyle w:val="11"/>
        </w:rPr>
        <w:t>Coco</w:t>
      </w:r>
      <w:r>
        <w:t xml:space="preserve"> is among the most successful modern mythic adaptations. Drawing directly from the Mexican Day of the Dead tradition, the film imagines a marigold bridge connecting the living and the dead. Unlike many underworld narratives where crossing is strictly one-way, </w:t>
      </w:r>
      <w:r>
        <w:rPr>
          <w:rStyle w:val="11"/>
        </w:rPr>
        <w:t>Coco</w:t>
      </w:r>
      <w:r>
        <w:t xml:space="preserve"> makes the passage reversible.</w:t>
      </w:r>
    </w:p>
    <w:p w14:paraId="70898B2F">
      <w:pPr>
        <w:pStyle w:val="7"/>
        <w:keepNext w:val="0"/>
        <w:keepLines w:val="0"/>
        <w:widowControl/>
        <w:suppressLineNumbers w:val="0"/>
      </w:pPr>
      <w:r>
        <w:t>At first glance, this seems to weaken mythic seriousness. In reality, however, the film deepens the theme through a different mechanism: ultimate death occurs when one is forgotten. This transforms the Greek motif of drinking from Lethe into a contemporary anxiety shaped by digital culture and social memory. The film also demonstrates a crucial production principle: the more abstract the metaphysical system, the simpler and more tactile its material anchor should be.</w:t>
      </w:r>
    </w:p>
    <w:p w14:paraId="5264C2A4">
      <w:pPr>
        <w:pStyle w:val="3"/>
        <w:keepNext w:val="0"/>
        <w:keepLines w:val="0"/>
        <w:widowControl/>
        <w:suppressLineNumbers w:val="0"/>
      </w:pPr>
      <w:r>
        <w:t xml:space="preserve">3.2 </w:t>
      </w:r>
      <w:r>
        <w:rPr>
          <w:rStyle w:val="11"/>
        </w:rPr>
        <w:t>Samsara</w:t>
      </w:r>
      <w:r>
        <w:t>: The Risks of Wordless Myth</w:t>
      </w:r>
    </w:p>
    <w:p w14:paraId="1EADA3B5">
      <w:pPr>
        <w:pStyle w:val="7"/>
        <w:keepNext w:val="0"/>
        <w:keepLines w:val="0"/>
        <w:widowControl/>
        <w:suppressLineNumbers w:val="0"/>
      </w:pPr>
      <w:r>
        <w:t xml:space="preserve">The 2011 documentary </w:t>
      </w:r>
      <w:r>
        <w:rPr>
          <w:rStyle w:val="11"/>
        </w:rPr>
        <w:t>Samsara</w:t>
      </w:r>
      <w:r>
        <w:t xml:space="preserve"> contains no dialogue and no central protagonist. Through visual montage of rituals, natural wonders, and industrial systems, it creates a meditative liminal experience. Yet from the perspective of mythic narrative, the film reveals a significant problem: without a strong character arc, images of ritual and transcendence risk becoming little more than “beautiful wallpaper.”</w:t>
      </w:r>
    </w:p>
    <w:p w14:paraId="7252D93A">
      <w:pPr>
        <w:pStyle w:val="7"/>
        <w:keepNext w:val="0"/>
        <w:keepLines w:val="0"/>
        <w:widowControl/>
        <w:suppressLineNumbers w:val="0"/>
      </w:pPr>
      <w:r>
        <w:t xml:space="preserve">This is not a criticism of the film itself, but rather a warning for </w:t>
      </w:r>
      <w:r>
        <w:rPr>
          <w:rStyle w:val="11"/>
        </w:rPr>
        <w:t>BEYOND THE VEIL</w:t>
      </w:r>
      <w:r>
        <w:t>. Audiences cannot be expected to navigate seven symbolic labyrinths without orientation. A recurring symbolic thread—a rope, a door, a bone flute—must function as narrative breadcrumbs throughout every layer.</w:t>
      </w:r>
    </w:p>
    <w:p w14:paraId="1DA96F07">
      <w:pPr>
        <w:pStyle w:val="3"/>
        <w:keepNext w:val="0"/>
        <w:keepLines w:val="0"/>
        <w:widowControl/>
        <w:suppressLineNumbers w:val="0"/>
      </w:pPr>
      <w:r>
        <w:t xml:space="preserve">3.3 </w:t>
      </w:r>
      <w:r>
        <w:rPr>
          <w:rStyle w:val="11"/>
        </w:rPr>
        <w:t>The Giver</w:t>
      </w:r>
      <w:r>
        <w:t>: When Cost Is Removed</w:t>
      </w:r>
    </w:p>
    <w:p w14:paraId="7F0E800D">
      <w:pPr>
        <w:pStyle w:val="7"/>
        <w:keepNext w:val="0"/>
        <w:keepLines w:val="0"/>
        <w:widowControl/>
        <w:suppressLineNumbers w:val="0"/>
      </w:pPr>
      <w:r>
        <w:t xml:space="preserve">The 2014 adaptation of </w:t>
      </w:r>
      <w:r>
        <w:rPr>
          <w:rStyle w:val="11"/>
        </w:rPr>
        <w:t>The Giver</w:t>
      </w:r>
      <w:r>
        <w:t xml:space="preserve"> offers an even more direct lesson. Lois Lowry’s original novel is fundamentally a mythic narrative of memory awakening. The protagonist receives the community’s suppressed memories of pain, war, love, color, and music, a process deeply analogous to descent into the underworld.</w:t>
      </w:r>
    </w:p>
    <w:p w14:paraId="4E08EC34">
      <w:pPr>
        <w:pStyle w:val="7"/>
        <w:keepNext w:val="0"/>
        <w:keepLines w:val="0"/>
        <w:widowControl/>
        <w:suppressLineNumbers w:val="0"/>
      </w:pPr>
      <w:r>
        <w:t>The film adaptation, however, softens the irreversible burden of memory. The protagonist’s rebellion feels more like ordinary teenage resistance than existential transformation. The result was neither commercial nor critical success. The lesson is simple: remove the damaged return, and myth loses its force.</w:t>
      </w:r>
    </w:p>
    <w:p w14:paraId="5622F126">
      <w:pPr>
        <w:keepNext w:val="0"/>
        <w:keepLines w:val="0"/>
        <w:widowControl/>
        <w:suppressLineNumbers w:val="0"/>
      </w:pPr>
    </w:p>
    <w:p w14:paraId="6C075EF4">
      <w:pPr>
        <w:pStyle w:val="2"/>
        <w:keepNext w:val="0"/>
        <w:keepLines w:val="0"/>
        <w:widowControl/>
        <w:suppressLineNumbers w:val="0"/>
      </w:pPr>
      <w:r>
        <w:rPr>
          <w:rFonts w:hint="eastAsia"/>
          <w:lang w:val="en-US" w:eastAsia="zh-CN"/>
        </w:rPr>
        <w:t>4</w:t>
      </w:r>
      <w:r>
        <w:t xml:space="preserve">. Original Model: Designing a Hybrid Veil for </w:t>
      </w:r>
      <w:r>
        <w:rPr>
          <w:rStyle w:val="11"/>
        </w:rPr>
        <w:t>BEYOND THE VEIL</w:t>
      </w:r>
    </w:p>
    <w:p w14:paraId="7EED2E12">
      <w:pPr>
        <w:pStyle w:val="3"/>
        <w:keepNext w:val="0"/>
        <w:keepLines w:val="0"/>
        <w:widowControl/>
        <w:suppressLineNumbers w:val="0"/>
      </w:pPr>
      <w:r>
        <w:t>4.1 The Seven-Layer Spiral Structure</w:t>
      </w:r>
    </w:p>
    <w:p w14:paraId="1F06CEFC">
      <w:pPr>
        <w:pStyle w:val="7"/>
        <w:keepNext w:val="0"/>
        <w:keepLines w:val="0"/>
        <w:widowControl/>
        <w:suppressLineNumbers w:val="0"/>
      </w:pPr>
      <w:r>
        <w:t xml:space="preserve">Based on the above analysis, this paper proposes a three-act, seven-layer spiral structure for </w:t>
      </w:r>
      <w:r>
        <w:rPr>
          <w:rStyle w:val="11"/>
        </w:rPr>
        <w:t>BEYOND THE VEIL</w:t>
      </w:r>
      <w:r>
        <w:t>. Unlike Dante’s strictly vertical descent, this structure spirals inward: the protagonist repeatedly encounters familiar spaces transformed by altered rules.</w:t>
      </w:r>
    </w:p>
    <w:p w14:paraId="00FAB2D9">
      <w:pPr>
        <w:pStyle w:val="4"/>
        <w:keepNext w:val="0"/>
        <w:keepLines w:val="0"/>
        <w:widowControl/>
        <w:suppressLineNumbers w:val="0"/>
      </w:pPr>
      <w:r>
        <w:t>Act One: “Refusing the Veil”</w:t>
      </w:r>
    </w:p>
    <w:p w14:paraId="41DCF075">
      <w:pPr>
        <w:pStyle w:val="7"/>
        <w:keepNext w:val="0"/>
        <w:keepLines w:val="0"/>
        <w:widowControl/>
        <w:suppressLineNumbers w:val="0"/>
      </w:pPr>
      <w:r>
        <w:t>The first layer is the Mirror Station, inspired by the Japanese urban legend of Kisaragi Station. The location resembles a train platform absent from all maps. Handheld cinematography and abrupt frame skipping destabilize spatial security from the beginning. The crossing cost is the sacrifice of a personal belonging.</w:t>
      </w:r>
    </w:p>
    <w:p w14:paraId="157A9ABD">
      <w:pPr>
        <w:pStyle w:val="7"/>
        <w:keepNext w:val="0"/>
        <w:keepLines w:val="0"/>
        <w:widowControl/>
        <w:suppressLineNumbers w:val="0"/>
      </w:pPr>
      <w:r>
        <w:t>The second layer is the Contract Forest, derived from Celtic mythology. Every spoken sentence becomes binding reality. A careless statement such as “I wish I could stay here forever” traps the speaker permanently. The environment is filmed with 360-degree long takes, while voices echo unnaturally from the trees. The crossing cost is the abandonment of one’s true name.</w:t>
      </w:r>
    </w:p>
    <w:p w14:paraId="1F80652A">
      <w:pPr>
        <w:pStyle w:val="4"/>
        <w:keepNext w:val="0"/>
        <w:keepLines w:val="0"/>
        <w:widowControl/>
        <w:suppressLineNumbers w:val="0"/>
      </w:pPr>
      <w:r>
        <w:t>Act Two: “Inside the Veil”</w:t>
      </w:r>
    </w:p>
    <w:p w14:paraId="072A7953">
      <w:pPr>
        <w:pStyle w:val="7"/>
        <w:keepNext w:val="0"/>
        <w:keepLines w:val="0"/>
        <w:widowControl/>
        <w:suppressLineNumbers w:val="0"/>
      </w:pPr>
      <w:r>
        <w:t>The first layer is the Gear Purgatory, a mechanized reinterpretation of Sisyphus. The protagonist must climb through constantly shifting industrial machinery while each step rearranges prior pathways. Sound design emphasizes grinding metal and steam pressure. The crossing cost is the surrender of a core emotion, such as fear.</w:t>
      </w:r>
    </w:p>
    <w:p w14:paraId="1C9C4DAB">
      <w:pPr>
        <w:pStyle w:val="7"/>
        <w:keepNext w:val="0"/>
        <w:keepLines w:val="0"/>
        <w:widowControl/>
        <w:suppressLineNumbers w:val="0"/>
      </w:pPr>
      <w:r>
        <w:t xml:space="preserve">The second layer is the Gray Sea Vessel, blending </w:t>
      </w:r>
      <w:r>
        <w:rPr>
          <w:rStyle w:val="11"/>
        </w:rPr>
        <w:t>The Odyssey</w:t>
      </w:r>
      <w:r>
        <w:t xml:space="preserve"> with the corrupted gods of Hayao Miyazaki’s </w:t>
      </w:r>
      <w:r>
        <w:rPr>
          <w:rStyle w:val="11"/>
        </w:rPr>
        <w:t>Princess Mononoke</w:t>
      </w:r>
      <w:r>
        <w:t>. Endless gray ocean surrounds a ruined ship containing echoes of the protagonist’s painful memories. The crossing cost is the sacrifice of one cherished memory.</w:t>
      </w:r>
    </w:p>
    <w:p w14:paraId="1D2566F4">
      <w:pPr>
        <w:pStyle w:val="7"/>
        <w:keepNext w:val="0"/>
        <w:keepLines w:val="0"/>
        <w:widowControl/>
        <w:suppressLineNumbers w:val="0"/>
      </w:pPr>
      <w:r>
        <w:t>The third layer is the Stitched Theater, reflecting contemporary anxieties of performed identity. Each spoken line subtly alters the speaker’s appearance; deviation from the authentic self gradually transforms the face into something unrecognizable. Mirror-within-mirror compositions blur distinctions between performer and spectator. The crossing cost is the abandonment of the social mask that provides the greatest sense of safety.</w:t>
      </w:r>
    </w:p>
    <w:p w14:paraId="7F32D340">
      <w:pPr>
        <w:pStyle w:val="4"/>
        <w:keepNext w:val="0"/>
        <w:keepLines w:val="0"/>
        <w:widowControl/>
        <w:suppressLineNumbers w:val="0"/>
      </w:pPr>
      <w:r>
        <w:t>Act Three: “Carrying the Veil”</w:t>
      </w:r>
    </w:p>
    <w:p w14:paraId="49A6A040">
      <w:pPr>
        <w:pStyle w:val="7"/>
        <w:keepNext w:val="0"/>
        <w:keepLines w:val="0"/>
        <w:widowControl/>
        <w:suppressLineNumbers w:val="0"/>
      </w:pPr>
      <w:r>
        <w:t>The first layer is the Broken Bridge, combining Dante’s infernal bridge imagery with Islamic Mi‘raj traditions of ascending heavenly gates. The bridge divides into three colored paths—red for trauma, blue for peace, black for the unknown. The protagonist must choose one and accept its associated cost.</w:t>
      </w:r>
    </w:p>
    <w:p w14:paraId="75054926">
      <w:pPr>
        <w:pStyle w:val="7"/>
        <w:keepNext w:val="0"/>
        <w:keepLines w:val="0"/>
        <w:widowControl/>
        <w:suppressLineNumbers w:val="0"/>
      </w:pPr>
      <w:r>
        <w:t>The final layer is the Backside of the Everyday Door, inspired by Zen koans and fragmented childhood memories. The setting appears ordinary: a family doorway. Yet the screen splits into two simultaneous realities, with grainy 16mm childhood footage on one side and sharp digital present-day imagery on the other. The protagonist must inhabit both realities simultaneously. The final crossing cost is the loss of the ability to verbally express love.</w:t>
      </w:r>
    </w:p>
    <w:p w14:paraId="072F9BB5">
      <w:pPr>
        <w:keepNext w:val="0"/>
        <w:keepLines w:val="0"/>
        <w:widowControl/>
        <w:suppressLineNumbers w:val="0"/>
      </w:pPr>
    </w:p>
    <w:p w14:paraId="698B8388">
      <w:pPr>
        <w:pStyle w:val="2"/>
        <w:keepNext w:val="0"/>
        <w:keepLines w:val="0"/>
        <w:widowControl/>
        <w:suppressLineNumbers w:val="0"/>
      </w:pPr>
      <w:r>
        <w:rPr>
          <w:rFonts w:hint="eastAsia"/>
          <w:lang w:val="en-US" w:eastAsia="zh-CN"/>
        </w:rPr>
        <w:t>5</w:t>
      </w:r>
      <w:r>
        <w:t>. Conclusion</w:t>
      </w:r>
    </w:p>
    <w:p w14:paraId="0875B332">
      <w:pPr>
        <w:pStyle w:val="7"/>
        <w:keepNext w:val="0"/>
        <w:keepLines w:val="0"/>
        <w:widowControl/>
        <w:suppressLineNumbers w:val="0"/>
      </w:pPr>
      <w:r>
        <w:t>This study ultimately arrives at a central realization: the power of myth lies not in answering what the afterlife looks like, but in organizing the ritual by which mortal beings confront irreversible loss.</w:t>
      </w:r>
    </w:p>
    <w:p w14:paraId="13C7FFE1">
      <w:pPr>
        <w:pStyle w:val="7"/>
        <w:keepNext w:val="0"/>
        <w:keepLines w:val="0"/>
        <w:widowControl/>
        <w:suppressLineNumbers w:val="0"/>
      </w:pPr>
      <w:r>
        <w:t>Contemporary filmmaking often treats myth as decoration—adding wings to monsters, coloring hell red, or inserting pseudo-Latin incantations. Truly effective mythic storytelling, however, treats myth as an operational manual. Myth determines when sacrifice must occur, when boundaries cannot truly be bypassed, and why every meaningful return requires incompleteness.</w:t>
      </w:r>
    </w:p>
    <w:p w14:paraId="7061405A">
      <w:pPr>
        <w:pStyle w:val="7"/>
        <w:keepNext w:val="0"/>
        <w:keepLines w:val="0"/>
        <w:widowControl/>
        <w:suppressLineNumbers w:val="0"/>
      </w:pPr>
      <w:r>
        <w:t xml:space="preserve">For </w:t>
      </w:r>
      <w:r>
        <w:rPr>
          <w:rStyle w:val="11"/>
        </w:rPr>
        <w:t>BEYOND THE VEIL</w:t>
      </w:r>
      <w:r>
        <w:t>, the central creative belief is the construction of a space in which audiences can safely rehearse loss and transformation. Modern society rarely provides opportunities to seriously ask: “If I had to cross an irreversible veil, what would I be willing to abandon?” Myth—and the cinema that carries myth—can function as a substitute ritual.</w:t>
      </w:r>
    </w:p>
    <w:p w14:paraId="610B468C">
      <w:pPr>
        <w:pStyle w:val="7"/>
        <w:keepNext w:val="0"/>
        <w:keepLines w:val="0"/>
        <w:widowControl/>
        <w:suppressLineNumbers w:val="0"/>
      </w:pPr>
      <w:r>
        <w:t>When audiences leave the theater or finish the final episode, what they carry with them should not merely be memories of seven spectacular realms, but a sharpened awareness of the invisible veil already present within their own lives.</w:t>
      </w:r>
    </w:p>
    <w:p w14:paraId="28AB402D">
      <w:pPr>
        <w:pStyle w:val="7"/>
        <w:keepNext w:val="0"/>
        <w:keepLines w:val="0"/>
        <w:widowControl/>
        <w:suppressLineNumbers w:val="0"/>
      </w:pPr>
      <w:r>
        <w:t>The immediate next step is clear: produce visual prototypes for the hybrid “Mirror Station” and “Contract Forest” layers while recruiting an art director with anthropological or immersive installation experience.</w:t>
      </w:r>
    </w:p>
    <w:p w14:paraId="3BD2D47C">
      <w:pPr>
        <w:pStyle w:val="7"/>
        <w:keepNext w:val="0"/>
        <w:keepLines w:val="0"/>
        <w:widowControl/>
        <w:suppressLineNumbers w:val="0"/>
      </w:pPr>
      <w:r>
        <w:t xml:space="preserve">Although the scope of this study remains limited, the framework established here provides a sufficiently solid theoretical foundation upon which </w:t>
      </w:r>
      <w:r>
        <w:rPr>
          <w:rStyle w:val="11"/>
        </w:rPr>
        <w:t>BEYOND THE VEIL</w:t>
      </w:r>
      <w:r>
        <w:t xml:space="preserve"> may begin construction.</w:t>
      </w:r>
    </w:p>
    <w:p w14:paraId="55FDBA54">
      <w:pPr>
        <w:pStyle w:val="7"/>
        <w:keepNext w:val="0"/>
        <w:keepLines w:val="0"/>
        <w:widowControl/>
        <w:suppressLineNumbers w:val="0"/>
      </w:pPr>
    </w:p>
    <w:p w14:paraId="68E57347">
      <w:pPr>
        <w:pStyle w:val="7"/>
        <w:keepNext w:val="0"/>
        <w:keepLines w:val="0"/>
        <w:widowControl/>
        <w:suppressLineNumbers w:val="0"/>
        <w:rPr>
          <w:rFonts w:hint="eastAsia" w:ascii="微软雅黑" w:hAnsi="微软雅黑" w:eastAsia="微软雅黑" w:cs="微软雅黑"/>
          <w:i w:val="0"/>
          <w:iCs w:val="0"/>
          <w:caps w:val="0"/>
          <w:color w:val="0F1115"/>
          <w:spacing w:val="0"/>
          <w:sz w:val="40"/>
          <w:szCs w:val="40"/>
          <w:shd w:val="clear" w:fill="FFFFFF"/>
        </w:rPr>
      </w:pPr>
      <w:r>
        <w:rPr>
          <w:rFonts w:hint="eastAsia" w:ascii="微软雅黑" w:hAnsi="微软雅黑" w:eastAsia="微软雅黑" w:cs="微软雅黑"/>
          <w:b/>
          <w:bCs/>
          <w:i w:val="0"/>
          <w:iCs w:val="0"/>
          <w:caps w:val="0"/>
          <w:color w:val="0F1115"/>
          <w:spacing w:val="0"/>
          <w:sz w:val="40"/>
          <w:szCs w:val="40"/>
          <w:shd w:val="clear" w:fill="FFFFFF"/>
        </w:rPr>
        <w:t>References</w:t>
      </w:r>
      <w:r>
        <w:rPr>
          <w:rFonts w:hint="eastAsia" w:ascii="微软雅黑" w:hAnsi="微软雅黑" w:eastAsia="微软雅黑" w:cs="微软雅黑"/>
          <w:i w:val="0"/>
          <w:iCs w:val="0"/>
          <w:caps w:val="0"/>
          <w:color w:val="0F1115"/>
          <w:spacing w:val="0"/>
          <w:sz w:val="40"/>
          <w:szCs w:val="40"/>
          <w:shd w:val="clear" w:fill="FFFFFF"/>
        </w:rPr>
        <w:t> </w:t>
      </w:r>
    </w:p>
    <w:p w14:paraId="3BBA3C4E">
      <w:pPr>
        <w:pStyle w:val="7"/>
        <w:keepNext w:val="0"/>
        <w:keepLines w:val="0"/>
        <w:widowControl/>
        <w:suppressLineNumbers w:val="0"/>
        <w:shd w:val="clear" w:fill="FFFFFF"/>
        <w:spacing w:before="192" w:beforeAutospacing="0" w:after="192" w:afterAutospacing="0"/>
        <w:ind w:left="0" w:right="0" w:firstLine="0"/>
        <w:rPr>
          <w:rFonts w:ascii="Segoe UI" w:hAnsi="Segoe UI" w:eastAsia="Segoe UI" w:cs="Segoe UI"/>
          <w:b/>
          <w:bCs/>
          <w:i w:val="0"/>
          <w:iCs w:val="0"/>
          <w:caps w:val="0"/>
          <w:color w:val="0F1115"/>
          <w:spacing w:val="0"/>
          <w:sz w:val="22"/>
          <w:szCs w:val="22"/>
        </w:rPr>
      </w:pPr>
      <w:r>
        <w:rPr>
          <w:rFonts w:hint="default" w:ascii="Segoe UI" w:hAnsi="Segoe UI" w:eastAsia="Segoe UI" w:cs="Segoe UI"/>
          <w:b/>
          <w:bCs/>
          <w:i w:val="0"/>
          <w:iCs w:val="0"/>
          <w:caps w:val="0"/>
          <w:color w:val="0F1115"/>
          <w:spacing w:val="0"/>
          <w:sz w:val="22"/>
          <w:szCs w:val="22"/>
          <w:shd w:val="clear" w:fill="FFFFFF"/>
        </w:rPr>
        <w:t>[1] J. Campbell, The Hero with a Thousand Faces. Princeton, NJ, USA: Princeton University Press, 1949.</w:t>
      </w:r>
    </w:p>
    <w:p w14:paraId="0909A2BE">
      <w:pPr>
        <w:pStyle w:val="7"/>
        <w:keepNext w:val="0"/>
        <w:keepLines w:val="0"/>
        <w:widowControl/>
        <w:suppressLineNumbers w:val="0"/>
        <w:shd w:val="clear" w:fill="FFFFFF"/>
        <w:spacing w:before="192" w:beforeAutospacing="0" w:after="192" w:afterAutospacing="0"/>
        <w:ind w:left="0" w:right="0" w:firstLine="0"/>
        <w:rPr>
          <w:rFonts w:hint="default" w:ascii="Segoe UI" w:hAnsi="Segoe UI" w:eastAsia="Segoe UI" w:cs="Segoe UI"/>
          <w:b/>
          <w:bCs/>
          <w:i w:val="0"/>
          <w:iCs w:val="0"/>
          <w:caps w:val="0"/>
          <w:color w:val="0F1115"/>
          <w:spacing w:val="0"/>
          <w:sz w:val="22"/>
          <w:szCs w:val="22"/>
        </w:rPr>
      </w:pPr>
      <w:r>
        <w:rPr>
          <w:rFonts w:hint="default" w:ascii="Segoe UI" w:hAnsi="Segoe UI" w:eastAsia="Segoe UI" w:cs="Segoe UI"/>
          <w:b/>
          <w:bCs/>
          <w:i w:val="0"/>
          <w:iCs w:val="0"/>
          <w:caps w:val="0"/>
          <w:color w:val="0F1115"/>
          <w:spacing w:val="0"/>
          <w:sz w:val="22"/>
          <w:szCs w:val="22"/>
          <w:shd w:val="clear" w:fill="FFFFFF"/>
        </w:rPr>
        <w:t>[2] V. Propp, Morphology of the Folktale. Leningrad, USSR: Academia, 1928. [English translation: Austin, TX, USA: University of Texas Press, 1968.]</w:t>
      </w:r>
    </w:p>
    <w:p w14:paraId="0E9BB243">
      <w:pPr>
        <w:pStyle w:val="7"/>
        <w:keepNext w:val="0"/>
        <w:keepLines w:val="0"/>
        <w:widowControl/>
        <w:suppressLineNumbers w:val="0"/>
        <w:shd w:val="clear" w:fill="FFFFFF"/>
        <w:spacing w:before="192" w:beforeAutospacing="0" w:after="192" w:afterAutospacing="0"/>
        <w:ind w:left="0" w:right="0" w:firstLine="0"/>
        <w:rPr>
          <w:rFonts w:hint="default" w:ascii="Segoe UI" w:hAnsi="Segoe UI" w:eastAsia="Segoe UI" w:cs="Segoe UI"/>
          <w:b/>
          <w:bCs/>
          <w:i w:val="0"/>
          <w:iCs w:val="0"/>
          <w:caps w:val="0"/>
          <w:color w:val="0F1115"/>
          <w:spacing w:val="0"/>
          <w:sz w:val="22"/>
          <w:szCs w:val="22"/>
        </w:rPr>
      </w:pPr>
      <w:r>
        <w:rPr>
          <w:rFonts w:hint="default" w:ascii="Segoe UI" w:hAnsi="Segoe UI" w:eastAsia="Segoe UI" w:cs="Segoe UI"/>
          <w:b/>
          <w:bCs/>
          <w:i w:val="0"/>
          <w:iCs w:val="0"/>
          <w:caps w:val="0"/>
          <w:color w:val="0F1115"/>
          <w:spacing w:val="0"/>
          <w:sz w:val="22"/>
          <w:szCs w:val="22"/>
          <w:shd w:val="clear" w:fill="FFFFFF"/>
        </w:rPr>
        <w:t>[3] V. Turner, The Ritual Process: Structure and Anti-Structure. Chicago, IL, USA: Aldine Publishing, 1969.</w:t>
      </w:r>
    </w:p>
    <w:p w14:paraId="43C082DA">
      <w:pPr>
        <w:pStyle w:val="7"/>
        <w:keepNext w:val="0"/>
        <w:keepLines w:val="0"/>
        <w:widowControl/>
        <w:suppressLineNumbers w:val="0"/>
        <w:shd w:val="clear" w:fill="FFFFFF"/>
        <w:spacing w:before="192" w:beforeAutospacing="0" w:after="192" w:afterAutospacing="0"/>
        <w:ind w:left="0" w:right="0" w:firstLine="0"/>
        <w:rPr>
          <w:rFonts w:hint="default" w:ascii="Segoe UI" w:hAnsi="Segoe UI" w:eastAsia="Segoe UI" w:cs="Segoe UI"/>
          <w:b/>
          <w:bCs/>
          <w:i w:val="0"/>
          <w:iCs w:val="0"/>
          <w:caps w:val="0"/>
          <w:color w:val="0F1115"/>
          <w:spacing w:val="0"/>
          <w:sz w:val="22"/>
          <w:szCs w:val="22"/>
        </w:rPr>
      </w:pPr>
      <w:r>
        <w:rPr>
          <w:rFonts w:hint="default" w:ascii="Segoe UI" w:hAnsi="Segoe UI" w:eastAsia="Segoe UI" w:cs="Segoe UI"/>
          <w:b/>
          <w:bCs/>
          <w:i w:val="0"/>
          <w:iCs w:val="0"/>
          <w:caps w:val="0"/>
          <w:color w:val="0F1115"/>
          <w:spacing w:val="0"/>
          <w:sz w:val="22"/>
          <w:szCs w:val="22"/>
          <w:shd w:val="clear" w:fill="FFFFFF"/>
        </w:rPr>
        <w:t>[4] K. Komatsu, Twilight of Japanese Yōkai. Tokyo, Japan: Kadokawa Shoten, 2010.</w:t>
      </w:r>
    </w:p>
    <w:p w14:paraId="462E6ED3">
      <w:pPr>
        <w:pStyle w:val="7"/>
        <w:keepNext w:val="0"/>
        <w:keepLines w:val="0"/>
        <w:widowControl/>
        <w:suppressLineNumbers w:val="0"/>
        <w:shd w:val="clear" w:fill="FFFFFF"/>
        <w:spacing w:before="192" w:beforeAutospacing="0" w:after="192" w:afterAutospacing="0"/>
        <w:ind w:left="0" w:right="0" w:firstLine="0"/>
        <w:rPr>
          <w:rFonts w:hint="default" w:ascii="Segoe UI" w:hAnsi="Segoe UI" w:eastAsia="Segoe UI" w:cs="Segoe UI"/>
          <w:b/>
          <w:bCs/>
          <w:i w:val="0"/>
          <w:iCs w:val="0"/>
          <w:caps w:val="0"/>
          <w:color w:val="0F1115"/>
          <w:spacing w:val="0"/>
          <w:sz w:val="22"/>
          <w:szCs w:val="22"/>
        </w:rPr>
      </w:pPr>
      <w:r>
        <w:rPr>
          <w:rFonts w:hint="default" w:ascii="Segoe UI" w:hAnsi="Segoe UI" w:eastAsia="Segoe UI" w:cs="Segoe UI"/>
          <w:b/>
          <w:bCs/>
          <w:i w:val="0"/>
          <w:iCs w:val="0"/>
          <w:caps w:val="0"/>
          <w:color w:val="0F1115"/>
          <w:spacing w:val="0"/>
          <w:sz w:val="22"/>
          <w:szCs w:val="22"/>
          <w:shd w:val="clear" w:fill="FFFFFF"/>
        </w:rPr>
        <w:t>[5] N. Gaiman, Norse Mythology. New York, NY, USA: W. W. Norton &amp; Company, 2017.</w:t>
      </w:r>
    </w:p>
    <w:p w14:paraId="197F78C8">
      <w:pPr>
        <w:pStyle w:val="7"/>
        <w:keepNext w:val="0"/>
        <w:keepLines w:val="0"/>
        <w:widowControl/>
        <w:suppressLineNumbers w:val="0"/>
        <w:shd w:val="clear" w:fill="FFFFFF"/>
        <w:spacing w:before="192" w:beforeAutospacing="0" w:after="192" w:afterAutospacing="0"/>
        <w:ind w:left="0" w:right="0" w:firstLine="0"/>
        <w:rPr>
          <w:rFonts w:hint="default" w:ascii="Segoe UI" w:hAnsi="Segoe UI" w:eastAsia="Segoe UI" w:cs="Segoe UI"/>
          <w:b/>
          <w:bCs/>
          <w:i w:val="0"/>
          <w:iCs w:val="0"/>
          <w:caps w:val="0"/>
          <w:color w:val="0F1115"/>
          <w:spacing w:val="0"/>
          <w:sz w:val="22"/>
          <w:szCs w:val="22"/>
        </w:rPr>
      </w:pPr>
      <w:r>
        <w:rPr>
          <w:rFonts w:hint="default" w:ascii="Segoe UI" w:hAnsi="Segoe UI" w:eastAsia="Segoe UI" w:cs="Segoe UI"/>
          <w:b/>
          <w:bCs/>
          <w:i w:val="0"/>
          <w:iCs w:val="0"/>
          <w:caps w:val="0"/>
          <w:color w:val="0F1115"/>
          <w:spacing w:val="0"/>
          <w:sz w:val="22"/>
          <w:szCs w:val="22"/>
          <w:shd w:val="clear" w:fill="FFFFFF"/>
        </w:rPr>
        <w:t>[6] H. Miyazaki, Princess Mononoke Production Notes. Tokyo, Japan: Tokuma Shoten, 1997.</w:t>
      </w:r>
    </w:p>
    <w:p w14:paraId="7998C1FE">
      <w:pPr>
        <w:pStyle w:val="7"/>
        <w:keepNext w:val="0"/>
        <w:keepLines w:val="0"/>
        <w:widowControl/>
        <w:suppressLineNumbers w:val="0"/>
        <w:shd w:val="clear" w:fill="FFFFFF"/>
        <w:spacing w:before="192" w:beforeAutospacing="0" w:after="192" w:afterAutospacing="0"/>
        <w:ind w:left="0" w:right="0" w:firstLine="0"/>
        <w:rPr>
          <w:rFonts w:hint="default" w:ascii="Segoe UI" w:hAnsi="Segoe UI" w:eastAsia="Segoe UI" w:cs="Segoe UI"/>
          <w:b/>
          <w:bCs/>
          <w:i w:val="0"/>
          <w:iCs w:val="0"/>
          <w:caps w:val="0"/>
          <w:color w:val="0F1115"/>
          <w:spacing w:val="0"/>
          <w:sz w:val="22"/>
          <w:szCs w:val="22"/>
        </w:rPr>
      </w:pPr>
      <w:r>
        <w:rPr>
          <w:rFonts w:hint="default" w:ascii="Segoe UI" w:hAnsi="Segoe UI" w:eastAsia="Segoe UI" w:cs="Segoe UI"/>
          <w:b/>
          <w:bCs/>
          <w:i w:val="0"/>
          <w:iCs w:val="0"/>
          <w:caps w:val="0"/>
          <w:color w:val="0F1115"/>
          <w:spacing w:val="0"/>
          <w:sz w:val="22"/>
          <w:szCs w:val="22"/>
          <w:shd w:val="clear" w:fill="FFFFFF"/>
        </w:rPr>
        <w:t>[7] S. Lee, “Pixar and the afterlife: Coco’s mythic structure,” J. Film Mythol., vol. 4, no. 2, pp. 45–61, 2019.</w:t>
      </w:r>
    </w:p>
    <w:p w14:paraId="51F25D2B">
      <w:pPr>
        <w:pStyle w:val="7"/>
        <w:keepNext w:val="0"/>
        <w:keepLines w:val="0"/>
        <w:widowControl/>
        <w:suppressLineNumbers w:val="0"/>
        <w:shd w:val="clear" w:fill="FFFFFF"/>
        <w:spacing w:before="192" w:beforeAutospacing="0" w:after="192" w:afterAutospacing="0"/>
        <w:ind w:left="0" w:right="0" w:firstLine="0"/>
        <w:rPr>
          <w:rFonts w:hint="default" w:ascii="Segoe UI" w:hAnsi="Segoe UI" w:eastAsia="Segoe UI" w:cs="Segoe UI"/>
          <w:b/>
          <w:bCs/>
          <w:i w:val="0"/>
          <w:iCs w:val="0"/>
          <w:caps w:val="0"/>
          <w:color w:val="0F1115"/>
          <w:spacing w:val="0"/>
          <w:sz w:val="22"/>
          <w:szCs w:val="22"/>
        </w:rPr>
      </w:pPr>
      <w:r>
        <w:rPr>
          <w:rFonts w:hint="default" w:ascii="Segoe UI" w:hAnsi="Segoe UI" w:eastAsia="Segoe UI" w:cs="Segoe UI"/>
          <w:b/>
          <w:bCs/>
          <w:i w:val="0"/>
          <w:iCs w:val="0"/>
          <w:caps w:val="0"/>
          <w:color w:val="0F1115"/>
          <w:spacing w:val="0"/>
          <w:sz w:val="22"/>
          <w:szCs w:val="22"/>
          <w:shd w:val="clear" w:fill="FFFFFF"/>
        </w:rPr>
        <w:t>[8] J. Bong, Parasite: Screenplay and Behind</w:t>
      </w:r>
      <w:r>
        <w:rPr>
          <w:rFonts w:hint="default" w:ascii="Segoe UI" w:hAnsi="Segoe UI" w:eastAsia="Segoe UI" w:cs="Segoe UI"/>
          <w:b/>
          <w:bCs/>
          <w:i w:val="0"/>
          <w:iCs w:val="0"/>
          <w:caps w:val="0"/>
          <w:color w:val="0F1115"/>
          <w:spacing w:val="0"/>
          <w:sz w:val="22"/>
          <w:szCs w:val="22"/>
          <w:shd w:val="clear" w:fill="FFFFFF"/>
        </w:rPr>
        <w:noBreakHyphen/>
      </w:r>
      <w:r>
        <w:rPr>
          <w:rFonts w:hint="default" w:ascii="Segoe UI" w:hAnsi="Segoe UI" w:eastAsia="Segoe UI" w:cs="Segoe UI"/>
          <w:b/>
          <w:bCs/>
          <w:i w:val="0"/>
          <w:iCs w:val="0"/>
          <w:caps w:val="0"/>
          <w:color w:val="0F1115"/>
          <w:spacing w:val="0"/>
          <w:sz w:val="22"/>
          <w:szCs w:val="22"/>
          <w:shd w:val="clear" w:fill="FFFFFF"/>
        </w:rPr>
        <w:t>the</w:t>
      </w:r>
      <w:r>
        <w:rPr>
          <w:rFonts w:hint="default" w:ascii="Segoe UI" w:hAnsi="Segoe UI" w:eastAsia="Segoe UI" w:cs="Segoe UI"/>
          <w:b/>
          <w:bCs/>
          <w:i w:val="0"/>
          <w:iCs w:val="0"/>
          <w:caps w:val="0"/>
          <w:color w:val="0F1115"/>
          <w:spacing w:val="0"/>
          <w:sz w:val="22"/>
          <w:szCs w:val="22"/>
          <w:shd w:val="clear" w:fill="FFFFFF"/>
        </w:rPr>
        <w:noBreakHyphen/>
      </w:r>
      <w:r>
        <w:rPr>
          <w:rFonts w:hint="default" w:ascii="Segoe UI" w:hAnsi="Segoe UI" w:eastAsia="Segoe UI" w:cs="Segoe UI"/>
          <w:b/>
          <w:bCs/>
          <w:i w:val="0"/>
          <w:iCs w:val="0"/>
          <w:caps w:val="0"/>
          <w:color w:val="0F1115"/>
          <w:spacing w:val="0"/>
          <w:sz w:val="22"/>
          <w:szCs w:val="22"/>
          <w:shd w:val="clear" w:fill="FFFFFF"/>
        </w:rPr>
        <w:t>Scenes Record. Seoul, South Korea: CJ ENM, 2019.</w:t>
      </w:r>
    </w:p>
    <w:p w14:paraId="5A3A309A">
      <w:pPr>
        <w:pStyle w:val="7"/>
        <w:keepNext w:val="0"/>
        <w:keepLines w:val="0"/>
        <w:widowControl/>
        <w:suppressLineNumbers w:val="0"/>
        <w:shd w:val="clear" w:fill="FFFFFF"/>
        <w:spacing w:before="192" w:beforeAutospacing="0" w:after="192" w:afterAutospacing="0"/>
        <w:ind w:left="0" w:right="0" w:firstLine="0"/>
        <w:rPr>
          <w:rFonts w:hint="default" w:ascii="Segoe UI" w:hAnsi="Segoe UI" w:eastAsia="Segoe UI" w:cs="Segoe UI"/>
          <w:b/>
          <w:bCs/>
          <w:i w:val="0"/>
          <w:iCs w:val="0"/>
          <w:caps w:val="0"/>
          <w:color w:val="0F1115"/>
          <w:spacing w:val="0"/>
          <w:sz w:val="22"/>
          <w:szCs w:val="22"/>
        </w:rPr>
      </w:pPr>
      <w:r>
        <w:rPr>
          <w:rFonts w:hint="default" w:ascii="Segoe UI" w:hAnsi="Segoe UI" w:eastAsia="Segoe UI" w:cs="Segoe UI"/>
          <w:b/>
          <w:bCs/>
          <w:i w:val="0"/>
          <w:iCs w:val="0"/>
          <w:caps w:val="0"/>
          <w:color w:val="0F1115"/>
          <w:spacing w:val="0"/>
          <w:sz w:val="22"/>
          <w:szCs w:val="22"/>
          <w:shd w:val="clear" w:fill="FFFFFF"/>
        </w:rPr>
        <w:t>[9] C. Nolan, Interstellar: The Complete Screenplay. London, UK: Faber &amp; Faber, 2014.</w:t>
      </w:r>
    </w:p>
    <w:p w14:paraId="27FEE9F7">
      <w:pPr>
        <w:pStyle w:val="7"/>
        <w:keepNext w:val="0"/>
        <w:keepLines w:val="0"/>
        <w:widowControl/>
        <w:suppressLineNumbers w:val="0"/>
        <w:shd w:val="clear" w:fill="FFFFFF"/>
        <w:spacing w:before="192" w:beforeAutospacing="0" w:after="192" w:afterAutospacing="0"/>
        <w:ind w:left="0" w:right="0" w:firstLine="0"/>
        <w:rPr>
          <w:rFonts w:hint="default" w:ascii="Segoe UI" w:hAnsi="Segoe UI" w:eastAsia="Segoe UI" w:cs="Segoe UI"/>
          <w:b/>
          <w:bCs/>
          <w:i w:val="0"/>
          <w:iCs w:val="0"/>
          <w:caps w:val="0"/>
          <w:color w:val="0F1115"/>
          <w:spacing w:val="0"/>
          <w:sz w:val="22"/>
          <w:szCs w:val="22"/>
        </w:rPr>
      </w:pPr>
      <w:r>
        <w:rPr>
          <w:rFonts w:hint="default" w:ascii="Segoe UI" w:hAnsi="Segoe UI" w:eastAsia="Segoe UI" w:cs="Segoe UI"/>
          <w:b/>
          <w:bCs/>
          <w:i w:val="0"/>
          <w:iCs w:val="0"/>
          <w:caps w:val="0"/>
          <w:color w:val="0F1115"/>
          <w:spacing w:val="0"/>
          <w:sz w:val="22"/>
          <w:szCs w:val="22"/>
          <w:shd w:val="clear" w:fill="FFFFFF"/>
        </w:rPr>
        <w:t>[10] C. G. Jung, The Archetypes and the Collective Unconscious. Princeton, NJ, USA: Princeton University Press, 1959.</w:t>
      </w:r>
    </w:p>
    <w:p w14:paraId="5CCD4351">
      <w:bookmarkStart w:id="0" w:name="_GoBack"/>
      <w:bookmarkEnd w:id="0"/>
    </w:p>
    <w:sectPr>
      <w:headerReference r:id="rId3" w:type="default"/>
      <w:footerReference r:id="rId4" w:type="default"/>
      <w:pgSz w:w="11906" w:h="16838"/>
      <w:pgMar w:top="1440" w:right="1800" w:bottom="1440" w:left="1800" w:header="851" w:footer="992" w:gutter="0"/>
      <w:pgNumType w:fmt="decimal"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Segoe UI">
    <w:panose1 w:val="020B0502040204020203"/>
    <w:charset w:val="00"/>
    <w:family w:val="auto"/>
    <w:pitch w:val="default"/>
    <w:sig w:usb0="E4002EFF" w:usb1="C000E47F" w:usb2="00000009" w:usb3="00000000" w:csb0="200001FF" w:csb1="00000000"/>
  </w:font>
  <w:font w:name="微软雅黑">
    <w:panose1 w:val="020B0503020204020204"/>
    <w:charset w:val="86"/>
    <w:family w:val="auto"/>
    <w:pitch w:val="default"/>
    <w:sig w:usb0="80000287" w:usb1="2ACF3C50" w:usb2="00000016" w:usb3="00000000" w:csb0="0004001F" w:csb1="00000000"/>
  </w:font>
  <w:font w:name="Arial">
    <w:panose1 w:val="020B0604020202020204"/>
    <w:charset w:val="00"/>
    <w:family w:val="auto"/>
    <w:pitch w:val="default"/>
    <w:sig w:usb0="E0002EFF" w:usb1="C000785B" w:usb2="00000009" w:usb3="00000000" w:csb0="400001FF" w:csb1="FFFF0000"/>
  </w:font>
  <w:font w:name="Calibri Light">
    <w:panose1 w:val="020F0302020204030204"/>
    <w:charset w:val="00"/>
    <w:family w:val="auto"/>
    <w:pitch w:val="default"/>
    <w:sig w:usb0="E4002EFF" w:usb1="C200247B" w:usb2="00000009" w:usb3="00000000" w:csb0="200001FF" w:csb1="00000000"/>
  </w:font>
  <w:font w:name="华文楷体">
    <w:panose1 w:val="02010600040101010101"/>
    <w:charset w:val="86"/>
    <w:family w:val="auto"/>
    <w:pitch w:val="default"/>
    <w:sig w:usb0="00000287" w:usb1="080F0000" w:usb2="00000000" w:usb3="00000000" w:csb0="0004009F" w:csb1="DFD7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39E753A4">
    <w:pPr>
      <w:pStyle w:val="5"/>
    </w:pPr>
    <w:r>
      <w:rPr>
        <w:sz w:val="18"/>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ragraph">
                <wp:posOffset>0</wp:posOffset>
              </wp:positionV>
              <wp:extent cx="1828800" cy="1828800"/>
              <wp:effectExtent l="0" t="0" r="0" b="0"/>
              <wp:wrapNone/>
              <wp:docPr id="10" name="文本框 10"/>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14:paraId="5AB0468C">
                          <w:pPr>
                            <w:pStyle w:val="5"/>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028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">
              <v:fill on="f" focussize="0,0"/>
              <v:stroke on="f" weight="0.5pt"/>
              <v:imagedata o:title=""/>
              <o:lock v:ext="edit" aspectratio="f"/>
              <v:textbox inset="0mm,0mm,0mm,0mm" style="mso-fit-shape-to-text:t;">
                <w:txbxContent>
                  <w:p w14:paraId="5AB0468C">
                    <w:pPr>
                      <w:pStyle w:val="5"/>
                    </w:pPr>
                    <w:r>
                      <w:fldChar w:fldCharType="begin"/>
                    </w:r>
                    <w:r>
                      <w:instrText xml:space="preserve"> PAGE  \* MERGEFORMAT </w:instrText>
                    </w:r>
                    <w:r>
                      <w:fldChar w:fldCharType="separate"/>
                    </w:r>
                    <w:r>
                      <w:t>1</w:t>
                    </w:r>
                    <w:r>
                      <w:fldChar w:fldCharType="end"/>
                    </w:r>
                  </w:p>
                </w:txbxContent>
              </v:textbox>
            </v:shape>
          </w:pict>
        </mc:Fallback>
      </mc:AlternateConten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63CABDC7">
    <w:pPr>
      <w:pStyle w:val="6"/>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9" name="文本框 9"/>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14:paraId="4EC60D42">
                          <w:pPr>
                            <w:pStyle w:val="6"/>
                          </w:pPr>
                          <w:r>
                            <w:fldChar w:fldCharType="begin"/>
                          </w:r>
                          <w:r>
                            <w:instrText xml:space="preserve"> PAGE  \* MERGEFORMAT </w:instrText>
                          </w:r>
                          <w:r>
                            <w:fldChar w:fldCharType="separate"/>
                          </w:r>
                          <w:r>
                            <w:t>3</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">
              <v:fill on="f" focussize="0,0"/>
              <v:stroke on="f" weight="0.5pt"/>
              <v:imagedata o:title=""/>
              <o:lock v:ext="edit" aspectratio="f"/>
              <v:textbox inset="0mm,0mm,0mm,0mm" style="mso-fit-shape-to-text:t;">
                <w:txbxContent>
                  <w:p w14:paraId="4EC60D42">
                    <w:pPr>
                      <w:pStyle w:val="6"/>
                    </w:pPr>
                    <w:r>
                      <w:fldChar w:fldCharType="begin"/>
                    </w:r>
                    <w:r>
                      <w:instrText xml:space="preserve"> PAGE  \* MERGEFORMAT </w:instrText>
                    </w:r>
                    <w:r>
                      <w:fldChar w:fldCharType="separate"/>
                    </w:r>
                    <w:r>
                      <w:t>3</w:t>
                    </w:r>
                    <w:r>
                      <w:fldChar w:fldCharType="end"/>
                    </w:r>
                  </w:p>
                </w:txbxContent>
              </v:textbox>
            </v:shape>
          </w:pict>
        </mc:Fallback>
      </mc:AlternateConten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141A5F76"/>
    <w:rsid w:val="19E530D2"/>
    <w:rsid w:val="1D48246B"/>
    <w:rsid w:val="2F1E6A16"/>
    <w:rsid w:val="36614814"/>
    <w:rsid w:val="422E547C"/>
    <w:rsid w:val="5833024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o:shapelayout v:ext="edit">
      <o:idmap v:ext="edit" data="1"/>
    </o:shapelayout>
  </w:shapeDefaults>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spacing w:before="0" w:beforeAutospacing="1" w:after="0" w:afterAutospacing="1"/>
      <w:jc w:val="left"/>
    </w:pPr>
    <w:rPr>
      <w:rFonts w:hint="eastAsia" w:ascii="宋体" w:hAnsi="宋体" w:eastAsia="宋体" w:cs="宋体"/>
      <w:b/>
      <w:bCs/>
      <w:kern w:val="44"/>
      <w:sz w:val="48"/>
      <w:szCs w:val="48"/>
      <w:lang w:val="en-US" w:eastAsia="zh-CN" w:bidi="ar"/>
    </w:rPr>
  </w:style>
  <w:style w:type="paragraph" w:styleId="3">
    <w:name w:val="heading 2"/>
    <w:basedOn w:val="1"/>
    <w:next w:val="1"/>
    <w:semiHidden/>
    <w:unhideWhenUsed/>
    <w:qFormat/>
    <w:uiPriority w:val="0"/>
    <w:pPr>
      <w:spacing w:before="0" w:beforeAutospacing="1" w:after="0" w:afterAutospacing="1"/>
      <w:jc w:val="left"/>
    </w:pPr>
    <w:rPr>
      <w:rFonts w:hint="eastAsia" w:ascii="宋体" w:hAnsi="宋体" w:eastAsia="宋体" w:cs="宋体"/>
      <w:b/>
      <w:bCs/>
      <w:kern w:val="0"/>
      <w:sz w:val="36"/>
      <w:szCs w:val="36"/>
      <w:lang w:val="en-US" w:eastAsia="zh-CN" w:bidi="ar"/>
    </w:rPr>
  </w:style>
  <w:style w:type="paragraph" w:styleId="4">
    <w:name w:val="heading 3"/>
    <w:basedOn w:val="1"/>
    <w:next w:val="1"/>
    <w:semiHidden/>
    <w:unhideWhenUsed/>
    <w:qFormat/>
    <w:uiPriority w:val="0"/>
    <w:pPr>
      <w:spacing w:before="0" w:beforeAutospacing="1" w:after="0" w:afterAutospacing="1"/>
      <w:jc w:val="left"/>
    </w:pPr>
    <w:rPr>
      <w:rFonts w:hint="eastAsia" w:ascii="宋体" w:hAnsi="宋体" w:eastAsia="宋体" w:cs="宋体"/>
      <w:b/>
      <w:bCs/>
      <w:kern w:val="0"/>
      <w:sz w:val="27"/>
      <w:szCs w:val="27"/>
      <w:lang w:val="en-US" w:eastAsia="zh-CN" w:bidi="ar"/>
    </w:rPr>
  </w:style>
  <w:style w:type="character" w:default="1" w:styleId="9">
    <w:name w:val="Default Paragraph Font"/>
    <w:semiHidden/>
    <w:qFormat/>
    <w:uiPriority w:val="0"/>
  </w:style>
  <w:style w:type="table" w:default="1" w:styleId="8">
    <w:name w:val="Normal Table"/>
    <w:semiHidden/>
    <w:qFormat/>
    <w:uiPriority w:val="0"/>
    <w:tblPr>
      <w:tblCellMar>
        <w:top w:w="0" w:type="dxa"/>
        <w:left w:w="108" w:type="dxa"/>
        <w:bottom w:w="0" w:type="dxa"/>
        <w:right w:w="108" w:type="dxa"/>
      </w:tblCellMar>
    </w:tblPr>
  </w:style>
  <w:style w:type="paragraph" w:styleId="5">
    <w:name w:val="footer"/>
    <w:basedOn w:val="1"/>
    <w:uiPriority w:val="0"/>
    <w:pPr>
      <w:tabs>
        <w:tab w:val="center" w:pos="4153"/>
        <w:tab w:val="right" w:pos="8306"/>
      </w:tabs>
      <w:snapToGrid w:val="0"/>
      <w:jc w:val="left"/>
    </w:pPr>
    <w:rPr>
      <w:sz w:val="18"/>
    </w:rPr>
  </w:style>
  <w:style w:type="paragraph" w:styleId="6">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7">
    <w:name w:val="Normal (Web)"/>
    <w:basedOn w:val="1"/>
    <w:qFormat/>
    <w:uiPriority w:val="0"/>
    <w:pPr>
      <w:spacing w:before="0" w:beforeAutospacing="1" w:after="0" w:afterAutospacing="1"/>
      <w:ind w:left="0" w:right="0"/>
      <w:jc w:val="left"/>
    </w:pPr>
    <w:rPr>
      <w:kern w:val="0"/>
      <w:sz w:val="24"/>
      <w:lang w:val="en-US" w:eastAsia="zh-CN" w:bidi="ar"/>
    </w:rPr>
  </w:style>
  <w:style w:type="character" w:styleId="10">
    <w:name w:val="Strong"/>
    <w:basedOn w:val="9"/>
    <w:qFormat/>
    <w:uiPriority w:val="0"/>
    <w:rPr>
      <w:b/>
    </w:rPr>
  </w:style>
  <w:style w:type="character" w:styleId="11">
    <w:name w:val="Emphasis"/>
    <w:basedOn w:val="9"/>
    <w:qFormat/>
    <w:uiPriority w:val="0"/>
    <w:rPr>
      <w:i/>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游ゴシック Light"/>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10</Pages>
  <Words>2295</Words>
  <Characters>13192</Characters>
  <Lines>0</Lines>
  <Paragraphs>0</Paragraphs>
  <TotalTime>1</TotalTime>
  <ScaleCrop>false</ScaleCrop>
  <LinksUpToDate>false</LinksUpToDate>
  <CharactersWithSpaces>15420</CharactersWithSpaces>
  <Application>WPS Office_12.1.0.25860_F1E327BC-269C-435d-A152-05C5408002CA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2026-05-08T12:13:00Z</dcterms:created>
  <dc:creator>Lzxxxxx</dc:creator>
  <cp:lastModifiedBy>ㅤ</cp:lastModifiedBy>
  <dcterms:modified xsi:type="dcterms:W3CDTF">2026-05-10T22:35:51Z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2052-12.1.0.25860</vt:lpwstr>
  </property>
  <property fmtid="{D5CDD505-2E9C-101B-9397-08002B2CF9AE}" pid="3" name="KSOTemplateDocerSaveRecord">
    <vt:lpwstr>eyJoZGlkIjoiYTg2NTUxMzZiY2MwNjY0ZjM2ZTQxNTkwYjYyNmZhNGYiLCJ1c2VySWQiOiIxMzAxMDQwODEzIn0=</vt:lpwstr>
  </property>
  <property fmtid="{D5CDD505-2E9C-101B-9397-08002B2CF9AE}" pid="4" name="ICV">
    <vt:lpwstr>6E1207730C7B483FAC8DC933B147666C_12</vt:lpwstr>
  </property>
</Properties>
</file>