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3FB625" w14:textId="77777777" w:rsidR="00AA7759" w:rsidRDefault="00AA7759" w:rsidP="00AA7759">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EE21F76" wp14:editId="43DDF25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p>
    <w:p w14:paraId="1F3B9E8F" w14:textId="77777777" w:rsidR="00AA7759" w:rsidRDefault="00AA7759" w:rsidP="00AA7759">
      <w:pPr>
        <w:pStyle w:val="Header"/>
        <w:jc w:val="right"/>
        <w:rPr>
          <w:rFonts w:ascii="Arial" w:hAnsi="Arial" w:cs="Arial"/>
          <w:b/>
          <w:sz w:val="28"/>
          <w:szCs w:val="28"/>
        </w:rPr>
      </w:pPr>
    </w:p>
    <w:p w14:paraId="4D3E83C1" w14:textId="77777777" w:rsidR="00AA7759" w:rsidRDefault="00AA7759" w:rsidP="00AA7759">
      <w:pPr>
        <w:pStyle w:val="Header"/>
        <w:jc w:val="right"/>
        <w:rPr>
          <w:rFonts w:ascii="Arial" w:hAnsi="Arial" w:cs="Arial"/>
          <w:b/>
          <w:sz w:val="28"/>
          <w:szCs w:val="28"/>
        </w:rPr>
      </w:pPr>
    </w:p>
    <w:p w14:paraId="7251589B" w14:textId="77777777" w:rsidR="00AA7759" w:rsidRDefault="00AA7759" w:rsidP="00AA7759">
      <w:pPr>
        <w:pStyle w:val="Header"/>
        <w:jc w:val="right"/>
        <w:rPr>
          <w:rFonts w:ascii="Arial" w:hAnsi="Arial" w:cs="Arial"/>
          <w:b/>
          <w:sz w:val="28"/>
          <w:szCs w:val="28"/>
        </w:rPr>
      </w:pPr>
    </w:p>
    <w:p w14:paraId="35C115D0" w14:textId="77777777" w:rsidR="00AA7759" w:rsidRPr="009657B5" w:rsidRDefault="00AA7759" w:rsidP="00AA7759">
      <w:pPr>
        <w:pStyle w:val="Header"/>
        <w:jc w:val="center"/>
        <w:rPr>
          <w:rFonts w:ascii="Arial" w:hAnsi="Arial" w:cs="Arial"/>
          <w:b/>
          <w:sz w:val="28"/>
          <w:szCs w:val="28"/>
        </w:rPr>
      </w:pPr>
      <w:r w:rsidRPr="009657B5">
        <w:rPr>
          <w:rFonts w:ascii="Arial" w:hAnsi="Arial" w:cs="Arial"/>
          <w:b/>
          <w:sz w:val="28"/>
          <w:szCs w:val="28"/>
        </w:rPr>
        <w:t>Programme: Law and Legal Practice LLB</w:t>
      </w:r>
    </w:p>
    <w:p w14:paraId="4B6EAECB" w14:textId="77777777" w:rsidR="00AA7759" w:rsidRPr="009657B5" w:rsidRDefault="00AA7759" w:rsidP="00AA7759">
      <w:pPr>
        <w:pStyle w:val="Header"/>
        <w:jc w:val="center"/>
        <w:rPr>
          <w:rFonts w:ascii="Arial" w:hAnsi="Arial" w:cs="Arial"/>
          <w:b/>
          <w:sz w:val="28"/>
          <w:szCs w:val="28"/>
        </w:rPr>
      </w:pPr>
    </w:p>
    <w:p w14:paraId="7034809A" w14:textId="77777777" w:rsidR="00AA7759" w:rsidRPr="009657B5" w:rsidRDefault="00AA7759" w:rsidP="00AA7759">
      <w:pPr>
        <w:pStyle w:val="Header"/>
        <w:jc w:val="center"/>
        <w:rPr>
          <w:rFonts w:ascii="Arial" w:hAnsi="Arial" w:cs="Arial"/>
          <w:b/>
          <w:sz w:val="28"/>
          <w:szCs w:val="28"/>
        </w:rPr>
      </w:pPr>
      <w:r w:rsidRPr="009657B5">
        <w:rPr>
          <w:rFonts w:ascii="Arial" w:hAnsi="Arial" w:cs="Arial"/>
          <w:b/>
          <w:sz w:val="28"/>
          <w:szCs w:val="28"/>
        </w:rPr>
        <w:t>Module: Civil Litigation</w:t>
      </w:r>
    </w:p>
    <w:p w14:paraId="29369280" w14:textId="77777777" w:rsidR="00AA7759" w:rsidRPr="009657B5" w:rsidRDefault="00AA7759" w:rsidP="00AA7759">
      <w:pPr>
        <w:pStyle w:val="Header"/>
        <w:jc w:val="center"/>
        <w:rPr>
          <w:rFonts w:ascii="Arial" w:hAnsi="Arial" w:cs="Arial"/>
          <w:b/>
          <w:sz w:val="28"/>
          <w:szCs w:val="28"/>
        </w:rPr>
      </w:pPr>
    </w:p>
    <w:p w14:paraId="54B859CE" w14:textId="120822F5" w:rsidR="00AA7759" w:rsidRPr="009657B5" w:rsidRDefault="00AA7759" w:rsidP="00AA7759">
      <w:pPr>
        <w:pStyle w:val="Header"/>
        <w:jc w:val="center"/>
        <w:rPr>
          <w:rFonts w:ascii="Arial" w:hAnsi="Arial" w:cs="Arial"/>
          <w:b/>
          <w:sz w:val="28"/>
          <w:szCs w:val="28"/>
        </w:rPr>
      </w:pPr>
      <w:r w:rsidRPr="009657B5">
        <w:rPr>
          <w:rFonts w:ascii="Arial" w:hAnsi="Arial" w:cs="Arial"/>
          <w:b/>
          <w:sz w:val="28"/>
          <w:szCs w:val="28"/>
        </w:rPr>
        <w:t xml:space="preserve">Module code: BMLW5003 </w:t>
      </w:r>
    </w:p>
    <w:p w14:paraId="3F5A1B9D" w14:textId="77777777" w:rsidR="00AA7759" w:rsidRDefault="00AA7759" w:rsidP="00AA7759">
      <w:pPr>
        <w:pStyle w:val="Header"/>
        <w:jc w:val="center"/>
        <w:rPr>
          <w:rFonts w:ascii="Arial" w:hAnsi="Arial" w:cs="Arial"/>
          <w:b/>
          <w:sz w:val="28"/>
          <w:szCs w:val="28"/>
        </w:rPr>
      </w:pPr>
      <w:r w:rsidRPr="009657B5">
        <w:rPr>
          <w:rFonts w:ascii="Arial" w:hAnsi="Arial" w:cs="Arial"/>
          <w:b/>
          <w:sz w:val="28"/>
          <w:szCs w:val="28"/>
        </w:rPr>
        <w:t>Lecturer: Ellie Brown Internal Verifier: Cerys Davies</w:t>
      </w:r>
    </w:p>
    <w:p w14:paraId="0DBFB6C6" w14:textId="77777777" w:rsidR="007F066B" w:rsidRDefault="007F066B" w:rsidP="007F066B">
      <w:pPr>
        <w:ind w:firstLine="0"/>
        <w:jc w:val="center"/>
        <w:rPr>
          <w:rFonts w:eastAsia="Times New Roman"/>
          <w:b/>
        </w:rPr>
      </w:pPr>
    </w:p>
    <w:p w14:paraId="0ED38979" w14:textId="77777777" w:rsidR="007F066B" w:rsidRDefault="007F066B" w:rsidP="007F066B">
      <w:pPr>
        <w:ind w:firstLine="0"/>
        <w:jc w:val="center"/>
        <w:rPr>
          <w:rFonts w:eastAsia="Times New Roman"/>
          <w:b/>
        </w:rPr>
      </w:pPr>
    </w:p>
    <w:p w14:paraId="1E99FB04" w14:textId="77777777" w:rsidR="007F066B" w:rsidRDefault="007F066B" w:rsidP="00AA7759">
      <w:pPr>
        <w:ind w:firstLine="0"/>
        <w:rPr>
          <w:rFonts w:eastAsia="Times New Roman"/>
          <w:b/>
        </w:rPr>
      </w:pPr>
    </w:p>
    <w:p w14:paraId="143F823A" w14:textId="77777777" w:rsidR="007F066B" w:rsidRPr="00AA7759" w:rsidRDefault="007F066B" w:rsidP="007F066B">
      <w:pPr>
        <w:ind w:firstLine="0"/>
        <w:jc w:val="center"/>
        <w:rPr>
          <w:rFonts w:eastAsia="Times New Roman"/>
          <w:b/>
          <w:sz w:val="48"/>
          <w:szCs w:val="48"/>
        </w:rPr>
      </w:pPr>
      <w:r w:rsidRPr="00AA7759">
        <w:rPr>
          <w:rFonts w:eastAsia="Times New Roman"/>
          <w:b/>
          <w:sz w:val="48"/>
          <w:szCs w:val="48"/>
        </w:rPr>
        <w:t>Civil Litigation</w:t>
      </w:r>
    </w:p>
    <w:p w14:paraId="6373A044" w14:textId="77777777" w:rsidR="007F066B" w:rsidRDefault="007F066B" w:rsidP="007F066B">
      <w:pPr>
        <w:ind w:firstLine="0"/>
        <w:jc w:val="center"/>
        <w:rPr>
          <w:rFonts w:eastAsia="Times New Roman"/>
          <w:b/>
        </w:rPr>
      </w:pPr>
    </w:p>
    <w:p w14:paraId="282C8F77" w14:textId="77777777" w:rsidR="007F066B" w:rsidRDefault="007F066B" w:rsidP="007F066B">
      <w:pPr>
        <w:rPr>
          <w:rFonts w:eastAsia="Times New Roman"/>
          <w:b/>
        </w:rPr>
      </w:pPr>
      <w:r>
        <w:rPr>
          <w:rFonts w:eastAsia="Times New Roman"/>
          <w:b/>
        </w:rPr>
        <w:br w:type="page"/>
      </w:r>
    </w:p>
    <w:sdt>
      <w:sdtPr>
        <w:rPr>
          <w:rFonts w:ascii="Times New Roman" w:eastAsiaTheme="minorHAnsi" w:hAnsi="Times New Roman" w:cs="Times New Roman"/>
          <w:b w:val="0"/>
          <w:bCs w:val="0"/>
          <w:color w:val="auto"/>
          <w:sz w:val="24"/>
          <w:szCs w:val="24"/>
        </w:rPr>
        <w:id w:val="-1865901241"/>
        <w:docPartObj>
          <w:docPartGallery w:val="Table of Contents"/>
          <w:docPartUnique/>
        </w:docPartObj>
      </w:sdtPr>
      <w:sdtEndPr>
        <w:rPr>
          <w:noProof/>
        </w:rPr>
      </w:sdtEndPr>
      <w:sdtContent>
        <w:p w14:paraId="403C532B" w14:textId="4EAC707E" w:rsidR="00AA7759" w:rsidRDefault="00AA7759">
          <w:pPr>
            <w:pStyle w:val="TOCHeading"/>
          </w:pPr>
          <w:r>
            <w:t>Table of Contents</w:t>
          </w:r>
        </w:p>
        <w:p w14:paraId="78A436A0" w14:textId="5725C2EB" w:rsidR="00AA7759" w:rsidRDefault="00AA7759">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61421216" w:history="1">
            <w:r w:rsidRPr="00C61972">
              <w:rPr>
                <w:rStyle w:val="Hyperlink"/>
                <w:rFonts w:eastAsia="Times New Roman"/>
                <w:noProof/>
              </w:rPr>
              <w:t>Civil Litigation</w:t>
            </w:r>
            <w:r>
              <w:rPr>
                <w:noProof/>
                <w:webHidden/>
              </w:rPr>
              <w:tab/>
            </w:r>
            <w:r>
              <w:rPr>
                <w:noProof/>
                <w:webHidden/>
              </w:rPr>
              <w:fldChar w:fldCharType="begin"/>
            </w:r>
            <w:r>
              <w:rPr>
                <w:noProof/>
                <w:webHidden/>
              </w:rPr>
              <w:instrText xml:space="preserve"> PAGEREF _Toc161421216 \h </w:instrText>
            </w:r>
            <w:r>
              <w:rPr>
                <w:noProof/>
                <w:webHidden/>
              </w:rPr>
            </w:r>
            <w:r>
              <w:rPr>
                <w:noProof/>
                <w:webHidden/>
              </w:rPr>
              <w:fldChar w:fldCharType="separate"/>
            </w:r>
            <w:r>
              <w:rPr>
                <w:noProof/>
                <w:webHidden/>
              </w:rPr>
              <w:t>3</w:t>
            </w:r>
            <w:r>
              <w:rPr>
                <w:noProof/>
                <w:webHidden/>
              </w:rPr>
              <w:fldChar w:fldCharType="end"/>
            </w:r>
          </w:hyperlink>
        </w:p>
        <w:p w14:paraId="4ED0A298" w14:textId="36EFBA82" w:rsidR="00AA7759" w:rsidRDefault="00000000">
          <w:pPr>
            <w:pStyle w:val="TOC1"/>
            <w:tabs>
              <w:tab w:val="right" w:leader="dot" w:pos="9350"/>
            </w:tabs>
            <w:rPr>
              <w:noProof/>
            </w:rPr>
          </w:pPr>
          <w:hyperlink w:anchor="_Toc161421217" w:history="1">
            <w:r w:rsidR="00AA7759" w:rsidRPr="00C61972">
              <w:rPr>
                <w:rStyle w:val="Hyperlink"/>
                <w:rFonts w:eastAsia="Times New Roman"/>
                <w:noProof/>
              </w:rPr>
              <w:t>Introduction</w:t>
            </w:r>
            <w:r w:rsidR="00AA7759">
              <w:rPr>
                <w:noProof/>
                <w:webHidden/>
              </w:rPr>
              <w:tab/>
            </w:r>
            <w:r w:rsidR="00AA7759">
              <w:rPr>
                <w:noProof/>
                <w:webHidden/>
              </w:rPr>
              <w:fldChar w:fldCharType="begin"/>
            </w:r>
            <w:r w:rsidR="00AA7759">
              <w:rPr>
                <w:noProof/>
                <w:webHidden/>
              </w:rPr>
              <w:instrText xml:space="preserve"> PAGEREF _Toc161421217 \h </w:instrText>
            </w:r>
            <w:r w:rsidR="00AA7759">
              <w:rPr>
                <w:noProof/>
                <w:webHidden/>
              </w:rPr>
            </w:r>
            <w:r w:rsidR="00AA7759">
              <w:rPr>
                <w:noProof/>
                <w:webHidden/>
              </w:rPr>
              <w:fldChar w:fldCharType="separate"/>
            </w:r>
            <w:r w:rsidR="00AA7759">
              <w:rPr>
                <w:noProof/>
                <w:webHidden/>
              </w:rPr>
              <w:t>3</w:t>
            </w:r>
            <w:r w:rsidR="00AA7759">
              <w:rPr>
                <w:noProof/>
                <w:webHidden/>
              </w:rPr>
              <w:fldChar w:fldCharType="end"/>
            </w:r>
          </w:hyperlink>
        </w:p>
        <w:p w14:paraId="34FA6E79" w14:textId="411B5442" w:rsidR="00AA7759" w:rsidRDefault="00000000">
          <w:pPr>
            <w:pStyle w:val="TOC1"/>
            <w:tabs>
              <w:tab w:val="right" w:leader="dot" w:pos="9350"/>
            </w:tabs>
            <w:rPr>
              <w:noProof/>
            </w:rPr>
          </w:pPr>
          <w:hyperlink w:anchor="_Toc161421218" w:history="1">
            <w:r w:rsidR="00AA7759" w:rsidRPr="00C61972">
              <w:rPr>
                <w:rStyle w:val="Hyperlink"/>
                <w:rFonts w:eastAsia="Times New Roman"/>
                <w:noProof/>
              </w:rPr>
              <w:t>The Small Claims Track</w:t>
            </w:r>
            <w:r w:rsidR="00AA7759">
              <w:rPr>
                <w:noProof/>
                <w:webHidden/>
              </w:rPr>
              <w:tab/>
            </w:r>
            <w:r w:rsidR="00AA7759">
              <w:rPr>
                <w:noProof/>
                <w:webHidden/>
              </w:rPr>
              <w:fldChar w:fldCharType="begin"/>
            </w:r>
            <w:r w:rsidR="00AA7759">
              <w:rPr>
                <w:noProof/>
                <w:webHidden/>
              </w:rPr>
              <w:instrText xml:space="preserve"> PAGEREF _Toc161421218 \h </w:instrText>
            </w:r>
            <w:r w:rsidR="00AA7759">
              <w:rPr>
                <w:noProof/>
                <w:webHidden/>
              </w:rPr>
            </w:r>
            <w:r w:rsidR="00AA7759">
              <w:rPr>
                <w:noProof/>
                <w:webHidden/>
              </w:rPr>
              <w:fldChar w:fldCharType="separate"/>
            </w:r>
            <w:r w:rsidR="00AA7759">
              <w:rPr>
                <w:noProof/>
                <w:webHidden/>
              </w:rPr>
              <w:t>3</w:t>
            </w:r>
            <w:r w:rsidR="00AA7759">
              <w:rPr>
                <w:noProof/>
                <w:webHidden/>
              </w:rPr>
              <w:fldChar w:fldCharType="end"/>
            </w:r>
          </w:hyperlink>
        </w:p>
        <w:p w14:paraId="066CD5DA" w14:textId="44CFC828" w:rsidR="00AA7759" w:rsidRDefault="00000000">
          <w:pPr>
            <w:pStyle w:val="TOC1"/>
            <w:tabs>
              <w:tab w:val="right" w:leader="dot" w:pos="9350"/>
            </w:tabs>
            <w:rPr>
              <w:noProof/>
            </w:rPr>
          </w:pPr>
          <w:hyperlink w:anchor="_Toc161421219" w:history="1">
            <w:r w:rsidR="00AA7759" w:rsidRPr="00C61972">
              <w:rPr>
                <w:rStyle w:val="Hyperlink"/>
                <w:rFonts w:eastAsia="Times New Roman"/>
                <w:noProof/>
              </w:rPr>
              <w:t>The Whiplash Reforms</w:t>
            </w:r>
            <w:r w:rsidR="00AA7759">
              <w:rPr>
                <w:noProof/>
                <w:webHidden/>
              </w:rPr>
              <w:tab/>
            </w:r>
            <w:r w:rsidR="00AA7759">
              <w:rPr>
                <w:noProof/>
                <w:webHidden/>
              </w:rPr>
              <w:fldChar w:fldCharType="begin"/>
            </w:r>
            <w:r w:rsidR="00AA7759">
              <w:rPr>
                <w:noProof/>
                <w:webHidden/>
              </w:rPr>
              <w:instrText xml:space="preserve"> PAGEREF _Toc161421219 \h </w:instrText>
            </w:r>
            <w:r w:rsidR="00AA7759">
              <w:rPr>
                <w:noProof/>
                <w:webHidden/>
              </w:rPr>
            </w:r>
            <w:r w:rsidR="00AA7759">
              <w:rPr>
                <w:noProof/>
                <w:webHidden/>
              </w:rPr>
              <w:fldChar w:fldCharType="separate"/>
            </w:r>
            <w:r w:rsidR="00AA7759">
              <w:rPr>
                <w:noProof/>
                <w:webHidden/>
              </w:rPr>
              <w:t>4</w:t>
            </w:r>
            <w:r w:rsidR="00AA7759">
              <w:rPr>
                <w:noProof/>
                <w:webHidden/>
              </w:rPr>
              <w:fldChar w:fldCharType="end"/>
            </w:r>
          </w:hyperlink>
        </w:p>
        <w:p w14:paraId="1854C106" w14:textId="2C3A6B6E" w:rsidR="00AA7759" w:rsidRDefault="00000000">
          <w:pPr>
            <w:pStyle w:val="TOC1"/>
            <w:tabs>
              <w:tab w:val="right" w:leader="dot" w:pos="9350"/>
            </w:tabs>
            <w:rPr>
              <w:noProof/>
            </w:rPr>
          </w:pPr>
          <w:hyperlink w:anchor="_Toc161421220" w:history="1">
            <w:r w:rsidR="00AA7759" w:rsidRPr="00C61972">
              <w:rPr>
                <w:rStyle w:val="Hyperlink"/>
                <w:rFonts w:eastAsia="Times New Roman"/>
                <w:noProof/>
              </w:rPr>
              <w:t>Potential Impact on Litigants in Person</w:t>
            </w:r>
            <w:r w:rsidR="00AA7759">
              <w:rPr>
                <w:noProof/>
                <w:webHidden/>
              </w:rPr>
              <w:tab/>
            </w:r>
            <w:r w:rsidR="00AA7759">
              <w:rPr>
                <w:noProof/>
                <w:webHidden/>
              </w:rPr>
              <w:fldChar w:fldCharType="begin"/>
            </w:r>
            <w:r w:rsidR="00AA7759">
              <w:rPr>
                <w:noProof/>
                <w:webHidden/>
              </w:rPr>
              <w:instrText xml:space="preserve"> PAGEREF _Toc161421220 \h </w:instrText>
            </w:r>
            <w:r w:rsidR="00AA7759">
              <w:rPr>
                <w:noProof/>
                <w:webHidden/>
              </w:rPr>
            </w:r>
            <w:r w:rsidR="00AA7759">
              <w:rPr>
                <w:noProof/>
                <w:webHidden/>
              </w:rPr>
              <w:fldChar w:fldCharType="separate"/>
            </w:r>
            <w:r w:rsidR="00AA7759">
              <w:rPr>
                <w:noProof/>
                <w:webHidden/>
              </w:rPr>
              <w:t>4</w:t>
            </w:r>
            <w:r w:rsidR="00AA7759">
              <w:rPr>
                <w:noProof/>
                <w:webHidden/>
              </w:rPr>
              <w:fldChar w:fldCharType="end"/>
            </w:r>
          </w:hyperlink>
        </w:p>
        <w:p w14:paraId="067DB8D5" w14:textId="19326A0E" w:rsidR="00AA7759" w:rsidRDefault="00000000">
          <w:pPr>
            <w:pStyle w:val="TOC1"/>
            <w:tabs>
              <w:tab w:val="right" w:leader="dot" w:pos="9350"/>
            </w:tabs>
            <w:rPr>
              <w:noProof/>
            </w:rPr>
          </w:pPr>
          <w:hyperlink w:anchor="_Toc161421221" w:history="1">
            <w:r w:rsidR="00AA7759" w:rsidRPr="00C61972">
              <w:rPr>
                <w:rStyle w:val="Hyperlink"/>
                <w:rFonts w:eastAsia="Times New Roman"/>
                <w:noProof/>
              </w:rPr>
              <w:t>Impact on Overriding Objective</w:t>
            </w:r>
            <w:r w:rsidR="00AA7759">
              <w:rPr>
                <w:noProof/>
                <w:webHidden/>
              </w:rPr>
              <w:tab/>
            </w:r>
            <w:r w:rsidR="00AA7759">
              <w:rPr>
                <w:noProof/>
                <w:webHidden/>
              </w:rPr>
              <w:fldChar w:fldCharType="begin"/>
            </w:r>
            <w:r w:rsidR="00AA7759">
              <w:rPr>
                <w:noProof/>
                <w:webHidden/>
              </w:rPr>
              <w:instrText xml:space="preserve"> PAGEREF _Toc161421221 \h </w:instrText>
            </w:r>
            <w:r w:rsidR="00AA7759">
              <w:rPr>
                <w:noProof/>
                <w:webHidden/>
              </w:rPr>
            </w:r>
            <w:r w:rsidR="00AA7759">
              <w:rPr>
                <w:noProof/>
                <w:webHidden/>
              </w:rPr>
              <w:fldChar w:fldCharType="separate"/>
            </w:r>
            <w:r w:rsidR="00AA7759">
              <w:rPr>
                <w:noProof/>
                <w:webHidden/>
              </w:rPr>
              <w:t>5</w:t>
            </w:r>
            <w:r w:rsidR="00AA7759">
              <w:rPr>
                <w:noProof/>
                <w:webHidden/>
              </w:rPr>
              <w:fldChar w:fldCharType="end"/>
            </w:r>
          </w:hyperlink>
        </w:p>
        <w:p w14:paraId="202878F4" w14:textId="21E8DB10" w:rsidR="00AA7759" w:rsidRDefault="00000000">
          <w:pPr>
            <w:pStyle w:val="TOC1"/>
            <w:tabs>
              <w:tab w:val="right" w:leader="dot" w:pos="9350"/>
            </w:tabs>
            <w:rPr>
              <w:noProof/>
            </w:rPr>
          </w:pPr>
          <w:hyperlink w:anchor="_Toc161421222" w:history="1">
            <w:r w:rsidR="00AA7759" w:rsidRPr="00C61972">
              <w:rPr>
                <w:rStyle w:val="Hyperlink"/>
                <w:rFonts w:eastAsia="Times New Roman"/>
                <w:noProof/>
              </w:rPr>
              <w:t>Access to Justice and Advice</w:t>
            </w:r>
            <w:r w:rsidR="00AA7759">
              <w:rPr>
                <w:noProof/>
                <w:webHidden/>
              </w:rPr>
              <w:tab/>
            </w:r>
            <w:r w:rsidR="00AA7759">
              <w:rPr>
                <w:noProof/>
                <w:webHidden/>
              </w:rPr>
              <w:fldChar w:fldCharType="begin"/>
            </w:r>
            <w:r w:rsidR="00AA7759">
              <w:rPr>
                <w:noProof/>
                <w:webHidden/>
              </w:rPr>
              <w:instrText xml:space="preserve"> PAGEREF _Toc161421222 \h </w:instrText>
            </w:r>
            <w:r w:rsidR="00AA7759">
              <w:rPr>
                <w:noProof/>
                <w:webHidden/>
              </w:rPr>
            </w:r>
            <w:r w:rsidR="00AA7759">
              <w:rPr>
                <w:noProof/>
                <w:webHidden/>
              </w:rPr>
              <w:fldChar w:fldCharType="separate"/>
            </w:r>
            <w:r w:rsidR="00AA7759">
              <w:rPr>
                <w:noProof/>
                <w:webHidden/>
              </w:rPr>
              <w:t>6</w:t>
            </w:r>
            <w:r w:rsidR="00AA7759">
              <w:rPr>
                <w:noProof/>
                <w:webHidden/>
              </w:rPr>
              <w:fldChar w:fldCharType="end"/>
            </w:r>
          </w:hyperlink>
        </w:p>
        <w:p w14:paraId="4BB4FD9C" w14:textId="236787A5" w:rsidR="00AA7759" w:rsidRDefault="00000000">
          <w:pPr>
            <w:pStyle w:val="TOC1"/>
            <w:tabs>
              <w:tab w:val="right" w:leader="dot" w:pos="9350"/>
            </w:tabs>
            <w:rPr>
              <w:noProof/>
            </w:rPr>
          </w:pPr>
          <w:hyperlink w:anchor="_Toc161421223" w:history="1">
            <w:r w:rsidR="00AA7759" w:rsidRPr="00C61972">
              <w:rPr>
                <w:rStyle w:val="Hyperlink"/>
                <w:rFonts w:eastAsia="Times New Roman"/>
                <w:noProof/>
              </w:rPr>
              <w:t>Legislating in Fairness and Proportionality</w:t>
            </w:r>
            <w:r w:rsidR="00AA7759">
              <w:rPr>
                <w:noProof/>
                <w:webHidden/>
              </w:rPr>
              <w:tab/>
            </w:r>
            <w:r w:rsidR="00AA7759">
              <w:rPr>
                <w:noProof/>
                <w:webHidden/>
              </w:rPr>
              <w:fldChar w:fldCharType="begin"/>
            </w:r>
            <w:r w:rsidR="00AA7759">
              <w:rPr>
                <w:noProof/>
                <w:webHidden/>
              </w:rPr>
              <w:instrText xml:space="preserve"> PAGEREF _Toc161421223 \h </w:instrText>
            </w:r>
            <w:r w:rsidR="00AA7759">
              <w:rPr>
                <w:noProof/>
                <w:webHidden/>
              </w:rPr>
            </w:r>
            <w:r w:rsidR="00AA7759">
              <w:rPr>
                <w:noProof/>
                <w:webHidden/>
              </w:rPr>
              <w:fldChar w:fldCharType="separate"/>
            </w:r>
            <w:r w:rsidR="00AA7759">
              <w:rPr>
                <w:noProof/>
                <w:webHidden/>
              </w:rPr>
              <w:t>7</w:t>
            </w:r>
            <w:r w:rsidR="00AA7759">
              <w:rPr>
                <w:noProof/>
                <w:webHidden/>
              </w:rPr>
              <w:fldChar w:fldCharType="end"/>
            </w:r>
          </w:hyperlink>
        </w:p>
        <w:p w14:paraId="797222C2" w14:textId="0DC42B93" w:rsidR="00AA7759" w:rsidRDefault="00000000">
          <w:pPr>
            <w:pStyle w:val="TOC1"/>
            <w:tabs>
              <w:tab w:val="right" w:leader="dot" w:pos="9350"/>
            </w:tabs>
            <w:rPr>
              <w:noProof/>
            </w:rPr>
          </w:pPr>
          <w:hyperlink w:anchor="_Toc161421224" w:history="1">
            <w:r w:rsidR="00AA7759" w:rsidRPr="00C61972">
              <w:rPr>
                <w:rStyle w:val="Hyperlink"/>
                <w:rFonts w:eastAsia="Times New Roman"/>
                <w:noProof/>
              </w:rPr>
              <w:t>Judicial and Regulatory Oversight</w:t>
            </w:r>
            <w:r w:rsidR="00AA7759">
              <w:rPr>
                <w:noProof/>
                <w:webHidden/>
              </w:rPr>
              <w:tab/>
            </w:r>
            <w:r w:rsidR="00AA7759">
              <w:rPr>
                <w:noProof/>
                <w:webHidden/>
              </w:rPr>
              <w:fldChar w:fldCharType="begin"/>
            </w:r>
            <w:r w:rsidR="00AA7759">
              <w:rPr>
                <w:noProof/>
                <w:webHidden/>
              </w:rPr>
              <w:instrText xml:space="preserve"> PAGEREF _Toc161421224 \h </w:instrText>
            </w:r>
            <w:r w:rsidR="00AA7759">
              <w:rPr>
                <w:noProof/>
                <w:webHidden/>
              </w:rPr>
            </w:r>
            <w:r w:rsidR="00AA7759">
              <w:rPr>
                <w:noProof/>
                <w:webHidden/>
              </w:rPr>
              <w:fldChar w:fldCharType="separate"/>
            </w:r>
            <w:r w:rsidR="00AA7759">
              <w:rPr>
                <w:noProof/>
                <w:webHidden/>
              </w:rPr>
              <w:t>8</w:t>
            </w:r>
            <w:r w:rsidR="00AA7759">
              <w:rPr>
                <w:noProof/>
                <w:webHidden/>
              </w:rPr>
              <w:fldChar w:fldCharType="end"/>
            </w:r>
          </w:hyperlink>
        </w:p>
        <w:p w14:paraId="2AAC6B8E" w14:textId="2D7A28DB" w:rsidR="00AA7759" w:rsidRDefault="00000000">
          <w:pPr>
            <w:pStyle w:val="TOC1"/>
            <w:tabs>
              <w:tab w:val="right" w:leader="dot" w:pos="9350"/>
            </w:tabs>
            <w:rPr>
              <w:noProof/>
            </w:rPr>
          </w:pPr>
          <w:hyperlink w:anchor="_Toc161421225" w:history="1">
            <w:r w:rsidR="00AA7759" w:rsidRPr="00C61972">
              <w:rPr>
                <w:rStyle w:val="Hyperlink"/>
                <w:rFonts w:eastAsia="Times New Roman"/>
                <w:noProof/>
              </w:rPr>
              <w:t>Pre-Action Protocols and Early Dispute Resolution</w:t>
            </w:r>
            <w:r w:rsidR="00AA7759">
              <w:rPr>
                <w:noProof/>
                <w:webHidden/>
              </w:rPr>
              <w:tab/>
            </w:r>
            <w:r w:rsidR="00AA7759">
              <w:rPr>
                <w:noProof/>
                <w:webHidden/>
              </w:rPr>
              <w:fldChar w:fldCharType="begin"/>
            </w:r>
            <w:r w:rsidR="00AA7759">
              <w:rPr>
                <w:noProof/>
                <w:webHidden/>
              </w:rPr>
              <w:instrText xml:space="preserve"> PAGEREF _Toc161421225 \h </w:instrText>
            </w:r>
            <w:r w:rsidR="00AA7759">
              <w:rPr>
                <w:noProof/>
                <w:webHidden/>
              </w:rPr>
            </w:r>
            <w:r w:rsidR="00AA7759">
              <w:rPr>
                <w:noProof/>
                <w:webHidden/>
              </w:rPr>
              <w:fldChar w:fldCharType="separate"/>
            </w:r>
            <w:r w:rsidR="00AA7759">
              <w:rPr>
                <w:noProof/>
                <w:webHidden/>
              </w:rPr>
              <w:t>8</w:t>
            </w:r>
            <w:r w:rsidR="00AA7759">
              <w:rPr>
                <w:noProof/>
                <w:webHidden/>
              </w:rPr>
              <w:fldChar w:fldCharType="end"/>
            </w:r>
          </w:hyperlink>
        </w:p>
        <w:p w14:paraId="33A702D3" w14:textId="373E2B7A" w:rsidR="00AA7759" w:rsidRDefault="00000000">
          <w:pPr>
            <w:pStyle w:val="TOC1"/>
            <w:tabs>
              <w:tab w:val="right" w:leader="dot" w:pos="9350"/>
            </w:tabs>
            <w:rPr>
              <w:noProof/>
            </w:rPr>
          </w:pPr>
          <w:hyperlink w:anchor="_Toc161421226" w:history="1">
            <w:r w:rsidR="00AA7759" w:rsidRPr="00C61972">
              <w:rPr>
                <w:rStyle w:val="Hyperlink"/>
                <w:rFonts w:eastAsia="Times New Roman"/>
                <w:noProof/>
              </w:rPr>
              <w:t>Conclusion</w:t>
            </w:r>
            <w:r w:rsidR="00AA7759">
              <w:rPr>
                <w:noProof/>
                <w:webHidden/>
              </w:rPr>
              <w:tab/>
            </w:r>
            <w:r w:rsidR="00AA7759">
              <w:rPr>
                <w:noProof/>
                <w:webHidden/>
              </w:rPr>
              <w:fldChar w:fldCharType="begin"/>
            </w:r>
            <w:r w:rsidR="00AA7759">
              <w:rPr>
                <w:noProof/>
                <w:webHidden/>
              </w:rPr>
              <w:instrText xml:space="preserve"> PAGEREF _Toc161421226 \h </w:instrText>
            </w:r>
            <w:r w:rsidR="00AA7759">
              <w:rPr>
                <w:noProof/>
                <w:webHidden/>
              </w:rPr>
            </w:r>
            <w:r w:rsidR="00AA7759">
              <w:rPr>
                <w:noProof/>
                <w:webHidden/>
              </w:rPr>
              <w:fldChar w:fldCharType="separate"/>
            </w:r>
            <w:r w:rsidR="00AA7759">
              <w:rPr>
                <w:noProof/>
                <w:webHidden/>
              </w:rPr>
              <w:t>9</w:t>
            </w:r>
            <w:r w:rsidR="00AA7759">
              <w:rPr>
                <w:noProof/>
                <w:webHidden/>
              </w:rPr>
              <w:fldChar w:fldCharType="end"/>
            </w:r>
          </w:hyperlink>
        </w:p>
        <w:p w14:paraId="29242322" w14:textId="07A5299A" w:rsidR="00AA7759" w:rsidRDefault="00000000">
          <w:pPr>
            <w:pStyle w:val="TOC1"/>
            <w:tabs>
              <w:tab w:val="right" w:leader="dot" w:pos="9350"/>
            </w:tabs>
            <w:rPr>
              <w:noProof/>
            </w:rPr>
          </w:pPr>
          <w:hyperlink w:anchor="_Toc161421227" w:history="1">
            <w:r w:rsidR="00AA7759" w:rsidRPr="00C61972">
              <w:rPr>
                <w:rStyle w:val="Hyperlink"/>
                <w:rFonts w:eastAsia="Times New Roman"/>
                <w:noProof/>
              </w:rPr>
              <w:t>References</w:t>
            </w:r>
            <w:r w:rsidR="00AA7759">
              <w:rPr>
                <w:noProof/>
                <w:webHidden/>
              </w:rPr>
              <w:tab/>
            </w:r>
            <w:r w:rsidR="00AA7759">
              <w:rPr>
                <w:noProof/>
                <w:webHidden/>
              </w:rPr>
              <w:fldChar w:fldCharType="begin"/>
            </w:r>
            <w:r w:rsidR="00AA7759">
              <w:rPr>
                <w:noProof/>
                <w:webHidden/>
              </w:rPr>
              <w:instrText xml:space="preserve"> PAGEREF _Toc161421227 \h </w:instrText>
            </w:r>
            <w:r w:rsidR="00AA7759">
              <w:rPr>
                <w:noProof/>
                <w:webHidden/>
              </w:rPr>
            </w:r>
            <w:r w:rsidR="00AA7759">
              <w:rPr>
                <w:noProof/>
                <w:webHidden/>
              </w:rPr>
              <w:fldChar w:fldCharType="separate"/>
            </w:r>
            <w:r w:rsidR="00AA7759">
              <w:rPr>
                <w:noProof/>
                <w:webHidden/>
              </w:rPr>
              <w:t>10</w:t>
            </w:r>
            <w:r w:rsidR="00AA7759">
              <w:rPr>
                <w:noProof/>
                <w:webHidden/>
              </w:rPr>
              <w:fldChar w:fldCharType="end"/>
            </w:r>
          </w:hyperlink>
        </w:p>
        <w:p w14:paraId="654F67D1" w14:textId="6639B39D" w:rsidR="00AA7759" w:rsidRDefault="00AA7759">
          <w:r>
            <w:rPr>
              <w:b/>
              <w:bCs/>
              <w:noProof/>
            </w:rPr>
            <w:fldChar w:fldCharType="end"/>
          </w:r>
        </w:p>
      </w:sdtContent>
    </w:sdt>
    <w:p w14:paraId="5B791B44" w14:textId="77777777" w:rsidR="00AA7759" w:rsidRDefault="00AA7759" w:rsidP="00AA7759">
      <w:pPr>
        <w:ind w:firstLine="0"/>
        <w:jc w:val="both"/>
        <w:rPr>
          <w:rFonts w:eastAsia="Times New Roman"/>
          <w:b/>
        </w:rPr>
      </w:pPr>
    </w:p>
    <w:p w14:paraId="3EDBF157" w14:textId="77777777" w:rsidR="00AA7759" w:rsidRDefault="00AA7759" w:rsidP="00AA7759">
      <w:pPr>
        <w:ind w:firstLine="0"/>
        <w:jc w:val="both"/>
        <w:rPr>
          <w:rFonts w:eastAsia="Times New Roman"/>
          <w:b/>
        </w:rPr>
      </w:pPr>
    </w:p>
    <w:p w14:paraId="54D1E2B9" w14:textId="77777777" w:rsidR="00AA7759" w:rsidRDefault="00AA7759" w:rsidP="00AA7759">
      <w:pPr>
        <w:ind w:firstLine="0"/>
        <w:jc w:val="both"/>
        <w:rPr>
          <w:rFonts w:eastAsia="Times New Roman"/>
          <w:b/>
        </w:rPr>
      </w:pPr>
    </w:p>
    <w:p w14:paraId="2D084B94" w14:textId="77777777" w:rsidR="00AA7759" w:rsidRDefault="00AA7759" w:rsidP="00AA7759">
      <w:pPr>
        <w:ind w:firstLine="0"/>
        <w:jc w:val="both"/>
        <w:rPr>
          <w:rFonts w:eastAsia="Times New Roman"/>
          <w:b/>
        </w:rPr>
      </w:pPr>
    </w:p>
    <w:p w14:paraId="192E40F7" w14:textId="77777777" w:rsidR="00AA7759" w:rsidRDefault="00AA7759" w:rsidP="00AA7759">
      <w:pPr>
        <w:ind w:firstLine="0"/>
        <w:jc w:val="both"/>
        <w:rPr>
          <w:rFonts w:eastAsia="Times New Roman"/>
          <w:b/>
        </w:rPr>
      </w:pPr>
    </w:p>
    <w:p w14:paraId="0C67C9AE" w14:textId="77777777" w:rsidR="00AA7759" w:rsidRDefault="00AA7759" w:rsidP="00AA7759">
      <w:pPr>
        <w:ind w:firstLine="0"/>
        <w:jc w:val="both"/>
        <w:rPr>
          <w:rFonts w:eastAsia="Times New Roman"/>
          <w:b/>
        </w:rPr>
      </w:pPr>
    </w:p>
    <w:p w14:paraId="3EAF171B" w14:textId="77777777" w:rsidR="00AA7759" w:rsidRDefault="00AA7759" w:rsidP="00AA7759">
      <w:pPr>
        <w:ind w:firstLine="0"/>
        <w:jc w:val="both"/>
        <w:rPr>
          <w:rFonts w:eastAsia="Times New Roman"/>
          <w:b/>
        </w:rPr>
      </w:pPr>
    </w:p>
    <w:p w14:paraId="50888778" w14:textId="4B9217FD" w:rsidR="007F066B" w:rsidRDefault="007F066B" w:rsidP="00AA7759">
      <w:pPr>
        <w:pStyle w:val="Heading1"/>
        <w:rPr>
          <w:rFonts w:eastAsia="Times New Roman"/>
        </w:rPr>
      </w:pPr>
      <w:bookmarkStart w:id="0" w:name="_Toc161421216"/>
      <w:r w:rsidRPr="007F066B">
        <w:rPr>
          <w:rFonts w:eastAsia="Times New Roman"/>
        </w:rPr>
        <w:t>Civil Litigation</w:t>
      </w:r>
      <w:bookmarkEnd w:id="0"/>
    </w:p>
    <w:p w14:paraId="20C1EC20" w14:textId="77777777" w:rsidR="007F066B" w:rsidRDefault="007F066B" w:rsidP="00AA7759">
      <w:pPr>
        <w:pStyle w:val="Heading1"/>
        <w:rPr>
          <w:rFonts w:eastAsia="Times New Roman"/>
        </w:rPr>
      </w:pPr>
      <w:bookmarkStart w:id="1" w:name="_Toc161421217"/>
      <w:r w:rsidRPr="007F066B">
        <w:rPr>
          <w:rFonts w:eastAsia="Times New Roman"/>
        </w:rPr>
        <w:t>Introduction</w:t>
      </w:r>
      <w:bookmarkEnd w:id="1"/>
      <w:r w:rsidRPr="007F066B">
        <w:rPr>
          <w:rFonts w:eastAsia="Times New Roman"/>
        </w:rPr>
        <w:t xml:space="preserve"> </w:t>
      </w:r>
    </w:p>
    <w:p w14:paraId="4A8C3FD2" w14:textId="77777777" w:rsidR="007F066B" w:rsidRDefault="007F066B" w:rsidP="00AA7759">
      <w:pPr>
        <w:jc w:val="both"/>
        <w:rPr>
          <w:rFonts w:eastAsia="Times New Roman"/>
        </w:rPr>
      </w:pPr>
      <w:r w:rsidRPr="007F066B">
        <w:rPr>
          <w:rFonts w:eastAsia="Times New Roman"/>
        </w:rPr>
        <w:t>The Whiplash Injury Regulations 2021 and Civil Procedure Rules 1998 modifications changed the Personal Injury Small Claims procedure on 31 May 2021. In 2017, the Prisons and Courts Bill recommended these whiplash measures to cut road traffic accident claims and costs. An important step was raising the small claims track limit for road traffic accident personal injury claims from £1,000 to £5,000. This trend, along with claims procedure modifications, has sparked worries that more claimants may represent themselves as litigants in person to save legal fees that might offset tiny damages. This presentation will describe the revisions and discuss arguments for and against an inc</w:t>
      </w:r>
      <w:r>
        <w:rPr>
          <w:rFonts w:eastAsia="Times New Roman"/>
        </w:rPr>
        <w:t xml:space="preserve">rease in litigants in person. </w:t>
      </w:r>
    </w:p>
    <w:p w14:paraId="01793DF9" w14:textId="77777777" w:rsidR="007F066B" w:rsidRDefault="007F066B" w:rsidP="00AA7759">
      <w:pPr>
        <w:pStyle w:val="Heading1"/>
        <w:rPr>
          <w:rFonts w:eastAsia="Times New Roman"/>
        </w:rPr>
      </w:pPr>
      <w:bookmarkStart w:id="2" w:name="_Toc161421218"/>
      <w:r w:rsidRPr="007F066B">
        <w:rPr>
          <w:rFonts w:eastAsia="Times New Roman"/>
        </w:rPr>
        <w:t>The Small Claims Track</w:t>
      </w:r>
      <w:bookmarkEnd w:id="2"/>
    </w:p>
    <w:p w14:paraId="234B3567" w14:textId="77777777" w:rsidR="007F066B" w:rsidRDefault="007F066B" w:rsidP="00AA7759">
      <w:pPr>
        <w:jc w:val="both"/>
        <w:rPr>
          <w:rFonts w:eastAsia="Times New Roman"/>
        </w:rPr>
      </w:pPr>
      <w:r>
        <w:rPr>
          <w:rFonts w:eastAsia="Times New Roman"/>
        </w:rPr>
        <w:t>F</w:t>
      </w:r>
      <w:r w:rsidRPr="007F066B">
        <w:rPr>
          <w:rFonts w:eastAsia="Times New Roman"/>
        </w:rPr>
        <w:t>irst describe the small claims track and its function in civil litigation in England and Wales</w:t>
      </w:r>
      <w:r>
        <w:rPr>
          <w:rFonts w:eastAsia="Times New Roman"/>
        </w:rPr>
        <w:t xml:space="preserve"> to grasp the situation.</w:t>
      </w:r>
      <w:r w:rsidRPr="007F066B">
        <w:rPr>
          <w:rFonts w:eastAsia="Times New Roman"/>
        </w:rPr>
        <w:t xml:space="preserve"> The CPR classifies most non-complex claims into three tracks depending on size and complexity: small (up to £10,000), quick (£10,000–£25,000), and multi-track. Small claims cases have shortened processes and severe cost limitations that preclude the opposite party from recovering legal fees, even if victorious. These cost guidelines make lower-value conflicts accessible and proportional without legal counsel. Small claims claimants may hire attorneys, but many opt to litigate in person to prevent legal bills surpassing damages. All personal injury claims were limited to £1,000, reflecting the official belief that litigants without attorneys could manage </w:t>
      </w:r>
      <w:r w:rsidRPr="007F066B">
        <w:rPr>
          <w:rFonts w:eastAsia="Times New Roman"/>
        </w:rPr>
        <w:lastRenderedPageBreak/>
        <w:t>such small claims. Recent amendments challenge this assumption for higher-value road traff</w:t>
      </w:r>
      <w:r>
        <w:rPr>
          <w:rFonts w:eastAsia="Times New Roman"/>
        </w:rPr>
        <w:t xml:space="preserve">ic injury claims up to £5,000. </w:t>
      </w:r>
    </w:p>
    <w:p w14:paraId="174C6FE3" w14:textId="77777777" w:rsidR="007F066B" w:rsidRDefault="007F066B" w:rsidP="00AA7759">
      <w:pPr>
        <w:pStyle w:val="Heading1"/>
        <w:rPr>
          <w:rFonts w:eastAsia="Times New Roman"/>
        </w:rPr>
      </w:pPr>
      <w:bookmarkStart w:id="3" w:name="_Toc161421219"/>
      <w:r w:rsidRPr="007F066B">
        <w:rPr>
          <w:rFonts w:eastAsia="Times New Roman"/>
        </w:rPr>
        <w:t>The Whiplash Reforms</w:t>
      </w:r>
      <w:bookmarkEnd w:id="3"/>
    </w:p>
    <w:p w14:paraId="6A6D10AC" w14:textId="77777777" w:rsidR="007F066B" w:rsidRDefault="007F066B" w:rsidP="00AA7759">
      <w:pPr>
        <w:jc w:val="both"/>
        <w:rPr>
          <w:rFonts w:eastAsia="Times New Roman"/>
        </w:rPr>
      </w:pPr>
      <w:r w:rsidRPr="007F066B">
        <w:rPr>
          <w:rFonts w:eastAsia="Times New Roman"/>
        </w:rPr>
        <w:t>The Civil Liability Act 2018 raised the small claims track limit for whiplash and other minor soft tissue injuries from road traffic incidents</w:t>
      </w:r>
      <w:r w:rsidR="000D254D">
        <w:rPr>
          <w:rFonts w:eastAsia="Times New Roman"/>
        </w:rPr>
        <w:t xml:space="preserve"> (</w:t>
      </w:r>
      <w:r w:rsidR="000D254D" w:rsidRPr="007F066B">
        <w:t>C</w:t>
      </w:r>
      <w:r w:rsidR="000D254D">
        <w:t xml:space="preserve">ivil Liability Act 2018, c.29, </w:t>
      </w:r>
      <w:r w:rsidR="000D254D" w:rsidRPr="007F066B">
        <w:t>2018).</w:t>
      </w:r>
      <w:r w:rsidRPr="007F066B">
        <w:rPr>
          <w:rFonts w:eastAsia="Times New Roman"/>
        </w:rPr>
        <w:t xml:space="preserve"> Whiplash injuries </w:t>
      </w:r>
      <w:r w:rsidR="000D254D">
        <w:rPr>
          <w:rFonts w:eastAsia="Times New Roman"/>
        </w:rPr>
        <w:t xml:space="preserve">are </w:t>
      </w:r>
      <w:r w:rsidRPr="007F066B">
        <w:rPr>
          <w:rFonts w:eastAsia="Times New Roman"/>
        </w:rPr>
        <w:t>a whiplash-associated disorder...of soft</w:t>
      </w:r>
      <w:r w:rsidR="000D254D">
        <w:rPr>
          <w:rFonts w:eastAsia="Times New Roman"/>
        </w:rPr>
        <w:t xml:space="preserve"> tissue in the cervical region.</w:t>
      </w:r>
      <w:r w:rsidRPr="007F066B">
        <w:rPr>
          <w:rFonts w:eastAsia="Times New Roman"/>
        </w:rPr>
        <w:t xml:space="preserve"> Section 1 allows the Lord Chancellor to raise the small claims limit to £5,000 by secondary legislation. The Whiplash Injury Regulations 2021 took effect on 31 May 2021</w:t>
      </w:r>
      <w:r w:rsidR="000D254D">
        <w:rPr>
          <w:rFonts w:eastAsia="Times New Roman"/>
        </w:rPr>
        <w:t xml:space="preserve"> (</w:t>
      </w:r>
      <w:r w:rsidR="000D254D">
        <w:t xml:space="preserve">Ministry of Justice, </w:t>
      </w:r>
      <w:r w:rsidR="000D254D" w:rsidRPr="006A007C">
        <w:t>2021</w:t>
      </w:r>
      <w:r w:rsidR="000D254D">
        <w:t>)</w:t>
      </w:r>
      <w:r w:rsidRPr="007F066B">
        <w:rPr>
          <w:rFonts w:eastAsia="Times New Roman"/>
        </w:rPr>
        <w:t>. In addition, Part 27 of the CPR was altered to provide unique processes for whiplash injury small claims cases worth £1,000–£5,000. Claimants must present pre-trial medical reports and whiplash injury medical documents. Hearings allow defendants to get more medical and oral evidence</w:t>
      </w:r>
      <w:r w:rsidR="000D254D">
        <w:rPr>
          <w:rFonts w:eastAsia="Times New Roman"/>
        </w:rPr>
        <w:t xml:space="preserve"> (</w:t>
      </w:r>
      <w:r w:rsidR="000D254D" w:rsidRPr="006A007C">
        <w:t>Whiplash Injury</w:t>
      </w:r>
      <w:r w:rsidR="000D254D">
        <w:t xml:space="preserve">, </w:t>
      </w:r>
      <w:r w:rsidR="000D254D">
        <w:rPr>
          <w:rFonts w:eastAsia="Times New Roman"/>
        </w:rPr>
        <w:t>2021)</w:t>
      </w:r>
      <w:r w:rsidRPr="007F066B">
        <w:rPr>
          <w:rFonts w:eastAsia="Times New Roman"/>
        </w:rPr>
        <w:t xml:space="preserve"> The Ministry of Justice's new online Official Injury Claim program handles all whiplash claims. The government argues these amendments protect real whiplash claimants while reducing unmeritorious claims driven by excessive litigation expenses</w:t>
      </w:r>
      <w:r w:rsidR="000D254D">
        <w:rPr>
          <w:rFonts w:eastAsia="Times New Roman"/>
        </w:rPr>
        <w:t xml:space="preserve"> (</w:t>
      </w:r>
      <w:r w:rsidR="000D254D" w:rsidRPr="006A007C">
        <w:t>Associati</w:t>
      </w:r>
      <w:r w:rsidR="000D254D">
        <w:t xml:space="preserve">on of Personal Injury Lawyers, </w:t>
      </w:r>
      <w:r w:rsidR="000D254D" w:rsidRPr="006A007C">
        <w:t>2021).</w:t>
      </w:r>
      <w:r w:rsidRPr="007F066B">
        <w:rPr>
          <w:rFonts w:eastAsia="Times New Roman"/>
        </w:rPr>
        <w:t xml:space="preserve"> They expect £1.2 billion in premium savings for individual and commercial motorists. According to claimant groups, the revisions create unjust hurdles and hinder meritorious claim</w:t>
      </w:r>
      <w:r>
        <w:rPr>
          <w:rFonts w:eastAsia="Times New Roman"/>
        </w:rPr>
        <w:t xml:space="preserve">s, limiting access to justice. </w:t>
      </w:r>
    </w:p>
    <w:p w14:paraId="75257754" w14:textId="77777777" w:rsidR="007F066B" w:rsidRDefault="007F066B" w:rsidP="00AA7759">
      <w:pPr>
        <w:pStyle w:val="Heading1"/>
        <w:rPr>
          <w:rFonts w:eastAsia="Times New Roman"/>
        </w:rPr>
      </w:pPr>
      <w:bookmarkStart w:id="4" w:name="_Toc161421220"/>
      <w:r w:rsidRPr="007F066B">
        <w:rPr>
          <w:rFonts w:eastAsia="Times New Roman"/>
        </w:rPr>
        <w:t>Potential Impact on Litigants in Person</w:t>
      </w:r>
      <w:bookmarkEnd w:id="4"/>
    </w:p>
    <w:p w14:paraId="395FB5C5" w14:textId="77777777" w:rsidR="007F066B" w:rsidRDefault="007F066B" w:rsidP="00AA7759">
      <w:pPr>
        <w:jc w:val="both"/>
        <w:rPr>
          <w:rFonts w:eastAsia="Times New Roman"/>
        </w:rPr>
      </w:pPr>
      <w:r w:rsidRPr="007F066B">
        <w:rPr>
          <w:rFonts w:eastAsia="Times New Roman"/>
        </w:rPr>
        <w:t>The key question is whether more claimants would file actions in person for these newly classified whiplash injury minor claims worth £1,000 to £5,000. Before the amendments, such cases may be fast-tracked to collect legal fees</w:t>
      </w:r>
      <w:r w:rsidR="000D254D">
        <w:rPr>
          <w:rFonts w:eastAsia="Times New Roman"/>
        </w:rPr>
        <w:t xml:space="preserve"> (</w:t>
      </w:r>
      <w:r w:rsidR="000D254D" w:rsidRPr="006A007C">
        <w:t>Whiplash Injury</w:t>
      </w:r>
      <w:r w:rsidR="000D254D">
        <w:t>,</w:t>
      </w:r>
      <w:r w:rsidR="000D254D">
        <w:rPr>
          <w:rFonts w:eastAsia="Times New Roman"/>
        </w:rPr>
        <w:t xml:space="preserve"> 2021) D</w:t>
      </w:r>
      <w:r w:rsidRPr="007F066B">
        <w:rPr>
          <w:rFonts w:eastAsia="Times New Roman"/>
        </w:rPr>
        <w:t xml:space="preserve">efendants may only recover £500 for lawyers and £180 for a medical report, regardless of a claim's worth between </w:t>
      </w:r>
      <w:r w:rsidRPr="007F066B">
        <w:rPr>
          <w:rFonts w:eastAsia="Times New Roman"/>
        </w:rPr>
        <w:lastRenderedPageBreak/>
        <w:t>£1,000 and £5,000. This seldom covers a solicitor's expenses, encouraging claimants to go it alone to avoid shortages. Being a litigant in person presents obstacles for personal injury plaintiffs beyond court processes. They must gather and submit medical information, evaluate quantum, and handle defendant accusations and requests for further proof. The new Part 27 processes need more evidence than ordinary small claims cases, whic</w:t>
      </w:r>
      <w:r>
        <w:rPr>
          <w:rFonts w:eastAsia="Times New Roman"/>
        </w:rPr>
        <w:t xml:space="preserve">h may exacerbate these issues. </w:t>
      </w:r>
    </w:p>
    <w:p w14:paraId="27CD21C2" w14:textId="77777777" w:rsidR="007F066B" w:rsidRDefault="007F066B" w:rsidP="00AA7759">
      <w:pPr>
        <w:jc w:val="both"/>
        <w:rPr>
          <w:rFonts w:eastAsia="Times New Roman"/>
        </w:rPr>
      </w:pPr>
      <w:r w:rsidRPr="007F066B">
        <w:rPr>
          <w:rFonts w:eastAsia="Times New Roman"/>
        </w:rPr>
        <w:t>The measures' supporters say this should promote only meritorious lawsuits and prohibit small, opportunistic proceedings where legal expenses previously motivated pursuit regardless of claim strength. In this view, more in-person litigants indicate more educated and involved customers. Strong claimants may choose self-representation because fixed expenses limit professional fees subtracted from damages. Critics say the improvements create a loop that reduces justice. Without early legal counsel, plaintiffs may struggle to determine whether their claim has merit, resulting to case withdrawal. In marginal cases judged worthy, plaintiffs in person struggle to collect evidence and argue effectively compared to defendant insurers' resources and skill. These circumstances make any rise of in-person litigants worrying for equality of arms. Policy issues are also present. The Association of Personal Injury Lawyers claims the revisions neglected to consider the effects on claimants with impairments, linguistic challenges, or vulnerabilities who cannot self-represent</w:t>
      </w:r>
      <w:r w:rsidR="000D254D">
        <w:rPr>
          <w:rFonts w:eastAsia="Times New Roman"/>
        </w:rPr>
        <w:t xml:space="preserve"> (</w:t>
      </w:r>
      <w:r w:rsidR="000D254D" w:rsidRPr="006A007C">
        <w:t>Associati</w:t>
      </w:r>
      <w:r w:rsidR="000D254D">
        <w:t xml:space="preserve">on of Personal Injury Lawyers, </w:t>
      </w:r>
      <w:r w:rsidR="000D254D" w:rsidRPr="006A007C">
        <w:t>2021).</w:t>
      </w:r>
      <w:r w:rsidRPr="007F066B">
        <w:rPr>
          <w:rFonts w:eastAsia="Times New Roman"/>
        </w:rPr>
        <w:t xml:space="preserve"> The amendments may unfairly prioritize insurer profits above claimant rights as consumers entitled to competent legal services in a properly regulate</w:t>
      </w:r>
      <w:r>
        <w:rPr>
          <w:rFonts w:eastAsia="Times New Roman"/>
        </w:rPr>
        <w:t xml:space="preserve">d system. </w:t>
      </w:r>
    </w:p>
    <w:p w14:paraId="0394C521" w14:textId="77777777" w:rsidR="007F066B" w:rsidRDefault="007F066B" w:rsidP="00AA7759">
      <w:pPr>
        <w:pStyle w:val="Heading1"/>
        <w:rPr>
          <w:rFonts w:eastAsia="Times New Roman"/>
        </w:rPr>
      </w:pPr>
      <w:bookmarkStart w:id="5" w:name="_Toc161421221"/>
      <w:r w:rsidRPr="007F066B">
        <w:rPr>
          <w:rFonts w:eastAsia="Times New Roman"/>
        </w:rPr>
        <w:t>Impact on Overriding Objective</w:t>
      </w:r>
      <w:bookmarkEnd w:id="5"/>
    </w:p>
    <w:p w14:paraId="7D5B388F" w14:textId="77777777" w:rsidR="007F066B" w:rsidRDefault="007F066B" w:rsidP="00AA7759">
      <w:pPr>
        <w:jc w:val="both"/>
        <w:rPr>
          <w:rFonts w:eastAsia="Times New Roman"/>
        </w:rPr>
      </w:pPr>
      <w:r>
        <w:rPr>
          <w:rFonts w:eastAsia="Times New Roman"/>
        </w:rPr>
        <w:t>T</w:t>
      </w:r>
      <w:r w:rsidRPr="007F066B">
        <w:rPr>
          <w:rFonts w:eastAsia="Times New Roman"/>
        </w:rPr>
        <w:t>he CPR's overarching goal is to resolve matters fairly while conserving money, preserving procedural equity, allocating court resources, and complying with rules, practice directions, and orders</w:t>
      </w:r>
      <w:r>
        <w:rPr>
          <w:rFonts w:eastAsia="Times New Roman"/>
        </w:rPr>
        <w:t xml:space="preserve"> in Part 1.</w:t>
      </w:r>
      <w:r w:rsidRPr="007F066B">
        <w:rPr>
          <w:rFonts w:eastAsia="Times New Roman"/>
        </w:rPr>
        <w:t xml:space="preserve"> The court must consider party finances and the need to deploy </w:t>
      </w:r>
      <w:r w:rsidRPr="007F066B">
        <w:rPr>
          <w:rFonts w:eastAsia="Times New Roman"/>
        </w:rPr>
        <w:lastRenderedPageBreak/>
        <w:t>resources proportionally given case significance and complexity when choosing a case management strategy (CPR 1.1(2)). The whiplash regulations may have prioritized costs containment and rapid claims processing for a growing category of road traffic cases above equality of arms. In Part 1, lowering adversarial costs culture is recognized (CPR 1.1(2)(c)), but fairness is considered. Increasing in-person litigant’s increases pressure to uphold the overarching goal. To maintain procedural equality between represented and unrepresented parties, the court may need to actively case manage such claims (CPR 1.4(2)(a)). The revived whiplash small claims framework may make it harder for the court to reconcile the overarching p</w:t>
      </w:r>
      <w:r>
        <w:rPr>
          <w:rFonts w:eastAsia="Times New Roman"/>
        </w:rPr>
        <w:t xml:space="preserve">urpose across all its aspects. </w:t>
      </w:r>
    </w:p>
    <w:p w14:paraId="2F95C148" w14:textId="77777777" w:rsidR="007F066B" w:rsidRDefault="007F066B" w:rsidP="00AA7759">
      <w:pPr>
        <w:pStyle w:val="Heading1"/>
        <w:rPr>
          <w:rFonts w:eastAsia="Times New Roman"/>
        </w:rPr>
      </w:pPr>
      <w:bookmarkStart w:id="6" w:name="_Toc161421222"/>
      <w:r w:rsidRPr="007F066B">
        <w:rPr>
          <w:rFonts w:eastAsia="Times New Roman"/>
        </w:rPr>
        <w:t>Access to Justice and Advice</w:t>
      </w:r>
      <w:bookmarkEnd w:id="6"/>
    </w:p>
    <w:p w14:paraId="1F24C040" w14:textId="77777777" w:rsidR="007F066B" w:rsidRDefault="007F066B" w:rsidP="00AA7759">
      <w:pPr>
        <w:jc w:val="both"/>
        <w:rPr>
          <w:rFonts w:eastAsia="Times New Roman"/>
        </w:rPr>
      </w:pPr>
      <w:r>
        <w:rPr>
          <w:rFonts w:eastAsia="Times New Roman"/>
        </w:rPr>
        <w:t>The</w:t>
      </w:r>
      <w:r w:rsidRPr="007F066B">
        <w:rPr>
          <w:rFonts w:eastAsia="Times New Roman"/>
        </w:rPr>
        <w:t xml:space="preserve"> amendments affect the constitutional concept of access to justice established by the Human Rights Act 1998 and Article 6 of the European Convention on Human Rights</w:t>
      </w:r>
      <w:r w:rsidR="000D254D">
        <w:rPr>
          <w:rFonts w:eastAsia="Times New Roman"/>
        </w:rPr>
        <w:t xml:space="preserve"> (</w:t>
      </w:r>
      <w:r w:rsidR="000D254D" w:rsidRPr="007F066B">
        <w:t>Civil Procedure Rules 1998, c.51</w:t>
      </w:r>
      <w:r w:rsidR="000D254D">
        <w:t xml:space="preserve">, </w:t>
      </w:r>
      <w:r w:rsidR="000D254D" w:rsidRPr="007F066B">
        <w:t>2020).</w:t>
      </w:r>
      <w:r w:rsidRPr="007F066B">
        <w:rPr>
          <w:rFonts w:eastAsia="Times New Roman"/>
        </w:rPr>
        <w:t xml:space="preserve"> This assures access to court and equal arms between parties for a fair trial. Article 6 does not provide legal counsel in civil cases if aid is not necessary for effective court access. Limitations cannot unjustly limit the right's core. Reformers say the £5,000 ceiling and fixed charges strike a compromise between excluding unrepresented litigants from court and allowing cost recovery for claims under £1,000</w:t>
      </w:r>
      <w:r w:rsidR="000D254D">
        <w:rPr>
          <w:rFonts w:eastAsia="Times New Roman"/>
        </w:rPr>
        <w:t xml:space="preserve"> (</w:t>
      </w:r>
      <w:r w:rsidR="000D254D" w:rsidRPr="007F066B">
        <w:t>Civil Procedure Rules 1998, c.51</w:t>
      </w:r>
      <w:r w:rsidR="000D254D">
        <w:t xml:space="preserve">, </w:t>
      </w:r>
      <w:r w:rsidR="000D254D" w:rsidRPr="007F066B">
        <w:t>2020).</w:t>
      </w:r>
      <w:r w:rsidRPr="007F066B">
        <w:rPr>
          <w:rFonts w:eastAsia="Times New Roman"/>
        </w:rPr>
        <w:t xml:space="preserve"> Critics say the proof requirements for whiplash claims up to £5,000 make legal counsel and repres</w:t>
      </w:r>
      <w:r>
        <w:rPr>
          <w:rFonts w:eastAsia="Times New Roman"/>
        </w:rPr>
        <w:t xml:space="preserve">entation necessary. </w:t>
      </w:r>
    </w:p>
    <w:p w14:paraId="5FF0099A" w14:textId="77777777" w:rsidR="007F066B" w:rsidRDefault="007F066B" w:rsidP="00AA7759">
      <w:pPr>
        <w:jc w:val="both"/>
        <w:rPr>
          <w:rFonts w:eastAsia="Times New Roman"/>
        </w:rPr>
      </w:pPr>
      <w:r w:rsidRPr="007F066B">
        <w:rPr>
          <w:rFonts w:eastAsia="Times New Roman"/>
        </w:rPr>
        <w:t xml:space="preserve">The common law has long guaranteed a reasonable opportunity of having a case properly put before the court and competent professional help (R v Secretary of State for the Home Department, ex p. Saleem [2000]). While not a right to free or publicly financed counsel, high fees must not prevent this fair chance. The stricter whiplash system may apply this concept if too few </w:t>
      </w:r>
      <w:r w:rsidRPr="007F066B">
        <w:rPr>
          <w:rFonts w:eastAsia="Times New Roman"/>
        </w:rPr>
        <w:lastRenderedPageBreak/>
        <w:t>claimants can pay or access competent legal services for £1,000-£5,000 claims. Broader consumer public interest issues are involved. Whiplash claims are claimant-driven yet governed by attorneys, insurers, medical specialists, and regulatory organizations. The revisions favor direct customer-supplier ties without professional consultants, which might weaken consumer pr</w:t>
      </w:r>
      <w:r>
        <w:rPr>
          <w:rFonts w:eastAsia="Times New Roman"/>
        </w:rPr>
        <w:t xml:space="preserve">otection regulations. </w:t>
      </w:r>
    </w:p>
    <w:p w14:paraId="16AD352F" w14:textId="77777777" w:rsidR="007F066B" w:rsidRDefault="007F066B" w:rsidP="00AA7759">
      <w:pPr>
        <w:pStyle w:val="Heading1"/>
        <w:rPr>
          <w:rFonts w:eastAsia="Times New Roman"/>
        </w:rPr>
      </w:pPr>
      <w:bookmarkStart w:id="7" w:name="_Toc161421223"/>
      <w:r w:rsidRPr="007F066B">
        <w:rPr>
          <w:rFonts w:eastAsia="Times New Roman"/>
        </w:rPr>
        <w:t>Legislating in Fairness and Proportionality</w:t>
      </w:r>
      <w:bookmarkEnd w:id="7"/>
    </w:p>
    <w:p w14:paraId="0DDE168E" w14:textId="77777777" w:rsidR="007F066B" w:rsidRDefault="007F066B" w:rsidP="00AA7759">
      <w:pPr>
        <w:jc w:val="both"/>
        <w:rPr>
          <w:rFonts w:eastAsia="Times New Roman"/>
        </w:rPr>
      </w:pPr>
      <w:r w:rsidRPr="007F066B">
        <w:rPr>
          <w:rFonts w:eastAsia="Times New Roman"/>
        </w:rPr>
        <w:t xml:space="preserve">The whiplash regulations sought to halt opportunistic and fraudulent whiplash claims, which were encouraged by a legal fees structure. The administration cited numbers before and after comparable changes in Ireland showing considerable insurance premium savings if we followed a similar course. Opponents of the policies severely challenge this evidence foundation and its assumptions. They say the insurance industry's profitability and claims-control conflict of interest were overlooked. Insufficient regulatory and judicial influence into cost-procedure balance is also criticized. Sections 4-11 of the Civil Liability Act 2018 increased claims company regulation and professional enablement duties, including whiplash certification by medical experts. Some believe that addressing regulatory loopholes and ensuring only legitimate lawsuits advance does not need major jurisdictional change prioritizing </w:t>
      </w:r>
      <w:r>
        <w:rPr>
          <w:rFonts w:eastAsia="Times New Roman"/>
        </w:rPr>
        <w:t xml:space="preserve">insurers' financial interests. </w:t>
      </w:r>
    </w:p>
    <w:p w14:paraId="1C140E32" w14:textId="77777777" w:rsidR="007F066B" w:rsidRDefault="007F066B" w:rsidP="00AA7759">
      <w:pPr>
        <w:jc w:val="both"/>
        <w:rPr>
          <w:rFonts w:eastAsia="Times New Roman"/>
        </w:rPr>
      </w:pPr>
      <w:r w:rsidRPr="007F066B">
        <w:rPr>
          <w:rFonts w:eastAsia="Times New Roman"/>
        </w:rPr>
        <w:t>Whether real whiplash claims of over £1,000 need a procedural track restricting legal assistance and representation is questioned. Consequently, genuine claims may be ignored or insufficiently pursued. This requires fair processes under constitutional guarantees like Article 6 ECHR. The government argues the revamped system balances access to justice with minor injury claim predominance and frictional costs. The question is whether qualified one-way costs shifting can reduce the likelihood of plaintiffs being overmatched by insurance defendants in thi</w:t>
      </w:r>
      <w:r>
        <w:rPr>
          <w:rFonts w:eastAsia="Times New Roman"/>
        </w:rPr>
        <w:t xml:space="preserve">s high-volume claims corridor. </w:t>
      </w:r>
    </w:p>
    <w:p w14:paraId="48714804" w14:textId="77777777" w:rsidR="007F066B" w:rsidRDefault="007F066B" w:rsidP="00AA7759">
      <w:pPr>
        <w:pStyle w:val="Heading1"/>
        <w:rPr>
          <w:rFonts w:eastAsia="Times New Roman"/>
        </w:rPr>
      </w:pPr>
      <w:bookmarkStart w:id="8" w:name="_Toc161421224"/>
      <w:r w:rsidRPr="007F066B">
        <w:rPr>
          <w:rFonts w:eastAsia="Times New Roman"/>
        </w:rPr>
        <w:lastRenderedPageBreak/>
        <w:t>Judicial and Regulatory Oversight</w:t>
      </w:r>
      <w:bookmarkEnd w:id="8"/>
    </w:p>
    <w:p w14:paraId="3CE48F9B" w14:textId="77777777" w:rsidR="007F066B" w:rsidRDefault="007F066B" w:rsidP="00AA7759">
      <w:pPr>
        <w:jc w:val="both"/>
        <w:rPr>
          <w:rFonts w:eastAsia="Times New Roman"/>
        </w:rPr>
      </w:pPr>
      <w:r w:rsidRPr="007F066B">
        <w:rPr>
          <w:rFonts w:eastAsia="Times New Roman"/>
        </w:rPr>
        <w:t xml:space="preserve">Reforming minor claims increases judicial discretion and monitoring. More cases will be heard in person under the enlarged minor claims track. This requires the judge to vigorously utilize CPR 1.4 case management and Part 27 evidence control authorities. To maintain equality of arms and avoid procedural ambushes or excessive adversarialism from hampering litigants in person's fair chance to make their case, a more proactive and involved role may be needed. This might strain a judicial system already overburdened with cases. To improve fair and quality decision-making, expert evidence may require further scrutiny. The altered environment exerts increased pressure on regulators like the Financial Conduct Authority due to the rise of claims management businesses and other unregulated intermediaries. These regulations support unrepresented parties' access to quality professional counsel without expense or conflict. Although the changes boost direct consumer transactions, they also raise systemic dependence on indirect professional enabling services for litigation. As litigants in person increase, provider oversight and conflict avoidance will be crucial to consumer protection. </w:t>
      </w:r>
    </w:p>
    <w:p w14:paraId="2765F218" w14:textId="77777777" w:rsidR="007F066B" w:rsidRDefault="007F066B" w:rsidP="00AA7759">
      <w:pPr>
        <w:pStyle w:val="Heading1"/>
        <w:rPr>
          <w:rFonts w:eastAsia="Times New Roman"/>
        </w:rPr>
      </w:pPr>
      <w:bookmarkStart w:id="9" w:name="_Toc161421225"/>
      <w:r w:rsidRPr="007F066B">
        <w:rPr>
          <w:rFonts w:eastAsia="Times New Roman"/>
        </w:rPr>
        <w:t>Pre-Action Protocols and Early Dispute Resolution</w:t>
      </w:r>
      <w:bookmarkEnd w:id="9"/>
    </w:p>
    <w:p w14:paraId="63511C9E" w14:textId="77777777" w:rsidR="00AA7759" w:rsidRPr="00AA7759" w:rsidRDefault="007F066B" w:rsidP="00AA7759">
      <w:pPr>
        <w:jc w:val="both"/>
        <w:rPr>
          <w:rFonts w:eastAsia="Times New Roman"/>
        </w:rPr>
      </w:pPr>
      <w:r>
        <w:rPr>
          <w:rFonts w:eastAsia="Times New Roman"/>
        </w:rPr>
        <w:t>T</w:t>
      </w:r>
      <w:r w:rsidRPr="007F066B">
        <w:rPr>
          <w:rFonts w:eastAsia="Times New Roman"/>
        </w:rPr>
        <w:t xml:space="preserve">he amendments may lead to more parties failing to comply with the Pre-Action Protocol for Personal Injury Claims' early disclosure, information exchange, and negotiating obligations. Both parties agreed pre-action cost fines for inappropriate behavior might offset trial expenses. Without representing parties risking such costly penalties, the pre-action approach may lose its effectiveness in limiting disputes and settling pre-trial. This might strain judicial resources and hinder proportional conflict settlement. The Ministry of Justice's new Official Injury Claim site includes online bargaining to mitigate these risks. However, identifying and punishing unjustified </w:t>
      </w:r>
      <w:r w:rsidRPr="007F066B">
        <w:rPr>
          <w:rFonts w:eastAsia="Times New Roman"/>
        </w:rPr>
        <w:lastRenderedPageBreak/>
        <w:t xml:space="preserve">behavior, particularly against unregulated claims middlemen, remains an issue. Without expert help, recognizing and supporting </w:t>
      </w:r>
      <w:r>
        <w:rPr>
          <w:rFonts w:eastAsia="Times New Roman"/>
        </w:rPr>
        <w:t xml:space="preserve">vulnerabilities is difficult. </w:t>
      </w:r>
      <w:r w:rsidR="00AA7759" w:rsidRPr="00AA7759">
        <w:rPr>
          <w:rFonts w:eastAsia="Times New Roman"/>
        </w:rPr>
        <w:t>Part 36: Legal System Planning</w:t>
      </w:r>
    </w:p>
    <w:p w14:paraId="39C3BBDB" w14:textId="77777777" w:rsidR="00AA7759" w:rsidRPr="00AA7759" w:rsidRDefault="00AA7759" w:rsidP="00AA7759">
      <w:pPr>
        <w:jc w:val="both"/>
        <w:rPr>
          <w:rFonts w:eastAsia="Times New Roman"/>
        </w:rPr>
      </w:pPr>
      <w:r w:rsidRPr="00AA7759">
        <w:rPr>
          <w:rFonts w:eastAsia="Times New Roman"/>
        </w:rPr>
        <w:t>In personal injury disputes, Part 36 offers are crucial settlement strategies. After the Whiplash Injury Regulations 2021 and Civil Procedure Rules 1998 modifications, Part 36 offers are used differently. With the small claims track limit rising, claimants, especially unrepresented ones, face many issues when making or accepting offers. Strategically deploying Part 36 proposals may affect the case and get the other side to settle. Since the modifications have made it more normal for people to go to court alone due to excessive fees, this is crucial.</w:t>
      </w:r>
    </w:p>
    <w:p w14:paraId="250A8DF6" w14:textId="77777777" w:rsidR="00AA7759" w:rsidRPr="00AA7759" w:rsidRDefault="00AA7759" w:rsidP="00AA7759">
      <w:pPr>
        <w:jc w:val="both"/>
        <w:rPr>
          <w:rFonts w:eastAsia="Times New Roman"/>
        </w:rPr>
      </w:pPr>
    </w:p>
    <w:p w14:paraId="20F4E232" w14:textId="77777777" w:rsidR="00AA7759" w:rsidRPr="00AA7759" w:rsidRDefault="00AA7759" w:rsidP="00AA7759">
      <w:pPr>
        <w:jc w:val="both"/>
        <w:rPr>
          <w:rFonts w:eastAsia="Times New Roman"/>
        </w:rPr>
      </w:pPr>
      <w:r w:rsidRPr="00AA7759">
        <w:rPr>
          <w:rFonts w:eastAsia="Times New Roman"/>
        </w:rPr>
        <w:t>Early Settlement and Pre-Action Protocol</w:t>
      </w:r>
    </w:p>
    <w:p w14:paraId="6D966B1B" w14:textId="14C5B25A" w:rsidR="00AA7759" w:rsidRPr="00AA7759" w:rsidRDefault="00AA7759" w:rsidP="00AA7759">
      <w:pPr>
        <w:jc w:val="both"/>
        <w:rPr>
          <w:rFonts w:eastAsia="Times New Roman"/>
        </w:rPr>
      </w:pPr>
      <w:r w:rsidRPr="00AA7759">
        <w:rPr>
          <w:rFonts w:eastAsia="Times New Roman"/>
        </w:rPr>
        <w:t xml:space="preserve">The Pre-Action Protocol for Personal Injury Claims requires early information sharing and negotiations to resolve disputes without going to court. This regulation is crucial for in-person plaintiffs in the early stages. </w:t>
      </w:r>
    </w:p>
    <w:p w14:paraId="3E97EDEF" w14:textId="77777777" w:rsidR="00AA7759" w:rsidRPr="00AA7759" w:rsidRDefault="00AA7759" w:rsidP="00AA7759">
      <w:pPr>
        <w:jc w:val="both"/>
        <w:rPr>
          <w:rFonts w:eastAsia="Times New Roman"/>
        </w:rPr>
      </w:pPr>
    </w:p>
    <w:p w14:paraId="658FBEB7" w14:textId="77777777" w:rsidR="00AA7759" w:rsidRPr="00AA7759" w:rsidRDefault="00AA7759" w:rsidP="00AA7759">
      <w:pPr>
        <w:jc w:val="both"/>
        <w:rPr>
          <w:rFonts w:eastAsia="Times New Roman"/>
        </w:rPr>
      </w:pPr>
      <w:r w:rsidRPr="00AA7759">
        <w:rPr>
          <w:rFonts w:eastAsia="Times New Roman"/>
        </w:rPr>
        <w:t>How legislation and common law changes effect things</w:t>
      </w:r>
    </w:p>
    <w:p w14:paraId="56946AF7" w14:textId="77777777" w:rsidR="00AA7759" w:rsidRPr="00AA7759" w:rsidRDefault="00AA7759" w:rsidP="00AA7759">
      <w:pPr>
        <w:jc w:val="both"/>
        <w:rPr>
          <w:rFonts w:eastAsia="Times New Roman"/>
        </w:rPr>
      </w:pPr>
      <w:r w:rsidRPr="00AA7759">
        <w:rPr>
          <w:rFonts w:eastAsia="Times New Roman"/>
        </w:rPr>
        <w:t>The correct balance between legal innovations and common law notions is difficult. Raising the minimal sum for small personal injury claims in the Civil Liability Act 2018 affects the laws significantly. Standard common law approaches to personal harm and compensation must be reconsidered due to this development. The statute significantly impacts fairness and access to justice, in line with the history of human rights and legal advice, as detailed by Çalı and Hatas (2021) and Ewing (1998). It's necessary to consider how these legal changes affect common law principles, especially when it comes to in-person plaintiffs' rights and duties (Civil Liability Act 2018, c.29).</w:t>
      </w:r>
    </w:p>
    <w:p w14:paraId="16D86292" w14:textId="77777777" w:rsidR="00AA7759" w:rsidRPr="00AA7759" w:rsidRDefault="00AA7759" w:rsidP="00AA7759">
      <w:pPr>
        <w:jc w:val="both"/>
        <w:rPr>
          <w:rFonts w:eastAsia="Times New Roman"/>
        </w:rPr>
      </w:pPr>
    </w:p>
    <w:p w14:paraId="064A308B" w14:textId="77777777" w:rsidR="00AA7759" w:rsidRPr="00AA7759" w:rsidRDefault="00AA7759" w:rsidP="00AA7759">
      <w:pPr>
        <w:jc w:val="both"/>
        <w:rPr>
          <w:rFonts w:eastAsia="Times New Roman"/>
        </w:rPr>
      </w:pPr>
      <w:r w:rsidRPr="00AA7759">
        <w:rPr>
          <w:rFonts w:eastAsia="Times New Roman"/>
        </w:rPr>
        <w:t>Pros and drawbacks of justice vs. cost savings</w:t>
      </w:r>
    </w:p>
    <w:p w14:paraId="6734EC22" w14:textId="77777777" w:rsidR="00AA7759" w:rsidRPr="00AA7759" w:rsidRDefault="00AA7759" w:rsidP="00AA7759">
      <w:pPr>
        <w:jc w:val="both"/>
        <w:rPr>
          <w:rFonts w:eastAsia="Times New Roman"/>
        </w:rPr>
      </w:pPr>
      <w:r w:rsidRPr="00AA7759">
        <w:rPr>
          <w:rFonts w:eastAsia="Times New Roman"/>
        </w:rPr>
        <w:t>The improvements strike a delicate mix between improving justice and decreasing court costs. Supporters suggest that the increased minor claims track limit and simpler whiplash claims processes will reduce unnecessary lawsuits and insurance premiums (Ministry of Justice, 2021). But some think these changes make it tougher to seek justice, especially for claimants who go through the court system alone. The discussion extends beyond the European Convention on Human Rights to human rights and equality before the law (Council of Europe, 2014; Svensson-McCarthy, 2021).</w:t>
      </w:r>
    </w:p>
    <w:p w14:paraId="7453B18F" w14:textId="77777777" w:rsidR="00AA7759" w:rsidRPr="00AA7759" w:rsidRDefault="00AA7759" w:rsidP="00AA7759">
      <w:pPr>
        <w:jc w:val="both"/>
        <w:rPr>
          <w:rFonts w:eastAsia="Times New Roman"/>
        </w:rPr>
      </w:pPr>
    </w:p>
    <w:p w14:paraId="49CFB9A7" w14:textId="77777777" w:rsidR="00AA7759" w:rsidRPr="00AA7759" w:rsidRDefault="00AA7759" w:rsidP="00AA7759">
      <w:pPr>
        <w:jc w:val="both"/>
        <w:rPr>
          <w:rFonts w:eastAsia="Times New Roman"/>
        </w:rPr>
      </w:pPr>
      <w:r w:rsidRPr="00AA7759">
        <w:rPr>
          <w:rFonts w:eastAsia="Times New Roman"/>
        </w:rPr>
        <w:t>How to Navigate the New Personal Injury Claims World</w:t>
      </w:r>
    </w:p>
    <w:p w14:paraId="41121B80" w14:textId="07081A5A" w:rsidR="00AA7759" w:rsidRPr="00AA7759" w:rsidRDefault="00AA7759" w:rsidP="00AA7759">
      <w:pPr>
        <w:jc w:val="both"/>
        <w:rPr>
          <w:rFonts w:eastAsia="Times New Roman"/>
        </w:rPr>
      </w:pPr>
      <w:r w:rsidRPr="00AA7759">
        <w:rPr>
          <w:rFonts w:eastAsia="Times New Roman"/>
        </w:rPr>
        <w:t xml:space="preserve">Finally, the 2021 personal injury minor claims process modifications will constitute major legal changes. These reforms are supposed to make things easier and cheaper, but they raise critical considerations about who gets justice, how Part 36 might be </w:t>
      </w:r>
      <w:r w:rsidR="003352C4" w:rsidRPr="00AA7759">
        <w:rPr>
          <w:rFonts w:eastAsia="Times New Roman"/>
        </w:rPr>
        <w:t>utilized</w:t>
      </w:r>
      <w:r w:rsidRPr="00AA7759">
        <w:rPr>
          <w:rFonts w:eastAsia="Times New Roman"/>
        </w:rPr>
        <w:t xml:space="preserve"> strategically, and how statute and common law notions should function together. The shifting role of claimants in person in this new environment </w:t>
      </w:r>
      <w:r w:rsidR="003352C4" w:rsidRPr="00AA7759">
        <w:rPr>
          <w:rFonts w:eastAsia="Times New Roman"/>
        </w:rPr>
        <w:t>emphasizes</w:t>
      </w:r>
      <w:r w:rsidRPr="00AA7759">
        <w:rPr>
          <w:rFonts w:eastAsia="Times New Roman"/>
        </w:rPr>
        <w:t xml:space="preserve"> the need to carefully consider these changes. As lawyers adjust to these changes, they will likely explore how to make the new system fair and just (Association of Personal Injury Lawyers, 2021; Civil Procedure Rules 1998, c.51, 2020).</w:t>
      </w:r>
    </w:p>
    <w:p w14:paraId="6EB5E38D" w14:textId="77777777" w:rsidR="00AA7759" w:rsidRPr="00AA7759" w:rsidRDefault="00AA7759" w:rsidP="00AA7759">
      <w:pPr>
        <w:jc w:val="both"/>
        <w:rPr>
          <w:rFonts w:eastAsia="Times New Roman"/>
        </w:rPr>
      </w:pPr>
    </w:p>
    <w:p w14:paraId="52E78132" w14:textId="77777777" w:rsidR="00AA7759" w:rsidRPr="00AA7759" w:rsidRDefault="00AA7759" w:rsidP="00AA7759">
      <w:pPr>
        <w:jc w:val="both"/>
        <w:rPr>
          <w:rFonts w:eastAsia="Times New Roman"/>
        </w:rPr>
      </w:pPr>
    </w:p>
    <w:p w14:paraId="0D0552D2" w14:textId="16544770" w:rsidR="007F066B" w:rsidRDefault="007F066B" w:rsidP="00AA7759">
      <w:pPr>
        <w:jc w:val="both"/>
        <w:rPr>
          <w:rFonts w:eastAsia="Times New Roman"/>
        </w:rPr>
      </w:pPr>
    </w:p>
    <w:p w14:paraId="2046FC70" w14:textId="77777777" w:rsidR="007F066B" w:rsidRDefault="007F066B" w:rsidP="00AA7759">
      <w:pPr>
        <w:pStyle w:val="Heading1"/>
        <w:rPr>
          <w:rFonts w:eastAsia="Times New Roman"/>
        </w:rPr>
      </w:pPr>
      <w:bookmarkStart w:id="10" w:name="_Toc161421226"/>
      <w:r w:rsidRPr="007F066B">
        <w:rPr>
          <w:rFonts w:eastAsia="Times New Roman"/>
        </w:rPr>
        <w:lastRenderedPageBreak/>
        <w:t>Conclusion</w:t>
      </w:r>
      <w:bookmarkEnd w:id="10"/>
      <w:r w:rsidRPr="007F066B">
        <w:rPr>
          <w:rFonts w:eastAsia="Times New Roman"/>
        </w:rPr>
        <w:t xml:space="preserve"> </w:t>
      </w:r>
    </w:p>
    <w:p w14:paraId="5E4F065D" w14:textId="77777777" w:rsidR="007F066B" w:rsidRDefault="007F066B" w:rsidP="00AA7759">
      <w:pPr>
        <w:jc w:val="both"/>
        <w:rPr>
          <w:rFonts w:eastAsia="Times New Roman"/>
        </w:rPr>
      </w:pPr>
      <w:r w:rsidRPr="007F066B">
        <w:rPr>
          <w:rFonts w:eastAsia="Times New Roman"/>
        </w:rPr>
        <w:t>Cost incentives and simplified processes underpin the ambitious personal injury reforms, which change claimant and intermediary conduct. If implemented as planned, they might significantly decrease damages-based whiplash claims, shift more high-value claims to a sophisticated online portal, and cut legal and frictional expenses. However, a major question is whether the amendments would create new impediments to justice for harmed parties with reasonable claims for £1,000 to £5,000 in damages. The greater small claims limit eliminates most cost recovery incentives, suggesting more claimants may continue as litigants in person despite complicated procedural and evidence barriers. Proponents say this will sift out unmeritorious claims and simplify real claims based on damages. Critics say that claimants already faced many deterrents to overstated claims and that decreasing access to expert counsel and representation creates unfair restrictions missing</w:t>
      </w:r>
      <w:r>
        <w:rPr>
          <w:rFonts w:eastAsia="Times New Roman"/>
        </w:rPr>
        <w:t xml:space="preserve"> fundamental equality of arms. </w:t>
      </w:r>
    </w:p>
    <w:p w14:paraId="18B40809" w14:textId="77777777" w:rsidR="007F066B" w:rsidRDefault="007F066B" w:rsidP="00AA7759">
      <w:pPr>
        <w:jc w:val="both"/>
        <w:rPr>
          <w:rFonts w:eastAsia="Times New Roman"/>
        </w:rPr>
      </w:pPr>
      <w:r>
        <w:rPr>
          <w:rFonts w:eastAsia="Times New Roman"/>
        </w:rPr>
        <w:br w:type="page"/>
      </w:r>
    </w:p>
    <w:p w14:paraId="4DA50A79" w14:textId="77777777" w:rsidR="007F066B" w:rsidRDefault="007F066B" w:rsidP="00AA7759">
      <w:pPr>
        <w:pStyle w:val="Heading1"/>
        <w:rPr>
          <w:rFonts w:eastAsia="Times New Roman"/>
        </w:rPr>
      </w:pPr>
      <w:bookmarkStart w:id="11" w:name="_Toc161421227"/>
      <w:r w:rsidRPr="007F066B">
        <w:rPr>
          <w:rFonts w:eastAsia="Times New Roman"/>
        </w:rPr>
        <w:lastRenderedPageBreak/>
        <w:t>References</w:t>
      </w:r>
      <w:bookmarkEnd w:id="11"/>
    </w:p>
    <w:p w14:paraId="76C7EFAD" w14:textId="729E380C" w:rsidR="00AA7759" w:rsidRPr="003352C4" w:rsidRDefault="00AA7759" w:rsidP="00AA7759">
      <w:pPr>
        <w:pStyle w:val="ListParagraph"/>
        <w:numPr>
          <w:ilvl w:val="0"/>
          <w:numId w:val="1"/>
        </w:numPr>
        <w:rPr>
          <w:i/>
          <w:iCs/>
        </w:rPr>
      </w:pPr>
      <w:r w:rsidRPr="00AA7759">
        <w:t xml:space="preserve">Adams, A. (2020) </w:t>
      </w:r>
      <w:r w:rsidR="003352C4">
        <w:t>‘</w:t>
      </w:r>
      <w:r w:rsidRPr="003352C4">
        <w:t>Law for Business Students.</w:t>
      </w:r>
      <w:r w:rsidR="003352C4">
        <w:t xml:space="preserve">’ </w:t>
      </w:r>
      <w:r w:rsidRPr="00AA7759">
        <w:t xml:space="preserve">11th </w:t>
      </w:r>
      <w:r w:rsidR="003352C4">
        <w:t>(</w:t>
      </w:r>
      <w:r w:rsidRPr="00AA7759">
        <w:t>ed.</w:t>
      </w:r>
      <w:r w:rsidR="003352C4">
        <w:t>)</w:t>
      </w:r>
      <w:r w:rsidRPr="00AA7759">
        <w:t xml:space="preserve"> </w:t>
      </w:r>
      <w:r w:rsidRPr="003352C4">
        <w:rPr>
          <w:i/>
          <w:iCs/>
        </w:rPr>
        <w:t>Pearson Education Limited.</w:t>
      </w:r>
    </w:p>
    <w:p w14:paraId="4F8FAF8E" w14:textId="6CF01D0A" w:rsidR="000E541C" w:rsidRDefault="000E541C" w:rsidP="00AA7759">
      <w:pPr>
        <w:pStyle w:val="ListParagraph"/>
        <w:numPr>
          <w:ilvl w:val="0"/>
          <w:numId w:val="1"/>
        </w:numPr>
        <w:spacing w:line="360" w:lineRule="auto"/>
        <w:jc w:val="both"/>
      </w:pPr>
      <w:r w:rsidRPr="006A007C">
        <w:t xml:space="preserve">American Association for Justice. (2021) </w:t>
      </w:r>
      <w:r w:rsidR="003352C4">
        <w:t>‘</w:t>
      </w:r>
      <w:r w:rsidRPr="006A007C">
        <w:t>American Association for Justice.</w:t>
      </w:r>
      <w:r w:rsidR="003352C4">
        <w:t>’</w:t>
      </w:r>
      <w:r w:rsidRPr="006A007C">
        <w:t xml:space="preserve"> </w:t>
      </w:r>
      <w:r w:rsidR="003352C4">
        <w:t xml:space="preserve">Available at: </w:t>
      </w:r>
      <w:hyperlink r:id="rId10" w:history="1">
        <w:r w:rsidR="003352C4" w:rsidRPr="00942B3B">
          <w:rPr>
            <w:rStyle w:val="Hyperlink"/>
          </w:rPr>
          <w:t>https://www.influencewatch.org/non-profit/american-association-for-justice/</w:t>
        </w:r>
      </w:hyperlink>
      <w:r w:rsidR="003352C4">
        <w:t xml:space="preserve"> </w:t>
      </w:r>
      <w:r w:rsidR="003352C4">
        <w:t>(Accessed:12.02.2024)</w:t>
      </w:r>
    </w:p>
    <w:p w14:paraId="564EAE21" w14:textId="77C3F743" w:rsidR="000E541C" w:rsidRPr="007F066B" w:rsidRDefault="000E541C" w:rsidP="00AA7759">
      <w:pPr>
        <w:pStyle w:val="ListParagraph"/>
        <w:numPr>
          <w:ilvl w:val="0"/>
          <w:numId w:val="1"/>
        </w:numPr>
        <w:spacing w:line="360" w:lineRule="auto"/>
        <w:jc w:val="both"/>
      </w:pPr>
      <w:r w:rsidRPr="006A007C">
        <w:t xml:space="preserve">Association of Personal Injury Lawyers. (2021) </w:t>
      </w:r>
      <w:r w:rsidR="003352C4">
        <w:t>‘</w:t>
      </w:r>
      <w:r w:rsidRPr="006A007C">
        <w:t>The 2021 Whiplash Reforms: A Guide. Truth Legal.</w:t>
      </w:r>
      <w:r w:rsidR="003352C4">
        <w:t>’ Available at:</w:t>
      </w:r>
      <w:r w:rsidRPr="006A007C">
        <w:t xml:space="preserve"> </w:t>
      </w:r>
      <w:hyperlink r:id="rId11" w:history="1">
        <w:r w:rsidR="003352C4" w:rsidRPr="00942B3B">
          <w:rPr>
            <w:rStyle w:val="Hyperlink"/>
          </w:rPr>
          <w:t>https://www.truthlegal.com/legal-guide/a-guide-to-the-2021-whiplash-reforms/</w:t>
        </w:r>
      </w:hyperlink>
      <w:r w:rsidR="003352C4">
        <w:t xml:space="preserve"> </w:t>
      </w:r>
      <w:r w:rsidR="003352C4">
        <w:t>(Accessed:12.02.2024)</w:t>
      </w:r>
    </w:p>
    <w:p w14:paraId="237B1623" w14:textId="0A9EEDFF" w:rsidR="000E541C" w:rsidRDefault="000E541C" w:rsidP="00AA7759">
      <w:pPr>
        <w:pStyle w:val="ListParagraph"/>
        <w:numPr>
          <w:ilvl w:val="0"/>
          <w:numId w:val="1"/>
        </w:numPr>
        <w:spacing w:line="360" w:lineRule="auto"/>
        <w:jc w:val="both"/>
      </w:pPr>
      <w:r w:rsidRPr="006A007C">
        <w:t>Çalı, B., &amp; Hatas, K. (2021)</w:t>
      </w:r>
      <w:r w:rsidR="003352C4">
        <w:t xml:space="preserve"> </w:t>
      </w:r>
      <w:r w:rsidRPr="006A007C">
        <w:t xml:space="preserve"> </w:t>
      </w:r>
      <w:r w:rsidR="003352C4">
        <w:t>‘</w:t>
      </w:r>
      <w:r w:rsidRPr="006A007C">
        <w:t>History as an afterthought: The (re) discovery of Article 18 in the case law of the European Court of Human Rights. In The European Court of Human Rights</w:t>
      </w:r>
      <w:r w:rsidR="003352C4">
        <w:t>’</w:t>
      </w:r>
      <w:r w:rsidRPr="006A007C">
        <w:t xml:space="preserve"> (pp. 158-176). Edward Elgar Publishing.</w:t>
      </w:r>
    </w:p>
    <w:p w14:paraId="440CF0A4" w14:textId="26324BC0" w:rsidR="000E541C" w:rsidRDefault="000E541C" w:rsidP="00AA7759">
      <w:pPr>
        <w:pStyle w:val="ListParagraph"/>
        <w:numPr>
          <w:ilvl w:val="0"/>
          <w:numId w:val="1"/>
        </w:numPr>
        <w:spacing w:line="360" w:lineRule="auto"/>
        <w:jc w:val="both"/>
      </w:pPr>
      <w:r w:rsidRPr="007F066B">
        <w:t xml:space="preserve">Civil Liability Act 2018, c.29. (2018) </w:t>
      </w:r>
      <w:r w:rsidR="003352C4">
        <w:t>‘</w:t>
      </w:r>
      <w:r w:rsidRPr="007F066B">
        <w:t>Civil Liability Act 2018.</w:t>
      </w:r>
      <w:r w:rsidR="003352C4">
        <w:t>’</w:t>
      </w:r>
      <w:r w:rsidRPr="007F066B">
        <w:t xml:space="preserve"> </w:t>
      </w:r>
      <w:r w:rsidR="003352C4">
        <w:t xml:space="preserve">Available at: </w:t>
      </w:r>
      <w:hyperlink r:id="rId12" w:history="1">
        <w:r w:rsidR="003352C4" w:rsidRPr="00942B3B">
          <w:rPr>
            <w:rStyle w:val="Hyperlink"/>
          </w:rPr>
          <w:t>https://www.legislation.gov.uk/ukpga/2018/29/body/enacted</w:t>
        </w:r>
      </w:hyperlink>
      <w:r w:rsidR="003352C4">
        <w:rPr>
          <w:rStyle w:val="Hyperlink"/>
        </w:rPr>
        <w:t xml:space="preserve"> </w:t>
      </w:r>
      <w:r w:rsidR="003352C4">
        <w:t>(Accessed:12.02.2024)</w:t>
      </w:r>
    </w:p>
    <w:p w14:paraId="3F7898B2" w14:textId="058DC821" w:rsidR="000E541C" w:rsidRDefault="000E541C" w:rsidP="00AA7759">
      <w:pPr>
        <w:pStyle w:val="ListParagraph"/>
        <w:numPr>
          <w:ilvl w:val="0"/>
          <w:numId w:val="1"/>
        </w:numPr>
        <w:spacing w:line="360" w:lineRule="auto"/>
        <w:jc w:val="both"/>
      </w:pPr>
      <w:r w:rsidRPr="007F066B">
        <w:t xml:space="preserve">Civil Procedure Rules 1998, c.51 (2020) </w:t>
      </w:r>
      <w:r w:rsidR="003352C4">
        <w:t>‘</w:t>
      </w:r>
      <w:r w:rsidRPr="007F066B">
        <w:t xml:space="preserve">The Civil Procedure Rules 1998. </w:t>
      </w:r>
      <w:r w:rsidR="003352C4">
        <w:t>‘ Available at:</w:t>
      </w:r>
      <w:r w:rsidRPr="007F066B">
        <w:t xml:space="preserve"> </w:t>
      </w:r>
      <w:hyperlink r:id="rId13" w:history="1">
        <w:r w:rsidRPr="007D369E">
          <w:rPr>
            <w:rStyle w:val="Hyperlink"/>
          </w:rPr>
          <w:t>https://www.legislation.gov.uk/uksi/1998/3132/contents/made</w:t>
        </w:r>
      </w:hyperlink>
      <w:r w:rsidR="003352C4">
        <w:rPr>
          <w:rStyle w:val="Hyperlink"/>
        </w:rPr>
        <w:t xml:space="preserve"> </w:t>
      </w:r>
      <w:r w:rsidR="003352C4">
        <w:t>(Accessed:12.02.2024)</w:t>
      </w:r>
    </w:p>
    <w:p w14:paraId="1086CBB2" w14:textId="66C8FACF" w:rsidR="000E541C" w:rsidRDefault="000E541C" w:rsidP="00AA7759">
      <w:pPr>
        <w:pStyle w:val="ListParagraph"/>
        <w:numPr>
          <w:ilvl w:val="0"/>
          <w:numId w:val="1"/>
        </w:numPr>
        <w:spacing w:line="360" w:lineRule="auto"/>
        <w:jc w:val="both"/>
      </w:pPr>
      <w:r w:rsidRPr="006A007C">
        <w:t xml:space="preserve">Cortés, P. (2023) </w:t>
      </w:r>
      <w:r w:rsidR="003352C4">
        <w:t>‘</w:t>
      </w:r>
      <w:r w:rsidRPr="006A007C">
        <w:t>Embedding alternative dispute resolution in the civil justice system: a taxonomy for ADR referrals and a digital pathway to increase the uptake of ADR.</w:t>
      </w:r>
      <w:r w:rsidR="003352C4">
        <w:t>’</w:t>
      </w:r>
      <w:r w:rsidRPr="006A007C">
        <w:t xml:space="preserve"> </w:t>
      </w:r>
      <w:r w:rsidRPr="003352C4">
        <w:rPr>
          <w:i/>
          <w:iCs/>
        </w:rPr>
        <w:t xml:space="preserve">Legal Studies, </w:t>
      </w:r>
      <w:r w:rsidRPr="006A007C">
        <w:t>43(2), 312-330.</w:t>
      </w:r>
    </w:p>
    <w:p w14:paraId="1E4115C7" w14:textId="01E14CFB" w:rsidR="000E541C" w:rsidRDefault="000E541C" w:rsidP="00AA7759">
      <w:pPr>
        <w:pStyle w:val="ListParagraph"/>
        <w:numPr>
          <w:ilvl w:val="0"/>
          <w:numId w:val="1"/>
        </w:numPr>
        <w:spacing w:line="360" w:lineRule="auto"/>
        <w:jc w:val="both"/>
      </w:pPr>
      <w:r w:rsidRPr="006A007C">
        <w:t xml:space="preserve">Council of Europe. (2014) </w:t>
      </w:r>
      <w:r w:rsidR="003352C4">
        <w:t>‘</w:t>
      </w:r>
      <w:r w:rsidRPr="006A007C">
        <w:t>The Convention in 1950. The European Convention on Human Rights.</w:t>
      </w:r>
      <w:r w:rsidR="003352C4">
        <w:t>’ Available at:</w:t>
      </w:r>
      <w:r w:rsidRPr="006A007C">
        <w:t xml:space="preserve"> </w:t>
      </w:r>
      <w:hyperlink r:id="rId14" w:history="1">
        <w:r w:rsidRPr="007D369E">
          <w:rPr>
            <w:rStyle w:val="Hyperlink"/>
          </w:rPr>
          <w:t>https://www.coe.int/en/web/human-rights-convention/the-convention-in-1950</w:t>
        </w:r>
      </w:hyperlink>
      <w:r>
        <w:t>.</w:t>
      </w:r>
      <w:r w:rsidR="003352C4">
        <w:t xml:space="preserve"> </w:t>
      </w:r>
      <w:r w:rsidR="003352C4">
        <w:t>(Accessed:12.02.2024)</w:t>
      </w:r>
    </w:p>
    <w:p w14:paraId="41ED29EA" w14:textId="52A9ABC8" w:rsidR="000E541C" w:rsidRDefault="000E541C" w:rsidP="00AA7759">
      <w:pPr>
        <w:pStyle w:val="ListParagraph"/>
        <w:numPr>
          <w:ilvl w:val="0"/>
          <w:numId w:val="1"/>
        </w:numPr>
        <w:spacing w:line="360" w:lineRule="auto"/>
        <w:jc w:val="both"/>
      </w:pPr>
      <w:r w:rsidRPr="006A007C">
        <w:t xml:space="preserve">Ewing, K. D. (1998) </w:t>
      </w:r>
      <w:r w:rsidR="003352C4">
        <w:t>‘</w:t>
      </w:r>
      <w:r w:rsidRPr="006A007C">
        <w:t>The Human Rights Act and Labour Law.</w:t>
      </w:r>
      <w:r w:rsidR="003352C4">
        <w:t>’</w:t>
      </w:r>
      <w:r w:rsidRPr="006A007C">
        <w:t xml:space="preserve"> </w:t>
      </w:r>
      <w:r w:rsidRPr="003352C4">
        <w:rPr>
          <w:i/>
          <w:iCs/>
        </w:rPr>
        <w:t>Industrial Law Journal</w:t>
      </w:r>
      <w:r w:rsidRPr="006A007C">
        <w:t xml:space="preserve"> 27(4), 275-292.</w:t>
      </w:r>
    </w:p>
    <w:p w14:paraId="426DDFCF" w14:textId="4D5221E2" w:rsidR="000E541C" w:rsidRDefault="000E541C" w:rsidP="00AA7759">
      <w:pPr>
        <w:pStyle w:val="ListParagraph"/>
        <w:numPr>
          <w:ilvl w:val="0"/>
          <w:numId w:val="1"/>
        </w:numPr>
        <w:spacing w:line="360" w:lineRule="auto"/>
        <w:jc w:val="both"/>
      </w:pPr>
      <w:r w:rsidRPr="006A007C">
        <w:t xml:space="preserve">Gascón Inchausti, F., &amp; Schumann Barragán, G. (2021) </w:t>
      </w:r>
      <w:r w:rsidR="003352C4">
        <w:t>‘</w:t>
      </w:r>
      <w:r w:rsidRPr="006A007C">
        <w:t>The rules on lis pendens and on res judicata in the ELI/UNIDROIT model European rules of civil procedure.</w:t>
      </w:r>
      <w:r w:rsidR="003352C4">
        <w:t>’</w:t>
      </w:r>
    </w:p>
    <w:p w14:paraId="0C2FCDF6" w14:textId="2FE9C89E" w:rsidR="000E541C" w:rsidRDefault="000E541C" w:rsidP="00AA7759">
      <w:pPr>
        <w:pStyle w:val="ListParagraph"/>
        <w:numPr>
          <w:ilvl w:val="0"/>
          <w:numId w:val="1"/>
        </w:numPr>
        <w:spacing w:line="360" w:lineRule="auto"/>
        <w:jc w:val="both"/>
      </w:pPr>
      <w:r w:rsidRPr="006A007C">
        <w:t xml:space="preserve">Lewis, R. (2018) </w:t>
      </w:r>
      <w:r w:rsidR="003352C4">
        <w:t>‘</w:t>
      </w:r>
      <w:r w:rsidRPr="006A007C">
        <w:t>Humanity in tort: Does personality affect personal injury litigation?</w:t>
      </w:r>
      <w:r w:rsidR="003352C4">
        <w:t xml:space="preserve">’ </w:t>
      </w:r>
      <w:r w:rsidRPr="003352C4">
        <w:rPr>
          <w:i/>
          <w:iCs/>
        </w:rPr>
        <w:t>Current Legal Problems</w:t>
      </w:r>
      <w:r w:rsidRPr="006A007C">
        <w:t>, 71(1), 245-278.</w:t>
      </w:r>
    </w:p>
    <w:p w14:paraId="20FD0DF7" w14:textId="7ABE0F71" w:rsidR="000E541C" w:rsidRDefault="000E541C" w:rsidP="00AA7759">
      <w:pPr>
        <w:pStyle w:val="ListParagraph"/>
        <w:numPr>
          <w:ilvl w:val="0"/>
          <w:numId w:val="1"/>
        </w:numPr>
        <w:spacing w:line="360" w:lineRule="auto"/>
        <w:jc w:val="both"/>
      </w:pPr>
      <w:r w:rsidRPr="006A007C">
        <w:t xml:space="preserve">Ministry of Justice. (2021) </w:t>
      </w:r>
      <w:r w:rsidR="003352C4">
        <w:t>‘</w:t>
      </w:r>
      <w:r w:rsidRPr="006A007C">
        <w:t>Whiplash Reform Programme: Information and FAQ. GOV.UK.</w:t>
      </w:r>
      <w:r w:rsidR="003352C4">
        <w:t>’ Available at:</w:t>
      </w:r>
      <w:r w:rsidRPr="006A007C">
        <w:t xml:space="preserve"> </w:t>
      </w:r>
      <w:hyperlink r:id="rId15" w:history="1">
        <w:r w:rsidR="003352C4" w:rsidRPr="00942B3B">
          <w:rPr>
            <w:rStyle w:val="Hyperlink"/>
          </w:rPr>
          <w:t>https://www.gov.uk/government/publications/whiplash-reform-programme-information-and-faq</w:t>
        </w:r>
      </w:hyperlink>
      <w:r w:rsidR="003352C4">
        <w:t xml:space="preserve"> </w:t>
      </w:r>
      <w:r w:rsidR="003352C4">
        <w:t>(Accessed:12.02.2024)</w:t>
      </w:r>
    </w:p>
    <w:p w14:paraId="270D8E08" w14:textId="20DE07FF" w:rsidR="000E541C" w:rsidRDefault="000E541C" w:rsidP="00AA7759">
      <w:pPr>
        <w:pStyle w:val="ListParagraph"/>
        <w:numPr>
          <w:ilvl w:val="0"/>
          <w:numId w:val="1"/>
        </w:numPr>
        <w:spacing w:line="360" w:lineRule="auto"/>
        <w:jc w:val="both"/>
      </w:pPr>
      <w:r w:rsidRPr="007F066B">
        <w:lastRenderedPageBreak/>
        <w:t xml:space="preserve">R v Secretary of State for the Home Department, ex p. Saleem </w:t>
      </w:r>
      <w:r w:rsidR="003352C4">
        <w:t>(</w:t>
      </w:r>
      <w:r w:rsidRPr="007F066B">
        <w:t>2000</w:t>
      </w:r>
      <w:r w:rsidR="003352C4">
        <w:t>)</w:t>
      </w:r>
      <w:r w:rsidRPr="007F066B">
        <w:t xml:space="preserve"> EWCA Civ 64.</w:t>
      </w:r>
    </w:p>
    <w:p w14:paraId="4E0E7F74" w14:textId="06337EF0" w:rsidR="000E541C" w:rsidRDefault="000E541C" w:rsidP="00AA7759">
      <w:pPr>
        <w:pStyle w:val="ListParagraph"/>
        <w:numPr>
          <w:ilvl w:val="0"/>
          <w:numId w:val="1"/>
        </w:numPr>
        <w:spacing w:line="360" w:lineRule="auto"/>
        <w:jc w:val="both"/>
      </w:pPr>
      <w:r w:rsidRPr="006A007C">
        <w:t xml:space="preserve">Svensson-McCarthy, A. L. (2021) </w:t>
      </w:r>
      <w:r w:rsidR="003352C4">
        <w:t>‘</w:t>
      </w:r>
      <w:r w:rsidRPr="006A007C">
        <w:t>The International Law of Human Rights and States of Exception</w:t>
      </w:r>
      <w:r w:rsidR="003352C4">
        <w:t>’</w:t>
      </w:r>
      <w:r w:rsidRPr="006A007C">
        <w:t xml:space="preserve"> </w:t>
      </w:r>
      <w:r w:rsidRPr="003352C4">
        <w:rPr>
          <w:i/>
          <w:iCs/>
        </w:rPr>
        <w:t>With special reference to the travaux préparatoires and case-law of the international monitoring organs</w:t>
      </w:r>
      <w:r w:rsidRPr="006A007C">
        <w:t xml:space="preserve"> (Vol. 54). Brill.</w:t>
      </w:r>
    </w:p>
    <w:p w14:paraId="1D3C67F9" w14:textId="32BEE757" w:rsidR="000E541C" w:rsidRDefault="000E541C" w:rsidP="00AA7759">
      <w:pPr>
        <w:pStyle w:val="ListParagraph"/>
        <w:numPr>
          <w:ilvl w:val="0"/>
          <w:numId w:val="1"/>
        </w:numPr>
        <w:spacing w:line="360" w:lineRule="auto"/>
        <w:jc w:val="both"/>
      </w:pPr>
      <w:r w:rsidRPr="006A007C">
        <w:t>Whiplash Injury Regulations 2021</w:t>
      </w:r>
      <w:r w:rsidR="003352C4">
        <w:t>,</w:t>
      </w:r>
      <w:r w:rsidRPr="006A007C">
        <w:t xml:space="preserve"> No. 629. (2021). </w:t>
      </w:r>
      <w:r w:rsidR="003352C4">
        <w:t>‘</w:t>
      </w:r>
      <w:r w:rsidRPr="006A007C">
        <w:t>The Whiplash Injury Regulations 2021.</w:t>
      </w:r>
      <w:r w:rsidR="003352C4">
        <w:t>’</w:t>
      </w:r>
      <w:r w:rsidRPr="006A007C">
        <w:t xml:space="preserve"> </w:t>
      </w:r>
      <w:r w:rsidR="003352C4">
        <w:t xml:space="preserve"> Available at: </w:t>
      </w:r>
      <w:hyperlink r:id="rId16" w:history="1">
        <w:r w:rsidR="003352C4" w:rsidRPr="00942B3B">
          <w:rPr>
            <w:rStyle w:val="Hyperlink"/>
          </w:rPr>
          <w:t>https://www.legislation.gov.uk/ukdsi/2021/9780348220612</w:t>
        </w:r>
      </w:hyperlink>
      <w:r>
        <w:t xml:space="preserve"> </w:t>
      </w:r>
      <w:r w:rsidR="003352C4">
        <w:t>(Accessed:12.02.2024)</w:t>
      </w:r>
    </w:p>
    <w:p w14:paraId="316D8556" w14:textId="77777777" w:rsidR="007F066B" w:rsidRDefault="007F066B" w:rsidP="007F066B">
      <w:pPr>
        <w:ind w:firstLine="0"/>
      </w:pPr>
    </w:p>
    <w:sectPr w:rsidR="007F066B">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0BDE8C" w14:textId="77777777" w:rsidR="009D62A7" w:rsidRDefault="009D62A7" w:rsidP="007F066B">
      <w:pPr>
        <w:spacing w:line="240" w:lineRule="auto"/>
      </w:pPr>
      <w:r>
        <w:separator/>
      </w:r>
    </w:p>
  </w:endnote>
  <w:endnote w:type="continuationSeparator" w:id="0">
    <w:p w14:paraId="610332EE" w14:textId="77777777" w:rsidR="009D62A7" w:rsidRDefault="009D62A7" w:rsidP="007F06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20816" w14:textId="1BFD1CBA" w:rsidR="00AA7759" w:rsidRDefault="00AA7759">
    <w:pPr>
      <w:pStyle w:val="Footer"/>
    </w:pPr>
    <w:r>
      <w:rPr>
        <w:noProof/>
        <w:color w:val="5B9BD5" w:themeColor="accent1"/>
        <w:lang w:eastAsia="zh-CN"/>
      </w:rPr>
      <mc:AlternateContent>
        <mc:Choice Requires="wps">
          <w:drawing>
            <wp:anchor distT="0" distB="0" distL="114300" distR="114300" simplePos="0" relativeHeight="251659264" behindDoc="0" locked="0" layoutInCell="1" allowOverlap="1" wp14:anchorId="5843C5DD" wp14:editId="3B0A9543">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91AF330"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asciiTheme="minorHAnsi" w:eastAsiaTheme="minorEastAsia" w:hAnsiTheme="minorHAnsi" w:cstheme="minorBidi"/>
        <w:color w:val="5B9BD5" w:themeColor="accent1"/>
        <w:sz w:val="20"/>
        <w:szCs w:val="20"/>
      </w:rPr>
      <w:fldChar w:fldCharType="begin"/>
    </w:r>
    <w:r>
      <w:rPr>
        <w:color w:val="5B9BD5" w:themeColor="accent1"/>
        <w:sz w:val="20"/>
        <w:szCs w:val="20"/>
      </w:rPr>
      <w:instrText xml:space="preserve"> PAGE    \* MERGEFORMAT </w:instrText>
    </w:r>
    <w:r>
      <w:rPr>
        <w:rFonts w:asciiTheme="minorHAnsi" w:eastAsiaTheme="minorEastAsia" w:hAnsiTheme="minorHAnsi" w:cstheme="minorBidi"/>
        <w:color w:val="5B9BD5" w:themeColor="accent1"/>
        <w:sz w:val="20"/>
        <w:szCs w:val="20"/>
      </w:rPr>
      <w:fldChar w:fldCharType="separate"/>
    </w:r>
    <w:r>
      <w:rPr>
        <w:rFonts w:asciiTheme="majorHAnsi" w:eastAsiaTheme="majorEastAsia" w:hAnsiTheme="majorHAnsi" w:cstheme="majorBidi"/>
        <w:noProof/>
        <w:color w:val="5B9BD5" w:themeColor="accent1"/>
        <w:sz w:val="20"/>
        <w:szCs w:val="20"/>
      </w:rPr>
      <w:t>2</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DD6DF" w14:textId="77777777" w:rsidR="009D62A7" w:rsidRDefault="009D62A7" w:rsidP="007F066B">
      <w:pPr>
        <w:spacing w:line="240" w:lineRule="auto"/>
      </w:pPr>
      <w:r>
        <w:separator/>
      </w:r>
    </w:p>
  </w:footnote>
  <w:footnote w:type="continuationSeparator" w:id="0">
    <w:p w14:paraId="2B90D170" w14:textId="77777777" w:rsidR="009D62A7" w:rsidRDefault="009D62A7" w:rsidP="007F06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1198306"/>
      <w:docPartObj>
        <w:docPartGallery w:val="Page Numbers (Top of Page)"/>
        <w:docPartUnique/>
      </w:docPartObj>
    </w:sdtPr>
    <w:sdtEndPr>
      <w:rPr>
        <w:noProof/>
      </w:rPr>
    </w:sdtEndPr>
    <w:sdtContent>
      <w:p w14:paraId="09547413" w14:textId="77777777" w:rsidR="007F066B" w:rsidRDefault="007F066B">
        <w:pPr>
          <w:pStyle w:val="Header"/>
          <w:jc w:val="right"/>
        </w:pPr>
        <w:r>
          <w:fldChar w:fldCharType="begin"/>
        </w:r>
        <w:r>
          <w:instrText xml:space="preserve"> PAGE   \* MERGEFORMAT </w:instrText>
        </w:r>
        <w:r>
          <w:fldChar w:fldCharType="separate"/>
        </w:r>
        <w:r w:rsidR="00396CF3">
          <w:rPr>
            <w:noProof/>
          </w:rPr>
          <w:t>9</w:t>
        </w:r>
        <w:r>
          <w:rPr>
            <w:noProof/>
          </w:rPr>
          <w:fldChar w:fldCharType="end"/>
        </w:r>
      </w:p>
    </w:sdtContent>
  </w:sdt>
  <w:p w14:paraId="07F5A5AB" w14:textId="77777777" w:rsidR="007F066B" w:rsidRDefault="007F06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563104"/>
    <w:multiLevelType w:val="hybridMultilevel"/>
    <w:tmpl w:val="65B42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725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66B"/>
    <w:rsid w:val="000D254D"/>
    <w:rsid w:val="000E541C"/>
    <w:rsid w:val="003352C4"/>
    <w:rsid w:val="00396CF3"/>
    <w:rsid w:val="003C0AF1"/>
    <w:rsid w:val="0065340D"/>
    <w:rsid w:val="006A007C"/>
    <w:rsid w:val="007F066B"/>
    <w:rsid w:val="009D62A7"/>
    <w:rsid w:val="00AA7759"/>
    <w:rsid w:val="00AB3208"/>
    <w:rsid w:val="00C47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80720"/>
  <w15:chartTrackingRefBased/>
  <w15:docId w15:val="{4E563812-B942-4C4D-AC3D-3D0014FCA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759"/>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066B"/>
    <w:pPr>
      <w:tabs>
        <w:tab w:val="center" w:pos="4680"/>
        <w:tab w:val="right" w:pos="9360"/>
      </w:tabs>
      <w:spacing w:line="240" w:lineRule="auto"/>
    </w:pPr>
  </w:style>
  <w:style w:type="character" w:customStyle="1" w:styleId="HeaderChar">
    <w:name w:val="Header Char"/>
    <w:basedOn w:val="DefaultParagraphFont"/>
    <w:link w:val="Header"/>
    <w:uiPriority w:val="99"/>
    <w:rsid w:val="007F066B"/>
  </w:style>
  <w:style w:type="paragraph" w:styleId="Footer">
    <w:name w:val="footer"/>
    <w:basedOn w:val="Normal"/>
    <w:link w:val="FooterChar"/>
    <w:uiPriority w:val="99"/>
    <w:unhideWhenUsed/>
    <w:rsid w:val="007F066B"/>
    <w:pPr>
      <w:tabs>
        <w:tab w:val="center" w:pos="4680"/>
        <w:tab w:val="right" w:pos="9360"/>
      </w:tabs>
      <w:spacing w:line="240" w:lineRule="auto"/>
    </w:pPr>
  </w:style>
  <w:style w:type="character" w:customStyle="1" w:styleId="FooterChar">
    <w:name w:val="Footer Char"/>
    <w:basedOn w:val="DefaultParagraphFont"/>
    <w:link w:val="Footer"/>
    <w:uiPriority w:val="99"/>
    <w:rsid w:val="007F066B"/>
  </w:style>
  <w:style w:type="character" w:styleId="Hyperlink">
    <w:name w:val="Hyperlink"/>
    <w:basedOn w:val="DefaultParagraphFont"/>
    <w:uiPriority w:val="99"/>
    <w:unhideWhenUsed/>
    <w:rsid w:val="007F066B"/>
    <w:rPr>
      <w:color w:val="0563C1" w:themeColor="hyperlink"/>
      <w:u w:val="single"/>
    </w:rPr>
  </w:style>
  <w:style w:type="character" w:customStyle="1" w:styleId="Heading1Char">
    <w:name w:val="Heading 1 Char"/>
    <w:basedOn w:val="DefaultParagraphFont"/>
    <w:link w:val="Heading1"/>
    <w:uiPriority w:val="9"/>
    <w:rsid w:val="00AA775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A7759"/>
    <w:pPr>
      <w:spacing w:before="480" w:line="276" w:lineRule="auto"/>
      <w:ind w:firstLine="0"/>
      <w:outlineLvl w:val="9"/>
    </w:pPr>
    <w:rPr>
      <w:b/>
      <w:bCs/>
      <w:sz w:val="28"/>
      <w:szCs w:val="28"/>
    </w:rPr>
  </w:style>
  <w:style w:type="paragraph" w:styleId="TOC1">
    <w:name w:val="toc 1"/>
    <w:basedOn w:val="Normal"/>
    <w:next w:val="Normal"/>
    <w:autoRedefine/>
    <w:uiPriority w:val="39"/>
    <w:unhideWhenUsed/>
    <w:rsid w:val="00AA7759"/>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AA7759"/>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AA775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A775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A775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A775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A775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A775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A7759"/>
    <w:pPr>
      <w:ind w:left="1920"/>
    </w:pPr>
    <w:rPr>
      <w:rFonts w:asciiTheme="minorHAnsi" w:hAnsiTheme="minorHAnsi" w:cstheme="minorHAnsi"/>
      <w:sz w:val="20"/>
      <w:szCs w:val="20"/>
    </w:rPr>
  </w:style>
  <w:style w:type="paragraph" w:styleId="ListParagraph">
    <w:name w:val="List Paragraph"/>
    <w:basedOn w:val="Normal"/>
    <w:uiPriority w:val="34"/>
    <w:qFormat/>
    <w:rsid w:val="00AA7759"/>
    <w:pPr>
      <w:ind w:left="720"/>
      <w:contextualSpacing/>
    </w:pPr>
  </w:style>
  <w:style w:type="character" w:styleId="UnresolvedMention">
    <w:name w:val="Unresolved Mention"/>
    <w:basedOn w:val="DefaultParagraphFont"/>
    <w:uiPriority w:val="99"/>
    <w:semiHidden/>
    <w:unhideWhenUsed/>
    <w:rsid w:val="003352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32403">
      <w:bodyDiv w:val="1"/>
      <w:marLeft w:val="0"/>
      <w:marRight w:val="0"/>
      <w:marTop w:val="0"/>
      <w:marBottom w:val="0"/>
      <w:divBdr>
        <w:top w:val="none" w:sz="0" w:space="0" w:color="auto"/>
        <w:left w:val="none" w:sz="0" w:space="0" w:color="auto"/>
        <w:bottom w:val="none" w:sz="0" w:space="0" w:color="auto"/>
        <w:right w:val="none" w:sz="0" w:space="0" w:color="auto"/>
      </w:divBdr>
    </w:div>
    <w:div w:id="35993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si/1998/3132/contents/mad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18/29/body/enacte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dsi/2021/978034822061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uthlegal.com/legal-guide/a-guide-to-the-2021-whiplash-reforms/" TargetMode="External"/><Relationship Id="rId5" Type="http://schemas.openxmlformats.org/officeDocument/2006/relationships/webSettings" Target="webSettings.xml"/><Relationship Id="rId15" Type="http://schemas.openxmlformats.org/officeDocument/2006/relationships/hyperlink" Target="https://www.gov.uk/government/publications/whiplash-reform-programme-information-and-faq" TargetMode="External"/><Relationship Id="rId10" Type="http://schemas.openxmlformats.org/officeDocument/2006/relationships/hyperlink" Target="https://www.influencewatch.org/non-profit/american-association-for-justi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coe.int/en/web/human-rights-convention/the-convention-in-19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1A324-7E63-FD45-9B2F-873591252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2958</Words>
  <Characters>16867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Sylwia Maciejewska</cp:lastModifiedBy>
  <cp:revision>2</cp:revision>
  <dcterms:created xsi:type="dcterms:W3CDTF">2024-03-15T21:24:00Z</dcterms:created>
  <dcterms:modified xsi:type="dcterms:W3CDTF">2024-03-15T21:24:00Z</dcterms:modified>
</cp:coreProperties>
</file>