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84612" w14:textId="4DB3AFAF" w:rsidR="001818DD" w:rsidRPr="00DE7C43" w:rsidRDefault="001818DD" w:rsidP="000976A1">
      <w:pPr>
        <w:spacing w:before="120" w:after="120"/>
        <w:rPr>
          <w:rFonts w:ascii="Arial Black" w:hAnsi="Arial Black" w:cs="Arial"/>
          <w:b/>
          <w:sz w:val="36"/>
          <w:szCs w:val="36"/>
        </w:rPr>
      </w:pPr>
      <w:r w:rsidRPr="00DE7C43">
        <w:rPr>
          <w:rFonts w:ascii="Arial Black" w:hAnsi="Arial Black" w:cs="Arial"/>
          <w:b/>
          <w:color w:val="124F1A" w:themeColor="accent3" w:themeShade="BF"/>
          <w:sz w:val="36"/>
          <w:szCs w:val="36"/>
        </w:rPr>
        <w:t xml:space="preserve">Student name: </w:t>
      </w:r>
      <w:r w:rsidRPr="00DE7C43">
        <w:rPr>
          <w:rFonts w:ascii="Arial Black" w:hAnsi="Arial Black" w:cs="Arial"/>
          <w:b/>
          <w:sz w:val="36"/>
          <w:szCs w:val="36"/>
        </w:rPr>
        <w:t>Nomathemba Amanda Socikwa</w:t>
      </w:r>
    </w:p>
    <w:p w14:paraId="2BBC6AD3" w14:textId="564B2BFB" w:rsidR="001818DD" w:rsidRPr="00DE7C43" w:rsidRDefault="001818DD" w:rsidP="000976A1">
      <w:pPr>
        <w:spacing w:before="120" w:after="120"/>
        <w:rPr>
          <w:rFonts w:ascii="Arial Black" w:hAnsi="Arial Black" w:cs="Arial"/>
          <w:b/>
          <w:sz w:val="36"/>
          <w:szCs w:val="36"/>
        </w:rPr>
      </w:pPr>
      <w:r w:rsidRPr="00DE7C43">
        <w:rPr>
          <w:rFonts w:ascii="Arial Black" w:hAnsi="Arial Black" w:cs="Arial"/>
          <w:b/>
          <w:color w:val="124F1A" w:themeColor="accent3" w:themeShade="BF"/>
          <w:sz w:val="36"/>
          <w:szCs w:val="36"/>
        </w:rPr>
        <w:t xml:space="preserve">Student ID NO: </w:t>
      </w:r>
      <w:r w:rsidRPr="00DE7C43">
        <w:rPr>
          <w:rFonts w:ascii="Arial Black" w:hAnsi="Arial Black" w:cs="Arial"/>
          <w:b/>
          <w:sz w:val="36"/>
          <w:szCs w:val="36"/>
        </w:rPr>
        <w:t>2128581</w:t>
      </w:r>
    </w:p>
    <w:p w14:paraId="4F43B0AE" w14:textId="2261E69D" w:rsidR="001818DD" w:rsidRPr="00DE7C43" w:rsidRDefault="001818DD" w:rsidP="000976A1">
      <w:pPr>
        <w:spacing w:before="120" w:after="120"/>
        <w:rPr>
          <w:rFonts w:ascii="Arial Black" w:eastAsia="Arial" w:hAnsi="Arial Black" w:cs="Arial"/>
          <w:b/>
          <w:bCs/>
          <w:sz w:val="36"/>
          <w:szCs w:val="36"/>
        </w:rPr>
      </w:pPr>
      <w:r w:rsidRPr="00DE7C43">
        <w:rPr>
          <w:rFonts w:ascii="Arial Black" w:hAnsi="Arial Black" w:cs="Arial"/>
          <w:b/>
          <w:color w:val="124F1A" w:themeColor="accent3" w:themeShade="BF"/>
          <w:sz w:val="36"/>
          <w:szCs w:val="36"/>
        </w:rPr>
        <w:t xml:space="preserve">Programme: </w:t>
      </w:r>
      <w:r w:rsidRPr="00DE7C43">
        <w:rPr>
          <w:rFonts w:ascii="Arial Black" w:eastAsia="Arial" w:hAnsi="Arial Black" w:cs="Arial"/>
          <w:b/>
          <w:bCs/>
          <w:sz w:val="36"/>
          <w:szCs w:val="36"/>
        </w:rPr>
        <w:t>MSc Public Health and Social Care in Practice</w:t>
      </w:r>
    </w:p>
    <w:p w14:paraId="38268D58" w14:textId="66FF8066" w:rsidR="001818DD" w:rsidRPr="00DE7C43" w:rsidRDefault="001818DD" w:rsidP="000976A1">
      <w:pPr>
        <w:spacing w:before="120" w:after="120"/>
        <w:rPr>
          <w:rFonts w:ascii="Arial Black" w:eastAsia="Arial" w:hAnsi="Arial Black" w:cs="Arial"/>
          <w:b/>
          <w:bCs/>
          <w:color w:val="000000" w:themeColor="text1"/>
          <w:sz w:val="36"/>
          <w:szCs w:val="36"/>
        </w:rPr>
      </w:pPr>
      <w:r w:rsidRPr="00DE7C43">
        <w:rPr>
          <w:rFonts w:ascii="Arial Black" w:eastAsia="Arial" w:hAnsi="Arial Black" w:cs="Arial"/>
          <w:b/>
          <w:bCs/>
          <w:color w:val="124F1A" w:themeColor="accent3" w:themeShade="BF"/>
          <w:sz w:val="36"/>
          <w:szCs w:val="36"/>
        </w:rPr>
        <w:t>Module:</w:t>
      </w:r>
      <w:r w:rsidR="000976A1" w:rsidRPr="00DE7C43">
        <w:rPr>
          <w:rFonts w:ascii="Arial Black" w:eastAsia="Arial" w:hAnsi="Arial Black" w:cs="Arial"/>
          <w:b/>
          <w:bCs/>
          <w:color w:val="124F1A" w:themeColor="accent3" w:themeShade="BF"/>
          <w:sz w:val="36"/>
          <w:szCs w:val="36"/>
        </w:rPr>
        <w:t xml:space="preserve"> </w:t>
      </w:r>
      <w:r w:rsidRPr="00DE7C43">
        <w:rPr>
          <w:rFonts w:ascii="Arial Black" w:eastAsia="Arial" w:hAnsi="Arial Black" w:cs="Arial"/>
          <w:b/>
          <w:bCs/>
          <w:color w:val="000000" w:themeColor="text1"/>
          <w:sz w:val="36"/>
          <w:szCs w:val="36"/>
        </w:rPr>
        <w:t>Quality Assurance and Service Improvements</w:t>
      </w:r>
    </w:p>
    <w:p w14:paraId="3332FC0C" w14:textId="2FEF5FE8" w:rsidR="001818DD" w:rsidRPr="00DE7C43" w:rsidRDefault="001818DD" w:rsidP="000976A1">
      <w:pPr>
        <w:rPr>
          <w:rFonts w:ascii="Arial Black" w:eastAsia="Arial" w:hAnsi="Arial Black" w:cs="Arial"/>
          <w:b/>
          <w:bCs/>
          <w:color w:val="000000" w:themeColor="text1"/>
          <w:sz w:val="36"/>
          <w:szCs w:val="36"/>
        </w:rPr>
      </w:pPr>
      <w:r w:rsidRPr="00DE7C43">
        <w:rPr>
          <w:rFonts w:ascii="Arial Black" w:eastAsia="Arial" w:hAnsi="Arial Black" w:cs="Arial"/>
          <w:b/>
          <w:bCs/>
          <w:color w:val="124F1A" w:themeColor="accent3" w:themeShade="BF"/>
          <w:sz w:val="36"/>
          <w:szCs w:val="36"/>
        </w:rPr>
        <w:t xml:space="preserve">Module code: </w:t>
      </w:r>
      <w:r w:rsidRPr="00DE7C43">
        <w:rPr>
          <w:rFonts w:ascii="Arial Black" w:eastAsia="Arial" w:hAnsi="Arial Black" w:cs="Arial"/>
          <w:b/>
          <w:bCs/>
          <w:color w:val="000000" w:themeColor="text1"/>
          <w:sz w:val="36"/>
          <w:szCs w:val="36"/>
        </w:rPr>
        <w:t>LCHS7006</w:t>
      </w:r>
    </w:p>
    <w:p w14:paraId="4596A598" w14:textId="3DCEFD06" w:rsidR="001818DD" w:rsidRPr="00DE7C43" w:rsidRDefault="001818DD" w:rsidP="000976A1">
      <w:pPr>
        <w:rPr>
          <w:rFonts w:ascii="Arial Black" w:eastAsia="Arial" w:hAnsi="Arial Black" w:cs="Arial"/>
          <w:b/>
          <w:bCs/>
          <w:color w:val="000000" w:themeColor="text1"/>
          <w:sz w:val="36"/>
          <w:szCs w:val="36"/>
        </w:rPr>
      </w:pPr>
      <w:r w:rsidRPr="00DE7C43">
        <w:rPr>
          <w:rFonts w:ascii="Arial Black" w:eastAsia="Arial" w:hAnsi="Arial Black" w:cs="Arial"/>
          <w:b/>
          <w:bCs/>
          <w:color w:val="124F1A" w:themeColor="accent3" w:themeShade="BF"/>
          <w:sz w:val="36"/>
          <w:szCs w:val="36"/>
        </w:rPr>
        <w:t xml:space="preserve">Lecture: </w:t>
      </w:r>
      <w:r w:rsidRPr="00DE7C43">
        <w:rPr>
          <w:rFonts w:ascii="Arial Black" w:eastAsia="Arial" w:hAnsi="Arial Black" w:cs="Arial"/>
          <w:b/>
          <w:bCs/>
          <w:color w:val="000000" w:themeColor="text1"/>
          <w:sz w:val="36"/>
          <w:szCs w:val="36"/>
        </w:rPr>
        <w:t>Dr Fahad Khan</w:t>
      </w:r>
    </w:p>
    <w:p w14:paraId="15866EBB" w14:textId="46D214C3" w:rsidR="001818DD" w:rsidRPr="00DE7C43" w:rsidRDefault="001818DD" w:rsidP="000976A1">
      <w:pPr>
        <w:rPr>
          <w:rFonts w:ascii="Arial Black" w:eastAsia="Arial" w:hAnsi="Arial Black" w:cs="Arial"/>
          <w:b/>
          <w:bCs/>
          <w:color w:val="000000" w:themeColor="text1"/>
          <w:sz w:val="36"/>
          <w:szCs w:val="36"/>
        </w:rPr>
      </w:pPr>
      <w:r w:rsidRPr="00DE7C43">
        <w:rPr>
          <w:rFonts w:ascii="Arial Black" w:eastAsia="Arial" w:hAnsi="Arial Black" w:cs="Arial"/>
          <w:b/>
          <w:bCs/>
          <w:color w:val="124F1A" w:themeColor="accent3" w:themeShade="BF"/>
          <w:sz w:val="36"/>
          <w:szCs w:val="36"/>
        </w:rPr>
        <w:t>Assignment Title:</w:t>
      </w:r>
      <w:r w:rsidR="00460FBF" w:rsidRPr="00DE7C43">
        <w:rPr>
          <w:rFonts w:ascii="Arial Black" w:eastAsia="Arial" w:hAnsi="Arial Black" w:cs="Arial"/>
          <w:b/>
          <w:bCs/>
          <w:color w:val="124F1A" w:themeColor="accent3" w:themeShade="BF"/>
          <w:sz w:val="36"/>
          <w:szCs w:val="36"/>
        </w:rPr>
        <w:t xml:space="preserve"> </w:t>
      </w:r>
      <w:r w:rsidR="00460FBF" w:rsidRPr="00DE7C43">
        <w:rPr>
          <w:rFonts w:ascii="Arial Black" w:eastAsia="Arial" w:hAnsi="Arial Black" w:cs="Arial"/>
          <w:b/>
          <w:bCs/>
          <w:color w:val="000000" w:themeColor="text1"/>
          <w:sz w:val="36"/>
          <w:szCs w:val="36"/>
        </w:rPr>
        <w:t>Component 2 Service Improvement Report</w:t>
      </w:r>
    </w:p>
    <w:p w14:paraId="006CD946" w14:textId="353FDCEF" w:rsidR="007759C6" w:rsidRDefault="00074B18" w:rsidP="000976A1">
      <w:pPr>
        <w:rPr>
          <w:rFonts w:ascii="Arial Black" w:eastAsia="Arial" w:hAnsi="Arial Black" w:cs="Arial"/>
          <w:b/>
          <w:bCs/>
          <w:color w:val="000000" w:themeColor="text1"/>
          <w:sz w:val="40"/>
          <w:szCs w:val="40"/>
        </w:rPr>
      </w:pPr>
      <w:r>
        <w:rPr>
          <w:rFonts w:ascii="Arial Black" w:eastAsia="Arial" w:hAnsi="Arial Black" w:cs="Arial"/>
          <w:b/>
          <w:bCs/>
          <w:noProof/>
          <w:color w:val="000000" w:themeColor="text1"/>
          <w:sz w:val="40"/>
          <w:szCs w:val="40"/>
        </w:rPr>
        <w:drawing>
          <wp:inline distT="0" distB="0" distL="0" distR="0" wp14:anchorId="1D19FB89" wp14:editId="4871A928">
            <wp:extent cx="2907792" cy="1864086"/>
            <wp:effectExtent l="0" t="0" r="6985" b="3175"/>
            <wp:docPr id="470550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5907" cy="1882109"/>
                    </a:xfrm>
                    <a:prstGeom prst="rect">
                      <a:avLst/>
                    </a:prstGeom>
                    <a:noFill/>
                  </pic:spPr>
                </pic:pic>
              </a:graphicData>
            </a:graphic>
          </wp:inline>
        </w:drawing>
      </w:r>
      <w:r w:rsidR="008F4237">
        <w:rPr>
          <w:rFonts w:ascii="Arial Black" w:eastAsia="Arial" w:hAnsi="Arial Black" w:cs="Arial"/>
          <w:b/>
          <w:bCs/>
          <w:noProof/>
          <w:color w:val="000000" w:themeColor="text1"/>
          <w:sz w:val="40"/>
          <w:szCs w:val="40"/>
        </w:rPr>
        <w:drawing>
          <wp:inline distT="0" distB="0" distL="0" distR="0" wp14:anchorId="6222FB76" wp14:editId="2EF068D6">
            <wp:extent cx="2712720" cy="1847125"/>
            <wp:effectExtent l="0" t="0" r="0" b="1270"/>
            <wp:docPr id="16340990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1077" cy="1866434"/>
                    </a:xfrm>
                    <a:prstGeom prst="rect">
                      <a:avLst/>
                    </a:prstGeom>
                    <a:noFill/>
                  </pic:spPr>
                </pic:pic>
              </a:graphicData>
            </a:graphic>
          </wp:inline>
        </w:drawing>
      </w:r>
    </w:p>
    <w:p w14:paraId="3B02782B" w14:textId="28878A79" w:rsidR="00B31301" w:rsidRPr="00DF1169" w:rsidRDefault="00FD4FC2" w:rsidP="00DF1169">
      <w:pPr>
        <w:rPr>
          <w:rFonts w:ascii="Arial Black" w:eastAsia="Arial" w:hAnsi="Arial Black" w:cs="Arial"/>
          <w:b/>
          <w:bCs/>
          <w:color w:val="000000" w:themeColor="text1"/>
          <w:sz w:val="40"/>
          <w:szCs w:val="40"/>
        </w:rPr>
      </w:pPr>
      <w:r>
        <w:rPr>
          <w:rFonts w:ascii="Arial Black" w:eastAsia="Arial" w:hAnsi="Arial Black" w:cs="Arial"/>
          <w:b/>
          <w:bCs/>
          <w:noProof/>
          <w:color w:val="000000" w:themeColor="text1"/>
          <w:sz w:val="40"/>
          <w:szCs w:val="40"/>
        </w:rPr>
        <w:drawing>
          <wp:inline distT="0" distB="0" distL="0" distR="0" wp14:anchorId="7F0216AE" wp14:editId="7BA31051">
            <wp:extent cx="2639568" cy="1819072"/>
            <wp:effectExtent l="0" t="0" r="8890" b="0"/>
            <wp:docPr id="1515463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7005" cy="1831089"/>
                    </a:xfrm>
                    <a:prstGeom prst="rect">
                      <a:avLst/>
                    </a:prstGeom>
                    <a:noFill/>
                  </pic:spPr>
                </pic:pic>
              </a:graphicData>
            </a:graphic>
          </wp:inline>
        </w:drawing>
      </w:r>
      <w:r w:rsidR="000E660C">
        <w:rPr>
          <w:rFonts w:ascii="Arial Black" w:eastAsia="Arial" w:hAnsi="Arial Black" w:cs="Arial"/>
          <w:b/>
          <w:bCs/>
          <w:noProof/>
          <w:color w:val="000000" w:themeColor="text1"/>
          <w:sz w:val="40"/>
          <w:szCs w:val="40"/>
        </w:rPr>
        <w:drawing>
          <wp:inline distT="0" distB="0" distL="0" distR="0" wp14:anchorId="5AC9EF11" wp14:editId="5BA7C9F9">
            <wp:extent cx="2968752" cy="1804670"/>
            <wp:effectExtent l="0" t="0" r="3175" b="5080"/>
            <wp:docPr id="16206364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6308" cy="1809263"/>
                    </a:xfrm>
                    <a:prstGeom prst="rect">
                      <a:avLst/>
                    </a:prstGeom>
                    <a:noFill/>
                  </pic:spPr>
                </pic:pic>
              </a:graphicData>
            </a:graphic>
          </wp:inline>
        </w:drawing>
      </w:r>
    </w:p>
    <w:sdt>
      <w:sdtPr>
        <w:rPr>
          <w:rFonts w:ascii="Arial" w:hAnsi="Arial" w:cs="Arial"/>
          <w:sz w:val="24"/>
          <w:szCs w:val="24"/>
        </w:rPr>
        <w:id w:val="220266700"/>
        <w:docPartObj>
          <w:docPartGallery w:val="Table of Contents"/>
          <w:docPartUnique/>
        </w:docPartObj>
      </w:sdtPr>
      <w:sdtEndPr>
        <w:rPr>
          <w:rFonts w:eastAsiaTheme="minorEastAsia"/>
          <w:b/>
          <w:bCs/>
          <w:noProof/>
          <w:color w:val="auto"/>
          <w:kern w:val="2"/>
          <w:lang w:val="en-GB" w:eastAsia="zh-CN"/>
          <w14:ligatures w14:val="standardContextual"/>
        </w:rPr>
      </w:sdtEndPr>
      <w:sdtContent>
        <w:p w14:paraId="087850E9" w14:textId="4075E9A3" w:rsidR="007A69A2" w:rsidRDefault="007A69A2">
          <w:pPr>
            <w:pStyle w:val="TOCHeading"/>
            <w:rPr>
              <w:rFonts w:ascii="Arial" w:hAnsi="Arial" w:cs="Arial"/>
              <w:sz w:val="36"/>
              <w:szCs w:val="36"/>
            </w:rPr>
          </w:pPr>
          <w:r w:rsidRPr="00555046">
            <w:rPr>
              <w:rFonts w:ascii="Arial" w:hAnsi="Arial" w:cs="Arial"/>
              <w:sz w:val="36"/>
              <w:szCs w:val="36"/>
            </w:rPr>
            <w:t>Contents</w:t>
          </w:r>
        </w:p>
        <w:p w14:paraId="6CEF98B8" w14:textId="77777777" w:rsidR="00555046" w:rsidRPr="00555046" w:rsidRDefault="00555046" w:rsidP="00555046">
          <w:pPr>
            <w:rPr>
              <w:lang w:val="en-US" w:eastAsia="en-US"/>
            </w:rPr>
          </w:pPr>
        </w:p>
        <w:p w14:paraId="72413E00" w14:textId="706E78B8" w:rsidR="00CF4D2F" w:rsidRDefault="007A69A2">
          <w:pPr>
            <w:pStyle w:val="TOC1"/>
            <w:tabs>
              <w:tab w:val="right" w:leader="dot" w:pos="9016"/>
            </w:tabs>
            <w:rPr>
              <w:noProof/>
            </w:rPr>
          </w:pPr>
          <w:r w:rsidRPr="00555046">
            <w:rPr>
              <w:rFonts w:ascii="Arial" w:hAnsi="Arial" w:cs="Arial"/>
            </w:rPr>
            <w:fldChar w:fldCharType="begin"/>
          </w:r>
          <w:r w:rsidRPr="00555046">
            <w:rPr>
              <w:rFonts w:ascii="Arial" w:hAnsi="Arial" w:cs="Arial"/>
            </w:rPr>
            <w:instrText xml:space="preserve"> TOC \o "1-3" \h \z \u </w:instrText>
          </w:r>
          <w:r w:rsidRPr="00555046">
            <w:rPr>
              <w:rFonts w:ascii="Arial" w:hAnsi="Arial" w:cs="Arial"/>
            </w:rPr>
            <w:fldChar w:fldCharType="separate"/>
          </w:r>
          <w:hyperlink w:anchor="_Toc215125275" w:history="1">
            <w:r w:rsidR="00CF4D2F" w:rsidRPr="001A5316">
              <w:rPr>
                <w:rStyle w:val="Hyperlink"/>
                <w:noProof/>
              </w:rPr>
              <w:t>Report on Quality Failure at Mid Staffordshire NHS Foundation Trust</w:t>
            </w:r>
            <w:r w:rsidR="00CF4D2F">
              <w:rPr>
                <w:noProof/>
                <w:webHidden/>
              </w:rPr>
              <w:tab/>
            </w:r>
            <w:r w:rsidR="00CF4D2F">
              <w:rPr>
                <w:noProof/>
                <w:webHidden/>
              </w:rPr>
              <w:fldChar w:fldCharType="begin"/>
            </w:r>
            <w:r w:rsidR="00CF4D2F">
              <w:rPr>
                <w:noProof/>
                <w:webHidden/>
              </w:rPr>
              <w:instrText xml:space="preserve"> PAGEREF _Toc215125275 \h </w:instrText>
            </w:r>
            <w:r w:rsidR="00CF4D2F">
              <w:rPr>
                <w:noProof/>
                <w:webHidden/>
              </w:rPr>
            </w:r>
            <w:r w:rsidR="00CF4D2F">
              <w:rPr>
                <w:noProof/>
                <w:webHidden/>
              </w:rPr>
              <w:fldChar w:fldCharType="separate"/>
            </w:r>
            <w:r w:rsidR="00CF4D2F">
              <w:rPr>
                <w:noProof/>
                <w:webHidden/>
              </w:rPr>
              <w:t>4</w:t>
            </w:r>
            <w:r w:rsidR="00CF4D2F">
              <w:rPr>
                <w:noProof/>
                <w:webHidden/>
              </w:rPr>
              <w:fldChar w:fldCharType="end"/>
            </w:r>
          </w:hyperlink>
        </w:p>
        <w:p w14:paraId="4BF46FF3" w14:textId="578B6FCD" w:rsidR="00CF4D2F" w:rsidRDefault="00CF4D2F">
          <w:pPr>
            <w:pStyle w:val="TOC1"/>
            <w:tabs>
              <w:tab w:val="right" w:leader="dot" w:pos="9016"/>
            </w:tabs>
            <w:rPr>
              <w:noProof/>
            </w:rPr>
          </w:pPr>
          <w:hyperlink w:anchor="_Toc215125276" w:history="1">
            <w:r w:rsidRPr="001A5316">
              <w:rPr>
                <w:rStyle w:val="Hyperlink"/>
                <w:noProof/>
              </w:rPr>
              <w:t>Introduction</w:t>
            </w:r>
            <w:r>
              <w:rPr>
                <w:noProof/>
                <w:webHidden/>
              </w:rPr>
              <w:tab/>
            </w:r>
            <w:r>
              <w:rPr>
                <w:noProof/>
                <w:webHidden/>
              </w:rPr>
              <w:fldChar w:fldCharType="begin"/>
            </w:r>
            <w:r>
              <w:rPr>
                <w:noProof/>
                <w:webHidden/>
              </w:rPr>
              <w:instrText xml:space="preserve"> PAGEREF _Toc215125276 \h </w:instrText>
            </w:r>
            <w:r>
              <w:rPr>
                <w:noProof/>
                <w:webHidden/>
              </w:rPr>
            </w:r>
            <w:r>
              <w:rPr>
                <w:noProof/>
                <w:webHidden/>
              </w:rPr>
              <w:fldChar w:fldCharType="separate"/>
            </w:r>
            <w:r>
              <w:rPr>
                <w:noProof/>
                <w:webHidden/>
              </w:rPr>
              <w:t>4</w:t>
            </w:r>
            <w:r>
              <w:rPr>
                <w:noProof/>
                <w:webHidden/>
              </w:rPr>
              <w:fldChar w:fldCharType="end"/>
            </w:r>
          </w:hyperlink>
        </w:p>
        <w:p w14:paraId="7B77911E" w14:textId="71A10D3D" w:rsidR="00CF4D2F" w:rsidRDefault="00CF4D2F">
          <w:pPr>
            <w:pStyle w:val="TOC1"/>
            <w:tabs>
              <w:tab w:val="right" w:leader="dot" w:pos="9016"/>
            </w:tabs>
            <w:rPr>
              <w:noProof/>
            </w:rPr>
          </w:pPr>
          <w:hyperlink w:anchor="_Toc215125277" w:history="1">
            <w:r w:rsidRPr="001A5316">
              <w:rPr>
                <w:rStyle w:val="Hyperlink"/>
                <w:noProof/>
              </w:rPr>
              <w:t>Analysis of Root Causes and Critical Evaluation of Theories.</w:t>
            </w:r>
            <w:r>
              <w:rPr>
                <w:noProof/>
                <w:webHidden/>
              </w:rPr>
              <w:tab/>
            </w:r>
            <w:r>
              <w:rPr>
                <w:noProof/>
                <w:webHidden/>
              </w:rPr>
              <w:fldChar w:fldCharType="begin"/>
            </w:r>
            <w:r>
              <w:rPr>
                <w:noProof/>
                <w:webHidden/>
              </w:rPr>
              <w:instrText xml:space="preserve"> PAGEREF _Toc215125277 \h </w:instrText>
            </w:r>
            <w:r>
              <w:rPr>
                <w:noProof/>
                <w:webHidden/>
              </w:rPr>
            </w:r>
            <w:r>
              <w:rPr>
                <w:noProof/>
                <w:webHidden/>
              </w:rPr>
              <w:fldChar w:fldCharType="separate"/>
            </w:r>
            <w:r>
              <w:rPr>
                <w:noProof/>
                <w:webHidden/>
              </w:rPr>
              <w:t>6</w:t>
            </w:r>
            <w:r>
              <w:rPr>
                <w:noProof/>
                <w:webHidden/>
              </w:rPr>
              <w:fldChar w:fldCharType="end"/>
            </w:r>
          </w:hyperlink>
        </w:p>
        <w:p w14:paraId="350735EB" w14:textId="0A650329" w:rsidR="00CF4D2F" w:rsidRDefault="00CF4D2F">
          <w:pPr>
            <w:pStyle w:val="TOC2"/>
            <w:tabs>
              <w:tab w:val="left" w:pos="720"/>
              <w:tab w:val="right" w:leader="dot" w:pos="9016"/>
            </w:tabs>
            <w:rPr>
              <w:noProof/>
            </w:rPr>
          </w:pPr>
          <w:hyperlink w:anchor="_Toc215125278" w:history="1">
            <w:r w:rsidRPr="001A5316">
              <w:rPr>
                <w:rStyle w:val="Hyperlink"/>
                <w:noProof/>
              </w:rPr>
              <w:t>1.</w:t>
            </w:r>
            <w:r>
              <w:rPr>
                <w:noProof/>
              </w:rPr>
              <w:tab/>
            </w:r>
            <w:r w:rsidRPr="001A5316">
              <w:rPr>
                <w:rStyle w:val="Hyperlink"/>
                <w:noProof/>
              </w:rPr>
              <w:t>Applying the Fishbone (Ishikawa) Diagram for Root Cause Analysis.</w:t>
            </w:r>
            <w:r>
              <w:rPr>
                <w:noProof/>
                <w:webHidden/>
              </w:rPr>
              <w:tab/>
            </w:r>
            <w:r>
              <w:rPr>
                <w:noProof/>
                <w:webHidden/>
              </w:rPr>
              <w:fldChar w:fldCharType="begin"/>
            </w:r>
            <w:r>
              <w:rPr>
                <w:noProof/>
                <w:webHidden/>
              </w:rPr>
              <w:instrText xml:space="preserve"> PAGEREF _Toc215125278 \h </w:instrText>
            </w:r>
            <w:r>
              <w:rPr>
                <w:noProof/>
                <w:webHidden/>
              </w:rPr>
            </w:r>
            <w:r>
              <w:rPr>
                <w:noProof/>
                <w:webHidden/>
              </w:rPr>
              <w:fldChar w:fldCharType="separate"/>
            </w:r>
            <w:r>
              <w:rPr>
                <w:noProof/>
                <w:webHidden/>
              </w:rPr>
              <w:t>6</w:t>
            </w:r>
            <w:r>
              <w:rPr>
                <w:noProof/>
                <w:webHidden/>
              </w:rPr>
              <w:fldChar w:fldCharType="end"/>
            </w:r>
          </w:hyperlink>
        </w:p>
        <w:p w14:paraId="70AC4253" w14:textId="39725FB0" w:rsidR="00CF4D2F" w:rsidRDefault="00CF4D2F">
          <w:pPr>
            <w:pStyle w:val="TOC3"/>
            <w:tabs>
              <w:tab w:val="right" w:leader="dot" w:pos="9016"/>
            </w:tabs>
            <w:rPr>
              <w:noProof/>
            </w:rPr>
          </w:pPr>
          <w:hyperlink w:anchor="_Toc215125279" w:history="1">
            <w:r w:rsidRPr="001A5316">
              <w:rPr>
                <w:rStyle w:val="Hyperlink"/>
                <w:noProof/>
              </w:rPr>
              <w:t>Manpower (People):</w:t>
            </w:r>
            <w:r>
              <w:rPr>
                <w:noProof/>
                <w:webHidden/>
              </w:rPr>
              <w:tab/>
            </w:r>
            <w:r>
              <w:rPr>
                <w:noProof/>
                <w:webHidden/>
              </w:rPr>
              <w:fldChar w:fldCharType="begin"/>
            </w:r>
            <w:r>
              <w:rPr>
                <w:noProof/>
                <w:webHidden/>
              </w:rPr>
              <w:instrText xml:space="preserve"> PAGEREF _Toc215125279 \h </w:instrText>
            </w:r>
            <w:r>
              <w:rPr>
                <w:noProof/>
                <w:webHidden/>
              </w:rPr>
            </w:r>
            <w:r>
              <w:rPr>
                <w:noProof/>
                <w:webHidden/>
              </w:rPr>
              <w:fldChar w:fldCharType="separate"/>
            </w:r>
            <w:r>
              <w:rPr>
                <w:noProof/>
                <w:webHidden/>
              </w:rPr>
              <w:t>7</w:t>
            </w:r>
            <w:r>
              <w:rPr>
                <w:noProof/>
                <w:webHidden/>
              </w:rPr>
              <w:fldChar w:fldCharType="end"/>
            </w:r>
          </w:hyperlink>
        </w:p>
        <w:p w14:paraId="1B794EB5" w14:textId="37C444F9" w:rsidR="00CF4D2F" w:rsidRDefault="00CF4D2F">
          <w:pPr>
            <w:pStyle w:val="TOC3"/>
            <w:tabs>
              <w:tab w:val="right" w:leader="dot" w:pos="9016"/>
            </w:tabs>
            <w:rPr>
              <w:noProof/>
            </w:rPr>
          </w:pPr>
          <w:hyperlink w:anchor="_Toc215125280" w:history="1">
            <w:r w:rsidRPr="001A5316">
              <w:rPr>
                <w:rStyle w:val="Hyperlink"/>
                <w:noProof/>
              </w:rPr>
              <w:t>Methods (Processes):</w:t>
            </w:r>
            <w:r>
              <w:rPr>
                <w:noProof/>
                <w:webHidden/>
              </w:rPr>
              <w:tab/>
            </w:r>
            <w:r>
              <w:rPr>
                <w:noProof/>
                <w:webHidden/>
              </w:rPr>
              <w:fldChar w:fldCharType="begin"/>
            </w:r>
            <w:r>
              <w:rPr>
                <w:noProof/>
                <w:webHidden/>
              </w:rPr>
              <w:instrText xml:space="preserve"> PAGEREF _Toc215125280 \h </w:instrText>
            </w:r>
            <w:r>
              <w:rPr>
                <w:noProof/>
                <w:webHidden/>
              </w:rPr>
            </w:r>
            <w:r>
              <w:rPr>
                <w:noProof/>
                <w:webHidden/>
              </w:rPr>
              <w:fldChar w:fldCharType="separate"/>
            </w:r>
            <w:r>
              <w:rPr>
                <w:noProof/>
                <w:webHidden/>
              </w:rPr>
              <w:t>7</w:t>
            </w:r>
            <w:r>
              <w:rPr>
                <w:noProof/>
                <w:webHidden/>
              </w:rPr>
              <w:fldChar w:fldCharType="end"/>
            </w:r>
          </w:hyperlink>
        </w:p>
        <w:p w14:paraId="17CD469B" w14:textId="590BE497" w:rsidR="00CF4D2F" w:rsidRDefault="00CF4D2F">
          <w:pPr>
            <w:pStyle w:val="TOC3"/>
            <w:tabs>
              <w:tab w:val="right" w:leader="dot" w:pos="9016"/>
            </w:tabs>
            <w:rPr>
              <w:noProof/>
            </w:rPr>
          </w:pPr>
          <w:hyperlink w:anchor="_Toc215125281" w:history="1">
            <w:r w:rsidRPr="001A5316">
              <w:rPr>
                <w:rStyle w:val="Hyperlink"/>
                <w:noProof/>
              </w:rPr>
              <w:t>Machines/Materials (Equipment/Resources):</w:t>
            </w:r>
            <w:r>
              <w:rPr>
                <w:noProof/>
                <w:webHidden/>
              </w:rPr>
              <w:tab/>
            </w:r>
            <w:r>
              <w:rPr>
                <w:noProof/>
                <w:webHidden/>
              </w:rPr>
              <w:fldChar w:fldCharType="begin"/>
            </w:r>
            <w:r>
              <w:rPr>
                <w:noProof/>
                <w:webHidden/>
              </w:rPr>
              <w:instrText xml:space="preserve"> PAGEREF _Toc215125281 \h </w:instrText>
            </w:r>
            <w:r>
              <w:rPr>
                <w:noProof/>
                <w:webHidden/>
              </w:rPr>
            </w:r>
            <w:r>
              <w:rPr>
                <w:noProof/>
                <w:webHidden/>
              </w:rPr>
              <w:fldChar w:fldCharType="separate"/>
            </w:r>
            <w:r>
              <w:rPr>
                <w:noProof/>
                <w:webHidden/>
              </w:rPr>
              <w:t>7</w:t>
            </w:r>
            <w:r>
              <w:rPr>
                <w:noProof/>
                <w:webHidden/>
              </w:rPr>
              <w:fldChar w:fldCharType="end"/>
            </w:r>
          </w:hyperlink>
        </w:p>
        <w:p w14:paraId="391A5B69" w14:textId="0CFE243B" w:rsidR="00CF4D2F" w:rsidRDefault="00CF4D2F">
          <w:pPr>
            <w:pStyle w:val="TOC3"/>
            <w:tabs>
              <w:tab w:val="right" w:leader="dot" w:pos="9016"/>
            </w:tabs>
            <w:rPr>
              <w:noProof/>
            </w:rPr>
          </w:pPr>
          <w:hyperlink w:anchor="_Toc215125282" w:history="1">
            <w:r w:rsidRPr="001A5316">
              <w:rPr>
                <w:rStyle w:val="Hyperlink"/>
                <w:noProof/>
              </w:rPr>
              <w:t>Measurement (Data/Information):</w:t>
            </w:r>
            <w:r>
              <w:rPr>
                <w:noProof/>
                <w:webHidden/>
              </w:rPr>
              <w:tab/>
            </w:r>
            <w:r>
              <w:rPr>
                <w:noProof/>
                <w:webHidden/>
              </w:rPr>
              <w:fldChar w:fldCharType="begin"/>
            </w:r>
            <w:r>
              <w:rPr>
                <w:noProof/>
                <w:webHidden/>
              </w:rPr>
              <w:instrText xml:space="preserve"> PAGEREF _Toc215125282 \h </w:instrText>
            </w:r>
            <w:r>
              <w:rPr>
                <w:noProof/>
                <w:webHidden/>
              </w:rPr>
            </w:r>
            <w:r>
              <w:rPr>
                <w:noProof/>
                <w:webHidden/>
              </w:rPr>
              <w:fldChar w:fldCharType="separate"/>
            </w:r>
            <w:r>
              <w:rPr>
                <w:noProof/>
                <w:webHidden/>
              </w:rPr>
              <w:t>7</w:t>
            </w:r>
            <w:r>
              <w:rPr>
                <w:noProof/>
                <w:webHidden/>
              </w:rPr>
              <w:fldChar w:fldCharType="end"/>
            </w:r>
          </w:hyperlink>
        </w:p>
        <w:p w14:paraId="4331A057" w14:textId="54C56081" w:rsidR="00CF4D2F" w:rsidRDefault="00CF4D2F">
          <w:pPr>
            <w:pStyle w:val="TOC3"/>
            <w:tabs>
              <w:tab w:val="right" w:leader="dot" w:pos="9016"/>
            </w:tabs>
            <w:rPr>
              <w:noProof/>
            </w:rPr>
          </w:pPr>
          <w:hyperlink w:anchor="_Toc215125283" w:history="1">
            <w:r w:rsidRPr="001A5316">
              <w:rPr>
                <w:rStyle w:val="Hyperlink"/>
                <w:noProof/>
              </w:rPr>
              <w:t>Environment (Culture/Organisation):</w:t>
            </w:r>
            <w:r>
              <w:rPr>
                <w:noProof/>
                <w:webHidden/>
              </w:rPr>
              <w:tab/>
            </w:r>
            <w:r>
              <w:rPr>
                <w:noProof/>
                <w:webHidden/>
              </w:rPr>
              <w:fldChar w:fldCharType="begin"/>
            </w:r>
            <w:r>
              <w:rPr>
                <w:noProof/>
                <w:webHidden/>
              </w:rPr>
              <w:instrText xml:space="preserve"> PAGEREF _Toc215125283 \h </w:instrText>
            </w:r>
            <w:r>
              <w:rPr>
                <w:noProof/>
                <w:webHidden/>
              </w:rPr>
            </w:r>
            <w:r>
              <w:rPr>
                <w:noProof/>
                <w:webHidden/>
              </w:rPr>
              <w:fldChar w:fldCharType="separate"/>
            </w:r>
            <w:r>
              <w:rPr>
                <w:noProof/>
                <w:webHidden/>
              </w:rPr>
              <w:t>8</w:t>
            </w:r>
            <w:r>
              <w:rPr>
                <w:noProof/>
                <w:webHidden/>
              </w:rPr>
              <w:fldChar w:fldCharType="end"/>
            </w:r>
          </w:hyperlink>
        </w:p>
        <w:p w14:paraId="61E0F13C" w14:textId="264DC0FE" w:rsidR="00CF4D2F" w:rsidRDefault="00CF4D2F">
          <w:pPr>
            <w:pStyle w:val="TOC3"/>
            <w:tabs>
              <w:tab w:val="right" w:leader="dot" w:pos="9016"/>
            </w:tabs>
            <w:rPr>
              <w:noProof/>
            </w:rPr>
          </w:pPr>
          <w:hyperlink w:anchor="_Toc215125284" w:history="1">
            <w:r w:rsidRPr="001A5316">
              <w:rPr>
                <w:rStyle w:val="Hyperlink"/>
                <w:noProof/>
              </w:rPr>
              <w:t>Management:</w:t>
            </w:r>
            <w:r>
              <w:rPr>
                <w:noProof/>
                <w:webHidden/>
              </w:rPr>
              <w:tab/>
            </w:r>
            <w:r>
              <w:rPr>
                <w:noProof/>
                <w:webHidden/>
              </w:rPr>
              <w:fldChar w:fldCharType="begin"/>
            </w:r>
            <w:r>
              <w:rPr>
                <w:noProof/>
                <w:webHidden/>
              </w:rPr>
              <w:instrText xml:space="preserve"> PAGEREF _Toc215125284 \h </w:instrText>
            </w:r>
            <w:r>
              <w:rPr>
                <w:noProof/>
                <w:webHidden/>
              </w:rPr>
            </w:r>
            <w:r>
              <w:rPr>
                <w:noProof/>
                <w:webHidden/>
              </w:rPr>
              <w:fldChar w:fldCharType="separate"/>
            </w:r>
            <w:r>
              <w:rPr>
                <w:noProof/>
                <w:webHidden/>
              </w:rPr>
              <w:t>8</w:t>
            </w:r>
            <w:r>
              <w:rPr>
                <w:noProof/>
                <w:webHidden/>
              </w:rPr>
              <w:fldChar w:fldCharType="end"/>
            </w:r>
          </w:hyperlink>
        </w:p>
        <w:p w14:paraId="0D937D84" w14:textId="4157D767" w:rsidR="00CF4D2F" w:rsidRDefault="00CF4D2F">
          <w:pPr>
            <w:pStyle w:val="TOC2"/>
            <w:tabs>
              <w:tab w:val="right" w:leader="dot" w:pos="9016"/>
            </w:tabs>
            <w:rPr>
              <w:noProof/>
            </w:rPr>
          </w:pPr>
          <w:hyperlink w:anchor="_Toc215125285" w:history="1">
            <w:r w:rsidRPr="001A5316">
              <w:rPr>
                <w:rStyle w:val="Hyperlink"/>
                <w:rFonts w:ascii="Arial" w:eastAsia="Times New Roman" w:hAnsi="Arial" w:cs="Arial"/>
                <w:b/>
                <w:bCs/>
                <w:noProof/>
                <w:kern w:val="0"/>
                <w14:ligatures w14:val="none"/>
              </w:rPr>
              <w:t>2</w:t>
            </w:r>
            <w:r w:rsidRPr="001A5316">
              <w:rPr>
                <w:rStyle w:val="Hyperlink"/>
                <w:noProof/>
              </w:rPr>
              <w:t>. The Donabedian Model for Quality Evaluation.</w:t>
            </w:r>
            <w:r>
              <w:rPr>
                <w:noProof/>
                <w:webHidden/>
              </w:rPr>
              <w:tab/>
            </w:r>
            <w:r>
              <w:rPr>
                <w:noProof/>
                <w:webHidden/>
              </w:rPr>
              <w:fldChar w:fldCharType="begin"/>
            </w:r>
            <w:r>
              <w:rPr>
                <w:noProof/>
                <w:webHidden/>
              </w:rPr>
              <w:instrText xml:space="preserve"> PAGEREF _Toc215125285 \h </w:instrText>
            </w:r>
            <w:r>
              <w:rPr>
                <w:noProof/>
                <w:webHidden/>
              </w:rPr>
            </w:r>
            <w:r>
              <w:rPr>
                <w:noProof/>
                <w:webHidden/>
              </w:rPr>
              <w:fldChar w:fldCharType="separate"/>
            </w:r>
            <w:r>
              <w:rPr>
                <w:noProof/>
                <w:webHidden/>
              </w:rPr>
              <w:t>8</w:t>
            </w:r>
            <w:r>
              <w:rPr>
                <w:noProof/>
                <w:webHidden/>
              </w:rPr>
              <w:fldChar w:fldCharType="end"/>
            </w:r>
          </w:hyperlink>
        </w:p>
        <w:p w14:paraId="6E42E7F3" w14:textId="37229272" w:rsidR="00CF4D2F" w:rsidRDefault="00CF4D2F">
          <w:pPr>
            <w:pStyle w:val="TOC3"/>
            <w:tabs>
              <w:tab w:val="right" w:leader="dot" w:pos="9016"/>
            </w:tabs>
            <w:rPr>
              <w:noProof/>
            </w:rPr>
          </w:pPr>
          <w:hyperlink w:anchor="_Toc215125286" w:history="1">
            <w:r w:rsidRPr="001A5316">
              <w:rPr>
                <w:rStyle w:val="Hyperlink"/>
                <w:noProof/>
              </w:rPr>
              <w:t>Structure (The setting in which care is delivered):</w:t>
            </w:r>
            <w:r>
              <w:rPr>
                <w:noProof/>
                <w:webHidden/>
              </w:rPr>
              <w:tab/>
            </w:r>
            <w:r>
              <w:rPr>
                <w:noProof/>
                <w:webHidden/>
              </w:rPr>
              <w:fldChar w:fldCharType="begin"/>
            </w:r>
            <w:r>
              <w:rPr>
                <w:noProof/>
                <w:webHidden/>
              </w:rPr>
              <w:instrText xml:space="preserve"> PAGEREF _Toc215125286 \h </w:instrText>
            </w:r>
            <w:r>
              <w:rPr>
                <w:noProof/>
                <w:webHidden/>
              </w:rPr>
            </w:r>
            <w:r>
              <w:rPr>
                <w:noProof/>
                <w:webHidden/>
              </w:rPr>
              <w:fldChar w:fldCharType="separate"/>
            </w:r>
            <w:r>
              <w:rPr>
                <w:noProof/>
                <w:webHidden/>
              </w:rPr>
              <w:t>9</w:t>
            </w:r>
            <w:r>
              <w:rPr>
                <w:noProof/>
                <w:webHidden/>
              </w:rPr>
              <w:fldChar w:fldCharType="end"/>
            </w:r>
          </w:hyperlink>
        </w:p>
        <w:p w14:paraId="17C93B8F" w14:textId="204E731A" w:rsidR="00CF4D2F" w:rsidRDefault="00CF4D2F">
          <w:pPr>
            <w:pStyle w:val="TOC3"/>
            <w:tabs>
              <w:tab w:val="right" w:leader="dot" w:pos="9016"/>
            </w:tabs>
            <w:rPr>
              <w:noProof/>
            </w:rPr>
          </w:pPr>
          <w:hyperlink w:anchor="_Toc215125287" w:history="1">
            <w:r w:rsidRPr="001A5316">
              <w:rPr>
                <w:rStyle w:val="Hyperlink"/>
                <w:noProof/>
              </w:rPr>
              <w:t>Process (The interactions and activities of care):</w:t>
            </w:r>
            <w:r>
              <w:rPr>
                <w:noProof/>
                <w:webHidden/>
              </w:rPr>
              <w:tab/>
            </w:r>
            <w:r>
              <w:rPr>
                <w:noProof/>
                <w:webHidden/>
              </w:rPr>
              <w:fldChar w:fldCharType="begin"/>
            </w:r>
            <w:r>
              <w:rPr>
                <w:noProof/>
                <w:webHidden/>
              </w:rPr>
              <w:instrText xml:space="preserve"> PAGEREF _Toc215125287 \h </w:instrText>
            </w:r>
            <w:r>
              <w:rPr>
                <w:noProof/>
                <w:webHidden/>
              </w:rPr>
            </w:r>
            <w:r>
              <w:rPr>
                <w:noProof/>
                <w:webHidden/>
              </w:rPr>
              <w:fldChar w:fldCharType="separate"/>
            </w:r>
            <w:r>
              <w:rPr>
                <w:noProof/>
                <w:webHidden/>
              </w:rPr>
              <w:t>9</w:t>
            </w:r>
            <w:r>
              <w:rPr>
                <w:noProof/>
                <w:webHidden/>
              </w:rPr>
              <w:fldChar w:fldCharType="end"/>
            </w:r>
          </w:hyperlink>
        </w:p>
        <w:p w14:paraId="1DFE8E2E" w14:textId="014E7879" w:rsidR="00CF4D2F" w:rsidRDefault="00CF4D2F">
          <w:pPr>
            <w:pStyle w:val="TOC3"/>
            <w:tabs>
              <w:tab w:val="right" w:leader="dot" w:pos="9016"/>
            </w:tabs>
            <w:rPr>
              <w:noProof/>
            </w:rPr>
          </w:pPr>
          <w:hyperlink w:anchor="_Toc215125288" w:history="1">
            <w:r w:rsidRPr="001A5316">
              <w:rPr>
                <w:rStyle w:val="Hyperlink"/>
                <w:noProof/>
              </w:rPr>
              <w:t>Outcome (The results of care):</w:t>
            </w:r>
            <w:r>
              <w:rPr>
                <w:noProof/>
                <w:webHidden/>
              </w:rPr>
              <w:tab/>
            </w:r>
            <w:r>
              <w:rPr>
                <w:noProof/>
                <w:webHidden/>
              </w:rPr>
              <w:fldChar w:fldCharType="begin"/>
            </w:r>
            <w:r>
              <w:rPr>
                <w:noProof/>
                <w:webHidden/>
              </w:rPr>
              <w:instrText xml:space="preserve"> PAGEREF _Toc215125288 \h </w:instrText>
            </w:r>
            <w:r>
              <w:rPr>
                <w:noProof/>
                <w:webHidden/>
              </w:rPr>
            </w:r>
            <w:r>
              <w:rPr>
                <w:noProof/>
                <w:webHidden/>
              </w:rPr>
              <w:fldChar w:fldCharType="separate"/>
            </w:r>
            <w:r>
              <w:rPr>
                <w:noProof/>
                <w:webHidden/>
              </w:rPr>
              <w:t>9</w:t>
            </w:r>
            <w:r>
              <w:rPr>
                <w:noProof/>
                <w:webHidden/>
              </w:rPr>
              <w:fldChar w:fldCharType="end"/>
            </w:r>
          </w:hyperlink>
        </w:p>
        <w:p w14:paraId="49A13B26" w14:textId="055F95CC" w:rsidR="00CF4D2F" w:rsidRDefault="00CF4D2F">
          <w:pPr>
            <w:pStyle w:val="TOC2"/>
            <w:tabs>
              <w:tab w:val="right" w:leader="dot" w:pos="9016"/>
            </w:tabs>
            <w:rPr>
              <w:noProof/>
            </w:rPr>
          </w:pPr>
          <w:hyperlink w:anchor="_Toc215125289" w:history="1">
            <w:r w:rsidRPr="001A5316">
              <w:rPr>
                <w:rStyle w:val="Hyperlink"/>
                <w:noProof/>
              </w:rPr>
              <w:t>3. SWOT Analysis of MSFT's Organisational Position (Pre-Crisis)</w:t>
            </w:r>
            <w:r>
              <w:rPr>
                <w:noProof/>
                <w:webHidden/>
              </w:rPr>
              <w:tab/>
            </w:r>
            <w:r>
              <w:rPr>
                <w:noProof/>
                <w:webHidden/>
              </w:rPr>
              <w:fldChar w:fldCharType="begin"/>
            </w:r>
            <w:r>
              <w:rPr>
                <w:noProof/>
                <w:webHidden/>
              </w:rPr>
              <w:instrText xml:space="preserve"> PAGEREF _Toc215125289 \h </w:instrText>
            </w:r>
            <w:r>
              <w:rPr>
                <w:noProof/>
                <w:webHidden/>
              </w:rPr>
            </w:r>
            <w:r>
              <w:rPr>
                <w:noProof/>
                <w:webHidden/>
              </w:rPr>
              <w:fldChar w:fldCharType="separate"/>
            </w:r>
            <w:r>
              <w:rPr>
                <w:noProof/>
                <w:webHidden/>
              </w:rPr>
              <w:t>10</w:t>
            </w:r>
            <w:r>
              <w:rPr>
                <w:noProof/>
                <w:webHidden/>
              </w:rPr>
              <w:fldChar w:fldCharType="end"/>
            </w:r>
          </w:hyperlink>
        </w:p>
        <w:p w14:paraId="496702BC" w14:textId="57CD9531" w:rsidR="00CF4D2F" w:rsidRDefault="00CF4D2F">
          <w:pPr>
            <w:pStyle w:val="TOC1"/>
            <w:tabs>
              <w:tab w:val="right" w:leader="dot" w:pos="9016"/>
            </w:tabs>
            <w:rPr>
              <w:noProof/>
            </w:rPr>
          </w:pPr>
          <w:hyperlink w:anchor="_Toc215125290" w:history="1">
            <w:r w:rsidRPr="001A5316">
              <w:rPr>
                <w:rStyle w:val="Hyperlink"/>
                <w:noProof/>
              </w:rPr>
              <w:t>Recommendation: Evidence-Based Quality Improvement.</w:t>
            </w:r>
            <w:r>
              <w:rPr>
                <w:noProof/>
                <w:webHidden/>
              </w:rPr>
              <w:tab/>
            </w:r>
            <w:r>
              <w:rPr>
                <w:noProof/>
                <w:webHidden/>
              </w:rPr>
              <w:fldChar w:fldCharType="begin"/>
            </w:r>
            <w:r>
              <w:rPr>
                <w:noProof/>
                <w:webHidden/>
              </w:rPr>
              <w:instrText xml:space="preserve"> PAGEREF _Toc215125290 \h </w:instrText>
            </w:r>
            <w:r>
              <w:rPr>
                <w:noProof/>
                <w:webHidden/>
              </w:rPr>
            </w:r>
            <w:r>
              <w:rPr>
                <w:noProof/>
                <w:webHidden/>
              </w:rPr>
              <w:fldChar w:fldCharType="separate"/>
            </w:r>
            <w:r>
              <w:rPr>
                <w:noProof/>
                <w:webHidden/>
              </w:rPr>
              <w:t>11</w:t>
            </w:r>
            <w:r>
              <w:rPr>
                <w:noProof/>
                <w:webHidden/>
              </w:rPr>
              <w:fldChar w:fldCharType="end"/>
            </w:r>
          </w:hyperlink>
        </w:p>
        <w:p w14:paraId="0FE0CFA6" w14:textId="55B2F227" w:rsidR="00CF4D2F" w:rsidRDefault="00CF4D2F">
          <w:pPr>
            <w:pStyle w:val="TOC2"/>
            <w:tabs>
              <w:tab w:val="right" w:leader="dot" w:pos="9016"/>
            </w:tabs>
            <w:rPr>
              <w:noProof/>
            </w:rPr>
          </w:pPr>
          <w:hyperlink w:anchor="_Toc215125291" w:history="1">
            <w:r w:rsidRPr="001A5316">
              <w:rPr>
                <w:rStyle w:val="Hyperlink"/>
                <w:noProof/>
              </w:rPr>
              <w:t>Recommendation 1: Cultivating a Safety-First Culture (Lean/Six Sigma)</w:t>
            </w:r>
            <w:r>
              <w:rPr>
                <w:noProof/>
                <w:webHidden/>
              </w:rPr>
              <w:tab/>
            </w:r>
            <w:r>
              <w:rPr>
                <w:noProof/>
                <w:webHidden/>
              </w:rPr>
              <w:fldChar w:fldCharType="begin"/>
            </w:r>
            <w:r>
              <w:rPr>
                <w:noProof/>
                <w:webHidden/>
              </w:rPr>
              <w:instrText xml:space="preserve"> PAGEREF _Toc215125291 \h </w:instrText>
            </w:r>
            <w:r>
              <w:rPr>
                <w:noProof/>
                <w:webHidden/>
              </w:rPr>
            </w:r>
            <w:r>
              <w:rPr>
                <w:noProof/>
                <w:webHidden/>
              </w:rPr>
              <w:fldChar w:fldCharType="separate"/>
            </w:r>
            <w:r>
              <w:rPr>
                <w:noProof/>
                <w:webHidden/>
              </w:rPr>
              <w:t>11</w:t>
            </w:r>
            <w:r>
              <w:rPr>
                <w:noProof/>
                <w:webHidden/>
              </w:rPr>
              <w:fldChar w:fldCharType="end"/>
            </w:r>
          </w:hyperlink>
        </w:p>
        <w:p w14:paraId="3E8AD59E" w14:textId="2A62766D" w:rsidR="00CF4D2F" w:rsidRDefault="00CF4D2F">
          <w:pPr>
            <w:pStyle w:val="TOC2"/>
            <w:tabs>
              <w:tab w:val="right" w:leader="dot" w:pos="9016"/>
            </w:tabs>
            <w:rPr>
              <w:noProof/>
            </w:rPr>
          </w:pPr>
          <w:hyperlink w:anchor="_Toc215125292" w:history="1">
            <w:r w:rsidRPr="001A5316">
              <w:rPr>
                <w:rStyle w:val="Hyperlink"/>
                <w:noProof/>
              </w:rPr>
              <w:t>Lean (Value Stream Mapping &amp; Waste Reduction) and Six Sigma (Define, Measure, Analyse, Improve, Control – DMAIC).</w:t>
            </w:r>
            <w:r>
              <w:rPr>
                <w:noProof/>
                <w:webHidden/>
              </w:rPr>
              <w:tab/>
            </w:r>
            <w:r>
              <w:rPr>
                <w:noProof/>
                <w:webHidden/>
              </w:rPr>
              <w:fldChar w:fldCharType="begin"/>
            </w:r>
            <w:r>
              <w:rPr>
                <w:noProof/>
                <w:webHidden/>
              </w:rPr>
              <w:instrText xml:space="preserve"> PAGEREF _Toc215125292 \h </w:instrText>
            </w:r>
            <w:r>
              <w:rPr>
                <w:noProof/>
                <w:webHidden/>
              </w:rPr>
            </w:r>
            <w:r>
              <w:rPr>
                <w:noProof/>
                <w:webHidden/>
              </w:rPr>
              <w:fldChar w:fldCharType="separate"/>
            </w:r>
            <w:r>
              <w:rPr>
                <w:noProof/>
                <w:webHidden/>
              </w:rPr>
              <w:t>11</w:t>
            </w:r>
            <w:r>
              <w:rPr>
                <w:noProof/>
                <w:webHidden/>
              </w:rPr>
              <w:fldChar w:fldCharType="end"/>
            </w:r>
          </w:hyperlink>
        </w:p>
        <w:p w14:paraId="6F31DEB8" w14:textId="4BFEB4C8" w:rsidR="00CF4D2F" w:rsidRDefault="00CF4D2F">
          <w:pPr>
            <w:pStyle w:val="TOC3"/>
            <w:tabs>
              <w:tab w:val="right" w:leader="dot" w:pos="9016"/>
            </w:tabs>
            <w:rPr>
              <w:noProof/>
            </w:rPr>
          </w:pPr>
          <w:hyperlink w:anchor="_Toc215125293" w:history="1">
            <w:r w:rsidRPr="001A5316">
              <w:rPr>
                <w:rStyle w:val="Hyperlink"/>
                <w:noProof/>
              </w:rPr>
              <w:t>Actionable Steps:</w:t>
            </w:r>
            <w:r>
              <w:rPr>
                <w:noProof/>
                <w:webHidden/>
              </w:rPr>
              <w:tab/>
            </w:r>
            <w:r>
              <w:rPr>
                <w:noProof/>
                <w:webHidden/>
              </w:rPr>
              <w:fldChar w:fldCharType="begin"/>
            </w:r>
            <w:r>
              <w:rPr>
                <w:noProof/>
                <w:webHidden/>
              </w:rPr>
              <w:instrText xml:space="preserve"> PAGEREF _Toc215125293 \h </w:instrText>
            </w:r>
            <w:r>
              <w:rPr>
                <w:noProof/>
                <w:webHidden/>
              </w:rPr>
            </w:r>
            <w:r>
              <w:rPr>
                <w:noProof/>
                <w:webHidden/>
              </w:rPr>
              <w:fldChar w:fldCharType="separate"/>
            </w:r>
            <w:r>
              <w:rPr>
                <w:noProof/>
                <w:webHidden/>
              </w:rPr>
              <w:t>11</w:t>
            </w:r>
            <w:r>
              <w:rPr>
                <w:noProof/>
                <w:webHidden/>
              </w:rPr>
              <w:fldChar w:fldCharType="end"/>
            </w:r>
          </w:hyperlink>
        </w:p>
        <w:p w14:paraId="673A2E41" w14:textId="57B38C8E" w:rsidR="00CF4D2F" w:rsidRDefault="00CF4D2F">
          <w:pPr>
            <w:pStyle w:val="TOC2"/>
            <w:tabs>
              <w:tab w:val="right" w:leader="dot" w:pos="9016"/>
            </w:tabs>
            <w:rPr>
              <w:noProof/>
            </w:rPr>
          </w:pPr>
          <w:hyperlink w:anchor="_Toc215125294" w:history="1">
            <w:r w:rsidRPr="001A5316">
              <w:rPr>
                <w:rStyle w:val="Hyperlink"/>
                <w:noProof/>
              </w:rPr>
              <w:t>Recommendation 2: Implementing Safe Staffing and Resource Allocation (PDSA/PDCA)</w:t>
            </w:r>
            <w:r>
              <w:rPr>
                <w:noProof/>
                <w:webHidden/>
              </w:rPr>
              <w:tab/>
            </w:r>
            <w:r>
              <w:rPr>
                <w:noProof/>
                <w:webHidden/>
              </w:rPr>
              <w:fldChar w:fldCharType="begin"/>
            </w:r>
            <w:r>
              <w:rPr>
                <w:noProof/>
                <w:webHidden/>
              </w:rPr>
              <w:instrText xml:space="preserve"> PAGEREF _Toc215125294 \h </w:instrText>
            </w:r>
            <w:r>
              <w:rPr>
                <w:noProof/>
                <w:webHidden/>
              </w:rPr>
            </w:r>
            <w:r>
              <w:rPr>
                <w:noProof/>
                <w:webHidden/>
              </w:rPr>
              <w:fldChar w:fldCharType="separate"/>
            </w:r>
            <w:r>
              <w:rPr>
                <w:noProof/>
                <w:webHidden/>
              </w:rPr>
              <w:t>12</w:t>
            </w:r>
            <w:r>
              <w:rPr>
                <w:noProof/>
                <w:webHidden/>
              </w:rPr>
              <w:fldChar w:fldCharType="end"/>
            </w:r>
          </w:hyperlink>
        </w:p>
        <w:p w14:paraId="3E0D65BB" w14:textId="696FC5B8" w:rsidR="00CF4D2F" w:rsidRDefault="00CF4D2F">
          <w:pPr>
            <w:pStyle w:val="TOC2"/>
            <w:tabs>
              <w:tab w:val="right" w:leader="dot" w:pos="9016"/>
            </w:tabs>
            <w:rPr>
              <w:noProof/>
            </w:rPr>
          </w:pPr>
          <w:hyperlink w:anchor="_Toc215125295" w:history="1">
            <w:r w:rsidRPr="001A5316">
              <w:rPr>
                <w:rStyle w:val="Hyperlink"/>
                <w:b/>
                <w:bCs/>
                <w:noProof/>
              </w:rPr>
              <w:t xml:space="preserve">PDSA (Plan-Do-Study-Act) </w:t>
            </w:r>
            <w:r w:rsidRPr="001A5316">
              <w:rPr>
                <w:rStyle w:val="Hyperlink"/>
                <w:noProof/>
              </w:rPr>
              <w:t>cycle for workforce planning.</w:t>
            </w:r>
            <w:r>
              <w:rPr>
                <w:noProof/>
                <w:webHidden/>
              </w:rPr>
              <w:tab/>
            </w:r>
            <w:r>
              <w:rPr>
                <w:noProof/>
                <w:webHidden/>
              </w:rPr>
              <w:fldChar w:fldCharType="begin"/>
            </w:r>
            <w:r>
              <w:rPr>
                <w:noProof/>
                <w:webHidden/>
              </w:rPr>
              <w:instrText xml:space="preserve"> PAGEREF _Toc215125295 \h </w:instrText>
            </w:r>
            <w:r>
              <w:rPr>
                <w:noProof/>
                <w:webHidden/>
              </w:rPr>
            </w:r>
            <w:r>
              <w:rPr>
                <w:noProof/>
                <w:webHidden/>
              </w:rPr>
              <w:fldChar w:fldCharType="separate"/>
            </w:r>
            <w:r>
              <w:rPr>
                <w:noProof/>
                <w:webHidden/>
              </w:rPr>
              <w:t>13</w:t>
            </w:r>
            <w:r>
              <w:rPr>
                <w:noProof/>
                <w:webHidden/>
              </w:rPr>
              <w:fldChar w:fldCharType="end"/>
            </w:r>
          </w:hyperlink>
        </w:p>
        <w:p w14:paraId="230482EA" w14:textId="44C86970" w:rsidR="00CF4D2F" w:rsidRDefault="00CF4D2F">
          <w:pPr>
            <w:pStyle w:val="TOC2"/>
            <w:tabs>
              <w:tab w:val="right" w:leader="dot" w:pos="9016"/>
            </w:tabs>
            <w:rPr>
              <w:noProof/>
            </w:rPr>
          </w:pPr>
          <w:hyperlink w:anchor="_Toc215125296" w:history="1">
            <w:r w:rsidRPr="001A5316">
              <w:rPr>
                <w:rStyle w:val="Hyperlink"/>
                <w:noProof/>
              </w:rPr>
              <w:t>PDSA Cycle for Safe Staffing</w:t>
            </w:r>
            <w:r>
              <w:rPr>
                <w:noProof/>
                <w:webHidden/>
              </w:rPr>
              <w:tab/>
            </w:r>
            <w:r>
              <w:rPr>
                <w:noProof/>
                <w:webHidden/>
              </w:rPr>
              <w:fldChar w:fldCharType="begin"/>
            </w:r>
            <w:r>
              <w:rPr>
                <w:noProof/>
                <w:webHidden/>
              </w:rPr>
              <w:instrText xml:space="preserve"> PAGEREF _Toc215125296 \h </w:instrText>
            </w:r>
            <w:r>
              <w:rPr>
                <w:noProof/>
                <w:webHidden/>
              </w:rPr>
            </w:r>
            <w:r>
              <w:rPr>
                <w:noProof/>
                <w:webHidden/>
              </w:rPr>
              <w:fldChar w:fldCharType="separate"/>
            </w:r>
            <w:r>
              <w:rPr>
                <w:noProof/>
                <w:webHidden/>
              </w:rPr>
              <w:t>13</w:t>
            </w:r>
            <w:r>
              <w:rPr>
                <w:noProof/>
                <w:webHidden/>
              </w:rPr>
              <w:fldChar w:fldCharType="end"/>
            </w:r>
          </w:hyperlink>
        </w:p>
        <w:p w14:paraId="7F1F0586" w14:textId="2B4BA8FF" w:rsidR="00CF4D2F" w:rsidRDefault="00CF4D2F">
          <w:pPr>
            <w:pStyle w:val="TOC3"/>
            <w:tabs>
              <w:tab w:val="right" w:leader="dot" w:pos="9016"/>
            </w:tabs>
            <w:rPr>
              <w:noProof/>
            </w:rPr>
          </w:pPr>
          <w:hyperlink w:anchor="_Toc215125297" w:history="1">
            <w:r w:rsidRPr="001A5316">
              <w:rPr>
                <w:rStyle w:val="Hyperlink"/>
                <w:noProof/>
                <w:color w:val="233C43" w:themeColor="hyperlink" w:themeShade="80"/>
              </w:rPr>
              <w:t>1. Plan: Defining the Change and Prediction</w:t>
            </w:r>
            <w:r>
              <w:rPr>
                <w:noProof/>
                <w:webHidden/>
              </w:rPr>
              <w:tab/>
            </w:r>
            <w:r>
              <w:rPr>
                <w:noProof/>
                <w:webHidden/>
              </w:rPr>
              <w:fldChar w:fldCharType="begin"/>
            </w:r>
            <w:r>
              <w:rPr>
                <w:noProof/>
                <w:webHidden/>
              </w:rPr>
              <w:instrText xml:space="preserve"> PAGEREF _Toc215125297 \h </w:instrText>
            </w:r>
            <w:r>
              <w:rPr>
                <w:noProof/>
                <w:webHidden/>
              </w:rPr>
            </w:r>
            <w:r>
              <w:rPr>
                <w:noProof/>
                <w:webHidden/>
              </w:rPr>
              <w:fldChar w:fldCharType="separate"/>
            </w:r>
            <w:r>
              <w:rPr>
                <w:noProof/>
                <w:webHidden/>
              </w:rPr>
              <w:t>13</w:t>
            </w:r>
            <w:r>
              <w:rPr>
                <w:noProof/>
                <w:webHidden/>
              </w:rPr>
              <w:fldChar w:fldCharType="end"/>
            </w:r>
          </w:hyperlink>
        </w:p>
        <w:p w14:paraId="6423E08F" w14:textId="41A05BD2" w:rsidR="00CF4D2F" w:rsidRDefault="00CF4D2F">
          <w:pPr>
            <w:pStyle w:val="TOC3"/>
            <w:tabs>
              <w:tab w:val="right" w:leader="dot" w:pos="9016"/>
            </w:tabs>
            <w:rPr>
              <w:noProof/>
            </w:rPr>
          </w:pPr>
          <w:hyperlink w:anchor="_Toc215125298" w:history="1">
            <w:r w:rsidRPr="001A5316">
              <w:rPr>
                <w:rStyle w:val="Hyperlink"/>
                <w:noProof/>
              </w:rPr>
              <w:t>2. Do: Executing the Test</w:t>
            </w:r>
            <w:r>
              <w:rPr>
                <w:noProof/>
                <w:webHidden/>
              </w:rPr>
              <w:tab/>
            </w:r>
            <w:r>
              <w:rPr>
                <w:noProof/>
                <w:webHidden/>
              </w:rPr>
              <w:fldChar w:fldCharType="begin"/>
            </w:r>
            <w:r>
              <w:rPr>
                <w:noProof/>
                <w:webHidden/>
              </w:rPr>
              <w:instrText xml:space="preserve"> PAGEREF _Toc215125298 \h </w:instrText>
            </w:r>
            <w:r>
              <w:rPr>
                <w:noProof/>
                <w:webHidden/>
              </w:rPr>
            </w:r>
            <w:r>
              <w:rPr>
                <w:noProof/>
                <w:webHidden/>
              </w:rPr>
              <w:fldChar w:fldCharType="separate"/>
            </w:r>
            <w:r>
              <w:rPr>
                <w:noProof/>
                <w:webHidden/>
              </w:rPr>
              <w:t>14</w:t>
            </w:r>
            <w:r>
              <w:rPr>
                <w:noProof/>
                <w:webHidden/>
              </w:rPr>
              <w:fldChar w:fldCharType="end"/>
            </w:r>
          </w:hyperlink>
        </w:p>
        <w:p w14:paraId="4F6AC9F4" w14:textId="5E4E3692" w:rsidR="00CF4D2F" w:rsidRDefault="00CF4D2F">
          <w:pPr>
            <w:pStyle w:val="TOC3"/>
            <w:tabs>
              <w:tab w:val="right" w:leader="dot" w:pos="9016"/>
            </w:tabs>
            <w:rPr>
              <w:noProof/>
            </w:rPr>
          </w:pPr>
          <w:hyperlink w:anchor="_Toc215125299" w:history="1">
            <w:r w:rsidRPr="001A5316">
              <w:rPr>
                <w:rStyle w:val="Hyperlink"/>
                <w:noProof/>
                <w:color w:val="233C43" w:themeColor="hyperlink" w:themeShade="80"/>
              </w:rPr>
              <w:t>3. Study: Analysing the Results</w:t>
            </w:r>
            <w:r>
              <w:rPr>
                <w:noProof/>
                <w:webHidden/>
              </w:rPr>
              <w:tab/>
            </w:r>
            <w:r>
              <w:rPr>
                <w:noProof/>
                <w:webHidden/>
              </w:rPr>
              <w:fldChar w:fldCharType="begin"/>
            </w:r>
            <w:r>
              <w:rPr>
                <w:noProof/>
                <w:webHidden/>
              </w:rPr>
              <w:instrText xml:space="preserve"> PAGEREF _Toc215125299 \h </w:instrText>
            </w:r>
            <w:r>
              <w:rPr>
                <w:noProof/>
                <w:webHidden/>
              </w:rPr>
            </w:r>
            <w:r>
              <w:rPr>
                <w:noProof/>
                <w:webHidden/>
              </w:rPr>
              <w:fldChar w:fldCharType="separate"/>
            </w:r>
            <w:r>
              <w:rPr>
                <w:noProof/>
                <w:webHidden/>
              </w:rPr>
              <w:t>14</w:t>
            </w:r>
            <w:r>
              <w:rPr>
                <w:noProof/>
                <w:webHidden/>
              </w:rPr>
              <w:fldChar w:fldCharType="end"/>
            </w:r>
          </w:hyperlink>
        </w:p>
        <w:p w14:paraId="4ED28715" w14:textId="352F5910" w:rsidR="00CF4D2F" w:rsidRDefault="00CF4D2F">
          <w:pPr>
            <w:pStyle w:val="TOC3"/>
            <w:tabs>
              <w:tab w:val="right" w:leader="dot" w:pos="9016"/>
            </w:tabs>
            <w:rPr>
              <w:noProof/>
            </w:rPr>
          </w:pPr>
          <w:hyperlink w:anchor="_Toc215125300" w:history="1">
            <w:r w:rsidRPr="001A5316">
              <w:rPr>
                <w:rStyle w:val="Hyperlink"/>
                <w:noProof/>
                <w:color w:val="9ABFCA" w:themeColor="hyperlink" w:themeTint="80"/>
              </w:rPr>
              <w:t>4. Act: Refining the Change and Standardisation</w:t>
            </w:r>
            <w:r>
              <w:rPr>
                <w:noProof/>
                <w:webHidden/>
              </w:rPr>
              <w:tab/>
            </w:r>
            <w:r>
              <w:rPr>
                <w:noProof/>
                <w:webHidden/>
              </w:rPr>
              <w:fldChar w:fldCharType="begin"/>
            </w:r>
            <w:r>
              <w:rPr>
                <w:noProof/>
                <w:webHidden/>
              </w:rPr>
              <w:instrText xml:space="preserve"> PAGEREF _Toc215125300 \h </w:instrText>
            </w:r>
            <w:r>
              <w:rPr>
                <w:noProof/>
                <w:webHidden/>
              </w:rPr>
            </w:r>
            <w:r>
              <w:rPr>
                <w:noProof/>
                <w:webHidden/>
              </w:rPr>
              <w:fldChar w:fldCharType="separate"/>
            </w:r>
            <w:r>
              <w:rPr>
                <w:noProof/>
                <w:webHidden/>
              </w:rPr>
              <w:t>15</w:t>
            </w:r>
            <w:r>
              <w:rPr>
                <w:noProof/>
                <w:webHidden/>
              </w:rPr>
              <w:fldChar w:fldCharType="end"/>
            </w:r>
          </w:hyperlink>
        </w:p>
        <w:p w14:paraId="7D950A9D" w14:textId="4DE93F00" w:rsidR="00CF4D2F" w:rsidRDefault="00CF4D2F">
          <w:pPr>
            <w:pStyle w:val="TOC2"/>
            <w:tabs>
              <w:tab w:val="right" w:leader="dot" w:pos="9016"/>
            </w:tabs>
            <w:rPr>
              <w:noProof/>
            </w:rPr>
          </w:pPr>
          <w:hyperlink w:anchor="_Toc215125301" w:history="1">
            <w:r w:rsidRPr="001A5316">
              <w:rPr>
                <w:rStyle w:val="Hyperlink"/>
                <w:noProof/>
              </w:rPr>
              <w:t>Recommendation 3: Strengthening Board-Level Quality Governance (PDCA &amp; Accountability) PDCA (Plan-Do-Check-Act) cycle for workforce planning.</w:t>
            </w:r>
            <w:r>
              <w:rPr>
                <w:noProof/>
                <w:webHidden/>
              </w:rPr>
              <w:tab/>
            </w:r>
            <w:r>
              <w:rPr>
                <w:noProof/>
                <w:webHidden/>
              </w:rPr>
              <w:fldChar w:fldCharType="begin"/>
            </w:r>
            <w:r>
              <w:rPr>
                <w:noProof/>
                <w:webHidden/>
              </w:rPr>
              <w:instrText xml:space="preserve"> PAGEREF _Toc215125301 \h </w:instrText>
            </w:r>
            <w:r>
              <w:rPr>
                <w:noProof/>
                <w:webHidden/>
              </w:rPr>
            </w:r>
            <w:r>
              <w:rPr>
                <w:noProof/>
                <w:webHidden/>
              </w:rPr>
              <w:fldChar w:fldCharType="separate"/>
            </w:r>
            <w:r>
              <w:rPr>
                <w:noProof/>
                <w:webHidden/>
              </w:rPr>
              <w:t>16</w:t>
            </w:r>
            <w:r>
              <w:rPr>
                <w:noProof/>
                <w:webHidden/>
              </w:rPr>
              <w:fldChar w:fldCharType="end"/>
            </w:r>
          </w:hyperlink>
        </w:p>
        <w:p w14:paraId="59C52F01" w14:textId="36716443" w:rsidR="00CF4D2F" w:rsidRDefault="00CF4D2F">
          <w:pPr>
            <w:pStyle w:val="TOC2"/>
            <w:tabs>
              <w:tab w:val="right" w:leader="dot" w:pos="9016"/>
            </w:tabs>
            <w:rPr>
              <w:noProof/>
            </w:rPr>
          </w:pPr>
          <w:hyperlink w:anchor="_Toc215125302" w:history="1">
            <w:r w:rsidRPr="001A5316">
              <w:rPr>
                <w:rStyle w:val="Hyperlink"/>
                <w:noProof/>
              </w:rPr>
              <w:t>Actionable Steps:</w:t>
            </w:r>
            <w:r>
              <w:rPr>
                <w:noProof/>
                <w:webHidden/>
              </w:rPr>
              <w:tab/>
            </w:r>
            <w:r>
              <w:rPr>
                <w:noProof/>
                <w:webHidden/>
              </w:rPr>
              <w:fldChar w:fldCharType="begin"/>
            </w:r>
            <w:r>
              <w:rPr>
                <w:noProof/>
                <w:webHidden/>
              </w:rPr>
              <w:instrText xml:space="preserve"> PAGEREF _Toc215125302 \h </w:instrText>
            </w:r>
            <w:r>
              <w:rPr>
                <w:noProof/>
                <w:webHidden/>
              </w:rPr>
            </w:r>
            <w:r>
              <w:rPr>
                <w:noProof/>
                <w:webHidden/>
              </w:rPr>
              <w:fldChar w:fldCharType="separate"/>
            </w:r>
            <w:r>
              <w:rPr>
                <w:noProof/>
                <w:webHidden/>
              </w:rPr>
              <w:t>17</w:t>
            </w:r>
            <w:r>
              <w:rPr>
                <w:noProof/>
                <w:webHidden/>
              </w:rPr>
              <w:fldChar w:fldCharType="end"/>
            </w:r>
          </w:hyperlink>
        </w:p>
        <w:p w14:paraId="7CA930DF" w14:textId="6A34CD16" w:rsidR="00CF4D2F" w:rsidRDefault="00CF4D2F">
          <w:pPr>
            <w:pStyle w:val="TOC3"/>
            <w:tabs>
              <w:tab w:val="right" w:leader="dot" w:pos="9016"/>
            </w:tabs>
            <w:rPr>
              <w:noProof/>
            </w:rPr>
          </w:pPr>
          <w:hyperlink w:anchor="_Toc215125303" w:history="1">
            <w:r w:rsidRPr="001A5316">
              <w:rPr>
                <w:rStyle w:val="Hyperlink"/>
                <w:b/>
                <w:bCs/>
                <w:noProof/>
                <w:color w:val="86B3C0" w:themeColor="hyperlink" w:themeTint="99"/>
              </w:rPr>
              <w:t>Plan:</w:t>
            </w:r>
            <w:r>
              <w:rPr>
                <w:noProof/>
                <w:webHidden/>
              </w:rPr>
              <w:tab/>
            </w:r>
            <w:r>
              <w:rPr>
                <w:noProof/>
                <w:webHidden/>
              </w:rPr>
              <w:fldChar w:fldCharType="begin"/>
            </w:r>
            <w:r>
              <w:rPr>
                <w:noProof/>
                <w:webHidden/>
              </w:rPr>
              <w:instrText xml:space="preserve"> PAGEREF _Toc215125303 \h </w:instrText>
            </w:r>
            <w:r>
              <w:rPr>
                <w:noProof/>
                <w:webHidden/>
              </w:rPr>
            </w:r>
            <w:r>
              <w:rPr>
                <w:noProof/>
                <w:webHidden/>
              </w:rPr>
              <w:fldChar w:fldCharType="separate"/>
            </w:r>
            <w:r>
              <w:rPr>
                <w:noProof/>
                <w:webHidden/>
              </w:rPr>
              <w:t>17</w:t>
            </w:r>
            <w:r>
              <w:rPr>
                <w:noProof/>
                <w:webHidden/>
              </w:rPr>
              <w:fldChar w:fldCharType="end"/>
            </w:r>
          </w:hyperlink>
        </w:p>
        <w:p w14:paraId="01C4D05B" w14:textId="2C976687" w:rsidR="00CF4D2F" w:rsidRDefault="00CF4D2F">
          <w:pPr>
            <w:pStyle w:val="TOC3"/>
            <w:tabs>
              <w:tab w:val="right" w:leader="dot" w:pos="9016"/>
            </w:tabs>
            <w:rPr>
              <w:noProof/>
            </w:rPr>
          </w:pPr>
          <w:hyperlink w:anchor="_Toc215125304" w:history="1">
            <w:r w:rsidRPr="001A5316">
              <w:rPr>
                <w:rStyle w:val="Hyperlink"/>
                <w:b/>
                <w:bCs/>
                <w:noProof/>
                <w:color w:val="345964" w:themeColor="hyperlink" w:themeShade="BF"/>
              </w:rPr>
              <w:t>Do:</w:t>
            </w:r>
            <w:r>
              <w:rPr>
                <w:noProof/>
                <w:webHidden/>
              </w:rPr>
              <w:tab/>
            </w:r>
            <w:r>
              <w:rPr>
                <w:noProof/>
                <w:webHidden/>
              </w:rPr>
              <w:fldChar w:fldCharType="begin"/>
            </w:r>
            <w:r>
              <w:rPr>
                <w:noProof/>
                <w:webHidden/>
              </w:rPr>
              <w:instrText xml:space="preserve"> PAGEREF _Toc215125304 \h </w:instrText>
            </w:r>
            <w:r>
              <w:rPr>
                <w:noProof/>
                <w:webHidden/>
              </w:rPr>
            </w:r>
            <w:r>
              <w:rPr>
                <w:noProof/>
                <w:webHidden/>
              </w:rPr>
              <w:fldChar w:fldCharType="separate"/>
            </w:r>
            <w:r>
              <w:rPr>
                <w:noProof/>
                <w:webHidden/>
              </w:rPr>
              <w:t>17</w:t>
            </w:r>
            <w:r>
              <w:rPr>
                <w:noProof/>
                <w:webHidden/>
              </w:rPr>
              <w:fldChar w:fldCharType="end"/>
            </w:r>
          </w:hyperlink>
        </w:p>
        <w:p w14:paraId="7679D18D" w14:textId="40B45CA8" w:rsidR="00CF4D2F" w:rsidRDefault="00CF4D2F">
          <w:pPr>
            <w:pStyle w:val="TOC3"/>
            <w:tabs>
              <w:tab w:val="right" w:leader="dot" w:pos="9016"/>
            </w:tabs>
            <w:rPr>
              <w:noProof/>
            </w:rPr>
          </w:pPr>
          <w:hyperlink w:anchor="_Toc215125305" w:history="1">
            <w:r w:rsidRPr="001A5316">
              <w:rPr>
                <w:rStyle w:val="Hyperlink"/>
                <w:b/>
                <w:bCs/>
                <w:noProof/>
              </w:rPr>
              <w:t>Check/Study:</w:t>
            </w:r>
            <w:r>
              <w:rPr>
                <w:noProof/>
                <w:webHidden/>
              </w:rPr>
              <w:tab/>
            </w:r>
            <w:r>
              <w:rPr>
                <w:noProof/>
                <w:webHidden/>
              </w:rPr>
              <w:fldChar w:fldCharType="begin"/>
            </w:r>
            <w:r>
              <w:rPr>
                <w:noProof/>
                <w:webHidden/>
              </w:rPr>
              <w:instrText xml:space="preserve"> PAGEREF _Toc215125305 \h </w:instrText>
            </w:r>
            <w:r>
              <w:rPr>
                <w:noProof/>
                <w:webHidden/>
              </w:rPr>
            </w:r>
            <w:r>
              <w:rPr>
                <w:noProof/>
                <w:webHidden/>
              </w:rPr>
              <w:fldChar w:fldCharType="separate"/>
            </w:r>
            <w:r>
              <w:rPr>
                <w:noProof/>
                <w:webHidden/>
              </w:rPr>
              <w:t>17</w:t>
            </w:r>
            <w:r>
              <w:rPr>
                <w:noProof/>
                <w:webHidden/>
              </w:rPr>
              <w:fldChar w:fldCharType="end"/>
            </w:r>
          </w:hyperlink>
        </w:p>
        <w:p w14:paraId="3A690BA8" w14:textId="3487BC69" w:rsidR="00CF4D2F" w:rsidRDefault="00CF4D2F">
          <w:pPr>
            <w:pStyle w:val="TOC3"/>
            <w:tabs>
              <w:tab w:val="right" w:leader="dot" w:pos="9016"/>
            </w:tabs>
            <w:rPr>
              <w:noProof/>
            </w:rPr>
          </w:pPr>
          <w:hyperlink w:anchor="_Toc215125306" w:history="1">
            <w:r w:rsidRPr="001A5316">
              <w:rPr>
                <w:rStyle w:val="Hyperlink"/>
                <w:b/>
                <w:bCs/>
                <w:noProof/>
                <w:color w:val="233C43" w:themeColor="hyperlink" w:themeShade="80"/>
              </w:rPr>
              <w:t>Act:</w:t>
            </w:r>
            <w:r>
              <w:rPr>
                <w:noProof/>
                <w:webHidden/>
              </w:rPr>
              <w:tab/>
            </w:r>
            <w:r>
              <w:rPr>
                <w:noProof/>
                <w:webHidden/>
              </w:rPr>
              <w:fldChar w:fldCharType="begin"/>
            </w:r>
            <w:r>
              <w:rPr>
                <w:noProof/>
                <w:webHidden/>
              </w:rPr>
              <w:instrText xml:space="preserve"> PAGEREF _Toc215125306 \h </w:instrText>
            </w:r>
            <w:r>
              <w:rPr>
                <w:noProof/>
                <w:webHidden/>
              </w:rPr>
            </w:r>
            <w:r>
              <w:rPr>
                <w:noProof/>
                <w:webHidden/>
              </w:rPr>
              <w:fldChar w:fldCharType="separate"/>
            </w:r>
            <w:r>
              <w:rPr>
                <w:noProof/>
                <w:webHidden/>
              </w:rPr>
              <w:t>17</w:t>
            </w:r>
            <w:r>
              <w:rPr>
                <w:noProof/>
                <w:webHidden/>
              </w:rPr>
              <w:fldChar w:fldCharType="end"/>
            </w:r>
          </w:hyperlink>
        </w:p>
        <w:p w14:paraId="6AF0F921" w14:textId="6B450FE3" w:rsidR="00CF4D2F" w:rsidRDefault="00CF4D2F">
          <w:pPr>
            <w:pStyle w:val="TOC1"/>
            <w:tabs>
              <w:tab w:val="right" w:leader="dot" w:pos="9016"/>
            </w:tabs>
            <w:rPr>
              <w:noProof/>
            </w:rPr>
          </w:pPr>
          <w:hyperlink w:anchor="_Toc215125307" w:history="1">
            <w:r w:rsidRPr="001A5316">
              <w:rPr>
                <w:rStyle w:val="Hyperlink"/>
                <w:b/>
                <w:bCs/>
                <w:noProof/>
              </w:rPr>
              <w:t>Conclusion: Summary of Findings</w:t>
            </w:r>
            <w:r>
              <w:rPr>
                <w:noProof/>
                <w:webHidden/>
              </w:rPr>
              <w:tab/>
            </w:r>
            <w:r>
              <w:rPr>
                <w:noProof/>
                <w:webHidden/>
              </w:rPr>
              <w:fldChar w:fldCharType="begin"/>
            </w:r>
            <w:r>
              <w:rPr>
                <w:noProof/>
                <w:webHidden/>
              </w:rPr>
              <w:instrText xml:space="preserve"> PAGEREF _Toc215125307 \h </w:instrText>
            </w:r>
            <w:r>
              <w:rPr>
                <w:noProof/>
                <w:webHidden/>
              </w:rPr>
            </w:r>
            <w:r>
              <w:rPr>
                <w:noProof/>
                <w:webHidden/>
              </w:rPr>
              <w:fldChar w:fldCharType="separate"/>
            </w:r>
            <w:r>
              <w:rPr>
                <w:noProof/>
                <w:webHidden/>
              </w:rPr>
              <w:t>18</w:t>
            </w:r>
            <w:r>
              <w:rPr>
                <w:noProof/>
                <w:webHidden/>
              </w:rPr>
              <w:fldChar w:fldCharType="end"/>
            </w:r>
          </w:hyperlink>
        </w:p>
        <w:p w14:paraId="399263AB" w14:textId="5C6F293F" w:rsidR="00CF4D2F" w:rsidRDefault="00CF4D2F">
          <w:pPr>
            <w:pStyle w:val="TOC1"/>
            <w:tabs>
              <w:tab w:val="right" w:leader="dot" w:pos="9016"/>
            </w:tabs>
            <w:rPr>
              <w:noProof/>
            </w:rPr>
          </w:pPr>
          <w:hyperlink w:anchor="_Toc215125308" w:history="1">
            <w:r w:rsidRPr="001A5316">
              <w:rPr>
                <w:rStyle w:val="Hyperlink"/>
                <w:noProof/>
              </w:rPr>
              <w:t>Benchmark Model: Mid Staffordshire NHS Failure and Post-Francis Benchmarks.</w:t>
            </w:r>
            <w:r>
              <w:rPr>
                <w:noProof/>
                <w:webHidden/>
              </w:rPr>
              <w:tab/>
            </w:r>
            <w:r>
              <w:rPr>
                <w:noProof/>
                <w:webHidden/>
              </w:rPr>
              <w:fldChar w:fldCharType="begin"/>
            </w:r>
            <w:r>
              <w:rPr>
                <w:noProof/>
                <w:webHidden/>
              </w:rPr>
              <w:instrText xml:space="preserve"> PAGEREF _Toc215125308 \h </w:instrText>
            </w:r>
            <w:r>
              <w:rPr>
                <w:noProof/>
                <w:webHidden/>
              </w:rPr>
            </w:r>
            <w:r>
              <w:rPr>
                <w:noProof/>
                <w:webHidden/>
              </w:rPr>
              <w:fldChar w:fldCharType="separate"/>
            </w:r>
            <w:r>
              <w:rPr>
                <w:noProof/>
                <w:webHidden/>
              </w:rPr>
              <w:t>19</w:t>
            </w:r>
            <w:r>
              <w:rPr>
                <w:noProof/>
                <w:webHidden/>
              </w:rPr>
              <w:fldChar w:fldCharType="end"/>
            </w:r>
          </w:hyperlink>
        </w:p>
        <w:p w14:paraId="40067A8D" w14:textId="7DB85981" w:rsidR="00CF4D2F" w:rsidRDefault="00CF4D2F">
          <w:pPr>
            <w:pStyle w:val="TOC1"/>
            <w:tabs>
              <w:tab w:val="right" w:leader="dot" w:pos="9016"/>
            </w:tabs>
            <w:rPr>
              <w:noProof/>
            </w:rPr>
          </w:pPr>
          <w:hyperlink w:anchor="_Toc215125309" w:history="1">
            <w:r w:rsidRPr="001A5316">
              <w:rPr>
                <w:rStyle w:val="Hyperlink"/>
                <w:noProof/>
              </w:rPr>
              <w:t>References (Sample Harvard).</w:t>
            </w:r>
            <w:r>
              <w:rPr>
                <w:noProof/>
                <w:webHidden/>
              </w:rPr>
              <w:tab/>
            </w:r>
            <w:r>
              <w:rPr>
                <w:noProof/>
                <w:webHidden/>
              </w:rPr>
              <w:fldChar w:fldCharType="begin"/>
            </w:r>
            <w:r>
              <w:rPr>
                <w:noProof/>
                <w:webHidden/>
              </w:rPr>
              <w:instrText xml:space="preserve"> PAGEREF _Toc215125309 \h </w:instrText>
            </w:r>
            <w:r>
              <w:rPr>
                <w:noProof/>
                <w:webHidden/>
              </w:rPr>
            </w:r>
            <w:r>
              <w:rPr>
                <w:noProof/>
                <w:webHidden/>
              </w:rPr>
              <w:fldChar w:fldCharType="separate"/>
            </w:r>
            <w:r>
              <w:rPr>
                <w:noProof/>
                <w:webHidden/>
              </w:rPr>
              <w:t>21</w:t>
            </w:r>
            <w:r>
              <w:rPr>
                <w:noProof/>
                <w:webHidden/>
              </w:rPr>
              <w:fldChar w:fldCharType="end"/>
            </w:r>
          </w:hyperlink>
        </w:p>
        <w:p w14:paraId="0AC4B372" w14:textId="53984E7C" w:rsidR="007A69A2" w:rsidRPr="00555046" w:rsidRDefault="007A69A2">
          <w:pPr>
            <w:rPr>
              <w:rFonts w:ascii="Arial" w:hAnsi="Arial" w:cs="Arial"/>
            </w:rPr>
          </w:pPr>
          <w:r w:rsidRPr="00555046">
            <w:rPr>
              <w:rFonts w:ascii="Arial" w:hAnsi="Arial" w:cs="Arial"/>
              <w:b/>
              <w:bCs/>
              <w:noProof/>
            </w:rPr>
            <w:fldChar w:fldCharType="end"/>
          </w:r>
        </w:p>
      </w:sdtContent>
    </w:sdt>
    <w:p w14:paraId="2F3FAE68" w14:textId="77777777" w:rsidR="007A69A2" w:rsidRDefault="007A69A2" w:rsidP="004D09A2">
      <w:pPr>
        <w:pStyle w:val="Heading1"/>
      </w:pPr>
    </w:p>
    <w:p w14:paraId="516F4B5A" w14:textId="77777777" w:rsidR="002C2782" w:rsidRDefault="002C2782" w:rsidP="002C2782"/>
    <w:p w14:paraId="6FF1CF81" w14:textId="77777777" w:rsidR="002C2782" w:rsidRDefault="002C2782" w:rsidP="002C2782"/>
    <w:p w14:paraId="1A3832AC" w14:textId="77777777" w:rsidR="002C2782" w:rsidRDefault="002C2782" w:rsidP="002C2782"/>
    <w:p w14:paraId="111C2FAB" w14:textId="77777777" w:rsidR="002C2782" w:rsidRDefault="002C2782" w:rsidP="002C2782"/>
    <w:p w14:paraId="798BB25A" w14:textId="77777777" w:rsidR="002C2782" w:rsidRDefault="002C2782" w:rsidP="002C2782"/>
    <w:p w14:paraId="3F43FA61" w14:textId="77777777" w:rsidR="002C2782" w:rsidRDefault="002C2782" w:rsidP="002C2782"/>
    <w:p w14:paraId="64E5A61C" w14:textId="77777777" w:rsidR="002C2782" w:rsidRDefault="002C2782" w:rsidP="002C2782"/>
    <w:p w14:paraId="1A2E055D" w14:textId="77777777" w:rsidR="002C2782" w:rsidRDefault="002C2782" w:rsidP="002C2782"/>
    <w:p w14:paraId="2A84031E" w14:textId="77777777" w:rsidR="002C2782" w:rsidRDefault="002C2782" w:rsidP="002C2782"/>
    <w:p w14:paraId="15EB13C9" w14:textId="77777777" w:rsidR="002C2782" w:rsidRDefault="002C2782" w:rsidP="002C2782"/>
    <w:p w14:paraId="480525AF" w14:textId="77777777" w:rsidR="002C2782" w:rsidRDefault="002C2782" w:rsidP="002C2782"/>
    <w:p w14:paraId="2F5B310A" w14:textId="77777777" w:rsidR="00CF4D2F" w:rsidRDefault="00CF4D2F" w:rsidP="002C2782"/>
    <w:p w14:paraId="560ACAA0" w14:textId="77777777" w:rsidR="00AE5667" w:rsidRDefault="00AE5667" w:rsidP="004D09A2">
      <w:pPr>
        <w:pStyle w:val="Heading1"/>
      </w:pPr>
    </w:p>
    <w:p w14:paraId="7FDF3F17" w14:textId="77777777" w:rsidR="00DD3E17" w:rsidRPr="00DD3E17" w:rsidRDefault="00DD3E17" w:rsidP="00DD3E17"/>
    <w:p w14:paraId="48C054DA" w14:textId="32C54C3F" w:rsidR="00E55EF4" w:rsidRPr="00E55EF4" w:rsidRDefault="00E55EF4" w:rsidP="004D09A2">
      <w:pPr>
        <w:pStyle w:val="Heading1"/>
      </w:pPr>
      <w:bookmarkStart w:id="0" w:name="_Toc215125275"/>
      <w:r w:rsidRPr="00E55EF4">
        <w:lastRenderedPageBreak/>
        <w:t>Report on Quality Failure at Mid Staffordshire NHS Foundation Trust</w:t>
      </w:r>
      <w:bookmarkEnd w:id="0"/>
    </w:p>
    <w:p w14:paraId="1584090A" w14:textId="46D13BED" w:rsidR="00E55EF4" w:rsidRPr="00E55EF4" w:rsidRDefault="00E55EF4" w:rsidP="004D09A2">
      <w:pPr>
        <w:pStyle w:val="Heading1"/>
      </w:pPr>
      <w:bookmarkStart w:id="1" w:name="_Toc215125276"/>
      <w:r w:rsidRPr="00E55EF4">
        <w:t>Introduction</w:t>
      </w:r>
      <w:bookmarkEnd w:id="1"/>
      <w:r w:rsidRPr="00E55EF4">
        <w:t xml:space="preserve"> </w:t>
      </w:r>
    </w:p>
    <w:p w14:paraId="09A5E4DE" w14:textId="3B0406E5" w:rsidR="00501E10" w:rsidRPr="001E7A96" w:rsidRDefault="00E55EF4" w:rsidP="00B1474E">
      <w:pPr>
        <w:spacing w:line="360" w:lineRule="auto"/>
        <w:jc w:val="both"/>
        <w:rPr>
          <w:rFonts w:ascii="Arial" w:hAnsi="Arial" w:cs="Arial"/>
        </w:rPr>
      </w:pPr>
      <w:r w:rsidRPr="001E7A96">
        <w:rPr>
          <w:rFonts w:ascii="Arial" w:eastAsia="Times New Roman" w:hAnsi="Arial" w:cs="Arial"/>
          <w:kern w:val="0"/>
          <w14:ligatures w14:val="none"/>
        </w:rPr>
        <w:t>The failure of care at Mid Staffordshire NHS Foundation Trust (MSFT),</w:t>
      </w:r>
      <w:r w:rsidR="00FE61D8" w:rsidRPr="001E7A96">
        <w:rPr>
          <w:rFonts w:ascii="Arial" w:hAnsi="Arial" w:cs="Arial"/>
        </w:rPr>
        <w:t xml:space="preserve"> The Trust was established in 2005 and was responsible for providing healthcare services to a population of approximately 300,000. However, it became notorious for its high mortality rates, particularly among emergency admissions, which were significantly above the national average (Healthcare Commission, 2009). </w:t>
      </w:r>
      <w:r w:rsidR="0041156E" w:rsidRPr="001E7A96">
        <w:rPr>
          <w:rFonts w:ascii="Arial" w:eastAsia="Times New Roman" w:hAnsi="Arial" w:cs="Arial"/>
          <w:kern w:val="0"/>
          <w14:ligatures w14:val="none"/>
        </w:rPr>
        <w:t>S</w:t>
      </w:r>
      <w:r w:rsidRPr="001E7A96">
        <w:rPr>
          <w:rFonts w:ascii="Arial" w:eastAsia="Times New Roman" w:hAnsi="Arial" w:cs="Arial"/>
          <w:kern w:val="0"/>
          <w14:ligatures w14:val="none"/>
        </w:rPr>
        <w:t xml:space="preserve">panning from 2005 to 2009, </w:t>
      </w:r>
      <w:r w:rsidR="0025797F" w:rsidRPr="001E7A96">
        <w:rPr>
          <w:rFonts w:ascii="Arial" w:eastAsia="Times New Roman" w:hAnsi="Arial" w:cs="Arial"/>
          <w:kern w:val="0"/>
          <w14:ligatures w14:val="none"/>
        </w:rPr>
        <w:t xml:space="preserve">it </w:t>
      </w:r>
      <w:r w:rsidRPr="001E7A96">
        <w:rPr>
          <w:rFonts w:ascii="Arial" w:eastAsia="Times New Roman" w:hAnsi="Arial" w:cs="Arial"/>
          <w:kern w:val="0"/>
          <w14:ligatures w14:val="none"/>
        </w:rPr>
        <w:t xml:space="preserve">represents one of the most severe crises in the history of the National Health Service (NHS) in the United Kingdom, exposing catastrophic systemic deficiencies in patient safety and quality management. </w:t>
      </w:r>
      <w:r w:rsidR="00501E10" w:rsidRPr="001E7A96">
        <w:rPr>
          <w:rFonts w:ascii="Arial" w:hAnsi="Arial" w:cs="Arial"/>
        </w:rPr>
        <w:t>This case resulted in 290 recommendations aimed at improving patient safety and care standards across the NHS, underscoring the critical need for systemic reform (NHS England, 2013).</w:t>
      </w:r>
    </w:p>
    <w:p w14:paraId="055B6FF2" w14:textId="3D50EE18" w:rsidR="00E55EF4" w:rsidRPr="001E7A96" w:rsidRDefault="00E55EF4" w:rsidP="00B1474E">
      <w:pPr>
        <w:spacing w:line="360" w:lineRule="auto"/>
        <w:jc w:val="both"/>
        <w:rPr>
          <w:rFonts w:ascii="Arial" w:hAnsi="Arial" w:cs="Arial"/>
        </w:rPr>
      </w:pPr>
      <w:r w:rsidRPr="001E7A96">
        <w:rPr>
          <w:rFonts w:ascii="Arial" w:eastAsia="Times New Roman" w:hAnsi="Arial" w:cs="Arial"/>
          <w:kern w:val="0"/>
          <w14:ligatures w14:val="none"/>
        </w:rPr>
        <w:t>This report identifies the background of the MSFT case, establishes the identified problem as a grave concern, and prepares the ground for a critical analysis of its root causes and the development of evidence-based recommendations.</w:t>
      </w:r>
      <w:r w:rsidR="00D04F5F" w:rsidRPr="001E7A96">
        <w:rPr>
          <w:rFonts w:ascii="Arial" w:hAnsi="Arial" w:cs="Arial"/>
        </w:rPr>
        <w:t xml:space="preserve"> </w:t>
      </w:r>
    </w:p>
    <w:p w14:paraId="1FE249F1" w14:textId="77777777" w:rsidR="00E55EF4" w:rsidRPr="001E7A96" w:rsidRDefault="00E55EF4" w:rsidP="00B1474E">
      <w:pPr>
        <w:spacing w:after="100" w:afterAutospacing="1" w:line="360" w:lineRule="auto"/>
        <w:jc w:val="both"/>
        <w:rPr>
          <w:rFonts w:ascii="Arial" w:eastAsia="Times New Roman" w:hAnsi="Arial" w:cs="Arial"/>
          <w:kern w:val="0"/>
          <w14:ligatures w14:val="none"/>
        </w:rPr>
      </w:pPr>
      <w:r w:rsidRPr="001E7A96">
        <w:rPr>
          <w:rFonts w:ascii="Arial" w:eastAsia="Times New Roman" w:hAnsi="Arial" w:cs="Arial"/>
          <w:kern w:val="0"/>
          <w14:ligatures w14:val="none"/>
        </w:rPr>
        <w:t>The magnitude of the concern was first brought to public attention by the Healthcare Commission (now the Care Quality Commission, CQC). Following initial investigations, it was found that between 400 and 1,200 more patients died than would have been expected at MSFT during the period of concern, primarily at Stafford Hospital (Francis, 2013). These high mortality figures, often cited in reports as a range (Francis, 2013), provided the initial, shocking evidence of substandard care. The first public inquiry, chaired by Robert Francis QC, found numerous examples of appalling treatment, including patients being left in soiled beds, being denied water, and suffering unnecessary pain (Francis, 2010). The lack of basic compassionate care was as damning as the clinical failures.</w:t>
      </w:r>
    </w:p>
    <w:p w14:paraId="473B70C7" w14:textId="77777777" w:rsidR="00E55EF4" w:rsidRPr="00B1474E" w:rsidRDefault="00E55EF4" w:rsidP="00B1474E">
      <w:pPr>
        <w:spacing w:after="100" w:afterAutospacing="1" w:line="360" w:lineRule="auto"/>
        <w:jc w:val="both"/>
        <w:rPr>
          <w:rFonts w:ascii="Arial" w:eastAsia="Times New Roman" w:hAnsi="Arial" w:cs="Arial"/>
          <w:kern w:val="0"/>
          <w14:ligatures w14:val="none"/>
        </w:rPr>
      </w:pPr>
      <w:r w:rsidRPr="001E7A96">
        <w:rPr>
          <w:rFonts w:ascii="Arial" w:eastAsia="Times New Roman" w:hAnsi="Arial" w:cs="Arial"/>
          <w:kern w:val="0"/>
          <w14:ligatures w14:val="none"/>
        </w:rPr>
        <w:t xml:space="preserve">This pervasive quality failure was subsequently subject to the most extensive public inquiry in NHS history: the Mid Staffordshire NHS Foundation Trust Public Inquiry, also known as the Francis Inquiry, which published its final report in February 2013 (Francis, 2013). The inquiry established the problem as a systemic </w:t>
      </w:r>
      <w:r w:rsidRPr="00E843D6">
        <w:rPr>
          <w:rFonts w:ascii="Arial" w:eastAsia="Times New Roman" w:hAnsi="Arial" w:cs="Arial"/>
          <w:kern w:val="0"/>
          <w14:ligatures w14:val="none"/>
        </w:rPr>
        <w:t xml:space="preserve">and multifaceted failure, </w:t>
      </w:r>
      <w:r w:rsidRPr="00B1474E">
        <w:rPr>
          <w:rFonts w:ascii="Arial" w:eastAsia="Times New Roman" w:hAnsi="Arial" w:cs="Arial"/>
          <w:kern w:val="0"/>
          <w14:ligatures w14:val="none"/>
        </w:rPr>
        <w:lastRenderedPageBreak/>
        <w:t>extending beyond frontline staff to include the Trust's management, the monitoring and regulatory bodies, and the wider NHS culture (Learmonth &amp; Harding, 2017). Financial priorities often superseded clinical safety, with the Trust pursuing Foundation Trust status aggressively to secure operational independence, sometimes at the expense of necessary staffing levels and patient care (Francis, 2013).</w:t>
      </w:r>
    </w:p>
    <w:p w14:paraId="4E624E0B" w14:textId="77777777" w:rsidR="00E55EF4" w:rsidRPr="00B1474E" w:rsidRDefault="00E55EF4" w:rsidP="00B1474E">
      <w:pPr>
        <w:spacing w:after="100" w:afterAutospacing="1" w:line="360" w:lineRule="auto"/>
        <w:jc w:val="both"/>
        <w:rPr>
          <w:rFonts w:ascii="Arial" w:eastAsia="Times New Roman" w:hAnsi="Arial" w:cs="Arial"/>
          <w:kern w:val="0"/>
          <w14:ligatures w14:val="none"/>
        </w:rPr>
      </w:pPr>
      <w:r w:rsidRPr="00B1474E">
        <w:rPr>
          <w:rFonts w:ascii="Arial" w:eastAsia="Times New Roman" w:hAnsi="Arial" w:cs="Arial"/>
          <w:kern w:val="0"/>
          <w14:ligatures w14:val="none"/>
        </w:rPr>
        <w:t>Evidential support for the established problem is overwhelming. For instance, the inquiry highlighted critical staff shortages, particularly in nursing. At one point, the nurse-to-patient ratio was dangerously low, hindering the provision of basic care (Francis, 2013). Furthermore, there was a culture of silence and fear where staff felt unable to raise concerns, and data indicating high mortality rates was either missed, ignored, or dismissed by both the Trust board and external regulators (Learmonth &amp; Harding, 2017). The failure to act on available, albeit imperfect, warning signs, such as Hospital Standardised Mortality Ratio (HSMR) figures that were elevated well before formal investigation, underscores the gravity of the institutional failure (Francis, 2013).</w:t>
      </w:r>
    </w:p>
    <w:p w14:paraId="2C58EE57" w14:textId="77777777" w:rsidR="00E55EF4" w:rsidRPr="00B1474E" w:rsidRDefault="00E55EF4" w:rsidP="00B1474E">
      <w:pPr>
        <w:spacing w:after="100" w:afterAutospacing="1" w:line="360" w:lineRule="auto"/>
        <w:jc w:val="both"/>
        <w:rPr>
          <w:rFonts w:ascii="Arial" w:eastAsia="Times New Roman" w:hAnsi="Arial" w:cs="Arial"/>
          <w:kern w:val="0"/>
          <w14:ligatures w14:val="none"/>
        </w:rPr>
      </w:pPr>
      <w:r w:rsidRPr="00B1474E">
        <w:rPr>
          <w:rFonts w:ascii="Arial" w:eastAsia="Times New Roman" w:hAnsi="Arial" w:cs="Arial"/>
          <w:kern w:val="0"/>
          <w14:ligatures w14:val="none"/>
        </w:rPr>
        <w:t>In summary, the MSFT case study demonstrates a critical breakdown in clinical governance, organisational culture, and regulatory oversight. The tragic loss of life and suffering incurred by hundreds of patients demands a rigorous analysis of the underlying causes to inform robust, preventative strategies. The problem is not merely an isolated incident of malpractice but a profound, systemic warning about the imperative of embedding patient safety and quality at the heart of all healthcare operations (Learmonth &amp; Harding, 2017). This report will now use established quality management models to dissect the root causes of the MSFT crisis.</w:t>
      </w:r>
    </w:p>
    <w:p w14:paraId="0FD63EAB" w14:textId="77777777" w:rsidR="00227E35" w:rsidRDefault="00227E35" w:rsidP="00B1474E">
      <w:pPr>
        <w:spacing w:after="100" w:afterAutospacing="1" w:line="360" w:lineRule="auto"/>
        <w:jc w:val="both"/>
        <w:rPr>
          <w:rFonts w:ascii="Arial" w:eastAsia="Times New Roman" w:hAnsi="Arial" w:cs="Arial"/>
          <w:kern w:val="0"/>
          <w14:ligatures w14:val="none"/>
        </w:rPr>
      </w:pPr>
    </w:p>
    <w:p w14:paraId="4D3F9352" w14:textId="77777777" w:rsidR="0025797F" w:rsidRDefault="0025797F" w:rsidP="00B1474E">
      <w:pPr>
        <w:spacing w:after="100" w:afterAutospacing="1" w:line="360" w:lineRule="auto"/>
        <w:jc w:val="both"/>
        <w:rPr>
          <w:rFonts w:ascii="Arial" w:eastAsia="Times New Roman" w:hAnsi="Arial" w:cs="Arial"/>
          <w:kern w:val="0"/>
          <w14:ligatures w14:val="none"/>
        </w:rPr>
      </w:pPr>
    </w:p>
    <w:p w14:paraId="7345E482" w14:textId="77777777" w:rsidR="0025797F" w:rsidRPr="00E843D6" w:rsidRDefault="0025797F" w:rsidP="00B1474E">
      <w:pPr>
        <w:spacing w:after="100" w:afterAutospacing="1" w:line="360" w:lineRule="auto"/>
        <w:jc w:val="both"/>
        <w:rPr>
          <w:rFonts w:ascii="Arial" w:eastAsia="Times New Roman" w:hAnsi="Arial" w:cs="Arial"/>
          <w:kern w:val="0"/>
          <w14:ligatures w14:val="none"/>
        </w:rPr>
      </w:pPr>
    </w:p>
    <w:p w14:paraId="520EB225" w14:textId="140D23FD" w:rsidR="00E55EF4" w:rsidRDefault="00E55EF4" w:rsidP="00DD3E17">
      <w:pPr>
        <w:pStyle w:val="Heading1"/>
      </w:pPr>
      <w:bookmarkStart w:id="2" w:name="_Toc215125277"/>
      <w:r w:rsidRPr="00E843D6">
        <w:lastRenderedPageBreak/>
        <w:t>Analysis of Root Causes and Critical Evaluation of Theories</w:t>
      </w:r>
      <w:r w:rsidR="0025797F">
        <w:t>.</w:t>
      </w:r>
      <w:bookmarkEnd w:id="2"/>
    </w:p>
    <w:p w14:paraId="7D628BCE" w14:textId="77777777" w:rsidR="00CB4BA5" w:rsidRPr="00CB4BA5" w:rsidRDefault="00CB4BA5" w:rsidP="00B1474E">
      <w:pPr>
        <w:jc w:val="both"/>
      </w:pPr>
    </w:p>
    <w:p w14:paraId="18D50B16" w14:textId="4CF2B582" w:rsidR="00E55EF4" w:rsidRPr="001528C8" w:rsidRDefault="00E55EF4" w:rsidP="00B1474E">
      <w:pPr>
        <w:spacing w:after="100" w:afterAutospacing="1" w:line="360" w:lineRule="auto"/>
        <w:jc w:val="both"/>
        <w:rPr>
          <w:rFonts w:ascii="Arial" w:eastAsia="Times New Roman" w:hAnsi="Arial" w:cs="Arial"/>
          <w:kern w:val="0"/>
          <w14:ligatures w14:val="none"/>
        </w:rPr>
      </w:pPr>
      <w:r w:rsidRPr="001528C8">
        <w:rPr>
          <w:rFonts w:ascii="Arial" w:eastAsia="Times New Roman" w:hAnsi="Arial" w:cs="Arial"/>
          <w:kern w:val="0"/>
          <w14:ligatures w14:val="none"/>
        </w:rPr>
        <w:t>This section employs the Fishbone Diagram (Ishikawa), the Donabedian Model, and SWOT Analysis</w:t>
      </w:r>
      <w:r w:rsidR="00BE5DD1" w:rsidRPr="001528C8">
        <w:rPr>
          <w:rFonts w:ascii="Arial" w:eastAsia="Times New Roman" w:hAnsi="Arial" w:cs="Arial"/>
          <w:kern w:val="0"/>
          <w14:ligatures w14:val="none"/>
        </w:rPr>
        <w:t>.</w:t>
      </w:r>
      <w:r w:rsidRPr="001528C8">
        <w:rPr>
          <w:rFonts w:ascii="Arial" w:eastAsia="Times New Roman" w:hAnsi="Arial" w:cs="Arial"/>
          <w:kern w:val="0"/>
          <w14:ligatures w14:val="none"/>
        </w:rPr>
        <w:t xml:space="preserve"> </w:t>
      </w:r>
    </w:p>
    <w:p w14:paraId="30C04749" w14:textId="75CF885C" w:rsidR="00CB4BA5" w:rsidRDefault="00E55EF4" w:rsidP="00CF4D2F">
      <w:pPr>
        <w:pStyle w:val="Heading2"/>
        <w:numPr>
          <w:ilvl w:val="0"/>
          <w:numId w:val="16"/>
        </w:numPr>
      </w:pPr>
      <w:bookmarkStart w:id="3" w:name="_Toc215125278"/>
      <w:r w:rsidRPr="00E843D6">
        <w:t>Applying the Fishbone (Ishikawa) Diagram for Root Cause Analysis</w:t>
      </w:r>
      <w:r w:rsidR="00CB4BA5">
        <w:t>.</w:t>
      </w:r>
      <w:bookmarkEnd w:id="3"/>
    </w:p>
    <w:p w14:paraId="1DD8CFD2" w14:textId="77777777" w:rsidR="00CB4BA5" w:rsidRPr="00CB4BA5" w:rsidRDefault="00CB4BA5" w:rsidP="00B1474E">
      <w:pPr>
        <w:jc w:val="both"/>
      </w:pPr>
    </w:p>
    <w:p w14:paraId="520898EF" w14:textId="0B8F85AC" w:rsidR="00FE52EB" w:rsidRDefault="00E55EF4" w:rsidP="00CF4D2F">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 xml:space="preserve">The Fishbone Diagram is a powerful tool for visualising potential causes for a specific problem (Ishikawa, 1985). </w:t>
      </w:r>
      <w:r w:rsidR="00573895">
        <w:rPr>
          <w:rFonts w:ascii="Arial" w:eastAsia="Times New Roman" w:hAnsi="Arial" w:cs="Arial"/>
          <w:kern w:val="0"/>
          <w14:ligatures w14:val="none"/>
        </w:rPr>
        <w:t>This report will</w:t>
      </w:r>
      <w:r w:rsidRPr="00E843D6">
        <w:rPr>
          <w:rFonts w:ascii="Arial" w:eastAsia="Times New Roman" w:hAnsi="Arial" w:cs="Arial"/>
          <w:kern w:val="0"/>
          <w14:ligatures w14:val="none"/>
        </w:rPr>
        <w:t xml:space="preserve"> use the traditional 6</w:t>
      </w:r>
      <w:r w:rsidR="00573895">
        <w:rPr>
          <w:rFonts w:ascii="Arial" w:eastAsia="Times New Roman" w:hAnsi="Arial" w:cs="Arial"/>
          <w:kern w:val="0"/>
          <w14:ligatures w14:val="none"/>
        </w:rPr>
        <w:t xml:space="preserve"> </w:t>
      </w:r>
      <w:r w:rsidRPr="00E843D6">
        <w:rPr>
          <w:rFonts w:ascii="Arial" w:eastAsia="Times New Roman" w:hAnsi="Arial" w:cs="Arial"/>
          <w:kern w:val="0"/>
          <w14:ligatures w14:val="none"/>
        </w:rPr>
        <w:t>M</w:t>
      </w:r>
      <w:r w:rsidR="007A66B4">
        <w:rPr>
          <w:rFonts w:ascii="Arial" w:eastAsia="Times New Roman" w:hAnsi="Arial" w:cs="Arial"/>
          <w:kern w:val="0"/>
          <w14:ligatures w14:val="none"/>
        </w:rPr>
        <w:t>’</w:t>
      </w:r>
      <w:r w:rsidRPr="00E843D6">
        <w:rPr>
          <w:rFonts w:ascii="Arial" w:eastAsia="Times New Roman" w:hAnsi="Arial" w:cs="Arial"/>
          <w:kern w:val="0"/>
          <w14:ligatures w14:val="none"/>
        </w:rPr>
        <w:t>s framework (Manpower, Methods, Machines, Materials, Measurement, Environment)</w:t>
      </w:r>
      <w:r w:rsidR="00CF4D2F">
        <w:rPr>
          <w:rFonts w:ascii="Arial" w:eastAsia="Times New Roman" w:hAnsi="Arial" w:cs="Arial"/>
          <w:kern w:val="0"/>
          <w14:ligatures w14:val="none"/>
        </w:rPr>
        <w:t>.</w:t>
      </w:r>
    </w:p>
    <w:p w14:paraId="27C5665E" w14:textId="107751B1" w:rsidR="007221BF" w:rsidRPr="00E843D6" w:rsidRDefault="00A50556" w:rsidP="00E843D6">
      <w:pPr>
        <w:spacing w:after="100" w:afterAutospacing="1" w:line="360" w:lineRule="auto"/>
        <w:rPr>
          <w:rFonts w:ascii="Arial" w:eastAsia="Times New Roman" w:hAnsi="Arial" w:cs="Arial"/>
          <w:kern w:val="0"/>
          <w14:ligatures w14:val="none"/>
        </w:rPr>
      </w:pPr>
      <w:r w:rsidRPr="00E843D6">
        <w:rPr>
          <w:rFonts w:ascii="Arial" w:eastAsia="Times New Roman" w:hAnsi="Arial" w:cs="Arial"/>
          <w:noProof/>
          <w:kern w:val="0"/>
        </w:rPr>
        <mc:AlternateContent>
          <mc:Choice Requires="wps">
            <w:drawing>
              <wp:anchor distT="0" distB="0" distL="114300" distR="114300" simplePos="0" relativeHeight="251658243" behindDoc="0" locked="0" layoutInCell="1" allowOverlap="1" wp14:anchorId="7B6A7A53" wp14:editId="42D5BB87">
                <wp:simplePos x="0" y="0"/>
                <wp:positionH relativeFrom="column">
                  <wp:posOffset>337102</wp:posOffset>
                </wp:positionH>
                <wp:positionV relativeFrom="paragraph">
                  <wp:posOffset>351636</wp:posOffset>
                </wp:positionV>
                <wp:extent cx="1559852" cy="1470025"/>
                <wp:effectExtent l="19050" t="0" r="40640" b="15875"/>
                <wp:wrapNone/>
                <wp:docPr id="1225767417" name="Parallelogram 6"/>
                <wp:cNvGraphicFramePr/>
                <a:graphic xmlns:a="http://schemas.openxmlformats.org/drawingml/2006/main">
                  <a:graphicData uri="http://schemas.microsoft.com/office/word/2010/wordprocessingShape">
                    <wps:wsp>
                      <wps:cNvSpPr/>
                      <wps:spPr>
                        <a:xfrm>
                          <a:off x="0" y="0"/>
                          <a:ext cx="1559852" cy="1470025"/>
                        </a:xfrm>
                        <a:prstGeom prst="parallelogram">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EE4B06" w14:textId="71667B1B" w:rsidR="00D1783F" w:rsidRPr="00E36BB6" w:rsidRDefault="00D1783F" w:rsidP="00D1783F">
                            <w:pPr>
                              <w:jc w:val="center"/>
                              <w:rPr>
                                <w:rFonts w:ascii="Arial" w:hAnsi="Arial" w:cs="Arial"/>
                                <w:b/>
                                <w:bCs/>
                                <w:color w:val="000000" w:themeColor="text1"/>
                                <w:sz w:val="20"/>
                                <w:szCs w:val="20"/>
                              </w:rPr>
                            </w:pPr>
                            <w:r w:rsidRPr="00E36BB6">
                              <w:rPr>
                                <w:rFonts w:ascii="Arial" w:hAnsi="Arial" w:cs="Arial"/>
                                <w:b/>
                                <w:bCs/>
                                <w:color w:val="000000" w:themeColor="text1"/>
                                <w:sz w:val="20"/>
                                <w:szCs w:val="20"/>
                              </w:rPr>
                              <w:t xml:space="preserve">Manpower </w:t>
                            </w:r>
                            <w:r w:rsidR="00E31F61" w:rsidRPr="00E36BB6">
                              <w:rPr>
                                <w:rFonts w:ascii="Arial" w:hAnsi="Arial" w:cs="Arial"/>
                                <w:b/>
                                <w:bCs/>
                                <w:color w:val="000000" w:themeColor="text1"/>
                                <w:sz w:val="20"/>
                                <w:szCs w:val="20"/>
                              </w:rPr>
                              <w:t>(people)</w:t>
                            </w:r>
                          </w:p>
                          <w:p w14:paraId="54921CD2" w14:textId="74400C70" w:rsidR="008E4842" w:rsidRPr="009E696C" w:rsidRDefault="008E4842" w:rsidP="00D1783F">
                            <w:pPr>
                              <w:jc w:val="center"/>
                              <w:rPr>
                                <w:rFonts w:ascii="Arial" w:hAnsi="Arial" w:cs="Arial"/>
                                <w:sz w:val="20"/>
                                <w:szCs w:val="20"/>
                              </w:rPr>
                            </w:pPr>
                            <w:r>
                              <w:rPr>
                                <w:rFonts w:ascii="Arial" w:hAnsi="Arial" w:cs="Arial"/>
                                <w:sz w:val="20"/>
                                <w:szCs w:val="20"/>
                              </w:rPr>
                              <w:t xml:space="preserve">Staff </w:t>
                            </w:r>
                            <w:r w:rsidR="00FC7C36">
                              <w:rPr>
                                <w:rFonts w:ascii="Arial" w:hAnsi="Arial" w:cs="Arial"/>
                                <w:sz w:val="20"/>
                                <w:szCs w:val="20"/>
                              </w:rPr>
                              <w:t>shortage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A7A53"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6" o:spid="_x0000_s1026" type="#_x0000_t7" style="position:absolute;margin-left:26.55pt;margin-top:27.7pt;width:122.8pt;height:115.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" adj="5089" fillcolor="#e97132 [3205]" strokecolor="#030e13 [484]" strokeweight="1pt">
                <v:textbox>
                  <w:txbxContent>
                    <w:p w14:paraId="5EEE4B06" w14:textId="71667B1B" w:rsidR="00D1783F" w:rsidRPr="00E36BB6" w:rsidRDefault="00D1783F" w:rsidP="00D1783F">
                      <w:pPr>
                        <w:jc w:val="center"/>
                        <w:rPr>
                          <w:rFonts w:ascii="Arial" w:hAnsi="Arial" w:cs="Arial"/>
                          <w:b/>
                          <w:bCs/>
                          <w:color w:val="000000" w:themeColor="text1"/>
                          <w:sz w:val="20"/>
                          <w:szCs w:val="20"/>
                        </w:rPr>
                      </w:pPr>
                      <w:r w:rsidRPr="00E36BB6">
                        <w:rPr>
                          <w:rFonts w:ascii="Arial" w:hAnsi="Arial" w:cs="Arial"/>
                          <w:b/>
                          <w:bCs/>
                          <w:color w:val="000000" w:themeColor="text1"/>
                          <w:sz w:val="20"/>
                          <w:szCs w:val="20"/>
                        </w:rPr>
                        <w:t xml:space="preserve">Manpower </w:t>
                      </w:r>
                      <w:r w:rsidR="00E31F61" w:rsidRPr="00E36BB6">
                        <w:rPr>
                          <w:rFonts w:ascii="Arial" w:hAnsi="Arial" w:cs="Arial"/>
                          <w:b/>
                          <w:bCs/>
                          <w:color w:val="000000" w:themeColor="text1"/>
                          <w:sz w:val="20"/>
                          <w:szCs w:val="20"/>
                        </w:rPr>
                        <w:t>(people)</w:t>
                      </w:r>
                    </w:p>
                    <w:p w14:paraId="54921CD2" w14:textId="74400C70" w:rsidR="008E4842" w:rsidRPr="009E696C" w:rsidRDefault="008E4842" w:rsidP="00D1783F">
                      <w:pPr>
                        <w:jc w:val="center"/>
                        <w:rPr>
                          <w:rFonts w:ascii="Arial" w:hAnsi="Arial" w:cs="Arial"/>
                          <w:sz w:val="20"/>
                          <w:szCs w:val="20"/>
                        </w:rPr>
                      </w:pPr>
                      <w:r>
                        <w:rPr>
                          <w:rFonts w:ascii="Arial" w:hAnsi="Arial" w:cs="Arial"/>
                          <w:sz w:val="20"/>
                          <w:szCs w:val="20"/>
                        </w:rPr>
                        <w:t xml:space="preserve">Staff </w:t>
                      </w:r>
                      <w:r w:rsidR="00FC7C36">
                        <w:rPr>
                          <w:rFonts w:ascii="Arial" w:hAnsi="Arial" w:cs="Arial"/>
                          <w:sz w:val="20"/>
                          <w:szCs w:val="20"/>
                        </w:rPr>
                        <w:t>shortage</w:t>
                      </w:r>
                    </w:p>
                  </w:txbxContent>
                </v:textbox>
              </v:shape>
            </w:pict>
          </mc:Fallback>
        </mc:AlternateContent>
      </w:r>
      <w:r w:rsidRPr="00E843D6">
        <w:rPr>
          <w:rFonts w:ascii="Arial" w:eastAsia="Times New Roman" w:hAnsi="Arial" w:cs="Arial"/>
          <w:noProof/>
          <w:kern w:val="0"/>
        </w:rPr>
        <mc:AlternateContent>
          <mc:Choice Requires="wps">
            <w:drawing>
              <wp:anchor distT="0" distB="0" distL="114300" distR="114300" simplePos="0" relativeHeight="251658244" behindDoc="0" locked="0" layoutInCell="1" allowOverlap="1" wp14:anchorId="190DC7D8" wp14:editId="6E98DC6D">
                <wp:simplePos x="0" y="0"/>
                <wp:positionH relativeFrom="column">
                  <wp:posOffset>1567543</wp:posOffset>
                </wp:positionH>
                <wp:positionV relativeFrom="paragraph">
                  <wp:posOffset>317559</wp:posOffset>
                </wp:positionV>
                <wp:extent cx="1794510" cy="1532890"/>
                <wp:effectExtent l="19050" t="0" r="34290" b="10160"/>
                <wp:wrapNone/>
                <wp:docPr id="1885890915" name="Parallelogram 6"/>
                <wp:cNvGraphicFramePr/>
                <a:graphic xmlns:a="http://schemas.openxmlformats.org/drawingml/2006/main">
                  <a:graphicData uri="http://schemas.microsoft.com/office/word/2010/wordprocessingShape">
                    <wps:wsp>
                      <wps:cNvSpPr/>
                      <wps:spPr>
                        <a:xfrm>
                          <a:off x="0" y="0"/>
                          <a:ext cx="1794510" cy="1532890"/>
                        </a:xfrm>
                        <a:prstGeom prst="parallelogram">
                          <a:avLst/>
                        </a:prstGeom>
                        <a:solidFill>
                          <a:schemeClr val="accent1">
                            <a:lumMod val="40000"/>
                            <a:lumOff val="60000"/>
                          </a:schemeClr>
                        </a:solidFill>
                        <a:ln w="12700" cap="flat" cmpd="sng" algn="ctr">
                          <a:solidFill>
                            <a:srgbClr val="156082">
                              <a:shade val="15000"/>
                            </a:srgbClr>
                          </a:solidFill>
                          <a:prstDash val="solid"/>
                          <a:miter lim="800000"/>
                        </a:ln>
                        <a:effectLst/>
                      </wps:spPr>
                      <wps:txbx>
                        <w:txbxContent>
                          <w:p w14:paraId="38B5913A" w14:textId="5FE47DD3" w:rsidR="00FB132C" w:rsidRDefault="00FB132C" w:rsidP="00FB132C">
                            <w:pPr>
                              <w:jc w:val="center"/>
                              <w:rPr>
                                <w:rFonts w:ascii="Arial" w:hAnsi="Arial" w:cs="Arial"/>
                                <w:b/>
                                <w:bCs/>
                                <w:color w:val="000000" w:themeColor="text1"/>
                                <w:sz w:val="20"/>
                                <w:szCs w:val="20"/>
                              </w:rPr>
                            </w:pPr>
                            <w:r w:rsidRPr="00E36BB6">
                              <w:rPr>
                                <w:rFonts w:ascii="Arial" w:hAnsi="Arial" w:cs="Arial"/>
                                <w:b/>
                                <w:bCs/>
                                <w:color w:val="000000" w:themeColor="text1"/>
                                <w:sz w:val="20"/>
                                <w:szCs w:val="20"/>
                              </w:rPr>
                              <w:t>Methods (Proc</w:t>
                            </w:r>
                            <w:r w:rsidR="00FE52EB" w:rsidRPr="00E36BB6">
                              <w:rPr>
                                <w:rFonts w:ascii="Arial" w:hAnsi="Arial" w:cs="Arial"/>
                                <w:b/>
                                <w:bCs/>
                                <w:color w:val="000000" w:themeColor="text1"/>
                                <w:sz w:val="20"/>
                                <w:szCs w:val="20"/>
                              </w:rPr>
                              <w:t>esses)</w:t>
                            </w:r>
                          </w:p>
                          <w:p w14:paraId="68943906" w14:textId="225F5547" w:rsidR="000F0460" w:rsidRPr="00E36BB6" w:rsidRDefault="00B106E4" w:rsidP="00FB132C">
                            <w:pPr>
                              <w:jc w:val="center"/>
                              <w:rPr>
                                <w:rFonts w:ascii="Arial" w:hAnsi="Arial" w:cs="Arial"/>
                                <w:b/>
                                <w:bCs/>
                                <w:color w:val="000000" w:themeColor="text1"/>
                                <w:sz w:val="20"/>
                                <w:szCs w:val="20"/>
                              </w:rPr>
                            </w:pPr>
                            <w:r w:rsidRPr="00B106E4">
                              <w:rPr>
                                <w:rFonts w:ascii="Arial" w:hAnsi="Arial" w:cs="Arial"/>
                                <w:b/>
                                <w:bCs/>
                                <w:color w:val="FFFFFF" w:themeColor="background1"/>
                                <w:sz w:val="20"/>
                                <w:szCs w:val="20"/>
                              </w:rPr>
                              <w:t>Poor clinical governance and 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DC7D8" id="_x0000_s1027" type="#_x0000_t7" style="position:absolute;margin-left:123.45pt;margin-top:25pt;width:141.3pt;height:12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" adj="4613" fillcolor="#83caeb [1300]" strokecolor="#042433" strokeweight="1pt">
                <v:textbox>
                  <w:txbxContent>
                    <w:p w14:paraId="38B5913A" w14:textId="5FE47DD3" w:rsidR="00FB132C" w:rsidRDefault="00FB132C" w:rsidP="00FB132C">
                      <w:pPr>
                        <w:jc w:val="center"/>
                        <w:rPr>
                          <w:rFonts w:ascii="Arial" w:hAnsi="Arial" w:cs="Arial"/>
                          <w:b/>
                          <w:bCs/>
                          <w:color w:val="000000" w:themeColor="text1"/>
                          <w:sz w:val="20"/>
                          <w:szCs w:val="20"/>
                        </w:rPr>
                      </w:pPr>
                      <w:r w:rsidRPr="00E36BB6">
                        <w:rPr>
                          <w:rFonts w:ascii="Arial" w:hAnsi="Arial" w:cs="Arial"/>
                          <w:b/>
                          <w:bCs/>
                          <w:color w:val="000000" w:themeColor="text1"/>
                          <w:sz w:val="20"/>
                          <w:szCs w:val="20"/>
                        </w:rPr>
                        <w:t>Methods (Proc</w:t>
                      </w:r>
                      <w:r w:rsidR="00FE52EB" w:rsidRPr="00E36BB6">
                        <w:rPr>
                          <w:rFonts w:ascii="Arial" w:hAnsi="Arial" w:cs="Arial"/>
                          <w:b/>
                          <w:bCs/>
                          <w:color w:val="000000" w:themeColor="text1"/>
                          <w:sz w:val="20"/>
                          <w:szCs w:val="20"/>
                        </w:rPr>
                        <w:t>esses)</w:t>
                      </w:r>
                    </w:p>
                    <w:p w14:paraId="68943906" w14:textId="225F5547" w:rsidR="000F0460" w:rsidRPr="00E36BB6" w:rsidRDefault="00B106E4" w:rsidP="00FB132C">
                      <w:pPr>
                        <w:jc w:val="center"/>
                        <w:rPr>
                          <w:rFonts w:ascii="Arial" w:hAnsi="Arial" w:cs="Arial"/>
                          <w:b/>
                          <w:bCs/>
                          <w:color w:val="000000" w:themeColor="text1"/>
                          <w:sz w:val="20"/>
                          <w:szCs w:val="20"/>
                        </w:rPr>
                      </w:pPr>
                      <w:r w:rsidRPr="00B106E4">
                        <w:rPr>
                          <w:rFonts w:ascii="Arial" w:hAnsi="Arial" w:cs="Arial"/>
                          <w:b/>
                          <w:bCs/>
                          <w:color w:val="FFFFFF" w:themeColor="background1"/>
                          <w:sz w:val="20"/>
                          <w:szCs w:val="20"/>
                        </w:rPr>
                        <w:t>Poor clinical governance and risk management</w:t>
                      </w:r>
                    </w:p>
                  </w:txbxContent>
                </v:textbox>
              </v:shape>
            </w:pict>
          </mc:Fallback>
        </mc:AlternateContent>
      </w:r>
      <w:r w:rsidR="007221BF" w:rsidRPr="00E843D6">
        <w:rPr>
          <w:rFonts w:ascii="Arial" w:eastAsia="Times New Roman" w:hAnsi="Arial" w:cs="Arial"/>
          <w:noProof/>
          <w:kern w:val="0"/>
        </w:rPr>
        <mc:AlternateContent>
          <mc:Choice Requires="wps">
            <w:drawing>
              <wp:anchor distT="0" distB="0" distL="114300" distR="114300" simplePos="0" relativeHeight="251658246" behindDoc="0" locked="0" layoutInCell="1" allowOverlap="1" wp14:anchorId="219033D5" wp14:editId="36AAE516">
                <wp:simplePos x="0" y="0"/>
                <wp:positionH relativeFrom="column">
                  <wp:posOffset>3057583</wp:posOffset>
                </wp:positionH>
                <wp:positionV relativeFrom="paragraph">
                  <wp:posOffset>266444</wp:posOffset>
                </wp:positionV>
                <wp:extent cx="2184597" cy="1538179"/>
                <wp:effectExtent l="19050" t="0" r="44450" b="24130"/>
                <wp:wrapNone/>
                <wp:docPr id="1240922632" name="Parallelogram 6"/>
                <wp:cNvGraphicFramePr/>
                <a:graphic xmlns:a="http://schemas.openxmlformats.org/drawingml/2006/main">
                  <a:graphicData uri="http://schemas.microsoft.com/office/word/2010/wordprocessingShape">
                    <wps:wsp>
                      <wps:cNvSpPr/>
                      <wps:spPr>
                        <a:xfrm>
                          <a:off x="0" y="0"/>
                          <a:ext cx="2184597" cy="1538179"/>
                        </a:xfrm>
                        <a:prstGeom prst="parallelogram">
                          <a:avLst/>
                        </a:prstGeom>
                        <a:solidFill>
                          <a:schemeClr val="accent5">
                            <a:lumMod val="60000"/>
                            <a:lumOff val="40000"/>
                          </a:schemeClr>
                        </a:solidFill>
                        <a:ln w="12700" cap="flat" cmpd="sng" algn="ctr">
                          <a:solidFill>
                            <a:srgbClr val="156082">
                              <a:shade val="15000"/>
                            </a:srgbClr>
                          </a:solidFill>
                          <a:prstDash val="solid"/>
                          <a:miter lim="800000"/>
                        </a:ln>
                        <a:effectLst/>
                      </wps:spPr>
                      <wps:txbx>
                        <w:txbxContent>
                          <w:p w14:paraId="6329ABB0" w14:textId="77777777" w:rsidR="00EE3733" w:rsidRDefault="009541FB" w:rsidP="009541FB">
                            <w:pPr>
                              <w:jc w:val="center"/>
                              <w:rPr>
                                <w:rFonts w:ascii="Arial" w:eastAsia="Times New Roman" w:hAnsi="Arial" w:cs="Arial"/>
                                <w:b/>
                                <w:bCs/>
                                <w:color w:val="000000" w:themeColor="text1"/>
                                <w:kern w:val="0"/>
                                <w:sz w:val="20"/>
                                <w:szCs w:val="20"/>
                                <w14:ligatures w14:val="none"/>
                              </w:rPr>
                            </w:pPr>
                            <w:r w:rsidRPr="00E36BB6">
                              <w:rPr>
                                <w:rFonts w:ascii="Arial" w:eastAsia="Times New Roman" w:hAnsi="Arial" w:cs="Arial"/>
                                <w:b/>
                                <w:bCs/>
                                <w:color w:val="000000" w:themeColor="text1"/>
                                <w:kern w:val="0"/>
                                <w:sz w:val="20"/>
                                <w:szCs w:val="20"/>
                                <w14:ligatures w14:val="none"/>
                              </w:rPr>
                              <w:t>Machines/Materials</w:t>
                            </w:r>
                            <w:r w:rsidR="00AA68EB">
                              <w:rPr>
                                <w:rFonts w:ascii="Arial" w:eastAsia="Times New Roman" w:hAnsi="Arial" w:cs="Arial"/>
                                <w:b/>
                                <w:bCs/>
                                <w:color w:val="000000" w:themeColor="text1"/>
                                <w:kern w:val="0"/>
                                <w:sz w:val="20"/>
                                <w:szCs w:val="20"/>
                                <w14:ligatures w14:val="none"/>
                              </w:rPr>
                              <w:t xml:space="preserve">) </w:t>
                            </w:r>
                          </w:p>
                          <w:p w14:paraId="4F1646E8" w14:textId="70932881" w:rsidR="00162223" w:rsidRPr="00E36BB6" w:rsidRDefault="009541FB" w:rsidP="00EE3733">
                            <w:pPr>
                              <w:rPr>
                                <w:color w:val="000000" w:themeColor="text1"/>
                                <w:sz w:val="20"/>
                                <w:szCs w:val="20"/>
                              </w:rPr>
                            </w:pPr>
                            <w:r w:rsidRPr="000B3F67">
                              <w:rPr>
                                <w:rFonts w:ascii="Arial" w:eastAsia="Times New Roman" w:hAnsi="Arial" w:cs="Arial"/>
                                <w:b/>
                                <w:bCs/>
                                <w:color w:val="FFFFFF" w:themeColor="background1"/>
                                <w:kern w:val="0"/>
                                <w:sz w:val="20"/>
                                <w:szCs w:val="20"/>
                                <w14:ligatures w14:val="none"/>
                              </w:rPr>
                              <w:t>Equipment/</w:t>
                            </w:r>
                            <w:r w:rsidR="00CC7947" w:rsidRPr="000B3F67">
                              <w:rPr>
                                <w:rFonts w:ascii="Arial" w:eastAsia="Times New Roman" w:hAnsi="Arial" w:cs="Arial"/>
                                <w:b/>
                                <w:bCs/>
                                <w:color w:val="FFFFFF" w:themeColor="background1"/>
                                <w:kern w:val="0"/>
                                <w:sz w:val="20"/>
                                <w:szCs w:val="20"/>
                                <w14:ligatures w14:val="none"/>
                              </w:rPr>
                              <w:t>Resources</w:t>
                            </w:r>
                            <w:r w:rsidR="00162223" w:rsidRPr="000B3F67">
                              <w:rPr>
                                <w:rFonts w:ascii="Arial" w:eastAsia="Times New Roman" w:hAnsi="Arial" w:cs="Arial"/>
                                <w:color w:val="FFFFFF" w:themeColor="background1"/>
                                <w:kern w:val="0"/>
                                <w14:ligatures w14:val="none"/>
                              </w:rPr>
                              <w:t xml:space="preserve"> </w:t>
                            </w:r>
                            <w:r w:rsidR="00162223" w:rsidRPr="000B3F67">
                              <w:rPr>
                                <w:rFonts w:ascii="Arial" w:eastAsia="Times New Roman" w:hAnsi="Arial" w:cs="Arial"/>
                                <w:b/>
                                <w:bCs/>
                                <w:color w:val="FFFFFF" w:themeColor="background1"/>
                                <w:kern w:val="0"/>
                                <w:sz w:val="20"/>
                                <w:szCs w:val="20"/>
                                <w14:ligatures w14:val="none"/>
                              </w:rPr>
                              <w:t>the focus on cost-cutting</w:t>
                            </w:r>
                            <w:r w:rsidR="00CC7947">
                              <w:rPr>
                                <w:rFonts w:ascii="Arial" w:eastAsia="Times New Roman" w:hAnsi="Arial" w:cs="Arial"/>
                                <w:b/>
                                <w:bCs/>
                                <w:color w:val="FFFFFF" w:themeColor="background1"/>
                                <w:kern w:val="0"/>
                                <w:sz w:val="20"/>
                                <w:szCs w:val="20"/>
                                <w14:ligatures w14:val="no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033D5" id="_x0000_s1028" type="#_x0000_t7" style="position:absolute;margin-left:240.75pt;margin-top:21pt;width:172pt;height:121.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" adj="3802" fillcolor="#d86dcb [1944]" strokecolor="#042433" strokeweight="1pt">
                <v:textbox>
                  <w:txbxContent>
                    <w:p w14:paraId="6329ABB0" w14:textId="77777777" w:rsidR="00EE3733" w:rsidRDefault="009541FB" w:rsidP="009541FB">
                      <w:pPr>
                        <w:jc w:val="center"/>
                        <w:rPr>
                          <w:rFonts w:ascii="Arial" w:eastAsia="Times New Roman" w:hAnsi="Arial" w:cs="Arial"/>
                          <w:b/>
                          <w:bCs/>
                          <w:color w:val="000000" w:themeColor="text1"/>
                          <w:kern w:val="0"/>
                          <w:sz w:val="20"/>
                          <w:szCs w:val="20"/>
                          <w14:ligatures w14:val="none"/>
                        </w:rPr>
                      </w:pPr>
                      <w:r w:rsidRPr="00E36BB6">
                        <w:rPr>
                          <w:rFonts w:ascii="Arial" w:eastAsia="Times New Roman" w:hAnsi="Arial" w:cs="Arial"/>
                          <w:b/>
                          <w:bCs/>
                          <w:color w:val="000000" w:themeColor="text1"/>
                          <w:kern w:val="0"/>
                          <w:sz w:val="20"/>
                          <w:szCs w:val="20"/>
                          <w14:ligatures w14:val="none"/>
                        </w:rPr>
                        <w:t>Machines/Materials</w:t>
                      </w:r>
                      <w:r w:rsidR="00AA68EB">
                        <w:rPr>
                          <w:rFonts w:ascii="Arial" w:eastAsia="Times New Roman" w:hAnsi="Arial" w:cs="Arial"/>
                          <w:b/>
                          <w:bCs/>
                          <w:color w:val="000000" w:themeColor="text1"/>
                          <w:kern w:val="0"/>
                          <w:sz w:val="20"/>
                          <w:szCs w:val="20"/>
                          <w14:ligatures w14:val="none"/>
                        </w:rPr>
                        <w:t xml:space="preserve">) </w:t>
                      </w:r>
                    </w:p>
                    <w:p w14:paraId="4F1646E8" w14:textId="70932881" w:rsidR="00162223" w:rsidRPr="00E36BB6" w:rsidRDefault="009541FB" w:rsidP="00EE3733">
                      <w:pPr>
                        <w:rPr>
                          <w:color w:val="000000" w:themeColor="text1"/>
                          <w:sz w:val="20"/>
                          <w:szCs w:val="20"/>
                        </w:rPr>
                      </w:pPr>
                      <w:r w:rsidRPr="000B3F67">
                        <w:rPr>
                          <w:rFonts w:ascii="Arial" w:eastAsia="Times New Roman" w:hAnsi="Arial" w:cs="Arial"/>
                          <w:b/>
                          <w:bCs/>
                          <w:color w:val="FFFFFF" w:themeColor="background1"/>
                          <w:kern w:val="0"/>
                          <w:sz w:val="20"/>
                          <w:szCs w:val="20"/>
                          <w14:ligatures w14:val="none"/>
                        </w:rPr>
                        <w:t>Equipment/</w:t>
                      </w:r>
                      <w:r w:rsidR="00CC7947" w:rsidRPr="000B3F67">
                        <w:rPr>
                          <w:rFonts w:ascii="Arial" w:eastAsia="Times New Roman" w:hAnsi="Arial" w:cs="Arial"/>
                          <w:b/>
                          <w:bCs/>
                          <w:color w:val="FFFFFF" w:themeColor="background1"/>
                          <w:kern w:val="0"/>
                          <w:sz w:val="20"/>
                          <w:szCs w:val="20"/>
                          <w14:ligatures w14:val="none"/>
                        </w:rPr>
                        <w:t>Resources</w:t>
                      </w:r>
                      <w:r w:rsidR="00162223" w:rsidRPr="000B3F67">
                        <w:rPr>
                          <w:rFonts w:ascii="Arial" w:eastAsia="Times New Roman" w:hAnsi="Arial" w:cs="Arial"/>
                          <w:color w:val="FFFFFF" w:themeColor="background1"/>
                          <w:kern w:val="0"/>
                          <w14:ligatures w14:val="none"/>
                        </w:rPr>
                        <w:t xml:space="preserve"> </w:t>
                      </w:r>
                      <w:r w:rsidR="00162223" w:rsidRPr="000B3F67">
                        <w:rPr>
                          <w:rFonts w:ascii="Arial" w:eastAsia="Times New Roman" w:hAnsi="Arial" w:cs="Arial"/>
                          <w:b/>
                          <w:bCs/>
                          <w:color w:val="FFFFFF" w:themeColor="background1"/>
                          <w:kern w:val="0"/>
                          <w:sz w:val="20"/>
                          <w:szCs w:val="20"/>
                          <w14:ligatures w14:val="none"/>
                        </w:rPr>
                        <w:t>the focus on cost-cutting</w:t>
                      </w:r>
                      <w:r w:rsidR="00CC7947">
                        <w:rPr>
                          <w:rFonts w:ascii="Arial" w:eastAsia="Times New Roman" w:hAnsi="Arial" w:cs="Arial"/>
                          <w:b/>
                          <w:bCs/>
                          <w:color w:val="FFFFFF" w:themeColor="background1"/>
                          <w:kern w:val="0"/>
                          <w:sz w:val="20"/>
                          <w:szCs w:val="20"/>
                          <w14:ligatures w14:val="none"/>
                        </w:rPr>
                        <w:t xml:space="preserve">. </w:t>
                      </w:r>
                    </w:p>
                  </w:txbxContent>
                </v:textbox>
              </v:shape>
            </w:pict>
          </mc:Fallback>
        </mc:AlternateContent>
      </w:r>
    </w:p>
    <w:p w14:paraId="5FCD90FF" w14:textId="374704EF" w:rsidR="00FE52EB" w:rsidRPr="00E843D6" w:rsidRDefault="001D487E" w:rsidP="00E843D6">
      <w:pPr>
        <w:spacing w:after="100" w:afterAutospacing="1" w:line="360" w:lineRule="auto"/>
        <w:rPr>
          <w:rFonts w:ascii="Arial" w:eastAsia="Times New Roman" w:hAnsi="Arial" w:cs="Arial"/>
          <w:kern w:val="0"/>
          <w14:ligatures w14:val="none"/>
        </w:rPr>
      </w:pPr>
      <w:r>
        <w:rPr>
          <w:rFonts w:ascii="Arial" w:eastAsia="Times New Roman" w:hAnsi="Arial" w:cs="Arial"/>
          <w:noProof/>
          <w:kern w:val="0"/>
        </w:rPr>
        <mc:AlternateContent>
          <mc:Choice Requires="wps">
            <w:drawing>
              <wp:anchor distT="0" distB="0" distL="114300" distR="114300" simplePos="0" relativeHeight="251658252" behindDoc="0" locked="0" layoutInCell="1" allowOverlap="1" wp14:anchorId="254EA53E" wp14:editId="2EE933A9">
                <wp:simplePos x="0" y="0"/>
                <wp:positionH relativeFrom="column">
                  <wp:posOffset>-566815</wp:posOffset>
                </wp:positionH>
                <wp:positionV relativeFrom="paragraph">
                  <wp:posOffset>103744</wp:posOffset>
                </wp:positionV>
                <wp:extent cx="914400" cy="2658445"/>
                <wp:effectExtent l="19050" t="38100" r="38100" b="66040"/>
                <wp:wrapNone/>
                <wp:docPr id="143224883" name="Diamond 15"/>
                <wp:cNvGraphicFramePr/>
                <a:graphic xmlns:a="http://schemas.openxmlformats.org/drawingml/2006/main">
                  <a:graphicData uri="http://schemas.microsoft.com/office/word/2010/wordprocessingShape">
                    <wps:wsp>
                      <wps:cNvSpPr/>
                      <wps:spPr>
                        <a:xfrm>
                          <a:off x="0" y="0"/>
                          <a:ext cx="914400" cy="2658445"/>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C724B19" id="_x0000_t4" coordsize="21600,21600" o:spt="4" path="m10800,l,10800,10800,21600,21600,10800xe">
                <v:stroke joinstyle="miter"/>
                <v:path gradientshapeok="t" o:connecttype="rect" textboxrect="5400,5400,16200,16200"/>
              </v:shapetype>
              <v:shape id="Diamond 15" o:spid="_x0000_s1026" type="#_x0000_t4" style="position:absolute;margin-left:-44.65pt;margin-top:8.15pt;width:1in;height:209.3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" fillcolor="#156082 [3204]" strokecolor="#030e13 [484]" strokeweight="1pt"/>
            </w:pict>
          </mc:Fallback>
        </mc:AlternateContent>
      </w:r>
    </w:p>
    <w:p w14:paraId="002A5E2B" w14:textId="7C29276B" w:rsidR="00F23A25" w:rsidRPr="00E843D6" w:rsidRDefault="00437580" w:rsidP="00E843D6">
      <w:pPr>
        <w:spacing w:after="100" w:afterAutospacing="1" w:line="360" w:lineRule="auto"/>
        <w:rPr>
          <w:rFonts w:ascii="Arial" w:eastAsia="Times New Roman" w:hAnsi="Arial" w:cs="Arial"/>
          <w:kern w:val="0"/>
          <w14:ligatures w14:val="none"/>
        </w:rPr>
      </w:pPr>
      <w:r w:rsidRPr="00E843D6">
        <w:rPr>
          <w:rFonts w:ascii="Arial" w:eastAsia="Times New Roman" w:hAnsi="Arial" w:cs="Arial"/>
          <w:noProof/>
          <w:kern w:val="0"/>
        </w:rPr>
        <mc:AlternateContent>
          <mc:Choice Requires="wps">
            <w:drawing>
              <wp:anchor distT="0" distB="0" distL="114300" distR="114300" simplePos="0" relativeHeight="251658241" behindDoc="0" locked="0" layoutInCell="1" allowOverlap="1" wp14:anchorId="43BE5BC7" wp14:editId="16C0D14D">
                <wp:simplePos x="0" y="0"/>
                <wp:positionH relativeFrom="margin">
                  <wp:posOffset>4908626</wp:posOffset>
                </wp:positionH>
                <wp:positionV relativeFrom="paragraph">
                  <wp:posOffset>312354</wp:posOffset>
                </wp:positionV>
                <wp:extent cx="1245779" cy="1505749"/>
                <wp:effectExtent l="19050" t="0" r="12065" b="18415"/>
                <wp:wrapNone/>
                <wp:docPr id="1822494780" name="Arrow: Chevron 2"/>
                <wp:cNvGraphicFramePr/>
                <a:graphic xmlns:a="http://schemas.openxmlformats.org/drawingml/2006/main">
                  <a:graphicData uri="http://schemas.microsoft.com/office/word/2010/wordprocessingShape">
                    <wps:wsp>
                      <wps:cNvSpPr/>
                      <wps:spPr>
                        <a:xfrm>
                          <a:off x="0" y="0"/>
                          <a:ext cx="1245779" cy="1505749"/>
                        </a:xfrm>
                        <a:prstGeom prst="chevron">
                          <a:avLst/>
                        </a:prstGeom>
                        <a:solidFill>
                          <a:schemeClr val="bg2">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2636F"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2" o:spid="_x0000_s1026" type="#_x0000_t55" style="position:absolute;margin-left:386.5pt;margin-top:24.6pt;width:98.1pt;height:118.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" adj="10800" fillcolor="#737373 [1614]" strokecolor="#030e13 [484]" strokeweight="1pt">
                <w10:wrap anchorx="margin"/>
              </v:shape>
            </w:pict>
          </mc:Fallback>
        </mc:AlternateContent>
      </w:r>
    </w:p>
    <w:p w14:paraId="52CFC416" w14:textId="392D137C" w:rsidR="00EC7784" w:rsidRPr="00E843D6" w:rsidRDefault="00437580" w:rsidP="00E843D6">
      <w:pPr>
        <w:spacing w:after="100" w:afterAutospacing="1" w:line="360" w:lineRule="auto"/>
        <w:rPr>
          <w:rFonts w:ascii="Arial" w:eastAsia="Times New Roman" w:hAnsi="Arial" w:cs="Arial"/>
          <w:kern w:val="0"/>
          <w14:ligatures w14:val="none"/>
        </w:rPr>
      </w:pPr>
      <w:r w:rsidRPr="00E843D6">
        <w:rPr>
          <w:rFonts w:ascii="Arial" w:eastAsia="Times New Roman" w:hAnsi="Arial" w:cs="Arial"/>
          <w:b/>
          <w:bCs/>
          <w:noProof/>
          <w:kern w:val="0"/>
        </w:rPr>
        <mc:AlternateContent>
          <mc:Choice Requires="wps">
            <w:drawing>
              <wp:anchor distT="0" distB="0" distL="114300" distR="114300" simplePos="0" relativeHeight="251658242" behindDoc="0" locked="0" layoutInCell="1" allowOverlap="1" wp14:anchorId="303B95AA" wp14:editId="020A9CFD">
                <wp:simplePos x="0" y="0"/>
                <wp:positionH relativeFrom="margin">
                  <wp:posOffset>4856723</wp:posOffset>
                </wp:positionH>
                <wp:positionV relativeFrom="paragraph">
                  <wp:posOffset>364456</wp:posOffset>
                </wp:positionV>
                <wp:extent cx="503742" cy="470390"/>
                <wp:effectExtent l="0" t="0" r="10795" b="25400"/>
                <wp:wrapNone/>
                <wp:docPr id="179489974" name="Flowchart: Connector 3"/>
                <wp:cNvGraphicFramePr/>
                <a:graphic xmlns:a="http://schemas.openxmlformats.org/drawingml/2006/main">
                  <a:graphicData uri="http://schemas.microsoft.com/office/word/2010/wordprocessingShape">
                    <wps:wsp>
                      <wps:cNvSpPr/>
                      <wps:spPr>
                        <a:xfrm>
                          <a:off x="0" y="0"/>
                          <a:ext cx="503742" cy="470390"/>
                        </a:xfrm>
                        <a:prstGeom prst="flowChartConnector">
                          <a:avLst/>
                        </a:prstGeom>
                        <a:solidFill>
                          <a:schemeClr val="tx1"/>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4B51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382.4pt;margin-top:28.7pt;width:39.65pt;height:37.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" fillcolor="black [3213]" strokecolor="#042433" strokeweight="1pt">
                <v:stroke joinstyle="miter"/>
                <w10:wrap anchorx="margin"/>
              </v:shape>
            </w:pict>
          </mc:Fallback>
        </mc:AlternateContent>
      </w:r>
      <w:r w:rsidR="00587952" w:rsidRPr="00E843D6">
        <w:rPr>
          <w:rFonts w:ascii="Arial" w:eastAsia="Times New Roman" w:hAnsi="Arial" w:cs="Arial"/>
          <w:noProof/>
          <w:kern w:val="0"/>
        </w:rPr>
        <mc:AlternateContent>
          <mc:Choice Requires="wps">
            <w:drawing>
              <wp:anchor distT="0" distB="0" distL="114300" distR="114300" simplePos="0" relativeHeight="251658240" behindDoc="0" locked="0" layoutInCell="1" allowOverlap="1" wp14:anchorId="2F354D4E" wp14:editId="03BF8EC4">
                <wp:simplePos x="0" y="0"/>
                <wp:positionH relativeFrom="column">
                  <wp:posOffset>43805</wp:posOffset>
                </wp:positionH>
                <wp:positionV relativeFrom="paragraph">
                  <wp:posOffset>416358</wp:posOffset>
                </wp:positionV>
                <wp:extent cx="5012838" cy="281940"/>
                <wp:effectExtent l="0" t="19050" r="35560" b="41910"/>
                <wp:wrapNone/>
                <wp:docPr id="1534599619" name="Arrow: Right 1"/>
                <wp:cNvGraphicFramePr/>
                <a:graphic xmlns:a="http://schemas.openxmlformats.org/drawingml/2006/main">
                  <a:graphicData uri="http://schemas.microsoft.com/office/word/2010/wordprocessingShape">
                    <wps:wsp>
                      <wps:cNvSpPr/>
                      <wps:spPr>
                        <a:xfrm>
                          <a:off x="0" y="0"/>
                          <a:ext cx="5012838" cy="281940"/>
                        </a:xfrm>
                        <a:prstGeom prst="rightArrow">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02BD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3.45pt;margin-top:32.8pt;width:394.7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" adj="20993" fillcolor="#47d459 [1942]" strokecolor="#030e13 [484]" strokeweight="1pt"/>
            </w:pict>
          </mc:Fallback>
        </mc:AlternateContent>
      </w:r>
    </w:p>
    <w:p w14:paraId="7CF7F40B" w14:textId="18443426" w:rsidR="00EC7784" w:rsidRPr="00E843D6" w:rsidRDefault="00A50556" w:rsidP="00E843D6">
      <w:pPr>
        <w:spacing w:after="100" w:afterAutospacing="1" w:line="360" w:lineRule="auto"/>
        <w:rPr>
          <w:rFonts w:ascii="Arial" w:eastAsia="Times New Roman" w:hAnsi="Arial" w:cs="Arial"/>
          <w:kern w:val="0"/>
          <w14:ligatures w14:val="none"/>
        </w:rPr>
      </w:pPr>
      <w:r w:rsidRPr="00E843D6">
        <w:rPr>
          <w:rFonts w:ascii="Arial" w:eastAsia="Times New Roman" w:hAnsi="Arial" w:cs="Arial"/>
          <w:noProof/>
          <w:kern w:val="0"/>
        </w:rPr>
        <mc:AlternateContent>
          <mc:Choice Requires="wps">
            <w:drawing>
              <wp:anchor distT="0" distB="0" distL="114300" distR="114300" simplePos="0" relativeHeight="251658248" behindDoc="0" locked="0" layoutInCell="1" allowOverlap="1" wp14:anchorId="25DBC3E5" wp14:editId="6E256486">
                <wp:simplePos x="0" y="0"/>
                <wp:positionH relativeFrom="column">
                  <wp:posOffset>3233650</wp:posOffset>
                </wp:positionH>
                <wp:positionV relativeFrom="paragraph">
                  <wp:posOffset>196176</wp:posOffset>
                </wp:positionV>
                <wp:extent cx="1622326" cy="1885950"/>
                <wp:effectExtent l="19050" t="0" r="35560" b="19050"/>
                <wp:wrapNone/>
                <wp:docPr id="1960785914" name="Parallelogram 6"/>
                <wp:cNvGraphicFramePr/>
                <a:graphic xmlns:a="http://schemas.openxmlformats.org/drawingml/2006/main">
                  <a:graphicData uri="http://schemas.microsoft.com/office/word/2010/wordprocessingShape">
                    <wps:wsp>
                      <wps:cNvSpPr/>
                      <wps:spPr>
                        <a:xfrm>
                          <a:off x="0" y="0"/>
                          <a:ext cx="1622326" cy="1885950"/>
                        </a:xfrm>
                        <a:prstGeom prst="parallelogram">
                          <a:avLst/>
                        </a:prstGeom>
                        <a:solidFill>
                          <a:schemeClr val="accent2"/>
                        </a:solidFill>
                        <a:ln w="12700" cap="flat" cmpd="sng" algn="ctr">
                          <a:solidFill>
                            <a:srgbClr val="156082">
                              <a:shade val="15000"/>
                            </a:srgbClr>
                          </a:solidFill>
                          <a:prstDash val="solid"/>
                          <a:miter lim="800000"/>
                        </a:ln>
                        <a:effectLst/>
                      </wps:spPr>
                      <wps:txbx>
                        <w:txbxContent>
                          <w:p w14:paraId="3877C3A3" w14:textId="3ACA374C" w:rsidR="00D05FF5" w:rsidRDefault="00D05FF5" w:rsidP="00D05FF5">
                            <w:pPr>
                              <w:jc w:val="center"/>
                              <w:rPr>
                                <w:rFonts w:ascii="Arial" w:eastAsia="Times New Roman" w:hAnsi="Arial" w:cs="Arial"/>
                                <w:b/>
                                <w:bCs/>
                                <w:color w:val="000000" w:themeColor="text1"/>
                                <w:kern w:val="0"/>
                                <w:sz w:val="20"/>
                                <w:szCs w:val="20"/>
                                <w14:ligatures w14:val="none"/>
                              </w:rPr>
                            </w:pPr>
                            <w:r w:rsidRPr="00E36BB6">
                              <w:rPr>
                                <w:rFonts w:ascii="Arial" w:eastAsia="Times New Roman" w:hAnsi="Arial" w:cs="Arial"/>
                                <w:b/>
                                <w:bCs/>
                                <w:color w:val="000000" w:themeColor="text1"/>
                                <w:kern w:val="0"/>
                                <w:sz w:val="20"/>
                                <w:szCs w:val="20"/>
                                <w14:ligatures w14:val="none"/>
                              </w:rPr>
                              <w:t>Management</w:t>
                            </w:r>
                          </w:p>
                          <w:p w14:paraId="7625A9E1" w14:textId="0F1F6C46" w:rsidR="005C1A0B" w:rsidRPr="005C1A0B" w:rsidRDefault="005C1A0B" w:rsidP="00D05FF5">
                            <w:pPr>
                              <w:jc w:val="center"/>
                              <w:rPr>
                                <w:b/>
                                <w:bCs/>
                                <w:color w:val="FFFFFF" w:themeColor="background1"/>
                                <w:sz w:val="20"/>
                                <w:szCs w:val="20"/>
                              </w:rPr>
                            </w:pPr>
                            <w:r w:rsidRPr="005C1A0B">
                              <w:rPr>
                                <w:rFonts w:ascii="Arial" w:eastAsia="Times New Roman" w:hAnsi="Arial" w:cs="Arial"/>
                                <w:b/>
                                <w:bCs/>
                                <w:color w:val="FFFFFF" w:themeColor="background1"/>
                                <w:kern w:val="0"/>
                                <w:sz w:val="20"/>
                                <w:szCs w:val="20"/>
                                <w14:ligatures w14:val="none"/>
                              </w:rPr>
                              <w:t>Management prioritised financial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BC3E5" id="_x0000_s1029" type="#_x0000_t7" style="position:absolute;margin-left:254.6pt;margin-top:15.45pt;width:127.75pt;height:14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" fillcolor="#e97132 [3205]" strokecolor="#042433" strokeweight="1pt">
                <v:textbox>
                  <w:txbxContent>
                    <w:p w14:paraId="3877C3A3" w14:textId="3ACA374C" w:rsidR="00D05FF5" w:rsidRDefault="00D05FF5" w:rsidP="00D05FF5">
                      <w:pPr>
                        <w:jc w:val="center"/>
                        <w:rPr>
                          <w:rFonts w:ascii="Arial" w:eastAsia="Times New Roman" w:hAnsi="Arial" w:cs="Arial"/>
                          <w:b/>
                          <w:bCs/>
                          <w:color w:val="000000" w:themeColor="text1"/>
                          <w:kern w:val="0"/>
                          <w:sz w:val="20"/>
                          <w:szCs w:val="20"/>
                          <w14:ligatures w14:val="none"/>
                        </w:rPr>
                      </w:pPr>
                      <w:r w:rsidRPr="00E36BB6">
                        <w:rPr>
                          <w:rFonts w:ascii="Arial" w:eastAsia="Times New Roman" w:hAnsi="Arial" w:cs="Arial"/>
                          <w:b/>
                          <w:bCs/>
                          <w:color w:val="000000" w:themeColor="text1"/>
                          <w:kern w:val="0"/>
                          <w:sz w:val="20"/>
                          <w:szCs w:val="20"/>
                          <w14:ligatures w14:val="none"/>
                        </w:rPr>
                        <w:t>Management</w:t>
                      </w:r>
                    </w:p>
                    <w:p w14:paraId="7625A9E1" w14:textId="0F1F6C46" w:rsidR="005C1A0B" w:rsidRPr="005C1A0B" w:rsidRDefault="005C1A0B" w:rsidP="00D05FF5">
                      <w:pPr>
                        <w:jc w:val="center"/>
                        <w:rPr>
                          <w:b/>
                          <w:bCs/>
                          <w:color w:val="FFFFFF" w:themeColor="background1"/>
                          <w:sz w:val="20"/>
                          <w:szCs w:val="20"/>
                        </w:rPr>
                      </w:pPr>
                      <w:r w:rsidRPr="005C1A0B">
                        <w:rPr>
                          <w:rFonts w:ascii="Arial" w:eastAsia="Times New Roman" w:hAnsi="Arial" w:cs="Arial"/>
                          <w:b/>
                          <w:bCs/>
                          <w:color w:val="FFFFFF" w:themeColor="background1"/>
                          <w:kern w:val="0"/>
                          <w:sz w:val="20"/>
                          <w:szCs w:val="20"/>
                          <w14:ligatures w14:val="none"/>
                        </w:rPr>
                        <w:t>Management prioritised financial performance</w:t>
                      </w:r>
                    </w:p>
                  </w:txbxContent>
                </v:textbox>
              </v:shape>
            </w:pict>
          </mc:Fallback>
        </mc:AlternateContent>
      </w:r>
      <w:r w:rsidRPr="00E843D6">
        <w:rPr>
          <w:rFonts w:ascii="Arial" w:eastAsia="Times New Roman" w:hAnsi="Arial" w:cs="Arial"/>
          <w:noProof/>
          <w:kern w:val="0"/>
        </w:rPr>
        <mc:AlternateContent>
          <mc:Choice Requires="wps">
            <w:drawing>
              <wp:anchor distT="0" distB="0" distL="114300" distR="114300" simplePos="0" relativeHeight="251658247" behindDoc="0" locked="0" layoutInCell="1" allowOverlap="1" wp14:anchorId="67F9C9E6" wp14:editId="7109C5AD">
                <wp:simplePos x="0" y="0"/>
                <wp:positionH relativeFrom="column">
                  <wp:posOffset>1632029</wp:posOffset>
                </wp:positionH>
                <wp:positionV relativeFrom="paragraph">
                  <wp:posOffset>190496</wp:posOffset>
                </wp:positionV>
                <wp:extent cx="1980135" cy="1905000"/>
                <wp:effectExtent l="19050" t="0" r="39370" b="19050"/>
                <wp:wrapNone/>
                <wp:docPr id="341503641" name="Parallelogram 6"/>
                <wp:cNvGraphicFramePr/>
                <a:graphic xmlns:a="http://schemas.openxmlformats.org/drawingml/2006/main">
                  <a:graphicData uri="http://schemas.microsoft.com/office/word/2010/wordprocessingShape">
                    <wps:wsp>
                      <wps:cNvSpPr/>
                      <wps:spPr>
                        <a:xfrm>
                          <a:off x="0" y="0"/>
                          <a:ext cx="1980135" cy="1905000"/>
                        </a:xfrm>
                        <a:prstGeom prst="parallelogram">
                          <a:avLst/>
                        </a:prstGeom>
                        <a:solidFill>
                          <a:schemeClr val="accent5">
                            <a:lumMod val="60000"/>
                            <a:lumOff val="40000"/>
                          </a:schemeClr>
                        </a:solidFill>
                        <a:ln w="12700" cap="flat" cmpd="sng" algn="ctr">
                          <a:solidFill>
                            <a:srgbClr val="156082">
                              <a:shade val="15000"/>
                            </a:srgbClr>
                          </a:solidFill>
                          <a:prstDash val="solid"/>
                          <a:miter lim="800000"/>
                        </a:ln>
                        <a:effectLst/>
                      </wps:spPr>
                      <wps:txbx>
                        <w:txbxContent>
                          <w:p w14:paraId="588C70E8" w14:textId="6D803D85" w:rsidR="006D1343" w:rsidRPr="006D1343" w:rsidRDefault="00FD1FC4" w:rsidP="00FD1FC4">
                            <w:pPr>
                              <w:spacing w:after="100" w:afterAutospacing="1" w:line="360" w:lineRule="auto"/>
                              <w:rPr>
                                <w:rFonts w:ascii="Arial" w:eastAsia="Times New Roman" w:hAnsi="Arial" w:cs="Arial"/>
                                <w:b/>
                                <w:bCs/>
                                <w:color w:val="000000" w:themeColor="text1"/>
                                <w:kern w:val="0"/>
                                <w:sz w:val="16"/>
                                <w:szCs w:val="16"/>
                                <w14:ligatures w14:val="none"/>
                              </w:rPr>
                            </w:pPr>
                            <w:r w:rsidRPr="00E36BB6">
                              <w:rPr>
                                <w:rFonts w:ascii="Arial" w:eastAsia="Times New Roman" w:hAnsi="Arial" w:cs="Arial"/>
                                <w:b/>
                                <w:bCs/>
                                <w:color w:val="000000" w:themeColor="text1"/>
                                <w:kern w:val="0"/>
                                <w:sz w:val="20"/>
                                <w:szCs w:val="20"/>
                                <w14:ligatures w14:val="none"/>
                              </w:rPr>
                              <w:t>Environment (Culture/Organisation)</w:t>
                            </w:r>
                            <w:r w:rsidR="006D1343">
                              <w:rPr>
                                <w:rFonts w:ascii="Arial" w:eastAsia="Times New Roman" w:hAnsi="Arial" w:cs="Arial"/>
                                <w:b/>
                                <w:bCs/>
                                <w:color w:val="000000" w:themeColor="text1"/>
                                <w:kern w:val="0"/>
                                <w:sz w:val="20"/>
                                <w:szCs w:val="20"/>
                                <w14:ligatures w14:val="none"/>
                              </w:rPr>
                              <w:t xml:space="preserve"> </w:t>
                            </w:r>
                            <w:r w:rsidR="006D1343" w:rsidRPr="006D1343">
                              <w:rPr>
                                <w:rFonts w:ascii="Arial" w:eastAsia="Times New Roman" w:hAnsi="Arial" w:cs="Arial"/>
                                <w:b/>
                                <w:bCs/>
                                <w:color w:val="FFFFFF" w:themeColor="background1"/>
                                <w:kern w:val="0"/>
                                <w:sz w:val="16"/>
                                <w:szCs w:val="16"/>
                                <w14:ligatures w14:val="none"/>
                              </w:rPr>
                              <w:t>A culture of fear, intimidation, and secrecy that prevented staff from</w:t>
                            </w:r>
                            <w:r w:rsidR="006D1343" w:rsidRPr="006D1343">
                              <w:rPr>
                                <w:rFonts w:ascii="Arial" w:eastAsia="Times New Roman" w:hAnsi="Arial" w:cs="Arial"/>
                                <w:b/>
                                <w:bCs/>
                                <w:color w:val="FFFFFF" w:themeColor="background1"/>
                                <w:kern w:val="0"/>
                                <w:sz w:val="20"/>
                                <w:szCs w:val="20"/>
                                <w14:ligatures w14:val="none"/>
                              </w:rPr>
                              <w:t xml:space="preserve"> </w:t>
                            </w:r>
                            <w:r w:rsidR="006D1343" w:rsidRPr="0050004F">
                              <w:rPr>
                                <w:rFonts w:ascii="Arial" w:eastAsia="Times New Roman" w:hAnsi="Arial" w:cs="Arial"/>
                                <w:b/>
                                <w:bCs/>
                                <w:color w:val="FFFFFF" w:themeColor="background1"/>
                                <w:kern w:val="0"/>
                                <w:sz w:val="16"/>
                                <w:szCs w:val="16"/>
                                <w14:ligatures w14:val="none"/>
                              </w:rPr>
                              <w:t>raising concerns</w:t>
                            </w:r>
                          </w:p>
                          <w:p w14:paraId="7D09E711" w14:textId="77777777" w:rsidR="000513A5" w:rsidRPr="00E36BB6" w:rsidRDefault="000513A5" w:rsidP="00FD1FC4">
                            <w:pPr>
                              <w:spacing w:after="100" w:afterAutospacing="1" w:line="360" w:lineRule="auto"/>
                              <w:rPr>
                                <w:rFonts w:ascii="Arial" w:eastAsia="Times New Roman" w:hAnsi="Arial" w:cs="Arial"/>
                                <w:b/>
                                <w:bCs/>
                                <w:color w:val="000000" w:themeColor="text1"/>
                                <w:kern w:val="0"/>
                                <w:sz w:val="20"/>
                                <w:szCs w:val="20"/>
                                <w14:ligatures w14:val="none"/>
                              </w:rPr>
                            </w:pPr>
                          </w:p>
                          <w:p w14:paraId="23D2A9B8" w14:textId="77777777" w:rsidR="00FD1FC4" w:rsidRPr="00D05FF5" w:rsidRDefault="00FD1FC4" w:rsidP="00FD1FC4">
                            <w:pPr>
                              <w:jc w:val="center"/>
                              <w:rPr>
                                <w:color w:val="FFFFFF" w:themeColor="background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9C9E6" id="_x0000_s1030" type="#_x0000_t7" style="position:absolute;margin-left:128.5pt;margin-top:15pt;width:155.9pt;height:150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" adj="5195" fillcolor="#d86dcb [1944]" strokecolor="#042433" strokeweight="1pt">
                <v:textbox>
                  <w:txbxContent>
                    <w:p w14:paraId="588C70E8" w14:textId="6D803D85" w:rsidR="006D1343" w:rsidRPr="006D1343" w:rsidRDefault="00FD1FC4" w:rsidP="00FD1FC4">
                      <w:pPr>
                        <w:spacing w:after="100" w:afterAutospacing="1" w:line="360" w:lineRule="auto"/>
                        <w:rPr>
                          <w:rFonts w:ascii="Arial" w:eastAsia="Times New Roman" w:hAnsi="Arial" w:cs="Arial"/>
                          <w:b/>
                          <w:bCs/>
                          <w:color w:val="000000" w:themeColor="text1"/>
                          <w:kern w:val="0"/>
                          <w:sz w:val="16"/>
                          <w:szCs w:val="16"/>
                          <w14:ligatures w14:val="none"/>
                        </w:rPr>
                      </w:pPr>
                      <w:r w:rsidRPr="00E36BB6">
                        <w:rPr>
                          <w:rFonts w:ascii="Arial" w:eastAsia="Times New Roman" w:hAnsi="Arial" w:cs="Arial"/>
                          <w:b/>
                          <w:bCs/>
                          <w:color w:val="000000" w:themeColor="text1"/>
                          <w:kern w:val="0"/>
                          <w:sz w:val="20"/>
                          <w:szCs w:val="20"/>
                          <w14:ligatures w14:val="none"/>
                        </w:rPr>
                        <w:t>Environment (Culture/Organisation)</w:t>
                      </w:r>
                      <w:r w:rsidR="006D1343">
                        <w:rPr>
                          <w:rFonts w:ascii="Arial" w:eastAsia="Times New Roman" w:hAnsi="Arial" w:cs="Arial"/>
                          <w:b/>
                          <w:bCs/>
                          <w:color w:val="000000" w:themeColor="text1"/>
                          <w:kern w:val="0"/>
                          <w:sz w:val="20"/>
                          <w:szCs w:val="20"/>
                          <w14:ligatures w14:val="none"/>
                        </w:rPr>
                        <w:t xml:space="preserve"> </w:t>
                      </w:r>
                      <w:r w:rsidR="006D1343" w:rsidRPr="006D1343">
                        <w:rPr>
                          <w:rFonts w:ascii="Arial" w:eastAsia="Times New Roman" w:hAnsi="Arial" w:cs="Arial"/>
                          <w:b/>
                          <w:bCs/>
                          <w:color w:val="FFFFFF" w:themeColor="background1"/>
                          <w:kern w:val="0"/>
                          <w:sz w:val="16"/>
                          <w:szCs w:val="16"/>
                          <w14:ligatures w14:val="none"/>
                        </w:rPr>
                        <w:t>A culture of fear, intimidation, and secrecy that prevented staff from</w:t>
                      </w:r>
                      <w:r w:rsidR="006D1343" w:rsidRPr="006D1343">
                        <w:rPr>
                          <w:rFonts w:ascii="Arial" w:eastAsia="Times New Roman" w:hAnsi="Arial" w:cs="Arial"/>
                          <w:b/>
                          <w:bCs/>
                          <w:color w:val="FFFFFF" w:themeColor="background1"/>
                          <w:kern w:val="0"/>
                          <w:sz w:val="20"/>
                          <w:szCs w:val="20"/>
                          <w14:ligatures w14:val="none"/>
                        </w:rPr>
                        <w:t xml:space="preserve"> </w:t>
                      </w:r>
                      <w:r w:rsidR="006D1343" w:rsidRPr="0050004F">
                        <w:rPr>
                          <w:rFonts w:ascii="Arial" w:eastAsia="Times New Roman" w:hAnsi="Arial" w:cs="Arial"/>
                          <w:b/>
                          <w:bCs/>
                          <w:color w:val="FFFFFF" w:themeColor="background1"/>
                          <w:kern w:val="0"/>
                          <w:sz w:val="16"/>
                          <w:szCs w:val="16"/>
                          <w14:ligatures w14:val="none"/>
                        </w:rPr>
                        <w:t>raising concerns</w:t>
                      </w:r>
                    </w:p>
                    <w:p w14:paraId="7D09E711" w14:textId="77777777" w:rsidR="000513A5" w:rsidRPr="00E36BB6" w:rsidRDefault="000513A5" w:rsidP="00FD1FC4">
                      <w:pPr>
                        <w:spacing w:after="100" w:afterAutospacing="1" w:line="360" w:lineRule="auto"/>
                        <w:rPr>
                          <w:rFonts w:ascii="Arial" w:eastAsia="Times New Roman" w:hAnsi="Arial" w:cs="Arial"/>
                          <w:b/>
                          <w:bCs/>
                          <w:color w:val="000000" w:themeColor="text1"/>
                          <w:kern w:val="0"/>
                          <w:sz w:val="20"/>
                          <w:szCs w:val="20"/>
                          <w14:ligatures w14:val="none"/>
                        </w:rPr>
                      </w:pPr>
                    </w:p>
                    <w:p w14:paraId="23D2A9B8" w14:textId="77777777" w:rsidR="00FD1FC4" w:rsidRPr="00D05FF5" w:rsidRDefault="00FD1FC4" w:rsidP="00FD1FC4">
                      <w:pPr>
                        <w:jc w:val="center"/>
                        <w:rPr>
                          <w:color w:val="FFFFFF" w:themeColor="background1"/>
                          <w:sz w:val="22"/>
                          <w:szCs w:val="22"/>
                        </w:rPr>
                      </w:pPr>
                    </w:p>
                  </w:txbxContent>
                </v:textbox>
              </v:shape>
            </w:pict>
          </mc:Fallback>
        </mc:AlternateContent>
      </w:r>
      <w:r w:rsidR="00C3093D" w:rsidRPr="00E843D6">
        <w:rPr>
          <w:rFonts w:ascii="Arial" w:eastAsia="Times New Roman" w:hAnsi="Arial" w:cs="Arial"/>
          <w:noProof/>
          <w:kern w:val="0"/>
        </w:rPr>
        <mc:AlternateContent>
          <mc:Choice Requires="wps">
            <w:drawing>
              <wp:anchor distT="0" distB="0" distL="114300" distR="114300" simplePos="0" relativeHeight="251658245" behindDoc="0" locked="0" layoutInCell="1" allowOverlap="1" wp14:anchorId="5F5E8452" wp14:editId="35EA0883">
                <wp:simplePos x="0" y="0"/>
                <wp:positionH relativeFrom="margin">
                  <wp:posOffset>-109537</wp:posOffset>
                </wp:positionH>
                <wp:positionV relativeFrom="paragraph">
                  <wp:posOffset>197169</wp:posOffset>
                </wp:positionV>
                <wp:extent cx="2143125" cy="1909762"/>
                <wp:effectExtent l="19050" t="0" r="47625" b="14605"/>
                <wp:wrapNone/>
                <wp:docPr id="1597005465" name="Parallelogram 6"/>
                <wp:cNvGraphicFramePr/>
                <a:graphic xmlns:a="http://schemas.openxmlformats.org/drawingml/2006/main">
                  <a:graphicData uri="http://schemas.microsoft.com/office/word/2010/wordprocessingShape">
                    <wps:wsp>
                      <wps:cNvSpPr/>
                      <wps:spPr>
                        <a:xfrm>
                          <a:off x="0" y="0"/>
                          <a:ext cx="2143125" cy="1909762"/>
                        </a:xfrm>
                        <a:prstGeom prst="parallelogram">
                          <a:avLst/>
                        </a:prstGeom>
                        <a:solidFill>
                          <a:schemeClr val="accent4">
                            <a:lumMod val="60000"/>
                            <a:lumOff val="40000"/>
                          </a:schemeClr>
                        </a:solidFill>
                        <a:ln w="12700" cap="flat" cmpd="sng" algn="ctr">
                          <a:solidFill>
                            <a:srgbClr val="156082">
                              <a:shade val="15000"/>
                            </a:srgbClr>
                          </a:solidFill>
                          <a:prstDash val="solid"/>
                          <a:miter lim="800000"/>
                        </a:ln>
                        <a:effectLst/>
                      </wps:spPr>
                      <wps:txbx>
                        <w:txbxContent>
                          <w:p w14:paraId="63555047" w14:textId="6D0C93B4" w:rsidR="00873BB5" w:rsidRPr="00C3093D" w:rsidRDefault="00A056C4" w:rsidP="00176198">
                            <w:pPr>
                              <w:spacing w:after="100" w:afterAutospacing="1" w:line="360" w:lineRule="auto"/>
                              <w:rPr>
                                <w:rFonts w:ascii="Arial" w:eastAsia="Times New Roman" w:hAnsi="Arial" w:cs="Arial"/>
                                <w:b/>
                                <w:bCs/>
                                <w:color w:val="000000" w:themeColor="text1"/>
                                <w:kern w:val="0"/>
                                <w:sz w:val="20"/>
                                <w:szCs w:val="20"/>
                                <w14:ligatures w14:val="none"/>
                              </w:rPr>
                            </w:pPr>
                            <w:r w:rsidRPr="00E36BB6">
                              <w:rPr>
                                <w:rFonts w:ascii="Arial" w:eastAsia="Times New Roman" w:hAnsi="Arial" w:cs="Arial"/>
                                <w:b/>
                                <w:bCs/>
                                <w:color w:val="000000" w:themeColor="text1"/>
                                <w:kern w:val="0"/>
                                <w:sz w:val="20"/>
                                <w:szCs w:val="20"/>
                                <w14:ligatures w14:val="none"/>
                              </w:rPr>
                              <w:t>Measurement (Data/Information)</w:t>
                            </w:r>
                            <w:r w:rsidR="00873BB5">
                              <w:rPr>
                                <w:rFonts w:ascii="Arial" w:eastAsia="Times New Roman" w:hAnsi="Arial" w:cs="Arial"/>
                                <w:b/>
                                <w:bCs/>
                                <w:color w:val="000000" w:themeColor="text1"/>
                                <w:kern w:val="0"/>
                                <w:sz w:val="20"/>
                                <w:szCs w:val="20"/>
                                <w14:ligatures w14:val="none"/>
                              </w:rPr>
                              <w:t xml:space="preserve"> </w:t>
                            </w:r>
                            <w:r w:rsidR="00873BB5" w:rsidRPr="00C3093D">
                              <w:rPr>
                                <w:rFonts w:ascii="Arial" w:eastAsia="Times New Roman" w:hAnsi="Arial" w:cs="Arial"/>
                                <w:b/>
                                <w:bCs/>
                                <w:color w:val="FFFFFF" w:themeColor="background1"/>
                                <w:kern w:val="0"/>
                                <w:sz w:val="16"/>
                                <w:szCs w:val="16"/>
                                <w14:ligatures w14:val="none"/>
                              </w:rPr>
                              <w:t>Crucial mortality data</w:t>
                            </w:r>
                            <w:r w:rsidR="00356977" w:rsidRPr="00C3093D">
                              <w:rPr>
                                <w:rFonts w:ascii="Arial" w:eastAsia="Times New Roman" w:hAnsi="Arial" w:cs="Arial"/>
                                <w:b/>
                                <w:bCs/>
                                <w:color w:val="FFFFFF" w:themeColor="background1"/>
                                <w:kern w:val="0"/>
                                <w:sz w:val="16"/>
                                <w:szCs w:val="16"/>
                                <w14:ligatures w14:val="none"/>
                              </w:rPr>
                              <w:t xml:space="preserve"> were available but either misinterpreted</w:t>
                            </w:r>
                            <w:r w:rsidR="00960902" w:rsidRPr="00C3093D">
                              <w:rPr>
                                <w:rFonts w:ascii="Arial" w:eastAsia="Times New Roman" w:hAnsi="Arial" w:cs="Arial"/>
                                <w:b/>
                                <w:bCs/>
                                <w:color w:val="FFFFFF" w:themeColor="background1"/>
                                <w:kern w:val="0"/>
                                <w:sz w:val="16"/>
                                <w:szCs w:val="16"/>
                                <w14:ligatures w14:val="none"/>
                              </w:rPr>
                              <w:t xml:space="preserve"> by management </w:t>
                            </w:r>
                          </w:p>
                          <w:p w14:paraId="06EF80E2" w14:textId="77777777" w:rsidR="00A056C4" w:rsidRDefault="00A056C4" w:rsidP="00A056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E8452" id="_x0000_s1031" type="#_x0000_t7" style="position:absolute;margin-left:-8.6pt;margin-top:15.55pt;width:168.75pt;height:150.3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" adj="4812" fillcolor="#60caf3 [1943]" strokecolor="#042433" strokeweight="1pt">
                <v:textbox>
                  <w:txbxContent>
                    <w:p w14:paraId="63555047" w14:textId="6D0C93B4" w:rsidR="00873BB5" w:rsidRPr="00C3093D" w:rsidRDefault="00A056C4" w:rsidP="00176198">
                      <w:pPr>
                        <w:spacing w:after="100" w:afterAutospacing="1" w:line="360" w:lineRule="auto"/>
                        <w:rPr>
                          <w:rFonts w:ascii="Arial" w:eastAsia="Times New Roman" w:hAnsi="Arial" w:cs="Arial"/>
                          <w:b/>
                          <w:bCs/>
                          <w:color w:val="000000" w:themeColor="text1"/>
                          <w:kern w:val="0"/>
                          <w:sz w:val="20"/>
                          <w:szCs w:val="20"/>
                          <w14:ligatures w14:val="none"/>
                        </w:rPr>
                      </w:pPr>
                      <w:r w:rsidRPr="00E36BB6">
                        <w:rPr>
                          <w:rFonts w:ascii="Arial" w:eastAsia="Times New Roman" w:hAnsi="Arial" w:cs="Arial"/>
                          <w:b/>
                          <w:bCs/>
                          <w:color w:val="000000" w:themeColor="text1"/>
                          <w:kern w:val="0"/>
                          <w:sz w:val="20"/>
                          <w:szCs w:val="20"/>
                          <w14:ligatures w14:val="none"/>
                        </w:rPr>
                        <w:t>Measurement (Data/Information)</w:t>
                      </w:r>
                      <w:r w:rsidR="00873BB5">
                        <w:rPr>
                          <w:rFonts w:ascii="Arial" w:eastAsia="Times New Roman" w:hAnsi="Arial" w:cs="Arial"/>
                          <w:b/>
                          <w:bCs/>
                          <w:color w:val="000000" w:themeColor="text1"/>
                          <w:kern w:val="0"/>
                          <w:sz w:val="20"/>
                          <w:szCs w:val="20"/>
                          <w14:ligatures w14:val="none"/>
                        </w:rPr>
                        <w:t xml:space="preserve"> </w:t>
                      </w:r>
                      <w:r w:rsidR="00873BB5" w:rsidRPr="00C3093D">
                        <w:rPr>
                          <w:rFonts w:ascii="Arial" w:eastAsia="Times New Roman" w:hAnsi="Arial" w:cs="Arial"/>
                          <w:b/>
                          <w:bCs/>
                          <w:color w:val="FFFFFF" w:themeColor="background1"/>
                          <w:kern w:val="0"/>
                          <w:sz w:val="16"/>
                          <w:szCs w:val="16"/>
                          <w14:ligatures w14:val="none"/>
                        </w:rPr>
                        <w:t>Crucial mortality data</w:t>
                      </w:r>
                      <w:r w:rsidR="00356977" w:rsidRPr="00C3093D">
                        <w:rPr>
                          <w:rFonts w:ascii="Arial" w:eastAsia="Times New Roman" w:hAnsi="Arial" w:cs="Arial"/>
                          <w:b/>
                          <w:bCs/>
                          <w:color w:val="FFFFFF" w:themeColor="background1"/>
                          <w:kern w:val="0"/>
                          <w:sz w:val="16"/>
                          <w:szCs w:val="16"/>
                          <w14:ligatures w14:val="none"/>
                        </w:rPr>
                        <w:t xml:space="preserve"> were available but either misinterpreted</w:t>
                      </w:r>
                      <w:r w:rsidR="00960902" w:rsidRPr="00C3093D">
                        <w:rPr>
                          <w:rFonts w:ascii="Arial" w:eastAsia="Times New Roman" w:hAnsi="Arial" w:cs="Arial"/>
                          <w:b/>
                          <w:bCs/>
                          <w:color w:val="FFFFFF" w:themeColor="background1"/>
                          <w:kern w:val="0"/>
                          <w:sz w:val="16"/>
                          <w:szCs w:val="16"/>
                          <w14:ligatures w14:val="none"/>
                        </w:rPr>
                        <w:t xml:space="preserve"> by management </w:t>
                      </w:r>
                    </w:p>
                    <w:p w14:paraId="06EF80E2" w14:textId="77777777" w:rsidR="00A056C4" w:rsidRDefault="00A056C4" w:rsidP="00A056C4">
                      <w:pPr>
                        <w:jc w:val="center"/>
                      </w:pPr>
                    </w:p>
                  </w:txbxContent>
                </v:textbox>
                <w10:wrap anchorx="margin"/>
              </v:shape>
            </w:pict>
          </mc:Fallback>
        </mc:AlternateContent>
      </w:r>
    </w:p>
    <w:p w14:paraId="52BC5DC8" w14:textId="5355C99E" w:rsidR="00AF6236" w:rsidRPr="00E843D6" w:rsidRDefault="00AF6236" w:rsidP="00E843D6">
      <w:pPr>
        <w:spacing w:after="100" w:afterAutospacing="1" w:line="360" w:lineRule="auto"/>
        <w:rPr>
          <w:rFonts w:ascii="Arial" w:eastAsia="Times New Roman" w:hAnsi="Arial" w:cs="Arial"/>
          <w:kern w:val="0"/>
          <w14:ligatures w14:val="none"/>
        </w:rPr>
      </w:pPr>
    </w:p>
    <w:p w14:paraId="3FCC98C6" w14:textId="6A99F78B" w:rsidR="00AF6236" w:rsidRPr="00E843D6" w:rsidRDefault="00F3754A" w:rsidP="00E843D6">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ab/>
      </w:r>
    </w:p>
    <w:p w14:paraId="24C6E8B3" w14:textId="7E0D8781" w:rsidR="00A115A1" w:rsidRPr="00E843D6" w:rsidRDefault="00A115A1" w:rsidP="00E843D6">
      <w:pPr>
        <w:spacing w:after="100" w:afterAutospacing="1" w:line="360" w:lineRule="auto"/>
        <w:rPr>
          <w:rFonts w:ascii="Arial" w:eastAsia="Times New Roman" w:hAnsi="Arial" w:cs="Arial"/>
          <w:kern w:val="0"/>
          <w14:ligatures w14:val="none"/>
        </w:rPr>
      </w:pPr>
    </w:p>
    <w:p w14:paraId="44F3BF75" w14:textId="77777777" w:rsidR="00A115A1" w:rsidRPr="00E843D6" w:rsidRDefault="00A115A1" w:rsidP="00E843D6">
      <w:pPr>
        <w:spacing w:after="100" w:afterAutospacing="1" w:line="360" w:lineRule="auto"/>
        <w:rPr>
          <w:rFonts w:ascii="Arial" w:eastAsia="Times New Roman" w:hAnsi="Arial" w:cs="Arial"/>
          <w:kern w:val="0"/>
          <w14:ligatures w14:val="none"/>
        </w:rPr>
      </w:pPr>
    </w:p>
    <w:p w14:paraId="67F64E8A" w14:textId="77777777" w:rsidR="00C331C6" w:rsidRDefault="00C331C6" w:rsidP="00E843D6">
      <w:pPr>
        <w:spacing w:after="100" w:afterAutospacing="1" w:line="360" w:lineRule="auto"/>
        <w:rPr>
          <w:rFonts w:ascii="Arial" w:eastAsia="Times New Roman" w:hAnsi="Arial" w:cs="Arial"/>
          <w:kern w:val="0"/>
          <w14:ligatures w14:val="none"/>
        </w:rPr>
      </w:pPr>
    </w:p>
    <w:p w14:paraId="750B5430" w14:textId="77777777" w:rsidR="00A82693" w:rsidRPr="00E843D6" w:rsidRDefault="00A82693" w:rsidP="00E843D6">
      <w:pPr>
        <w:spacing w:after="100" w:afterAutospacing="1" w:line="360" w:lineRule="auto"/>
        <w:rPr>
          <w:rFonts w:ascii="Arial" w:eastAsia="Times New Roman" w:hAnsi="Arial" w:cs="Arial"/>
          <w:kern w:val="0"/>
          <w14:ligatures w14:val="none"/>
        </w:rPr>
      </w:pPr>
    </w:p>
    <w:p w14:paraId="05ED3CA8" w14:textId="77777777" w:rsidR="00E55EF4" w:rsidRPr="00E843D6" w:rsidRDefault="00E55EF4" w:rsidP="001528C8">
      <w:pPr>
        <w:pStyle w:val="Heading3"/>
        <w:jc w:val="both"/>
      </w:pPr>
      <w:bookmarkStart w:id="4" w:name="_Toc215125279"/>
      <w:r w:rsidRPr="00E843D6">
        <w:lastRenderedPageBreak/>
        <w:t>Manpower (People):</w:t>
      </w:r>
      <w:bookmarkEnd w:id="4"/>
    </w:p>
    <w:p w14:paraId="793CA3D0"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Root Cause:</w:t>
      </w:r>
      <w:r w:rsidRPr="00E843D6">
        <w:rPr>
          <w:rFonts w:ascii="Arial" w:eastAsia="Times New Roman" w:hAnsi="Arial" w:cs="Arial"/>
          <w:kern w:val="0"/>
          <w14:ligatures w14:val="none"/>
        </w:rPr>
        <w:t xml:space="preserve"> Severe </w:t>
      </w:r>
      <w:r w:rsidRPr="00227E35">
        <w:rPr>
          <w:rFonts w:ascii="Arial" w:eastAsia="Times New Roman" w:hAnsi="Arial" w:cs="Arial"/>
          <w:kern w:val="0"/>
          <w14:ligatures w14:val="none"/>
        </w:rPr>
        <w:t>staff shortages, particularly among nurses (Francis, 2013). Staff burnout and demoralisation</w:t>
      </w:r>
      <w:r w:rsidRPr="00E843D6">
        <w:rPr>
          <w:rFonts w:ascii="Arial" w:eastAsia="Times New Roman" w:hAnsi="Arial" w:cs="Arial"/>
          <w:kern w:val="0"/>
          <w14:ligatures w14:val="none"/>
        </w:rPr>
        <w:t xml:space="preserve"> led to a lack of compassion and reduced vigilance (Keogh, 2013).</w:t>
      </w:r>
    </w:p>
    <w:p w14:paraId="266557E7" w14:textId="596808F1"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The crisis highlights a failure in </w:t>
      </w:r>
      <w:r w:rsidRPr="00227E35">
        <w:rPr>
          <w:rFonts w:ascii="Arial" w:eastAsia="Times New Roman" w:hAnsi="Arial" w:cs="Arial"/>
          <w:kern w:val="0"/>
          <w14:ligatures w14:val="none"/>
        </w:rPr>
        <w:t>Human Resource Management (HRM</w:t>
      </w:r>
      <w:r w:rsidRPr="00E843D6">
        <w:rPr>
          <w:rFonts w:ascii="Arial" w:eastAsia="Times New Roman" w:hAnsi="Arial" w:cs="Arial"/>
          <w:b/>
          <w:bCs/>
          <w:kern w:val="0"/>
          <w14:ligatures w14:val="none"/>
        </w:rPr>
        <w:t>)</w:t>
      </w:r>
      <w:r w:rsidRPr="00E843D6">
        <w:rPr>
          <w:rFonts w:ascii="Arial" w:eastAsia="Times New Roman" w:hAnsi="Arial" w:cs="Arial"/>
          <w:kern w:val="0"/>
          <w14:ligatures w14:val="none"/>
        </w:rPr>
        <w:t xml:space="preserve"> theory, specifically the direct link between understaffing and detrimental patient outcomes (West et al., 2015).</w:t>
      </w:r>
    </w:p>
    <w:p w14:paraId="18E9FDC8" w14:textId="77777777" w:rsidR="00E55EF4" w:rsidRPr="00E843D6" w:rsidRDefault="00E55EF4" w:rsidP="001528C8">
      <w:pPr>
        <w:pStyle w:val="Heading3"/>
        <w:jc w:val="both"/>
      </w:pPr>
      <w:bookmarkStart w:id="5" w:name="_Toc215125280"/>
      <w:r w:rsidRPr="00E843D6">
        <w:t>Methods (Processes):</w:t>
      </w:r>
      <w:bookmarkEnd w:id="5"/>
    </w:p>
    <w:p w14:paraId="63B9925C"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Root Cause:</w:t>
      </w:r>
      <w:r w:rsidRPr="00E843D6">
        <w:rPr>
          <w:rFonts w:ascii="Arial" w:eastAsia="Times New Roman" w:hAnsi="Arial" w:cs="Arial"/>
          <w:kern w:val="0"/>
          <w14:ligatures w14:val="none"/>
        </w:rPr>
        <w:t xml:space="preserve"> Poor </w:t>
      </w:r>
      <w:r w:rsidRPr="00227E35">
        <w:rPr>
          <w:rFonts w:ascii="Arial" w:eastAsia="Times New Roman" w:hAnsi="Arial" w:cs="Arial"/>
          <w:kern w:val="0"/>
          <w14:ligatures w14:val="none"/>
        </w:rPr>
        <w:t>clinical governance and risk management</w:t>
      </w:r>
      <w:r w:rsidRPr="00E843D6">
        <w:rPr>
          <w:rFonts w:ascii="Arial" w:eastAsia="Times New Roman" w:hAnsi="Arial" w:cs="Arial"/>
          <w:kern w:val="0"/>
          <w14:ligatures w14:val="none"/>
        </w:rPr>
        <w:t xml:space="preserve"> (Francis, 2013). Inadequate patient observation protocols and basic care routines (e.g., hydration, hygiene) were not followed (Francis, 2010).</w:t>
      </w:r>
    </w:p>
    <w:p w14:paraId="6130AFCF"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A failure in </w:t>
      </w:r>
      <w:r w:rsidRPr="00227E35">
        <w:rPr>
          <w:rFonts w:ascii="Arial" w:eastAsia="Times New Roman" w:hAnsi="Arial" w:cs="Arial"/>
          <w:kern w:val="0"/>
          <w14:ligatures w14:val="none"/>
        </w:rPr>
        <w:t>Total Quality Management (TQM)</w:t>
      </w:r>
      <w:r w:rsidRPr="00E843D6">
        <w:rPr>
          <w:rFonts w:ascii="Arial" w:eastAsia="Times New Roman" w:hAnsi="Arial" w:cs="Arial"/>
          <w:kern w:val="0"/>
          <w14:ligatures w14:val="none"/>
        </w:rPr>
        <w:t xml:space="preserve"> principles, where processes were neither standardised nor consistently adhered to, indicating a lack of process reliability (Grol &amp; Wensing, 2006).</w:t>
      </w:r>
    </w:p>
    <w:p w14:paraId="4D6E6DEE" w14:textId="77777777" w:rsidR="00227E35" w:rsidRDefault="00E55EF4" w:rsidP="001528C8">
      <w:pPr>
        <w:pStyle w:val="Heading3"/>
        <w:jc w:val="both"/>
      </w:pPr>
      <w:bookmarkStart w:id="6" w:name="_Toc215125281"/>
      <w:r w:rsidRPr="00E843D6">
        <w:t>Machines/Materials (Equipment/Resources):</w:t>
      </w:r>
      <w:bookmarkEnd w:id="6"/>
    </w:p>
    <w:p w14:paraId="4E4E1DC3" w14:textId="41149394"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Root Cause:</w:t>
      </w:r>
      <w:r w:rsidRPr="00E843D6">
        <w:rPr>
          <w:rFonts w:ascii="Arial" w:eastAsia="Times New Roman" w:hAnsi="Arial" w:cs="Arial"/>
          <w:kern w:val="0"/>
          <w14:ligatures w14:val="none"/>
        </w:rPr>
        <w:t xml:space="preserve"> While not the primary cause, </w:t>
      </w:r>
      <w:bookmarkStart w:id="7" w:name="_Hlk215093238"/>
      <w:r w:rsidRPr="00E843D6">
        <w:rPr>
          <w:rFonts w:ascii="Arial" w:eastAsia="Times New Roman" w:hAnsi="Arial" w:cs="Arial"/>
          <w:kern w:val="0"/>
          <w14:ligatures w14:val="none"/>
        </w:rPr>
        <w:t xml:space="preserve">the focus on cost-cutting </w:t>
      </w:r>
      <w:bookmarkEnd w:id="7"/>
      <w:r w:rsidRPr="00E843D6">
        <w:rPr>
          <w:rFonts w:ascii="Arial" w:eastAsia="Times New Roman" w:hAnsi="Arial" w:cs="Arial"/>
          <w:kern w:val="0"/>
          <w14:ligatures w14:val="none"/>
        </w:rPr>
        <w:t xml:space="preserve">likely led to insufficient investment in essential equipment and supplies (Francis, 2013). </w:t>
      </w:r>
      <w:proofErr w:type="gramStart"/>
      <w:r w:rsidRPr="00E843D6">
        <w:rPr>
          <w:rFonts w:ascii="Arial" w:eastAsia="Times New Roman" w:hAnsi="Arial" w:cs="Arial"/>
          <w:kern w:val="0"/>
          <w14:ligatures w14:val="none"/>
        </w:rPr>
        <w:t>Basic necessities</w:t>
      </w:r>
      <w:proofErr w:type="gramEnd"/>
      <w:r w:rsidRPr="00E843D6">
        <w:rPr>
          <w:rFonts w:ascii="Arial" w:eastAsia="Times New Roman" w:hAnsi="Arial" w:cs="Arial"/>
          <w:kern w:val="0"/>
          <w14:ligatures w14:val="none"/>
        </w:rPr>
        <w:t xml:space="preserve"> like clean linen or working call bells were sometimes missing.</w:t>
      </w:r>
    </w:p>
    <w:p w14:paraId="25D89CCE"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A breakdown in the operational management theory </w:t>
      </w:r>
      <w:r w:rsidRPr="00CF4D2F">
        <w:rPr>
          <w:rFonts w:ascii="Arial" w:eastAsia="Times New Roman" w:hAnsi="Arial" w:cs="Arial"/>
          <w:kern w:val="0"/>
          <w14:ligatures w14:val="none"/>
        </w:rPr>
        <w:t>of resource allocation</w:t>
      </w:r>
      <w:r w:rsidRPr="00E843D6">
        <w:rPr>
          <w:rFonts w:ascii="Arial" w:eastAsia="Times New Roman" w:hAnsi="Arial" w:cs="Arial"/>
          <w:kern w:val="0"/>
          <w14:ligatures w14:val="none"/>
        </w:rPr>
        <w:t xml:space="preserve"> where financial goals were prioritised over clinical infrastructure needs (Learmonth &amp; Harding, 2017).</w:t>
      </w:r>
    </w:p>
    <w:p w14:paraId="020451F2" w14:textId="77777777" w:rsidR="00E55EF4" w:rsidRPr="00E843D6" w:rsidRDefault="00E55EF4" w:rsidP="001528C8">
      <w:pPr>
        <w:pStyle w:val="Heading3"/>
        <w:jc w:val="both"/>
      </w:pPr>
      <w:bookmarkStart w:id="8" w:name="_Hlk215092228"/>
      <w:bookmarkStart w:id="9" w:name="_Toc215125282"/>
      <w:r w:rsidRPr="00E843D6">
        <w:t>Measurement (Data/Information):</w:t>
      </w:r>
      <w:bookmarkEnd w:id="9"/>
    </w:p>
    <w:bookmarkEnd w:id="8"/>
    <w:p w14:paraId="7AC872D9"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Root Cause:</w:t>
      </w:r>
      <w:r w:rsidRPr="00E843D6">
        <w:rPr>
          <w:rFonts w:ascii="Arial" w:eastAsia="Times New Roman" w:hAnsi="Arial" w:cs="Arial"/>
          <w:kern w:val="0"/>
          <w14:ligatures w14:val="none"/>
        </w:rPr>
        <w:t xml:space="preserve"> </w:t>
      </w:r>
      <w:bookmarkStart w:id="10" w:name="_Hlk215093570"/>
      <w:r w:rsidRPr="00E843D6">
        <w:rPr>
          <w:rFonts w:ascii="Arial" w:eastAsia="Times New Roman" w:hAnsi="Arial" w:cs="Arial"/>
          <w:kern w:val="0"/>
          <w14:ligatures w14:val="none"/>
        </w:rPr>
        <w:t xml:space="preserve">Crucial mortality data </w:t>
      </w:r>
      <w:bookmarkEnd w:id="10"/>
      <w:r w:rsidRPr="00E843D6">
        <w:rPr>
          <w:rFonts w:ascii="Arial" w:eastAsia="Times New Roman" w:hAnsi="Arial" w:cs="Arial"/>
          <w:kern w:val="0"/>
          <w14:ligatures w14:val="none"/>
        </w:rPr>
        <w:t xml:space="preserve">(e.g., HSMR figures) </w:t>
      </w:r>
      <w:bookmarkStart w:id="11" w:name="_Hlk215093913"/>
      <w:r w:rsidRPr="00E843D6">
        <w:rPr>
          <w:rFonts w:ascii="Arial" w:eastAsia="Times New Roman" w:hAnsi="Arial" w:cs="Arial"/>
          <w:kern w:val="0"/>
          <w14:ligatures w14:val="none"/>
        </w:rPr>
        <w:t xml:space="preserve">were available but either </w:t>
      </w:r>
      <w:bookmarkStart w:id="12" w:name="_Hlk215093670"/>
      <w:r w:rsidRPr="003111DF">
        <w:rPr>
          <w:rFonts w:ascii="Arial" w:eastAsia="Times New Roman" w:hAnsi="Arial" w:cs="Arial"/>
          <w:kern w:val="0"/>
          <w14:ligatures w14:val="none"/>
        </w:rPr>
        <w:t>misinterpreted</w:t>
      </w:r>
      <w:bookmarkEnd w:id="11"/>
      <w:r w:rsidRPr="003111DF">
        <w:rPr>
          <w:rFonts w:ascii="Arial" w:eastAsia="Times New Roman" w:hAnsi="Arial" w:cs="Arial"/>
          <w:kern w:val="0"/>
          <w14:ligatures w14:val="none"/>
        </w:rPr>
        <w:t>, ignored, or suppressed</w:t>
      </w:r>
      <w:r w:rsidRPr="00E843D6">
        <w:rPr>
          <w:rFonts w:ascii="Arial" w:eastAsia="Times New Roman" w:hAnsi="Arial" w:cs="Arial"/>
          <w:kern w:val="0"/>
          <w14:ligatures w14:val="none"/>
        </w:rPr>
        <w:t xml:space="preserve"> by management and external bodies </w:t>
      </w:r>
      <w:bookmarkEnd w:id="12"/>
      <w:r w:rsidRPr="00E843D6">
        <w:rPr>
          <w:rFonts w:ascii="Arial" w:eastAsia="Times New Roman" w:hAnsi="Arial" w:cs="Arial"/>
          <w:kern w:val="0"/>
          <w14:ligatures w14:val="none"/>
        </w:rPr>
        <w:t>like the strategic health authority (Francis, 2013).</w:t>
      </w:r>
    </w:p>
    <w:p w14:paraId="76EAE90A"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A failure in </w:t>
      </w:r>
      <w:r w:rsidRPr="003111DF">
        <w:rPr>
          <w:rFonts w:ascii="Arial" w:eastAsia="Times New Roman" w:hAnsi="Arial" w:cs="Arial"/>
          <w:kern w:val="0"/>
          <w14:ligatures w14:val="none"/>
        </w:rPr>
        <w:t>Organisational Learning Theory</w:t>
      </w:r>
      <w:r w:rsidRPr="00E843D6">
        <w:rPr>
          <w:rFonts w:ascii="Arial" w:eastAsia="Times New Roman" w:hAnsi="Arial" w:cs="Arial"/>
          <w:kern w:val="0"/>
          <w14:ligatures w14:val="none"/>
        </w:rPr>
        <w:t>, where critical feedback loops from data were broken, preventing the organisation from identifying and correcting its flaws (Argyris &amp; Schön, 1978).</w:t>
      </w:r>
    </w:p>
    <w:p w14:paraId="2CFB1F4B" w14:textId="77777777" w:rsidR="00E55EF4" w:rsidRPr="00E843D6" w:rsidRDefault="00E55EF4" w:rsidP="001528C8">
      <w:pPr>
        <w:pStyle w:val="Heading3"/>
        <w:jc w:val="both"/>
      </w:pPr>
      <w:bookmarkStart w:id="13" w:name="_Toc215125283"/>
      <w:r w:rsidRPr="00E843D6">
        <w:lastRenderedPageBreak/>
        <w:t>Environment (Culture/Organisation):</w:t>
      </w:r>
      <w:bookmarkEnd w:id="13"/>
    </w:p>
    <w:p w14:paraId="38EC410F"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Root Cause:</w:t>
      </w:r>
      <w:r w:rsidRPr="00E843D6">
        <w:rPr>
          <w:rFonts w:ascii="Arial" w:eastAsia="Times New Roman" w:hAnsi="Arial" w:cs="Arial"/>
          <w:kern w:val="0"/>
          <w14:ligatures w14:val="none"/>
        </w:rPr>
        <w:t xml:space="preserve"> </w:t>
      </w:r>
      <w:bookmarkStart w:id="14" w:name="_Hlk215094143"/>
      <w:r w:rsidRPr="003111DF">
        <w:rPr>
          <w:rFonts w:ascii="Arial" w:eastAsia="Times New Roman" w:hAnsi="Arial" w:cs="Arial"/>
          <w:kern w:val="0"/>
          <w14:ligatures w14:val="none"/>
        </w:rPr>
        <w:t>A culture of fear, intimidation, and secrecy</w:t>
      </w:r>
      <w:r w:rsidRPr="00E843D6">
        <w:rPr>
          <w:rFonts w:ascii="Arial" w:eastAsia="Times New Roman" w:hAnsi="Arial" w:cs="Arial"/>
          <w:kern w:val="0"/>
          <w14:ligatures w14:val="none"/>
        </w:rPr>
        <w:t xml:space="preserve"> that prevented staff from raising concerns</w:t>
      </w:r>
      <w:bookmarkEnd w:id="14"/>
      <w:r w:rsidRPr="00E843D6">
        <w:rPr>
          <w:rFonts w:ascii="Arial" w:eastAsia="Times New Roman" w:hAnsi="Arial" w:cs="Arial"/>
          <w:kern w:val="0"/>
          <w14:ligatures w14:val="none"/>
        </w:rPr>
        <w:t xml:space="preserve"> (whistleblowing) (Francis, 2013). </w:t>
      </w:r>
      <w:r w:rsidRPr="003111DF">
        <w:rPr>
          <w:rFonts w:ascii="Arial" w:eastAsia="Times New Roman" w:hAnsi="Arial" w:cs="Arial"/>
          <w:kern w:val="0"/>
          <w14:ligatures w14:val="none"/>
        </w:rPr>
        <w:t>Board-level denial</w:t>
      </w:r>
      <w:r w:rsidRPr="00E843D6">
        <w:rPr>
          <w:rFonts w:ascii="Arial" w:eastAsia="Times New Roman" w:hAnsi="Arial" w:cs="Arial"/>
          <w:kern w:val="0"/>
          <w14:ligatures w14:val="none"/>
        </w:rPr>
        <w:t xml:space="preserve"> and a focus on achieving Foundation Trust status were overriding factors (Learmonth &amp; Harding, 2017).</w:t>
      </w:r>
    </w:p>
    <w:p w14:paraId="5A88BADC"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A direct contradiction of </w:t>
      </w:r>
      <w:r w:rsidRPr="003111DF">
        <w:rPr>
          <w:rFonts w:ascii="Arial" w:eastAsia="Times New Roman" w:hAnsi="Arial" w:cs="Arial"/>
          <w:kern w:val="0"/>
          <w14:ligatures w14:val="none"/>
        </w:rPr>
        <w:t>Patient Safety Culture Theory</w:t>
      </w:r>
      <w:r w:rsidRPr="00E843D6">
        <w:rPr>
          <w:rFonts w:ascii="Arial" w:eastAsia="Times New Roman" w:hAnsi="Arial" w:cs="Arial"/>
          <w:kern w:val="0"/>
          <w14:ligatures w14:val="none"/>
        </w:rPr>
        <w:t>, which mandates a non-punitive environment for reporting errors (Sexton et al., 2000). The dominance of financial accountability over clinical accountability is a key finding (Francis, 2013).</w:t>
      </w:r>
    </w:p>
    <w:p w14:paraId="4A755EAA" w14:textId="77777777" w:rsidR="00E55EF4" w:rsidRPr="00E843D6" w:rsidRDefault="00E55EF4" w:rsidP="001528C8">
      <w:pPr>
        <w:pStyle w:val="Heading3"/>
        <w:jc w:val="both"/>
      </w:pPr>
      <w:bookmarkStart w:id="15" w:name="_Hlk215092470"/>
      <w:bookmarkStart w:id="16" w:name="_Toc215125284"/>
      <w:r w:rsidRPr="00E843D6">
        <w:t>Management</w:t>
      </w:r>
      <w:bookmarkEnd w:id="15"/>
      <w:r w:rsidRPr="00E843D6">
        <w:t>:</w:t>
      </w:r>
      <w:bookmarkEnd w:id="16"/>
    </w:p>
    <w:p w14:paraId="13BD8A4F" w14:textId="77777777" w:rsidR="00E55EF4" w:rsidRPr="00E843D6" w:rsidRDefault="00E55EF4"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Root Cause:</w:t>
      </w:r>
      <w:r w:rsidRPr="00E843D6">
        <w:rPr>
          <w:rFonts w:ascii="Arial" w:eastAsia="Times New Roman" w:hAnsi="Arial" w:cs="Arial"/>
          <w:kern w:val="0"/>
          <w14:ligatures w14:val="none"/>
        </w:rPr>
        <w:t xml:space="preserve"> </w:t>
      </w:r>
      <w:bookmarkStart w:id="17" w:name="_Hlk215094395"/>
      <w:r w:rsidRPr="00E843D6">
        <w:rPr>
          <w:rFonts w:ascii="Arial" w:eastAsia="Times New Roman" w:hAnsi="Arial" w:cs="Arial"/>
          <w:kern w:val="0"/>
          <w14:ligatures w14:val="none"/>
        </w:rPr>
        <w:t xml:space="preserve">Management prioritised </w:t>
      </w:r>
      <w:r w:rsidRPr="003111DF">
        <w:rPr>
          <w:rFonts w:ascii="Arial" w:eastAsia="Times New Roman" w:hAnsi="Arial" w:cs="Arial"/>
          <w:kern w:val="0"/>
          <w14:ligatures w14:val="none"/>
        </w:rPr>
        <w:t xml:space="preserve">financial performance </w:t>
      </w:r>
      <w:bookmarkEnd w:id="17"/>
      <w:r w:rsidRPr="003111DF">
        <w:rPr>
          <w:rFonts w:ascii="Arial" w:eastAsia="Times New Roman" w:hAnsi="Arial" w:cs="Arial"/>
          <w:kern w:val="0"/>
          <w14:ligatures w14:val="none"/>
        </w:rPr>
        <w:t>and regulatory status</w:t>
      </w:r>
      <w:r w:rsidRPr="00E843D6">
        <w:rPr>
          <w:rFonts w:ascii="Arial" w:eastAsia="Times New Roman" w:hAnsi="Arial" w:cs="Arial"/>
          <w:kern w:val="0"/>
          <w14:ligatures w14:val="none"/>
        </w:rPr>
        <w:t xml:space="preserve"> over quality of care (Francis, 2013).</w:t>
      </w:r>
    </w:p>
    <w:p w14:paraId="609DB892" w14:textId="6792FC7B" w:rsidR="00C331C6" w:rsidRPr="00E843D6" w:rsidRDefault="00AE2272" w:rsidP="001528C8">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w:t>
      </w:r>
      <w:r w:rsidR="00F011AD" w:rsidRPr="00E843D6">
        <w:rPr>
          <w:rFonts w:ascii="Arial" w:eastAsia="Times New Roman" w:hAnsi="Arial" w:cs="Arial"/>
          <w:kern w:val="0"/>
          <w14:ligatures w14:val="none"/>
        </w:rPr>
        <w:t xml:space="preserve">Organisational focus on efficiency/resource optimisation, necessary for Foundation Trust status. This strength was pursued </w:t>
      </w:r>
      <w:r w:rsidR="00F011AD" w:rsidRPr="007A66B4">
        <w:rPr>
          <w:rFonts w:ascii="Arial" w:eastAsia="Times New Roman" w:hAnsi="Arial" w:cs="Arial"/>
          <w:kern w:val="0"/>
          <w14:ligatures w14:val="none"/>
        </w:rPr>
        <w:t>to the exclusion of safety</w:t>
      </w:r>
      <w:r w:rsidR="00F011AD" w:rsidRPr="00E843D6">
        <w:rPr>
          <w:rFonts w:ascii="Arial" w:eastAsia="Times New Roman" w:hAnsi="Arial" w:cs="Arial"/>
          <w:kern w:val="0"/>
          <w14:ligatures w14:val="none"/>
        </w:rPr>
        <w:t xml:space="preserve"> (Learmonth &amp; Harding, 2017).</w:t>
      </w:r>
    </w:p>
    <w:p w14:paraId="696FB769" w14:textId="44A8B82E" w:rsidR="00E55EF4" w:rsidRPr="00E843D6" w:rsidRDefault="00E55EF4" w:rsidP="003A3A0F">
      <w:pPr>
        <w:pStyle w:val="Heading2"/>
        <w:rPr>
          <w:rFonts w:ascii="Arial" w:eastAsia="Times New Roman" w:hAnsi="Arial" w:cs="Arial"/>
          <w:b/>
          <w:bCs/>
          <w:kern w:val="0"/>
          <w:sz w:val="27"/>
          <w:szCs w:val="27"/>
          <w14:ligatures w14:val="none"/>
        </w:rPr>
      </w:pPr>
      <w:bookmarkStart w:id="18" w:name="_Toc215125285"/>
      <w:r w:rsidRPr="00E843D6">
        <w:rPr>
          <w:rFonts w:ascii="Arial" w:eastAsia="Times New Roman" w:hAnsi="Arial" w:cs="Arial"/>
          <w:b/>
          <w:bCs/>
          <w:kern w:val="0"/>
          <w:sz w:val="27"/>
          <w:szCs w:val="27"/>
          <w14:ligatures w14:val="none"/>
        </w:rPr>
        <w:t>2</w:t>
      </w:r>
      <w:r w:rsidRPr="003A3A0F">
        <w:rPr>
          <w:rStyle w:val="Heading2Char"/>
        </w:rPr>
        <w:t>. The Donabedian Model for Quality Evaluation</w:t>
      </w:r>
      <w:r w:rsidR="003A3A0F" w:rsidRPr="003A3A0F">
        <w:rPr>
          <w:rStyle w:val="Heading2Char"/>
        </w:rPr>
        <w:t>.</w:t>
      </w:r>
      <w:bookmarkEnd w:id="18"/>
    </w:p>
    <w:p w14:paraId="7DDC389E" w14:textId="6DC8FF74" w:rsidR="00E55EF4" w:rsidRDefault="00E55EF4" w:rsidP="00B93723">
      <w:pPr>
        <w:spacing w:after="100" w:afterAutospacing="1" w:line="360" w:lineRule="auto"/>
        <w:jc w:val="both"/>
        <w:rPr>
          <w:rFonts w:ascii="Arial" w:eastAsia="Times New Roman" w:hAnsi="Arial" w:cs="Arial"/>
          <w:kern w:val="0"/>
          <w14:ligatures w14:val="none"/>
        </w:rPr>
      </w:pPr>
      <w:r w:rsidRPr="00CF4D2F">
        <w:rPr>
          <w:rFonts w:ascii="Arial" w:eastAsia="Times New Roman" w:hAnsi="Arial" w:cs="Arial"/>
          <w:b/>
          <w:bCs/>
          <w:kern w:val="0"/>
          <w14:ligatures w14:val="none"/>
        </w:rPr>
        <w:t>The</w:t>
      </w:r>
      <w:r w:rsidRPr="00E843D6">
        <w:rPr>
          <w:rFonts w:ascii="Arial" w:eastAsia="Times New Roman" w:hAnsi="Arial" w:cs="Arial"/>
          <w:kern w:val="0"/>
          <w14:ligatures w14:val="none"/>
        </w:rPr>
        <w:t xml:space="preserve"> </w:t>
      </w:r>
      <w:r w:rsidRPr="00E843D6">
        <w:rPr>
          <w:rFonts w:ascii="Arial" w:eastAsia="Times New Roman" w:hAnsi="Arial" w:cs="Arial"/>
          <w:b/>
          <w:bCs/>
          <w:kern w:val="0"/>
          <w14:ligatures w14:val="none"/>
        </w:rPr>
        <w:t>Donabedian Model</w:t>
      </w:r>
      <w:r w:rsidRPr="00E843D6">
        <w:rPr>
          <w:rFonts w:ascii="Arial" w:eastAsia="Times New Roman" w:hAnsi="Arial" w:cs="Arial"/>
          <w:kern w:val="0"/>
          <w14:ligatures w14:val="none"/>
        </w:rPr>
        <w:t xml:space="preserve"> provides a framework for evaluating healthcare quality based on the relationship between </w:t>
      </w:r>
      <w:r w:rsidRPr="003111DF">
        <w:rPr>
          <w:rFonts w:ascii="Arial" w:eastAsia="Times New Roman" w:hAnsi="Arial" w:cs="Arial"/>
          <w:kern w:val="0"/>
          <w14:ligatures w14:val="none"/>
        </w:rPr>
        <w:t>Structure, Process, and Outcome</w:t>
      </w:r>
      <w:r w:rsidRPr="00E843D6">
        <w:rPr>
          <w:rFonts w:ascii="Arial" w:eastAsia="Times New Roman" w:hAnsi="Arial" w:cs="Arial"/>
          <w:kern w:val="0"/>
          <w14:ligatures w14:val="none"/>
        </w:rPr>
        <w:t xml:space="preserve"> (Donabedian, 1980). Applying this model allows for a systematic assessment of the MSFT failure.</w:t>
      </w:r>
    </w:p>
    <w:p w14:paraId="229AE2C7" w14:textId="52FD03B2" w:rsidR="001528C8" w:rsidRPr="00E843D6" w:rsidRDefault="00B93723" w:rsidP="00E843D6">
      <w:pPr>
        <w:spacing w:after="100" w:afterAutospacing="1" w:line="360" w:lineRule="auto"/>
        <w:rPr>
          <w:rFonts w:ascii="Arial" w:eastAsia="Times New Roman" w:hAnsi="Arial" w:cs="Arial"/>
          <w:kern w:val="0"/>
          <w14:ligatures w14:val="none"/>
        </w:rPr>
      </w:pPr>
      <w:r w:rsidRPr="00E843D6">
        <w:rPr>
          <w:rFonts w:ascii="Arial" w:eastAsia="Times New Roman" w:hAnsi="Arial" w:cs="Arial"/>
          <w:noProof/>
          <w:kern w:val="0"/>
        </w:rPr>
        <mc:AlternateContent>
          <mc:Choice Requires="wps">
            <w:drawing>
              <wp:anchor distT="0" distB="0" distL="114300" distR="114300" simplePos="0" relativeHeight="251658251" behindDoc="0" locked="0" layoutInCell="1" allowOverlap="1" wp14:anchorId="3915E19B" wp14:editId="10556771">
                <wp:simplePos x="0" y="0"/>
                <wp:positionH relativeFrom="column">
                  <wp:posOffset>3819738</wp:posOffset>
                </wp:positionH>
                <wp:positionV relativeFrom="paragraph">
                  <wp:posOffset>86822</wp:posOffset>
                </wp:positionV>
                <wp:extent cx="2266950" cy="1623695"/>
                <wp:effectExtent l="0" t="0" r="19050" b="14605"/>
                <wp:wrapNone/>
                <wp:docPr id="1809332037" name="Flowchart: Punched Tape 8"/>
                <wp:cNvGraphicFramePr/>
                <a:graphic xmlns:a="http://schemas.openxmlformats.org/drawingml/2006/main">
                  <a:graphicData uri="http://schemas.microsoft.com/office/word/2010/wordprocessingShape">
                    <wps:wsp>
                      <wps:cNvSpPr/>
                      <wps:spPr>
                        <a:xfrm>
                          <a:off x="0" y="0"/>
                          <a:ext cx="2266950" cy="1623695"/>
                        </a:xfrm>
                        <a:prstGeom prst="flowChartPunchedTape">
                          <a:avLst/>
                        </a:prstGeom>
                        <a:solidFill>
                          <a:schemeClr val="accent5">
                            <a:lumMod val="60000"/>
                            <a:lumOff val="40000"/>
                          </a:schemeClr>
                        </a:solidFill>
                        <a:ln w="12700" cap="flat" cmpd="sng" algn="ctr">
                          <a:solidFill>
                            <a:srgbClr val="156082">
                              <a:shade val="15000"/>
                            </a:srgbClr>
                          </a:solidFill>
                          <a:prstDash val="solid"/>
                          <a:miter lim="800000"/>
                        </a:ln>
                        <a:effectLst/>
                      </wps:spPr>
                      <wps:txbx>
                        <w:txbxContent>
                          <w:p w14:paraId="2462D48E" w14:textId="701DEFDA" w:rsidR="00A51847" w:rsidRDefault="00A51847" w:rsidP="00A51847">
                            <w:pPr>
                              <w:jc w:val="center"/>
                              <w:rPr>
                                <w:rFonts w:ascii="Arial" w:hAnsi="Arial" w:cs="Arial"/>
                                <w:color w:val="0E2841" w:themeColor="text2"/>
                              </w:rPr>
                            </w:pPr>
                            <w:r w:rsidRPr="00F6121B">
                              <w:rPr>
                                <w:rFonts w:ascii="Arial" w:hAnsi="Arial" w:cs="Arial"/>
                                <w:color w:val="0E2841" w:themeColor="text2"/>
                              </w:rPr>
                              <w:t>Outcome</w:t>
                            </w:r>
                          </w:p>
                          <w:p w14:paraId="5D1B8B0C" w14:textId="77777777" w:rsidR="00B27313" w:rsidRPr="00B27313" w:rsidRDefault="00B27313" w:rsidP="00DC043E">
                            <w:pPr>
                              <w:rPr>
                                <w:rFonts w:ascii="Arial" w:hAnsi="Arial" w:cs="Arial"/>
                                <w:b/>
                                <w:bCs/>
                                <w:color w:val="275317" w:themeColor="accent6" w:themeShade="80"/>
                                <w:sz w:val="20"/>
                                <w:szCs w:val="20"/>
                              </w:rPr>
                            </w:pPr>
                            <w:r w:rsidRPr="00B27313">
                              <w:rPr>
                                <w:rFonts w:ascii="Arial" w:hAnsi="Arial" w:cs="Arial"/>
                                <w:b/>
                                <w:bCs/>
                                <w:color w:val="275317" w:themeColor="accent6" w:themeShade="80"/>
                                <w:sz w:val="20"/>
                                <w:szCs w:val="20"/>
                              </w:rPr>
                              <w:t>low patient/staff satisfaction are further evidence of poor outcomes (Francis, 2010).</w:t>
                            </w:r>
                          </w:p>
                          <w:p w14:paraId="1C1607D6" w14:textId="77777777" w:rsidR="00B27313" w:rsidRPr="00F6121B" w:rsidRDefault="00B27313" w:rsidP="00A51847">
                            <w:pPr>
                              <w:jc w:val="center"/>
                              <w:rPr>
                                <w:rFonts w:ascii="Arial" w:hAnsi="Arial" w:cs="Arial"/>
                                <w:color w:val="0E2841"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5E19B"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8" o:spid="_x0000_s1032" type="#_x0000_t122" style="position:absolute;margin-left:300.75pt;margin-top:6.85pt;width:178.5pt;height:127.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" fillcolor="#d86dcb [1944]" strokecolor="#042433" strokeweight="1pt">
                <v:textbox>
                  <w:txbxContent>
                    <w:p w14:paraId="2462D48E" w14:textId="701DEFDA" w:rsidR="00A51847" w:rsidRDefault="00A51847" w:rsidP="00A51847">
                      <w:pPr>
                        <w:jc w:val="center"/>
                        <w:rPr>
                          <w:rFonts w:ascii="Arial" w:hAnsi="Arial" w:cs="Arial"/>
                          <w:color w:val="0E2841" w:themeColor="text2"/>
                        </w:rPr>
                      </w:pPr>
                      <w:r w:rsidRPr="00F6121B">
                        <w:rPr>
                          <w:rFonts w:ascii="Arial" w:hAnsi="Arial" w:cs="Arial"/>
                          <w:color w:val="0E2841" w:themeColor="text2"/>
                        </w:rPr>
                        <w:t>Outcome</w:t>
                      </w:r>
                    </w:p>
                    <w:p w14:paraId="5D1B8B0C" w14:textId="77777777" w:rsidR="00B27313" w:rsidRPr="00B27313" w:rsidRDefault="00B27313" w:rsidP="00DC043E">
                      <w:pPr>
                        <w:rPr>
                          <w:rFonts w:ascii="Arial" w:hAnsi="Arial" w:cs="Arial"/>
                          <w:b/>
                          <w:bCs/>
                          <w:color w:val="275317" w:themeColor="accent6" w:themeShade="80"/>
                          <w:sz w:val="20"/>
                          <w:szCs w:val="20"/>
                        </w:rPr>
                      </w:pPr>
                      <w:r w:rsidRPr="00B27313">
                        <w:rPr>
                          <w:rFonts w:ascii="Arial" w:hAnsi="Arial" w:cs="Arial"/>
                          <w:b/>
                          <w:bCs/>
                          <w:color w:val="275317" w:themeColor="accent6" w:themeShade="80"/>
                          <w:sz w:val="20"/>
                          <w:szCs w:val="20"/>
                        </w:rPr>
                        <w:t>low patient/staff satisfaction are further evidence of poor outcomes (Francis, 2010).</w:t>
                      </w:r>
                    </w:p>
                    <w:p w14:paraId="1C1607D6" w14:textId="77777777" w:rsidR="00B27313" w:rsidRPr="00F6121B" w:rsidRDefault="00B27313" w:rsidP="00A51847">
                      <w:pPr>
                        <w:jc w:val="center"/>
                        <w:rPr>
                          <w:rFonts w:ascii="Arial" w:hAnsi="Arial" w:cs="Arial"/>
                          <w:color w:val="0E2841" w:themeColor="text2"/>
                        </w:rPr>
                      </w:pPr>
                    </w:p>
                  </w:txbxContent>
                </v:textbox>
              </v:shape>
            </w:pict>
          </mc:Fallback>
        </mc:AlternateContent>
      </w:r>
      <w:r w:rsidRPr="00E843D6">
        <w:rPr>
          <w:rFonts w:ascii="Arial" w:eastAsia="Times New Roman" w:hAnsi="Arial" w:cs="Arial"/>
          <w:noProof/>
          <w:kern w:val="0"/>
        </w:rPr>
        <mc:AlternateContent>
          <mc:Choice Requires="wps">
            <w:drawing>
              <wp:anchor distT="0" distB="0" distL="114300" distR="114300" simplePos="0" relativeHeight="251658250" behindDoc="0" locked="0" layoutInCell="1" allowOverlap="1" wp14:anchorId="6B1B1A65" wp14:editId="2C9C2AB7">
                <wp:simplePos x="0" y="0"/>
                <wp:positionH relativeFrom="column">
                  <wp:posOffset>1929974</wp:posOffset>
                </wp:positionH>
                <wp:positionV relativeFrom="paragraph">
                  <wp:posOffset>239060</wp:posOffset>
                </wp:positionV>
                <wp:extent cx="1885950" cy="1737995"/>
                <wp:effectExtent l="0" t="0" r="19050" b="14605"/>
                <wp:wrapNone/>
                <wp:docPr id="158220977" name="Flowchart: Punched Tape 8"/>
                <wp:cNvGraphicFramePr/>
                <a:graphic xmlns:a="http://schemas.openxmlformats.org/drawingml/2006/main">
                  <a:graphicData uri="http://schemas.microsoft.com/office/word/2010/wordprocessingShape">
                    <wps:wsp>
                      <wps:cNvSpPr/>
                      <wps:spPr>
                        <a:xfrm>
                          <a:off x="0" y="0"/>
                          <a:ext cx="1885950" cy="1737995"/>
                        </a:xfrm>
                        <a:prstGeom prst="flowChartPunchedTape">
                          <a:avLst/>
                        </a:prstGeom>
                        <a:solidFill>
                          <a:srgbClr val="92D050"/>
                        </a:solidFill>
                        <a:ln w="12700" cap="flat" cmpd="sng" algn="ctr">
                          <a:solidFill>
                            <a:srgbClr val="156082">
                              <a:shade val="15000"/>
                            </a:srgbClr>
                          </a:solidFill>
                          <a:prstDash val="solid"/>
                          <a:miter lim="800000"/>
                        </a:ln>
                        <a:effectLst/>
                      </wps:spPr>
                      <wps:txbx>
                        <w:txbxContent>
                          <w:p w14:paraId="6AC4F2C4" w14:textId="30C18691" w:rsidR="0033730A" w:rsidRPr="008F1AC7" w:rsidRDefault="00A51847" w:rsidP="0033730A">
                            <w:pPr>
                              <w:jc w:val="center"/>
                              <w:rPr>
                                <w:rFonts w:ascii="Arial" w:hAnsi="Arial" w:cs="Arial"/>
                                <w:b/>
                                <w:bCs/>
                                <w:color w:val="0E2841" w:themeColor="text2"/>
                              </w:rPr>
                            </w:pPr>
                            <w:r w:rsidRPr="008F1AC7">
                              <w:rPr>
                                <w:rFonts w:ascii="Arial" w:hAnsi="Arial" w:cs="Arial"/>
                                <w:b/>
                                <w:bCs/>
                                <w:color w:val="0E2841" w:themeColor="text2"/>
                              </w:rPr>
                              <w:t>P</w:t>
                            </w:r>
                            <w:r w:rsidR="0033730A" w:rsidRPr="008F1AC7">
                              <w:rPr>
                                <w:rFonts w:ascii="Arial" w:hAnsi="Arial" w:cs="Arial"/>
                                <w:b/>
                                <w:bCs/>
                                <w:color w:val="0E2841" w:themeColor="text2"/>
                              </w:rPr>
                              <w:t>rocess</w:t>
                            </w:r>
                          </w:p>
                          <w:p w14:paraId="4E94DE08" w14:textId="5BC4FBFB" w:rsidR="008F1AC7" w:rsidRPr="000B6105" w:rsidRDefault="008F1AC7" w:rsidP="0033730A">
                            <w:pPr>
                              <w:jc w:val="center"/>
                              <w:rPr>
                                <w:rFonts w:ascii="Arial" w:hAnsi="Arial" w:cs="Arial"/>
                                <w:b/>
                                <w:bCs/>
                                <w:color w:val="275317" w:themeColor="accent6" w:themeShade="80"/>
                                <w:sz w:val="20"/>
                                <w:szCs w:val="20"/>
                              </w:rPr>
                            </w:pPr>
                            <w:r w:rsidRPr="000B6105">
                              <w:rPr>
                                <w:rFonts w:ascii="Arial" w:hAnsi="Arial" w:cs="Arial"/>
                                <w:b/>
                                <w:bCs/>
                                <w:color w:val="275317" w:themeColor="accent6" w:themeShade="80"/>
                                <w:sz w:val="20"/>
                                <w:szCs w:val="20"/>
                              </w:rPr>
                              <w:t>Processes for basic care (hydration, nutrition, hygiene, pain management) were grossly neglected</w:t>
                            </w:r>
                          </w:p>
                          <w:p w14:paraId="54FFD908" w14:textId="77777777" w:rsidR="00F6121B" w:rsidRPr="00F6121B" w:rsidRDefault="00F6121B" w:rsidP="0033730A">
                            <w:pPr>
                              <w:jc w:val="center"/>
                              <w:rPr>
                                <w:rFonts w:ascii="Arial" w:hAnsi="Arial" w:cs="Arial"/>
                                <w:b/>
                                <w:bC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B1A65" id="_x0000_s1033" type="#_x0000_t122" style="position:absolute;margin-left:151.95pt;margin-top:18.8pt;width:148.5pt;height:136.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" fillcolor="#92d050" strokecolor="#042433" strokeweight="1pt">
                <v:textbox>
                  <w:txbxContent>
                    <w:p w14:paraId="6AC4F2C4" w14:textId="30C18691" w:rsidR="0033730A" w:rsidRPr="008F1AC7" w:rsidRDefault="00A51847" w:rsidP="0033730A">
                      <w:pPr>
                        <w:jc w:val="center"/>
                        <w:rPr>
                          <w:rFonts w:ascii="Arial" w:hAnsi="Arial" w:cs="Arial"/>
                          <w:b/>
                          <w:bCs/>
                          <w:color w:val="0E2841" w:themeColor="text2"/>
                        </w:rPr>
                      </w:pPr>
                      <w:r w:rsidRPr="008F1AC7">
                        <w:rPr>
                          <w:rFonts w:ascii="Arial" w:hAnsi="Arial" w:cs="Arial"/>
                          <w:b/>
                          <w:bCs/>
                          <w:color w:val="0E2841" w:themeColor="text2"/>
                        </w:rPr>
                        <w:t>P</w:t>
                      </w:r>
                      <w:r w:rsidR="0033730A" w:rsidRPr="008F1AC7">
                        <w:rPr>
                          <w:rFonts w:ascii="Arial" w:hAnsi="Arial" w:cs="Arial"/>
                          <w:b/>
                          <w:bCs/>
                          <w:color w:val="0E2841" w:themeColor="text2"/>
                        </w:rPr>
                        <w:t>rocess</w:t>
                      </w:r>
                    </w:p>
                    <w:p w14:paraId="4E94DE08" w14:textId="5BC4FBFB" w:rsidR="008F1AC7" w:rsidRPr="000B6105" w:rsidRDefault="008F1AC7" w:rsidP="0033730A">
                      <w:pPr>
                        <w:jc w:val="center"/>
                        <w:rPr>
                          <w:rFonts w:ascii="Arial" w:hAnsi="Arial" w:cs="Arial"/>
                          <w:b/>
                          <w:bCs/>
                          <w:color w:val="275317" w:themeColor="accent6" w:themeShade="80"/>
                          <w:sz w:val="20"/>
                          <w:szCs w:val="20"/>
                        </w:rPr>
                      </w:pPr>
                      <w:r w:rsidRPr="000B6105">
                        <w:rPr>
                          <w:rFonts w:ascii="Arial" w:hAnsi="Arial" w:cs="Arial"/>
                          <w:b/>
                          <w:bCs/>
                          <w:color w:val="275317" w:themeColor="accent6" w:themeShade="80"/>
                          <w:sz w:val="20"/>
                          <w:szCs w:val="20"/>
                        </w:rPr>
                        <w:t>Processes for basic care (hydration, nutrition, hygiene, pain management) were grossly neglected</w:t>
                      </w:r>
                    </w:p>
                    <w:p w14:paraId="54FFD908" w14:textId="77777777" w:rsidR="00F6121B" w:rsidRPr="00F6121B" w:rsidRDefault="00F6121B" w:rsidP="0033730A">
                      <w:pPr>
                        <w:jc w:val="center"/>
                        <w:rPr>
                          <w:rFonts w:ascii="Arial" w:hAnsi="Arial" w:cs="Arial"/>
                          <w:b/>
                          <w:bCs/>
                          <w:color w:val="FFFFFF" w:themeColor="background1"/>
                        </w:rPr>
                      </w:pPr>
                    </w:p>
                  </w:txbxContent>
                </v:textbox>
              </v:shape>
            </w:pict>
          </mc:Fallback>
        </mc:AlternateContent>
      </w:r>
    </w:p>
    <w:p w14:paraId="1C9C0E7F" w14:textId="09DCDEF0" w:rsidR="0082488D" w:rsidRPr="00E843D6" w:rsidRDefault="008F1AC7" w:rsidP="00E843D6">
      <w:pPr>
        <w:spacing w:after="100" w:afterAutospacing="1" w:line="360" w:lineRule="auto"/>
        <w:rPr>
          <w:rFonts w:ascii="Arial" w:eastAsia="Times New Roman" w:hAnsi="Arial" w:cs="Arial"/>
          <w:kern w:val="0"/>
          <w14:ligatures w14:val="none"/>
        </w:rPr>
      </w:pPr>
      <w:r w:rsidRPr="00E843D6">
        <w:rPr>
          <w:rFonts w:ascii="Arial" w:eastAsia="Times New Roman" w:hAnsi="Arial" w:cs="Arial"/>
          <w:noProof/>
          <w:kern w:val="0"/>
        </w:rPr>
        <mc:AlternateContent>
          <mc:Choice Requires="wps">
            <w:drawing>
              <wp:anchor distT="0" distB="0" distL="114300" distR="114300" simplePos="0" relativeHeight="251658249" behindDoc="0" locked="0" layoutInCell="1" allowOverlap="1" wp14:anchorId="4A0CEBE2" wp14:editId="71CEA64E">
                <wp:simplePos x="0" y="0"/>
                <wp:positionH relativeFrom="margin">
                  <wp:posOffset>-52070</wp:posOffset>
                </wp:positionH>
                <wp:positionV relativeFrom="paragraph">
                  <wp:posOffset>152573</wp:posOffset>
                </wp:positionV>
                <wp:extent cx="2004695" cy="1614487"/>
                <wp:effectExtent l="0" t="0" r="14605" b="24130"/>
                <wp:wrapNone/>
                <wp:docPr id="635230412" name="Flowchart: Punched Tape 8"/>
                <wp:cNvGraphicFramePr/>
                <a:graphic xmlns:a="http://schemas.openxmlformats.org/drawingml/2006/main">
                  <a:graphicData uri="http://schemas.microsoft.com/office/word/2010/wordprocessingShape">
                    <wps:wsp>
                      <wps:cNvSpPr/>
                      <wps:spPr>
                        <a:xfrm>
                          <a:off x="0" y="0"/>
                          <a:ext cx="2004695" cy="1614487"/>
                        </a:xfrm>
                        <a:prstGeom prst="flowChartPunchedTape">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4098A9" w14:textId="16419297" w:rsidR="00ED0700" w:rsidRPr="00F6121B" w:rsidRDefault="00F6121B" w:rsidP="000F0F5C">
                            <w:pPr>
                              <w:rPr>
                                <w:rFonts w:ascii="Arial" w:hAnsi="Arial" w:cs="Arial"/>
                                <w:b/>
                                <w:bCs/>
                                <w:color w:val="0E2841" w:themeColor="text2"/>
                              </w:rPr>
                            </w:pPr>
                            <w:r w:rsidRPr="00F6121B">
                              <w:rPr>
                                <w:rFonts w:ascii="Arial" w:hAnsi="Arial" w:cs="Arial"/>
                                <w:b/>
                                <w:bCs/>
                                <w:color w:val="0E2841" w:themeColor="text2"/>
                              </w:rPr>
                              <w:t xml:space="preserve">Structure </w:t>
                            </w:r>
                          </w:p>
                          <w:p w14:paraId="0A412D43" w14:textId="34421587" w:rsidR="0033730A" w:rsidRPr="000B6105" w:rsidRDefault="0035424D" w:rsidP="000F0F5C">
                            <w:pPr>
                              <w:rPr>
                                <w:rFonts w:ascii="Arial" w:hAnsi="Arial" w:cs="Arial"/>
                                <w:b/>
                                <w:bCs/>
                                <w:color w:val="275317" w:themeColor="accent6" w:themeShade="80"/>
                                <w:sz w:val="20"/>
                                <w:szCs w:val="20"/>
                              </w:rPr>
                            </w:pPr>
                            <w:r w:rsidRPr="000B6105">
                              <w:rPr>
                                <w:rFonts w:ascii="Arial" w:hAnsi="Arial" w:cs="Arial"/>
                                <w:b/>
                                <w:bCs/>
                                <w:color w:val="275317" w:themeColor="accent6" w:themeShade="80"/>
                                <w:sz w:val="20"/>
                                <w:szCs w:val="20"/>
                              </w:rPr>
                              <w:t xml:space="preserve">Structural failures included chronically low staffing levels </w:t>
                            </w:r>
                          </w:p>
                          <w:p w14:paraId="387E95B1" w14:textId="77777777" w:rsidR="0035424D" w:rsidRPr="002A5BDD" w:rsidRDefault="0035424D" w:rsidP="003373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CEBE2" id="_x0000_s1034" type="#_x0000_t122" style="position:absolute;margin-left:-4.1pt;margin-top:12pt;width:157.85pt;height:127.1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" fillcolor="#f1a983 [1941]" strokecolor="#030e13 [484]" strokeweight="1pt">
                <v:textbox>
                  <w:txbxContent>
                    <w:p w14:paraId="664098A9" w14:textId="16419297" w:rsidR="00ED0700" w:rsidRPr="00F6121B" w:rsidRDefault="00F6121B" w:rsidP="000F0F5C">
                      <w:pPr>
                        <w:rPr>
                          <w:rFonts w:ascii="Arial" w:hAnsi="Arial" w:cs="Arial"/>
                          <w:b/>
                          <w:bCs/>
                          <w:color w:val="0E2841" w:themeColor="text2"/>
                        </w:rPr>
                      </w:pPr>
                      <w:r w:rsidRPr="00F6121B">
                        <w:rPr>
                          <w:rFonts w:ascii="Arial" w:hAnsi="Arial" w:cs="Arial"/>
                          <w:b/>
                          <w:bCs/>
                          <w:color w:val="0E2841" w:themeColor="text2"/>
                        </w:rPr>
                        <w:t xml:space="preserve">Structure </w:t>
                      </w:r>
                    </w:p>
                    <w:p w14:paraId="0A412D43" w14:textId="34421587" w:rsidR="0033730A" w:rsidRPr="000B6105" w:rsidRDefault="0035424D" w:rsidP="000F0F5C">
                      <w:pPr>
                        <w:rPr>
                          <w:rFonts w:ascii="Arial" w:hAnsi="Arial" w:cs="Arial"/>
                          <w:b/>
                          <w:bCs/>
                          <w:color w:val="275317" w:themeColor="accent6" w:themeShade="80"/>
                          <w:sz w:val="20"/>
                          <w:szCs w:val="20"/>
                        </w:rPr>
                      </w:pPr>
                      <w:r w:rsidRPr="000B6105">
                        <w:rPr>
                          <w:rFonts w:ascii="Arial" w:hAnsi="Arial" w:cs="Arial"/>
                          <w:b/>
                          <w:bCs/>
                          <w:color w:val="275317" w:themeColor="accent6" w:themeShade="80"/>
                          <w:sz w:val="20"/>
                          <w:szCs w:val="20"/>
                        </w:rPr>
                        <w:t xml:space="preserve">Structural failures included chronically low staffing levels </w:t>
                      </w:r>
                    </w:p>
                    <w:p w14:paraId="387E95B1" w14:textId="77777777" w:rsidR="0035424D" w:rsidRPr="002A5BDD" w:rsidRDefault="0035424D" w:rsidP="0033730A">
                      <w:pPr>
                        <w:jc w:val="center"/>
                      </w:pPr>
                    </w:p>
                  </w:txbxContent>
                </v:textbox>
                <w10:wrap anchorx="margin"/>
              </v:shape>
            </w:pict>
          </mc:Fallback>
        </mc:AlternateContent>
      </w:r>
    </w:p>
    <w:p w14:paraId="35744668" w14:textId="33A1D1F4" w:rsidR="003F07F7" w:rsidRPr="00E843D6" w:rsidRDefault="003F07F7" w:rsidP="00E843D6">
      <w:pPr>
        <w:spacing w:after="100" w:afterAutospacing="1" w:line="360" w:lineRule="auto"/>
        <w:jc w:val="center"/>
        <w:rPr>
          <w:rFonts w:ascii="Arial" w:eastAsia="Times New Roman" w:hAnsi="Arial" w:cs="Arial"/>
          <w:kern w:val="0"/>
          <w14:ligatures w14:val="none"/>
        </w:rPr>
      </w:pPr>
    </w:p>
    <w:p w14:paraId="332BD9A1" w14:textId="591CE3D9" w:rsidR="003F07F7" w:rsidRPr="00E843D6" w:rsidRDefault="003F07F7" w:rsidP="00E843D6">
      <w:pPr>
        <w:spacing w:after="100" w:afterAutospacing="1" w:line="360" w:lineRule="auto"/>
        <w:rPr>
          <w:rFonts w:ascii="Arial" w:eastAsia="Times New Roman" w:hAnsi="Arial" w:cs="Arial"/>
          <w:kern w:val="0"/>
          <w14:ligatures w14:val="none"/>
        </w:rPr>
      </w:pPr>
    </w:p>
    <w:p w14:paraId="5A298885" w14:textId="77777777" w:rsidR="00A61605" w:rsidRDefault="00A61605" w:rsidP="00A61605">
      <w:pPr>
        <w:pStyle w:val="Heading3"/>
      </w:pPr>
    </w:p>
    <w:p w14:paraId="51B45F67" w14:textId="77777777" w:rsidR="00A61605" w:rsidRDefault="00A61605" w:rsidP="00A61605"/>
    <w:p w14:paraId="3CA099A9" w14:textId="77777777" w:rsidR="00A55BEB" w:rsidRPr="00A61605" w:rsidRDefault="00A55BEB" w:rsidP="00A61605"/>
    <w:p w14:paraId="047500CF" w14:textId="488CBC88" w:rsidR="00E55EF4" w:rsidRPr="00E843D6" w:rsidRDefault="00E55EF4" w:rsidP="000945FB">
      <w:pPr>
        <w:pStyle w:val="Heading3"/>
        <w:jc w:val="both"/>
      </w:pPr>
      <w:bookmarkStart w:id="19" w:name="_Toc215125286"/>
      <w:r w:rsidRPr="00E843D6">
        <w:lastRenderedPageBreak/>
        <w:t>Structure (The setting in which care is delivered):</w:t>
      </w:r>
      <w:bookmarkEnd w:id="19"/>
    </w:p>
    <w:p w14:paraId="17ACBEF9" w14:textId="77777777" w:rsidR="00E55EF4" w:rsidRPr="00E843D6" w:rsidRDefault="00E55EF4" w:rsidP="000945FB">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Assessment:</w:t>
      </w:r>
      <w:r w:rsidRPr="00E843D6">
        <w:rPr>
          <w:rFonts w:ascii="Arial" w:eastAsia="Times New Roman" w:hAnsi="Arial" w:cs="Arial"/>
          <w:kern w:val="0"/>
          <w14:ligatures w14:val="none"/>
        </w:rPr>
        <w:t xml:space="preserve"> Severely inadequate. </w:t>
      </w:r>
      <w:bookmarkStart w:id="20" w:name="_Hlk215095361"/>
      <w:r w:rsidRPr="00E843D6">
        <w:rPr>
          <w:rFonts w:ascii="Arial" w:eastAsia="Times New Roman" w:hAnsi="Arial" w:cs="Arial"/>
          <w:kern w:val="0"/>
          <w14:ligatures w14:val="none"/>
        </w:rPr>
        <w:t xml:space="preserve">Structural failures included </w:t>
      </w:r>
      <w:r w:rsidRPr="00CF4D2F">
        <w:rPr>
          <w:rFonts w:ascii="Arial" w:eastAsia="Times New Roman" w:hAnsi="Arial" w:cs="Arial"/>
          <w:kern w:val="0"/>
          <w14:ligatures w14:val="none"/>
        </w:rPr>
        <w:t>chronically low staffing levels</w:t>
      </w:r>
      <w:bookmarkEnd w:id="20"/>
      <w:r w:rsidRPr="00E843D6">
        <w:rPr>
          <w:rFonts w:ascii="Arial" w:eastAsia="Times New Roman" w:hAnsi="Arial" w:cs="Arial"/>
          <w:kern w:val="0"/>
          <w14:ligatures w14:val="none"/>
        </w:rPr>
        <w:t xml:space="preserve"> (e.g., nurse-to-patient ratios of 1:12 were reported, higher than safe limits (Francis, 2013; Aiken et al., 2014)), poor physical infrastructure, and a dysfunctional organisational structure that lacked clear lines of accountability for quality (Francis, 2013).</w:t>
      </w:r>
    </w:p>
    <w:p w14:paraId="69A6E87F" w14:textId="794772FC" w:rsidR="00472332" w:rsidRPr="00E843D6" w:rsidRDefault="00E55EF4" w:rsidP="000945FB">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Structural deficiencies are directly linked to failure in providing adequate capacity, confirming Donabedian's core tenet that a good structure is a precondition for good care (Donabedian, 1980).</w:t>
      </w:r>
    </w:p>
    <w:p w14:paraId="49F70485" w14:textId="77777777" w:rsidR="00E55EF4" w:rsidRPr="00E843D6" w:rsidRDefault="00E55EF4" w:rsidP="000945FB">
      <w:pPr>
        <w:pStyle w:val="Heading3"/>
        <w:jc w:val="both"/>
      </w:pPr>
      <w:bookmarkStart w:id="21" w:name="_Toc215125287"/>
      <w:r w:rsidRPr="00E843D6">
        <w:t>Process (The interactions and activities of care):</w:t>
      </w:r>
      <w:bookmarkEnd w:id="21"/>
    </w:p>
    <w:p w14:paraId="24755003" w14:textId="77777777" w:rsidR="00E55EF4" w:rsidRPr="00E843D6" w:rsidRDefault="00E55EF4" w:rsidP="000945FB">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Assessment:</w:t>
      </w:r>
      <w:r w:rsidRPr="00E843D6">
        <w:rPr>
          <w:rFonts w:ascii="Arial" w:eastAsia="Times New Roman" w:hAnsi="Arial" w:cs="Arial"/>
          <w:kern w:val="0"/>
          <w14:ligatures w14:val="none"/>
        </w:rPr>
        <w:t xml:space="preserve"> Failed. </w:t>
      </w:r>
      <w:bookmarkStart w:id="22" w:name="_Hlk215095708"/>
      <w:r w:rsidRPr="00E843D6">
        <w:rPr>
          <w:rFonts w:ascii="Arial" w:eastAsia="Times New Roman" w:hAnsi="Arial" w:cs="Arial"/>
          <w:kern w:val="0"/>
          <w14:ligatures w14:val="none"/>
        </w:rPr>
        <w:t xml:space="preserve">Processes for </w:t>
      </w:r>
      <w:r w:rsidRPr="00CF4D2F">
        <w:rPr>
          <w:rFonts w:ascii="Arial" w:eastAsia="Times New Roman" w:hAnsi="Arial" w:cs="Arial"/>
          <w:kern w:val="0"/>
          <w14:ligatures w14:val="none"/>
        </w:rPr>
        <w:t>basic care</w:t>
      </w:r>
      <w:r w:rsidRPr="00E843D6">
        <w:rPr>
          <w:rFonts w:ascii="Arial" w:eastAsia="Times New Roman" w:hAnsi="Arial" w:cs="Arial"/>
          <w:kern w:val="0"/>
          <w14:ligatures w14:val="none"/>
        </w:rPr>
        <w:t xml:space="preserve"> (hydration, nutrition, hygiene, pain management) were grossly neglected </w:t>
      </w:r>
      <w:bookmarkEnd w:id="22"/>
      <w:r w:rsidRPr="00E843D6">
        <w:rPr>
          <w:rFonts w:ascii="Arial" w:eastAsia="Times New Roman" w:hAnsi="Arial" w:cs="Arial"/>
          <w:kern w:val="0"/>
          <w14:ligatures w14:val="none"/>
        </w:rPr>
        <w:t>(Francis, 2010). Clinical assessment and escalation processes were also often absent or ignored, leading to patient deterioration going unnoticed (Francis, 2013).</w:t>
      </w:r>
    </w:p>
    <w:p w14:paraId="438B59EF" w14:textId="77777777" w:rsidR="00E55EF4" w:rsidRPr="00E843D6" w:rsidRDefault="00E55EF4" w:rsidP="000945FB">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The breakdown in essential clinical processes is a violation of established </w:t>
      </w:r>
      <w:r w:rsidRPr="00CF4D2F">
        <w:rPr>
          <w:rFonts w:ascii="Arial" w:eastAsia="Times New Roman" w:hAnsi="Arial" w:cs="Arial"/>
          <w:kern w:val="0"/>
          <w14:ligatures w14:val="none"/>
        </w:rPr>
        <w:t>Clinical Audit and Effectiveness</w:t>
      </w:r>
      <w:r w:rsidRPr="00E843D6">
        <w:rPr>
          <w:rFonts w:ascii="Arial" w:eastAsia="Times New Roman" w:hAnsi="Arial" w:cs="Arial"/>
          <w:kern w:val="0"/>
          <w14:ligatures w14:val="none"/>
        </w:rPr>
        <w:t xml:space="preserve"> theory, which aims to ensure evidence-based care is consistently delivered (Francis, 2013).</w:t>
      </w:r>
    </w:p>
    <w:p w14:paraId="5405ED4E" w14:textId="4B33B064" w:rsidR="00E55EF4" w:rsidRPr="00E843D6" w:rsidRDefault="00E55EF4" w:rsidP="000945FB">
      <w:pPr>
        <w:pStyle w:val="Heading3"/>
        <w:jc w:val="both"/>
      </w:pPr>
      <w:bookmarkStart w:id="23" w:name="_Toc215125288"/>
      <w:r w:rsidRPr="00E843D6">
        <w:t xml:space="preserve">Outcome (The </w:t>
      </w:r>
      <w:r w:rsidR="00223E38" w:rsidRPr="00E843D6">
        <w:t>results</w:t>
      </w:r>
      <w:r w:rsidRPr="00E843D6">
        <w:t xml:space="preserve"> of care):</w:t>
      </w:r>
      <w:bookmarkEnd w:id="23"/>
    </w:p>
    <w:p w14:paraId="026DAE1E" w14:textId="77777777" w:rsidR="00E55EF4" w:rsidRPr="00E843D6" w:rsidRDefault="00E55EF4" w:rsidP="000945FB">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Assessment:</w:t>
      </w:r>
      <w:r w:rsidRPr="00E843D6">
        <w:rPr>
          <w:rFonts w:ascii="Arial" w:eastAsia="Times New Roman" w:hAnsi="Arial" w:cs="Arial"/>
          <w:kern w:val="0"/>
          <w14:ligatures w14:val="none"/>
        </w:rPr>
        <w:t xml:space="preserve"> Catastrophic. The key outcome measure was the </w:t>
      </w:r>
      <w:r w:rsidRPr="00CF4D2F">
        <w:rPr>
          <w:rFonts w:ascii="Arial" w:eastAsia="Times New Roman" w:hAnsi="Arial" w:cs="Arial"/>
          <w:kern w:val="0"/>
          <w14:ligatures w14:val="none"/>
        </w:rPr>
        <w:t>excessive mortality rate</w:t>
      </w:r>
      <w:r w:rsidRPr="00E843D6">
        <w:rPr>
          <w:rFonts w:ascii="Arial" w:eastAsia="Times New Roman" w:hAnsi="Arial" w:cs="Arial"/>
          <w:kern w:val="0"/>
          <w14:ligatures w14:val="none"/>
        </w:rPr>
        <w:t xml:space="preserve">, estimated between 400 and 1,200 deaths (Francis, 2013). High rates of patient harm, complaints, and </w:t>
      </w:r>
      <w:bookmarkStart w:id="24" w:name="_Hlk215095870"/>
      <w:r w:rsidRPr="00E843D6">
        <w:rPr>
          <w:rFonts w:ascii="Arial" w:eastAsia="Times New Roman" w:hAnsi="Arial" w:cs="Arial"/>
          <w:kern w:val="0"/>
          <w14:ligatures w14:val="none"/>
        </w:rPr>
        <w:t>low patient/staff satisfaction are further evidence of poor outcomes (Francis, 2010).</w:t>
      </w:r>
    </w:p>
    <w:bookmarkEnd w:id="24"/>
    <w:p w14:paraId="5483BC57" w14:textId="0745897F" w:rsidR="00184D98" w:rsidRDefault="00E55EF4" w:rsidP="000945FB">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Theory:</w:t>
      </w:r>
      <w:r w:rsidRPr="00E843D6">
        <w:rPr>
          <w:rFonts w:ascii="Arial" w:eastAsia="Times New Roman" w:hAnsi="Arial" w:cs="Arial"/>
          <w:kern w:val="0"/>
          <w14:ligatures w14:val="none"/>
        </w:rPr>
        <w:t xml:space="preserve"> This confirms the model's hypothesis: defective structure and process inevitably lead to poor outcomes (Donabedian, 1980). The high mortality figures, which are quantifiable outcomes, provided the irrefutable evidence for the quality failure.</w:t>
      </w:r>
    </w:p>
    <w:p w14:paraId="495D7949" w14:textId="77777777" w:rsidR="00223E38" w:rsidRPr="00E843D6" w:rsidRDefault="00223E38" w:rsidP="000945FB">
      <w:pPr>
        <w:spacing w:after="100" w:afterAutospacing="1" w:line="360" w:lineRule="auto"/>
        <w:jc w:val="both"/>
        <w:rPr>
          <w:rFonts w:ascii="Arial" w:eastAsia="Times New Roman" w:hAnsi="Arial" w:cs="Arial"/>
          <w:kern w:val="0"/>
          <w14:ligatures w14:val="none"/>
        </w:rPr>
      </w:pPr>
    </w:p>
    <w:p w14:paraId="331D483F" w14:textId="77777777" w:rsidR="00E55EF4" w:rsidRPr="00E843D6" w:rsidRDefault="00E55EF4" w:rsidP="000945FB">
      <w:pPr>
        <w:pStyle w:val="Heading2"/>
        <w:jc w:val="both"/>
      </w:pPr>
      <w:bookmarkStart w:id="25" w:name="_Toc215125289"/>
      <w:r w:rsidRPr="00E843D6">
        <w:lastRenderedPageBreak/>
        <w:t>3. SWOT Analysis of MSFT's Organisational Position (Pre-Crisis)</w:t>
      </w:r>
      <w:bookmarkEnd w:id="25"/>
    </w:p>
    <w:p w14:paraId="05696817" w14:textId="0CECF9FD" w:rsidR="00E55EF4" w:rsidRPr="00223E38" w:rsidRDefault="00E55EF4" w:rsidP="000945FB">
      <w:pPr>
        <w:spacing w:after="100" w:afterAutospacing="1" w:line="360" w:lineRule="auto"/>
        <w:jc w:val="both"/>
        <w:rPr>
          <w:rFonts w:ascii="Arial" w:eastAsia="Times New Roman" w:hAnsi="Arial" w:cs="Arial"/>
          <w:kern w:val="0"/>
          <w14:ligatures w14:val="none"/>
        </w:rPr>
      </w:pPr>
      <w:r w:rsidRPr="00223E38">
        <w:rPr>
          <w:rFonts w:ascii="Arial" w:eastAsia="Times New Roman" w:hAnsi="Arial" w:cs="Arial"/>
          <w:kern w:val="0"/>
          <w14:ligatures w14:val="none"/>
        </w:rPr>
        <w:t xml:space="preserve">SWOT Analysis identifies internal Strengths and Weaknesses and external Opportunities and Threats (Andrews, 1971; Helm, 2008).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2"/>
        <w:gridCol w:w="4023"/>
        <w:gridCol w:w="3475"/>
      </w:tblGrid>
      <w:tr w:rsidR="00E55EF4" w:rsidRPr="00E843D6" w14:paraId="6F9C584D" w14:textId="77777777" w:rsidTr="00FB5B2B">
        <w:trPr>
          <w:tblHeade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D86DCB" w:themeFill="accent5" w:themeFillTint="99"/>
            <w:vAlign w:val="center"/>
            <w:hideMark/>
          </w:tcPr>
          <w:p w14:paraId="37CAED9B" w14:textId="77777777" w:rsidR="00E55EF4" w:rsidRPr="001C79F2" w:rsidRDefault="00E55EF4" w:rsidP="00472B3D">
            <w:pPr>
              <w:spacing w:after="0" w:line="360" w:lineRule="auto"/>
              <w:rPr>
                <w:rFonts w:ascii="Arial" w:eastAsia="Times New Roman" w:hAnsi="Arial" w:cs="Arial"/>
                <w:kern w:val="0"/>
                <w14:ligatures w14:val="none"/>
              </w:rPr>
            </w:pPr>
            <w:r w:rsidRPr="001C79F2">
              <w:rPr>
                <w:rFonts w:ascii="Arial" w:eastAsia="Times New Roman" w:hAnsi="Arial" w:cs="Arial"/>
                <w:b/>
                <w:bCs/>
                <w:kern w:val="0"/>
                <w14:ligatures w14:val="none"/>
              </w:rPr>
              <w:t>Category</w:t>
            </w:r>
          </w:p>
        </w:tc>
        <w:tc>
          <w:tcPr>
            <w:tcW w:w="0" w:type="auto"/>
            <w:tcBorders>
              <w:top w:val="single" w:sz="6" w:space="0" w:color="auto"/>
              <w:left w:val="single" w:sz="6" w:space="0" w:color="auto"/>
              <w:bottom w:val="single" w:sz="6" w:space="0" w:color="auto"/>
              <w:right w:val="single" w:sz="6" w:space="0" w:color="auto"/>
            </w:tcBorders>
            <w:shd w:val="clear" w:color="auto" w:fill="D86DCB" w:themeFill="accent5" w:themeFillTint="99"/>
            <w:vAlign w:val="center"/>
            <w:hideMark/>
          </w:tcPr>
          <w:p w14:paraId="7F0A366F" w14:textId="77777777" w:rsidR="00E55EF4" w:rsidRPr="001C79F2" w:rsidRDefault="00E55EF4" w:rsidP="00472B3D">
            <w:pPr>
              <w:spacing w:after="0" w:line="360" w:lineRule="auto"/>
              <w:rPr>
                <w:rFonts w:ascii="Arial" w:eastAsia="Times New Roman" w:hAnsi="Arial" w:cs="Arial"/>
                <w:kern w:val="0"/>
                <w14:ligatures w14:val="none"/>
              </w:rPr>
            </w:pPr>
            <w:r w:rsidRPr="001C79F2">
              <w:rPr>
                <w:rFonts w:ascii="Arial" w:eastAsia="Times New Roman" w:hAnsi="Arial" w:cs="Arial"/>
                <w:b/>
                <w:bCs/>
                <w:kern w:val="0"/>
                <w14:ligatures w14:val="none"/>
              </w:rPr>
              <w:t>Analysis in MSFT Context (2005-2009)</w:t>
            </w:r>
          </w:p>
        </w:tc>
        <w:tc>
          <w:tcPr>
            <w:tcW w:w="0" w:type="auto"/>
            <w:tcBorders>
              <w:top w:val="single" w:sz="6" w:space="0" w:color="auto"/>
              <w:left w:val="single" w:sz="6" w:space="0" w:color="auto"/>
              <w:bottom w:val="single" w:sz="6" w:space="0" w:color="auto"/>
              <w:right w:val="single" w:sz="6" w:space="0" w:color="auto"/>
            </w:tcBorders>
            <w:shd w:val="clear" w:color="auto" w:fill="D86DCB" w:themeFill="accent5" w:themeFillTint="99"/>
            <w:vAlign w:val="center"/>
            <w:hideMark/>
          </w:tcPr>
          <w:p w14:paraId="45D74C71" w14:textId="77777777" w:rsidR="00E55EF4" w:rsidRPr="001C79F2" w:rsidRDefault="00E55EF4" w:rsidP="00472B3D">
            <w:pPr>
              <w:spacing w:after="0" w:line="360" w:lineRule="auto"/>
              <w:rPr>
                <w:rFonts w:ascii="Arial" w:eastAsia="Times New Roman" w:hAnsi="Arial" w:cs="Arial"/>
                <w:kern w:val="0"/>
                <w14:ligatures w14:val="none"/>
              </w:rPr>
            </w:pPr>
            <w:r w:rsidRPr="001C79F2">
              <w:rPr>
                <w:rFonts w:ascii="Arial" w:eastAsia="Times New Roman" w:hAnsi="Arial" w:cs="Arial"/>
                <w:b/>
                <w:bCs/>
                <w:kern w:val="0"/>
                <w14:ligatures w14:val="none"/>
              </w:rPr>
              <w:t>Rationale/Theory</w:t>
            </w:r>
          </w:p>
        </w:tc>
      </w:tr>
      <w:tr w:rsidR="00E55EF4" w:rsidRPr="00E843D6" w14:paraId="1D19E6A2" w14:textId="77777777" w:rsidTr="00AA26FE">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vAlign w:val="center"/>
            <w:hideMark/>
          </w:tcPr>
          <w:p w14:paraId="5BF4663A"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Strengths (Internal)</w:t>
            </w:r>
          </w:p>
        </w:tc>
        <w:tc>
          <w:tcPr>
            <w:tcW w:w="0" w:type="auto"/>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4A029A68"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Financial Efficiency Drive:</w:t>
            </w:r>
            <w:r w:rsidRPr="00E843D6">
              <w:rPr>
                <w:rFonts w:ascii="Arial" w:eastAsia="Times New Roman" w:hAnsi="Arial" w:cs="Arial"/>
                <w:kern w:val="0"/>
                <w:sz w:val="20"/>
                <w:szCs w:val="20"/>
                <w14:ligatures w14:val="none"/>
              </w:rPr>
              <w:t xml:space="preserve"> Success in cutting costs and improving financial metrics.</w:t>
            </w:r>
          </w:p>
        </w:tc>
        <w:tc>
          <w:tcPr>
            <w:tcW w:w="0" w:type="auto"/>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60EA71BA" w14:textId="5527A4C3" w:rsidR="00E55EF4" w:rsidRPr="00E843D6" w:rsidRDefault="00E55EF4" w:rsidP="00472B3D">
            <w:pPr>
              <w:spacing w:after="0" w:line="360" w:lineRule="auto"/>
              <w:rPr>
                <w:rFonts w:ascii="Arial" w:eastAsia="Times New Roman" w:hAnsi="Arial" w:cs="Arial"/>
                <w:kern w:val="0"/>
                <w:sz w:val="20"/>
                <w:szCs w:val="20"/>
                <w14:ligatures w14:val="none"/>
              </w:rPr>
            </w:pPr>
            <w:r w:rsidRPr="00D657BF">
              <w:rPr>
                <w:rFonts w:ascii="Arial" w:eastAsia="Times New Roman" w:hAnsi="Arial" w:cs="Arial"/>
                <w:b/>
                <w:bCs/>
                <w:kern w:val="0"/>
                <w:sz w:val="20"/>
                <w:szCs w:val="20"/>
                <w14:ligatures w14:val="none"/>
              </w:rPr>
              <w:t>Theory</w:t>
            </w:r>
            <w:r w:rsidRPr="00E843D6">
              <w:rPr>
                <w:rFonts w:ascii="Arial" w:eastAsia="Times New Roman" w:hAnsi="Arial" w:cs="Arial"/>
                <w:i/>
                <w:iCs/>
                <w:kern w:val="0"/>
                <w:sz w:val="20"/>
                <w:szCs w:val="20"/>
                <w14:ligatures w14:val="none"/>
              </w:rPr>
              <w:t>:</w:t>
            </w:r>
            <w:r w:rsidRPr="00E843D6">
              <w:rPr>
                <w:rFonts w:ascii="Arial" w:eastAsia="Times New Roman" w:hAnsi="Arial" w:cs="Arial"/>
                <w:kern w:val="0"/>
                <w:sz w:val="20"/>
                <w:szCs w:val="20"/>
                <w14:ligatures w14:val="none"/>
              </w:rPr>
              <w:t xml:space="preserve"> Organisational focus on efficiency/resource optimisation, necessary for Foundation Trust status. This strength was pursued </w:t>
            </w:r>
            <w:r w:rsidRPr="00E843D6">
              <w:rPr>
                <w:rFonts w:ascii="Arial" w:eastAsia="Times New Roman" w:hAnsi="Arial" w:cs="Arial"/>
                <w:i/>
                <w:iCs/>
                <w:kern w:val="0"/>
                <w:sz w:val="20"/>
                <w:szCs w:val="20"/>
                <w14:ligatures w14:val="none"/>
              </w:rPr>
              <w:t>to the exclusion</w:t>
            </w:r>
            <w:r w:rsidRPr="00E843D6">
              <w:rPr>
                <w:rFonts w:ascii="Arial" w:eastAsia="Times New Roman" w:hAnsi="Arial" w:cs="Arial"/>
                <w:kern w:val="0"/>
                <w:sz w:val="20"/>
                <w:szCs w:val="20"/>
                <w14:ligatures w14:val="none"/>
              </w:rPr>
              <w:t xml:space="preserve"> of safety (Learmonth &amp; Harding, 2017).</w:t>
            </w:r>
          </w:p>
        </w:tc>
      </w:tr>
      <w:tr w:rsidR="00E55EF4" w:rsidRPr="00E843D6" w14:paraId="3CFD4A17" w14:textId="77777777" w:rsidTr="00AA26FE">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vAlign w:val="center"/>
            <w:hideMark/>
          </w:tcPr>
          <w:p w14:paraId="05B18436" w14:textId="77777777" w:rsidR="00E55EF4" w:rsidRPr="00E843D6" w:rsidRDefault="00E55EF4" w:rsidP="00472B3D">
            <w:pPr>
              <w:spacing w:after="0" w:line="360" w:lineRule="auto"/>
              <w:rPr>
                <w:rFonts w:ascii="Arial" w:eastAsia="Times New Roman" w:hAnsi="Arial" w:cs="Arial"/>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0629B74E"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Foundation Trust Ambition:</w:t>
            </w:r>
            <w:r w:rsidRPr="00E843D6">
              <w:rPr>
                <w:rFonts w:ascii="Arial" w:eastAsia="Times New Roman" w:hAnsi="Arial" w:cs="Arial"/>
                <w:kern w:val="0"/>
                <w:sz w:val="20"/>
                <w:szCs w:val="20"/>
                <w14:ligatures w14:val="none"/>
              </w:rPr>
              <w:t xml:space="preserve"> Strong drive to achieve higher regulatory status and independence.</w:t>
            </w:r>
          </w:p>
        </w:tc>
        <w:tc>
          <w:tcPr>
            <w:tcW w:w="0" w:type="auto"/>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0969DAD8"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D657BF">
              <w:rPr>
                <w:rFonts w:ascii="Arial" w:eastAsia="Times New Roman" w:hAnsi="Arial" w:cs="Arial"/>
                <w:b/>
                <w:bCs/>
                <w:kern w:val="0"/>
                <w:sz w:val="20"/>
                <w:szCs w:val="20"/>
                <w14:ligatures w14:val="none"/>
              </w:rPr>
              <w:t>Theory:</w:t>
            </w:r>
            <w:r w:rsidRPr="00E843D6">
              <w:rPr>
                <w:rFonts w:ascii="Arial" w:eastAsia="Times New Roman" w:hAnsi="Arial" w:cs="Arial"/>
                <w:kern w:val="0"/>
                <w:sz w:val="20"/>
                <w:szCs w:val="20"/>
                <w14:ligatures w14:val="none"/>
              </w:rPr>
              <w:t xml:space="preserve"> Motivation to achieve higher governance standards (albeit misused).</w:t>
            </w:r>
          </w:p>
        </w:tc>
      </w:tr>
      <w:tr w:rsidR="00E55EF4" w:rsidRPr="00E843D6" w14:paraId="183421AE" w14:textId="77777777" w:rsidTr="00AA26FE">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C1F0C7" w:themeFill="accent3" w:themeFillTint="33"/>
            <w:vAlign w:val="center"/>
            <w:hideMark/>
          </w:tcPr>
          <w:p w14:paraId="5C1021FB"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Weaknesses (Internal)</w:t>
            </w:r>
          </w:p>
        </w:tc>
        <w:tc>
          <w:tcPr>
            <w:tcW w:w="0" w:type="auto"/>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hideMark/>
          </w:tcPr>
          <w:p w14:paraId="71F47AEA"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Toxic Culture:</w:t>
            </w:r>
            <w:r w:rsidRPr="00E843D6">
              <w:rPr>
                <w:rFonts w:ascii="Arial" w:eastAsia="Times New Roman" w:hAnsi="Arial" w:cs="Arial"/>
                <w:kern w:val="0"/>
                <w:sz w:val="20"/>
                <w:szCs w:val="20"/>
                <w14:ligatures w14:val="none"/>
              </w:rPr>
              <w:t xml:space="preserve"> Culture of denial, secrecy, and fear. </w:t>
            </w:r>
            <w:r w:rsidRPr="00E843D6">
              <w:rPr>
                <w:rFonts w:ascii="Arial" w:eastAsia="Times New Roman" w:hAnsi="Arial" w:cs="Arial"/>
                <w:b/>
                <w:bCs/>
                <w:kern w:val="0"/>
                <w:sz w:val="20"/>
                <w:szCs w:val="20"/>
                <w14:ligatures w14:val="none"/>
              </w:rPr>
              <w:t>Poor Clinical Governance:</w:t>
            </w:r>
            <w:r w:rsidRPr="00E843D6">
              <w:rPr>
                <w:rFonts w:ascii="Arial" w:eastAsia="Times New Roman" w:hAnsi="Arial" w:cs="Arial"/>
                <w:kern w:val="0"/>
                <w:sz w:val="20"/>
                <w:szCs w:val="20"/>
                <w14:ligatures w14:val="none"/>
              </w:rPr>
              <w:t xml:space="preserve"> Absence of effective quality oversight at the board level. </w:t>
            </w:r>
            <w:r w:rsidRPr="00E843D6">
              <w:rPr>
                <w:rFonts w:ascii="Arial" w:eastAsia="Times New Roman" w:hAnsi="Arial" w:cs="Arial"/>
                <w:b/>
                <w:bCs/>
                <w:kern w:val="0"/>
                <w:sz w:val="20"/>
                <w:szCs w:val="20"/>
                <w14:ligatures w14:val="none"/>
              </w:rPr>
              <w:t>Chronic Understaffing:</w:t>
            </w:r>
            <w:r w:rsidRPr="00E843D6">
              <w:rPr>
                <w:rFonts w:ascii="Arial" w:eastAsia="Times New Roman" w:hAnsi="Arial" w:cs="Arial"/>
                <w:kern w:val="0"/>
                <w:sz w:val="20"/>
                <w:szCs w:val="20"/>
                <w14:ligatures w14:val="none"/>
              </w:rPr>
              <w:t xml:space="preserve"> Dangerously low nurse/doctor ratios.</w:t>
            </w:r>
          </w:p>
        </w:tc>
        <w:tc>
          <w:tcPr>
            <w:tcW w:w="0" w:type="auto"/>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hideMark/>
          </w:tcPr>
          <w:p w14:paraId="4B1C4FF4"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58423A">
              <w:rPr>
                <w:rFonts w:ascii="Arial" w:eastAsia="Times New Roman" w:hAnsi="Arial" w:cs="Arial"/>
                <w:b/>
                <w:bCs/>
                <w:i/>
                <w:iCs/>
                <w:kern w:val="0"/>
                <w:sz w:val="20"/>
                <w:szCs w:val="20"/>
                <w14:ligatures w14:val="none"/>
              </w:rPr>
              <w:t>Theory:</w:t>
            </w:r>
            <w:r w:rsidRPr="00E843D6">
              <w:rPr>
                <w:rFonts w:ascii="Arial" w:eastAsia="Times New Roman" w:hAnsi="Arial" w:cs="Arial"/>
                <w:kern w:val="0"/>
                <w:sz w:val="20"/>
                <w:szCs w:val="20"/>
                <w14:ligatures w14:val="none"/>
              </w:rPr>
              <w:t xml:space="preserve"> Fundamental failures in </w:t>
            </w:r>
            <w:r w:rsidRPr="0058423A">
              <w:rPr>
                <w:rFonts w:ascii="Arial" w:eastAsia="Times New Roman" w:hAnsi="Arial" w:cs="Arial"/>
                <w:kern w:val="0"/>
                <w:sz w:val="20"/>
                <w:szCs w:val="20"/>
                <w14:ligatures w14:val="none"/>
              </w:rPr>
              <w:t>Organisational Behaviour and Leadership Theory</w:t>
            </w:r>
            <w:r w:rsidRPr="00E843D6">
              <w:rPr>
                <w:rFonts w:ascii="Arial" w:eastAsia="Times New Roman" w:hAnsi="Arial" w:cs="Arial"/>
                <w:kern w:val="0"/>
                <w:sz w:val="20"/>
                <w:szCs w:val="20"/>
                <w14:ligatures w14:val="none"/>
              </w:rPr>
              <w:t xml:space="preserve"> (Francis, 2013; West et al., 2015).</w:t>
            </w:r>
          </w:p>
        </w:tc>
      </w:tr>
      <w:tr w:rsidR="00E55EF4" w:rsidRPr="00E843D6" w14:paraId="42CBF9C8" w14:textId="77777777" w:rsidTr="00AA26FE">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E59EDC" w:themeFill="accent5" w:themeFillTint="66"/>
            <w:vAlign w:val="center"/>
            <w:hideMark/>
          </w:tcPr>
          <w:p w14:paraId="22FCC21E"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Opportunities (External)</w:t>
            </w:r>
          </w:p>
        </w:tc>
        <w:tc>
          <w:tcPr>
            <w:tcW w:w="0" w:type="auto"/>
            <w:tcBorders>
              <w:top w:val="single" w:sz="6" w:space="0" w:color="auto"/>
              <w:left w:val="single" w:sz="6" w:space="0" w:color="auto"/>
              <w:bottom w:val="single" w:sz="6" w:space="0" w:color="auto"/>
              <w:right w:val="single" w:sz="6" w:space="0" w:color="auto"/>
            </w:tcBorders>
            <w:shd w:val="clear" w:color="auto" w:fill="F2CEED" w:themeFill="accent5" w:themeFillTint="33"/>
            <w:vAlign w:val="center"/>
            <w:hideMark/>
          </w:tcPr>
          <w:p w14:paraId="55AFAB53"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Foundation Trust Status:</w:t>
            </w:r>
            <w:r w:rsidRPr="00E843D6">
              <w:rPr>
                <w:rFonts w:ascii="Arial" w:eastAsia="Times New Roman" w:hAnsi="Arial" w:cs="Arial"/>
                <w:kern w:val="0"/>
                <w:sz w:val="20"/>
                <w:szCs w:val="20"/>
                <w14:ligatures w14:val="none"/>
              </w:rPr>
              <w:t xml:space="preserve"> Potential for greater operational freedom and local responsiveness. </w:t>
            </w:r>
            <w:r w:rsidRPr="00E843D6">
              <w:rPr>
                <w:rFonts w:ascii="Arial" w:eastAsia="Times New Roman" w:hAnsi="Arial" w:cs="Arial"/>
                <w:b/>
                <w:bCs/>
                <w:kern w:val="0"/>
                <w:sz w:val="20"/>
                <w:szCs w:val="20"/>
                <w14:ligatures w14:val="none"/>
              </w:rPr>
              <w:t>NHS Funding (General):</w:t>
            </w:r>
            <w:r w:rsidRPr="00E843D6">
              <w:rPr>
                <w:rFonts w:ascii="Arial" w:eastAsia="Times New Roman" w:hAnsi="Arial" w:cs="Arial"/>
                <w:kern w:val="0"/>
                <w:sz w:val="20"/>
                <w:szCs w:val="20"/>
                <w14:ligatures w14:val="none"/>
              </w:rPr>
              <w:t xml:space="preserve"> Available, though constrained, funding for care.</w:t>
            </w:r>
          </w:p>
        </w:tc>
        <w:tc>
          <w:tcPr>
            <w:tcW w:w="0" w:type="auto"/>
            <w:tcBorders>
              <w:top w:val="single" w:sz="6" w:space="0" w:color="auto"/>
              <w:left w:val="single" w:sz="6" w:space="0" w:color="auto"/>
              <w:bottom w:val="single" w:sz="6" w:space="0" w:color="auto"/>
              <w:right w:val="single" w:sz="6" w:space="0" w:color="auto"/>
            </w:tcBorders>
            <w:shd w:val="clear" w:color="auto" w:fill="F2CEED" w:themeFill="accent5" w:themeFillTint="33"/>
            <w:vAlign w:val="center"/>
            <w:hideMark/>
          </w:tcPr>
          <w:p w14:paraId="4F4C725B"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58423A">
              <w:rPr>
                <w:rFonts w:ascii="Arial" w:eastAsia="Times New Roman" w:hAnsi="Arial" w:cs="Arial"/>
                <w:b/>
                <w:bCs/>
                <w:kern w:val="0"/>
                <w:sz w:val="20"/>
                <w:szCs w:val="20"/>
                <w14:ligatures w14:val="none"/>
              </w:rPr>
              <w:t>Theory:</w:t>
            </w:r>
            <w:r w:rsidRPr="00E843D6">
              <w:rPr>
                <w:rFonts w:ascii="Arial" w:eastAsia="Times New Roman" w:hAnsi="Arial" w:cs="Arial"/>
                <w:kern w:val="0"/>
                <w:sz w:val="20"/>
                <w:szCs w:val="20"/>
                <w14:ligatures w14:val="none"/>
              </w:rPr>
              <w:t xml:space="preserve"> Potential for strategic growth and leveraging of autonomy (Francis, 2013).</w:t>
            </w:r>
          </w:p>
        </w:tc>
      </w:tr>
      <w:tr w:rsidR="00E55EF4" w:rsidRPr="00E843D6" w14:paraId="18C65B76" w14:textId="77777777" w:rsidTr="00C43CF7">
        <w:trPr>
          <w:trHeight w:val="3019"/>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F6C5AC" w:themeFill="accent2" w:themeFillTint="66"/>
            <w:vAlign w:val="center"/>
            <w:hideMark/>
          </w:tcPr>
          <w:p w14:paraId="263A36A3"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Threats (External)</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vAlign w:val="center"/>
            <w:hideMark/>
          </w:tcPr>
          <w:p w14:paraId="224EE1E9"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E843D6">
              <w:rPr>
                <w:rFonts w:ascii="Arial" w:eastAsia="Times New Roman" w:hAnsi="Arial" w:cs="Arial"/>
                <w:b/>
                <w:bCs/>
                <w:kern w:val="0"/>
                <w:sz w:val="20"/>
                <w:szCs w:val="20"/>
                <w14:ligatures w14:val="none"/>
              </w:rPr>
              <w:t>Weak Regulatory Oversight:</w:t>
            </w:r>
            <w:r w:rsidRPr="00E843D6">
              <w:rPr>
                <w:rFonts w:ascii="Arial" w:eastAsia="Times New Roman" w:hAnsi="Arial" w:cs="Arial"/>
                <w:kern w:val="0"/>
                <w:sz w:val="20"/>
                <w:szCs w:val="20"/>
                <w14:ligatures w14:val="none"/>
              </w:rPr>
              <w:t xml:space="preserve"> Healthcare Commission (pre-CQC) and Strategic Health Authority failed to act on warning signs. </w:t>
            </w:r>
            <w:r w:rsidRPr="00E843D6">
              <w:rPr>
                <w:rFonts w:ascii="Arial" w:eastAsia="Times New Roman" w:hAnsi="Arial" w:cs="Arial"/>
                <w:b/>
                <w:bCs/>
                <w:kern w:val="0"/>
                <w:sz w:val="20"/>
                <w:szCs w:val="20"/>
                <w14:ligatures w14:val="none"/>
              </w:rPr>
              <w:t>Systemic Cost-Reduction Pressure:</w:t>
            </w:r>
            <w:r w:rsidRPr="00E843D6">
              <w:rPr>
                <w:rFonts w:ascii="Arial" w:eastAsia="Times New Roman" w:hAnsi="Arial" w:cs="Arial"/>
                <w:kern w:val="0"/>
                <w:sz w:val="20"/>
                <w:szCs w:val="20"/>
                <w14:ligatures w14:val="none"/>
              </w:rPr>
              <w:t xml:space="preserve"> General NHS environment favoured financial prudence post-2005. </w:t>
            </w:r>
            <w:r w:rsidRPr="00E843D6">
              <w:rPr>
                <w:rFonts w:ascii="Arial" w:eastAsia="Times New Roman" w:hAnsi="Arial" w:cs="Arial"/>
                <w:b/>
                <w:bCs/>
                <w:kern w:val="0"/>
                <w:sz w:val="20"/>
                <w:szCs w:val="20"/>
                <w14:ligatures w14:val="none"/>
              </w:rPr>
              <w:t>Negative Media Attention:</w:t>
            </w:r>
            <w:r w:rsidRPr="00E843D6">
              <w:rPr>
                <w:rFonts w:ascii="Arial" w:eastAsia="Times New Roman" w:hAnsi="Arial" w:cs="Arial"/>
                <w:kern w:val="0"/>
                <w:sz w:val="20"/>
                <w:szCs w:val="20"/>
                <w14:ligatures w14:val="none"/>
              </w:rPr>
              <w:t xml:space="preserve"> Once revealed, risk of reputational collapse.</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vAlign w:val="center"/>
            <w:hideMark/>
          </w:tcPr>
          <w:p w14:paraId="473D6130" w14:textId="77777777" w:rsidR="00E55EF4" w:rsidRPr="00E843D6" w:rsidRDefault="00E55EF4" w:rsidP="00472B3D">
            <w:pPr>
              <w:spacing w:after="0" w:line="360" w:lineRule="auto"/>
              <w:rPr>
                <w:rFonts w:ascii="Arial" w:eastAsia="Times New Roman" w:hAnsi="Arial" w:cs="Arial"/>
                <w:kern w:val="0"/>
                <w:sz w:val="20"/>
                <w:szCs w:val="20"/>
                <w14:ligatures w14:val="none"/>
              </w:rPr>
            </w:pPr>
            <w:r w:rsidRPr="0058423A">
              <w:rPr>
                <w:rFonts w:ascii="Arial" w:eastAsia="Times New Roman" w:hAnsi="Arial" w:cs="Arial"/>
                <w:b/>
                <w:bCs/>
                <w:kern w:val="0"/>
                <w:sz w:val="20"/>
                <w:szCs w:val="20"/>
                <w14:ligatures w14:val="none"/>
              </w:rPr>
              <w:t>Theory:</w:t>
            </w:r>
            <w:r w:rsidRPr="00E843D6">
              <w:rPr>
                <w:rFonts w:ascii="Arial" w:eastAsia="Times New Roman" w:hAnsi="Arial" w:cs="Arial"/>
                <w:kern w:val="0"/>
                <w:sz w:val="20"/>
                <w:szCs w:val="20"/>
                <w14:ligatures w14:val="none"/>
              </w:rPr>
              <w:t xml:space="preserve"> </w:t>
            </w:r>
            <w:r w:rsidRPr="00E843D6">
              <w:rPr>
                <w:rFonts w:ascii="Arial" w:eastAsia="Times New Roman" w:hAnsi="Arial" w:cs="Arial"/>
                <w:b/>
                <w:bCs/>
                <w:kern w:val="0"/>
                <w:sz w:val="20"/>
                <w:szCs w:val="20"/>
                <w14:ligatures w14:val="none"/>
              </w:rPr>
              <w:t>Institutional Theory</w:t>
            </w:r>
            <w:r w:rsidRPr="00E843D6">
              <w:rPr>
                <w:rFonts w:ascii="Arial" w:eastAsia="Times New Roman" w:hAnsi="Arial" w:cs="Arial"/>
                <w:kern w:val="0"/>
                <w:sz w:val="20"/>
                <w:szCs w:val="20"/>
                <w14:ligatures w14:val="none"/>
              </w:rPr>
              <w:t xml:space="preserve"> suggests external regulatory bodies failed to enforce quality norms effectively (Learmonth &amp; Harding, 2017).</w:t>
            </w:r>
          </w:p>
        </w:tc>
      </w:tr>
    </w:tbl>
    <w:p w14:paraId="33014937" w14:textId="77777777" w:rsidR="00184D98" w:rsidRPr="00E843D6" w:rsidRDefault="00184D98" w:rsidP="00E843D6">
      <w:pPr>
        <w:spacing w:after="100" w:afterAutospacing="1" w:line="360" w:lineRule="auto"/>
        <w:rPr>
          <w:rFonts w:ascii="Arial" w:eastAsia="Times New Roman" w:hAnsi="Arial" w:cs="Arial"/>
          <w:kern w:val="0"/>
          <w14:ligatures w14:val="none"/>
        </w:rPr>
      </w:pPr>
    </w:p>
    <w:p w14:paraId="78629276" w14:textId="77777777" w:rsidR="00184D98" w:rsidRPr="00E843D6" w:rsidRDefault="00184D98" w:rsidP="00E843D6">
      <w:pPr>
        <w:spacing w:after="100" w:afterAutospacing="1" w:line="360" w:lineRule="auto"/>
        <w:rPr>
          <w:rFonts w:ascii="Arial" w:eastAsia="Times New Roman" w:hAnsi="Arial" w:cs="Arial"/>
          <w:kern w:val="0"/>
          <w14:ligatures w14:val="none"/>
        </w:rPr>
      </w:pPr>
    </w:p>
    <w:p w14:paraId="487AF1E6" w14:textId="28958D9C" w:rsidR="00274323" w:rsidRPr="00E843D6" w:rsidRDefault="00E55EF4" w:rsidP="006F3770">
      <w:pPr>
        <w:spacing w:after="100" w:afterAutospacing="1" w:line="360" w:lineRule="auto"/>
        <w:rPr>
          <w:rFonts w:ascii="Arial" w:eastAsia="Times New Roman" w:hAnsi="Arial" w:cs="Arial"/>
          <w:kern w:val="0"/>
          <w14:ligatures w14:val="none"/>
        </w:rPr>
      </w:pPr>
      <w:r w:rsidRPr="009E2B55">
        <w:rPr>
          <w:rFonts w:ascii="Arial" w:eastAsia="Times New Roman" w:hAnsi="Arial" w:cs="Arial"/>
          <w:kern w:val="0"/>
          <w14:ligatures w14:val="none"/>
        </w:rPr>
        <w:lastRenderedPageBreak/>
        <w:t>The application of these models provides a clear rationale for selecting the root causes. The Fishbone provides a comprehensive map of causal factors, from staffing (Manpower) to data failure (Measurement). The Donabedian Model confirms the systemic failure across all three quality dimensions. Finally, the SWOT Analysis demonstrates that internal weaknesses (toxic culture, understaffing) were exacerbated by external threats (weak regulation) and that a singular, misdirected strength (financial efficiency) ultimately led to the crisis. The core issue is identified as a failure of governance and culture, where financial and political goals overshadowed the fundamental imperative of patient safety (Francis, 2013; Keogh, 2013)</w:t>
      </w:r>
      <w:r w:rsidR="00274323" w:rsidRPr="009E2B55">
        <w:rPr>
          <w:rFonts w:ascii="Arial" w:eastAsia="Times New Roman" w:hAnsi="Arial" w:cs="Arial"/>
          <w:kern w:val="0"/>
          <w14:ligatures w14:val="none"/>
        </w:rPr>
        <w:t>.</w:t>
      </w:r>
    </w:p>
    <w:p w14:paraId="6D5950E5" w14:textId="39120CF0" w:rsidR="00E55EF4" w:rsidRDefault="00E55EF4" w:rsidP="006F3770">
      <w:pPr>
        <w:pStyle w:val="Heading1"/>
      </w:pPr>
      <w:bookmarkStart w:id="26" w:name="_Toc215125290"/>
      <w:r w:rsidRPr="00E843D6">
        <w:t>Recommendation: Evidence-Based Quality Improvement</w:t>
      </w:r>
      <w:r w:rsidR="00A3665D">
        <w:t>.</w:t>
      </w:r>
      <w:bookmarkEnd w:id="26"/>
    </w:p>
    <w:p w14:paraId="23D4E008" w14:textId="77777777" w:rsidR="009E2B55" w:rsidRPr="009E2B55" w:rsidRDefault="009E2B55" w:rsidP="006F3770"/>
    <w:p w14:paraId="16814021" w14:textId="77777777" w:rsidR="00E55EF4" w:rsidRPr="009E2B55" w:rsidRDefault="00E55EF4" w:rsidP="006F3770">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 xml:space="preserve">The analysis confirms that the quality failures at MSFT were rooted in a toxic culture, chronic understaffing, and a severe lack of quality oversight. Recommendations must therefore be systemic and employ recognised quality improvement (QI) tools to ensure effective, sustained change. The focus will be on the critical areas </w:t>
      </w:r>
      <w:r w:rsidRPr="009E2B55">
        <w:rPr>
          <w:rFonts w:ascii="Arial" w:eastAsia="Times New Roman" w:hAnsi="Arial" w:cs="Arial"/>
          <w:kern w:val="0"/>
          <w14:ligatures w14:val="none"/>
        </w:rPr>
        <w:t>of Culture, Staffing/Resources, and Governance.</w:t>
      </w:r>
    </w:p>
    <w:p w14:paraId="7785EADB" w14:textId="43A1D6CE" w:rsidR="00E55EF4" w:rsidRPr="00E843D6" w:rsidRDefault="00E55EF4" w:rsidP="006F3770">
      <w:pPr>
        <w:pStyle w:val="Heading2"/>
        <w:jc w:val="both"/>
      </w:pPr>
      <w:bookmarkStart w:id="27" w:name="_Toc215125291"/>
      <w:r w:rsidRPr="00E843D6">
        <w:t>Recommendation 1: Cultivating a Safety-First Culture (Lean/Six Sigma)</w:t>
      </w:r>
      <w:bookmarkEnd w:id="27"/>
    </w:p>
    <w:p w14:paraId="678FCE97" w14:textId="77777777" w:rsidR="00E55EF4" w:rsidRPr="00E843D6" w:rsidRDefault="00E55EF4" w:rsidP="006F3770">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 xml:space="preserve">The MSFT failure was fundamentally a cultural one, characterised by fear and silence. The recommendation is to implement </w:t>
      </w:r>
      <w:r w:rsidRPr="0058423A">
        <w:rPr>
          <w:rFonts w:ascii="Arial" w:eastAsia="Times New Roman" w:hAnsi="Arial" w:cs="Arial"/>
          <w:kern w:val="0"/>
          <w14:ligatures w14:val="none"/>
        </w:rPr>
        <w:t>a Zero Harm Culture</w:t>
      </w:r>
      <w:r w:rsidRPr="00E843D6">
        <w:rPr>
          <w:rFonts w:ascii="Arial" w:eastAsia="Times New Roman" w:hAnsi="Arial" w:cs="Arial"/>
          <w:kern w:val="0"/>
          <w14:ligatures w14:val="none"/>
        </w:rPr>
        <w:t xml:space="preserve"> supported by principles from </w:t>
      </w:r>
      <w:r w:rsidRPr="0058423A">
        <w:rPr>
          <w:rFonts w:ascii="Arial" w:eastAsia="Times New Roman" w:hAnsi="Arial" w:cs="Arial"/>
          <w:kern w:val="0"/>
          <w14:ligatures w14:val="none"/>
        </w:rPr>
        <w:t>Lean and Six Sigma.</w:t>
      </w:r>
    </w:p>
    <w:p w14:paraId="2AC5B987" w14:textId="7CD3B3F6" w:rsidR="000B6245" w:rsidRPr="00E843D6" w:rsidRDefault="00E55EF4" w:rsidP="006F3770">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Goal:</w:t>
      </w:r>
      <w:r w:rsidRPr="00E843D6">
        <w:rPr>
          <w:rFonts w:ascii="Arial" w:eastAsia="Times New Roman" w:hAnsi="Arial" w:cs="Arial"/>
          <w:kern w:val="0"/>
          <w14:ligatures w14:val="none"/>
        </w:rPr>
        <w:t xml:space="preserve"> Establish a non-punitive environment where errors are seen as opportunities for systemic improvement, not individual blame.</w:t>
      </w:r>
    </w:p>
    <w:p w14:paraId="5BAC1BB8" w14:textId="1FCC5CDB" w:rsidR="000B6245" w:rsidRPr="00E843D6" w:rsidRDefault="00E55EF4" w:rsidP="006F3770">
      <w:pPr>
        <w:pStyle w:val="Heading2"/>
        <w:jc w:val="both"/>
      </w:pPr>
      <w:bookmarkStart w:id="28" w:name="_Toc215125292"/>
      <w:r w:rsidRPr="00E843D6">
        <w:t xml:space="preserve">Lean (Value Stream Mapping &amp; Waste Reduction) and Six Sigma (Define, Measure, </w:t>
      </w:r>
      <w:r w:rsidR="000B6245" w:rsidRPr="00E843D6">
        <w:t>Analyse</w:t>
      </w:r>
      <w:r w:rsidRPr="00E843D6">
        <w:t>, Improve, Control – DMAIC).</w:t>
      </w:r>
      <w:bookmarkEnd w:id="28"/>
    </w:p>
    <w:p w14:paraId="6020EC33" w14:textId="77777777" w:rsidR="00E55EF4" w:rsidRPr="006D787B" w:rsidRDefault="00E55EF4" w:rsidP="006F3770">
      <w:pPr>
        <w:pStyle w:val="Heading3"/>
        <w:jc w:val="both"/>
      </w:pPr>
      <w:bookmarkStart w:id="29" w:name="_Toc215125293"/>
      <w:r w:rsidRPr="006D787B">
        <w:t>Actionable Steps:</w:t>
      </w:r>
      <w:bookmarkEnd w:id="29"/>
    </w:p>
    <w:p w14:paraId="6A1239D7" w14:textId="77777777" w:rsidR="00E55EF4" w:rsidRPr="006D787B" w:rsidRDefault="00E55EF4" w:rsidP="006F3770">
      <w:pPr>
        <w:spacing w:after="100" w:afterAutospacing="1" w:line="360" w:lineRule="auto"/>
        <w:jc w:val="both"/>
        <w:rPr>
          <w:rFonts w:ascii="Arial" w:eastAsia="Times New Roman" w:hAnsi="Arial" w:cs="Arial"/>
          <w:kern w:val="0"/>
          <w14:ligatures w14:val="none"/>
        </w:rPr>
      </w:pPr>
      <w:r w:rsidRPr="0038584F">
        <w:rPr>
          <w:rFonts w:ascii="Arial" w:eastAsia="Times New Roman" w:hAnsi="Arial" w:cs="Arial"/>
          <w:b/>
          <w:bCs/>
          <w:kern w:val="0"/>
          <w14:ligatures w14:val="none"/>
        </w:rPr>
        <w:t>Eliminate Waste (Lean):</w:t>
      </w:r>
      <w:r w:rsidRPr="006D787B">
        <w:rPr>
          <w:rFonts w:ascii="Arial" w:eastAsia="Times New Roman" w:hAnsi="Arial" w:cs="Arial"/>
          <w:kern w:val="0"/>
          <w14:ligatures w14:val="none"/>
        </w:rPr>
        <w:t xml:space="preserve"> Map the Value Stream for incident reporting and complaint handling. The "waste" at MSFT was the delay and failure to act on critical information. </w:t>
      </w:r>
      <w:r w:rsidRPr="006D787B">
        <w:rPr>
          <w:rFonts w:ascii="Arial" w:eastAsia="Times New Roman" w:hAnsi="Arial" w:cs="Arial"/>
          <w:kern w:val="0"/>
          <w14:ligatures w14:val="none"/>
        </w:rPr>
        <w:lastRenderedPageBreak/>
        <w:t>Streamline the process to ensure 100% immediate escalation of any high-risk incident or HSMR anomaly.</w:t>
      </w:r>
    </w:p>
    <w:p w14:paraId="5841DAB9" w14:textId="77777777" w:rsidR="00E55EF4" w:rsidRPr="00E843D6" w:rsidRDefault="00E55EF4" w:rsidP="006F3770">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Reduce Variation (Six Sigma):</w:t>
      </w:r>
      <w:r w:rsidRPr="00E843D6">
        <w:rPr>
          <w:rFonts w:ascii="Arial" w:eastAsia="Times New Roman" w:hAnsi="Arial" w:cs="Arial"/>
          <w:kern w:val="0"/>
          <w14:ligatures w14:val="none"/>
        </w:rPr>
        <w:t xml:space="preserve"> Implement a standardised, unit-wide safety checklist for basic care (e.g., hydration, pressure ulcer prevention) to achieve </w:t>
      </w:r>
      <w:r w:rsidRPr="0038584F">
        <w:rPr>
          <w:rFonts w:ascii="Arial" w:eastAsia="Times New Roman" w:hAnsi="Arial" w:cs="Arial"/>
          <w:kern w:val="0"/>
          <w14:ligatures w14:val="none"/>
        </w:rPr>
        <w:t>a Six Sigma level of consistency</w:t>
      </w:r>
      <w:r w:rsidRPr="00E843D6">
        <w:rPr>
          <w:rFonts w:ascii="Arial" w:eastAsia="Times New Roman" w:hAnsi="Arial" w:cs="Arial"/>
          <w:kern w:val="0"/>
          <w14:ligatures w14:val="none"/>
        </w:rPr>
        <w:t xml:space="preserve"> (3.4 defects per million opportunities). This eliminates variation in the basic care processes that failed at MSFT (Francis, 2013).</w:t>
      </w:r>
    </w:p>
    <w:p w14:paraId="7170E171" w14:textId="4171E5B3" w:rsidR="00E55EF4" w:rsidRPr="00E843D6" w:rsidRDefault="00E55EF4" w:rsidP="006F3770">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Sustained Improvement:</w:t>
      </w:r>
      <w:r w:rsidRPr="00E843D6">
        <w:rPr>
          <w:rFonts w:ascii="Arial" w:eastAsia="Times New Roman" w:hAnsi="Arial" w:cs="Arial"/>
          <w:kern w:val="0"/>
          <w14:ligatures w14:val="none"/>
        </w:rPr>
        <w:t xml:space="preserve"> Implement </w:t>
      </w:r>
      <w:r w:rsidRPr="0038584F">
        <w:rPr>
          <w:rFonts w:ascii="Arial" w:eastAsia="Times New Roman" w:hAnsi="Arial" w:cs="Arial"/>
          <w:kern w:val="0"/>
          <w14:ligatures w14:val="none"/>
        </w:rPr>
        <w:t>leadership 'walk rounds'</w:t>
      </w:r>
      <w:r w:rsidRPr="00E843D6">
        <w:rPr>
          <w:rFonts w:ascii="Arial" w:eastAsia="Times New Roman" w:hAnsi="Arial" w:cs="Arial"/>
          <w:kern w:val="0"/>
          <w14:ligatures w14:val="none"/>
        </w:rPr>
        <w:t xml:space="preserve"> where senior managers regularly engage with frontline staff to openly discuss safety issues, fostering trust and psychological safety, which is essential for a </w:t>
      </w:r>
      <w:r w:rsidRPr="00E843D6">
        <w:rPr>
          <w:rFonts w:ascii="Arial" w:eastAsia="Times New Roman" w:hAnsi="Arial" w:cs="Arial"/>
          <w:i/>
          <w:iCs/>
          <w:kern w:val="0"/>
          <w14:ligatures w14:val="none"/>
        </w:rPr>
        <w:t>Just Culture</w:t>
      </w:r>
      <w:r w:rsidRPr="00E843D6">
        <w:rPr>
          <w:rFonts w:ascii="Arial" w:eastAsia="Times New Roman" w:hAnsi="Arial" w:cs="Arial"/>
          <w:kern w:val="0"/>
          <w14:ligatures w14:val="none"/>
        </w:rPr>
        <w:t xml:space="preserve"> (Dekker, 2012).</w:t>
      </w:r>
      <w:r w:rsidR="00033201" w:rsidRPr="00E843D6">
        <w:rPr>
          <w:rFonts w:ascii="Arial" w:hAnsi="Arial" w:cs="Arial"/>
        </w:rPr>
        <w:t xml:space="preserve"> </w:t>
      </w:r>
      <w:r w:rsidR="00033201" w:rsidRPr="00E843D6">
        <w:rPr>
          <w:rFonts w:ascii="Arial" w:eastAsia="Times New Roman" w:hAnsi="Arial" w:cs="Arial"/>
          <w:kern w:val="0"/>
          <w14:ligatures w14:val="none"/>
        </w:rPr>
        <w:t>Develop a leadership development programme focused on patient-centred care and accountability (Kirkpatrick, 2016).</w:t>
      </w:r>
    </w:p>
    <w:p w14:paraId="12859E05" w14:textId="02D8B50E" w:rsidR="00E55EF4" w:rsidRPr="00C120E7" w:rsidRDefault="00E55EF4" w:rsidP="006F3770">
      <w:pPr>
        <w:pStyle w:val="Heading2"/>
      </w:pPr>
      <w:bookmarkStart w:id="30" w:name="_Toc215125294"/>
      <w:r w:rsidRPr="00C120E7">
        <w:t>Recommendation 2: Implementing Safe Staffing and Resource Allocation (PDSA/PDCA)</w:t>
      </w:r>
      <w:bookmarkEnd w:id="30"/>
    </w:p>
    <w:p w14:paraId="071D1C70" w14:textId="77777777" w:rsidR="0038584F" w:rsidRPr="0038584F" w:rsidRDefault="0038584F" w:rsidP="006F3770">
      <w:pPr>
        <w:jc w:val="both"/>
      </w:pPr>
    </w:p>
    <w:p w14:paraId="087CD0AB" w14:textId="5AF3AC05" w:rsidR="000B6245" w:rsidRDefault="00E55EF4" w:rsidP="006F3770">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Chronic understaffing was a direct cause of patient harm</w:t>
      </w:r>
      <w:r w:rsidR="005D7B6F" w:rsidRPr="00E843D6">
        <w:rPr>
          <w:rFonts w:ascii="Arial" w:hAnsi="Arial" w:cs="Arial"/>
        </w:rPr>
        <w:t xml:space="preserve"> NHS England. (2019)</w:t>
      </w:r>
      <w:r w:rsidRPr="00E843D6">
        <w:rPr>
          <w:rFonts w:ascii="Arial" w:eastAsia="Times New Roman" w:hAnsi="Arial" w:cs="Arial"/>
          <w:kern w:val="0"/>
          <w14:ligatures w14:val="none"/>
        </w:rPr>
        <w:t>. The recommendation is to use continuous quality cycles to ensure safe nurse-to-patient ratios are maintained, supported by robust evidence.</w:t>
      </w:r>
    </w:p>
    <w:p w14:paraId="17D2976E" w14:textId="77777777" w:rsidR="005B4C8D" w:rsidRDefault="005B4C8D" w:rsidP="005B4C8D">
      <w:pPr>
        <w:spacing w:after="100" w:afterAutospacing="1" w:line="360" w:lineRule="auto"/>
        <w:rPr>
          <w:rFonts w:ascii="Arial" w:eastAsia="Times New Roman" w:hAnsi="Arial" w:cs="Arial"/>
          <w:kern w:val="0"/>
          <w14:ligatures w14:val="none"/>
        </w:rPr>
      </w:pPr>
    </w:p>
    <w:p w14:paraId="212BF4DC" w14:textId="77777777" w:rsidR="005B4C8D" w:rsidRDefault="005B4C8D" w:rsidP="005B4C8D">
      <w:pPr>
        <w:spacing w:after="100" w:afterAutospacing="1" w:line="360" w:lineRule="auto"/>
        <w:rPr>
          <w:rFonts w:ascii="Arial" w:eastAsia="Times New Roman" w:hAnsi="Arial" w:cs="Arial"/>
          <w:kern w:val="0"/>
          <w14:ligatures w14:val="none"/>
        </w:rPr>
      </w:pPr>
    </w:p>
    <w:p w14:paraId="685EC622" w14:textId="77777777" w:rsidR="005B4C8D" w:rsidRDefault="005B4C8D" w:rsidP="005B4C8D">
      <w:pPr>
        <w:spacing w:after="100" w:afterAutospacing="1" w:line="360" w:lineRule="auto"/>
        <w:rPr>
          <w:rFonts w:ascii="Arial" w:eastAsia="Times New Roman" w:hAnsi="Arial" w:cs="Arial"/>
          <w:kern w:val="0"/>
          <w14:ligatures w14:val="none"/>
        </w:rPr>
      </w:pPr>
    </w:p>
    <w:p w14:paraId="2292443D" w14:textId="19BD1A62" w:rsidR="00E55EF4" w:rsidRPr="00E843D6" w:rsidRDefault="00E55EF4" w:rsidP="00C120E7">
      <w:pPr>
        <w:pStyle w:val="Heading2"/>
      </w:pPr>
      <w:bookmarkStart w:id="31" w:name="_Toc215125295"/>
      <w:r w:rsidRPr="00E843D6">
        <w:rPr>
          <w:b/>
          <w:bCs/>
        </w:rPr>
        <w:lastRenderedPageBreak/>
        <w:t xml:space="preserve">PDSA (Plan-Do-Study-Act) </w:t>
      </w:r>
      <w:r w:rsidRPr="00E843D6">
        <w:t>cycle for workforce planning.</w:t>
      </w:r>
      <w:bookmarkEnd w:id="31"/>
    </w:p>
    <w:p w14:paraId="24F5900C" w14:textId="69B3467E" w:rsidR="00CA76B7" w:rsidRPr="00FB5A6E" w:rsidRDefault="00AB684D" w:rsidP="000D311D">
      <w:pPr>
        <w:spacing w:after="100" w:afterAutospacing="1" w:line="360" w:lineRule="auto"/>
        <w:jc w:val="both"/>
        <w:rPr>
          <w:rFonts w:ascii="Arial" w:eastAsia="Times New Roman" w:hAnsi="Arial" w:cs="Arial"/>
          <w:color w:val="C00000"/>
          <w:kern w:val="0"/>
          <w14:ligatures w14:val="none"/>
        </w:rPr>
      </w:pPr>
      <w:r>
        <w:rPr>
          <w:rFonts w:ascii="Arial" w:eastAsia="Times New Roman" w:hAnsi="Arial" w:cs="Arial"/>
          <w:noProof/>
          <w:color w:val="C00000"/>
          <w:kern w:val="0"/>
        </w:rPr>
        <w:drawing>
          <wp:inline distT="0" distB="0" distL="0" distR="0" wp14:anchorId="0BBF8517" wp14:editId="3E28CA60">
            <wp:extent cx="5486400" cy="3200400"/>
            <wp:effectExtent l="0" t="0" r="0" b="0"/>
            <wp:docPr id="150545594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67CBE7" w14:textId="77777777" w:rsidR="00FF7CF7" w:rsidRDefault="00FF7CF7" w:rsidP="00E843D6">
      <w:pPr>
        <w:spacing w:after="100" w:afterAutospacing="1" w:line="360" w:lineRule="auto"/>
        <w:jc w:val="both"/>
        <w:rPr>
          <w:rFonts w:ascii="Arial" w:eastAsia="Times New Roman" w:hAnsi="Arial" w:cs="Arial"/>
          <w:kern w:val="0"/>
          <w14:ligatures w14:val="none"/>
        </w:rPr>
      </w:pPr>
    </w:p>
    <w:p w14:paraId="18640206" w14:textId="7B7B459F" w:rsidR="00857295" w:rsidRDefault="00857295" w:rsidP="00FA6FE5">
      <w:pPr>
        <w:pStyle w:val="Heading2"/>
        <w:jc w:val="both"/>
      </w:pPr>
      <w:bookmarkStart w:id="32" w:name="_Toc215125296"/>
      <w:r w:rsidRPr="00E843D6">
        <w:t>PDSA Cycle for Safe Staffing</w:t>
      </w:r>
      <w:bookmarkEnd w:id="32"/>
    </w:p>
    <w:p w14:paraId="08CC5ED8" w14:textId="2642B62C" w:rsidR="00857295" w:rsidRPr="00D27234" w:rsidRDefault="00857295" w:rsidP="00FA6FE5">
      <w:pPr>
        <w:pStyle w:val="Heading3"/>
        <w:jc w:val="both"/>
        <w:rPr>
          <w:color w:val="0A2F41" w:themeColor="accent1" w:themeShade="80"/>
        </w:rPr>
      </w:pPr>
    </w:p>
    <w:p w14:paraId="235F48CE" w14:textId="77777777" w:rsidR="00857295" w:rsidRPr="00D27234" w:rsidRDefault="00857295" w:rsidP="00FA6FE5">
      <w:pPr>
        <w:pStyle w:val="Heading3"/>
        <w:jc w:val="both"/>
        <w:rPr>
          <w:color w:val="0A2F41" w:themeColor="accent1" w:themeShade="80"/>
        </w:rPr>
      </w:pPr>
      <w:bookmarkStart w:id="33" w:name="_Toc215125297"/>
      <w:r w:rsidRPr="00D27234">
        <w:rPr>
          <w:rStyle w:val="Heading3Char"/>
          <w:color w:val="0A2F41" w:themeColor="accent1" w:themeShade="80"/>
        </w:rPr>
        <w:t>1. Plan:</w:t>
      </w:r>
      <w:r w:rsidRPr="00D27234">
        <w:rPr>
          <w:color w:val="0A2F41" w:themeColor="accent1" w:themeShade="80"/>
        </w:rPr>
        <w:t xml:space="preserve"> Defining the Change and Prediction</w:t>
      </w:r>
      <w:bookmarkEnd w:id="33"/>
    </w:p>
    <w:p w14:paraId="74490728" w14:textId="246DB6BA" w:rsidR="007339E5" w:rsidRPr="00E843D6" w:rsidRDefault="00857295" w:rsidP="00FA6FE5">
      <w:pPr>
        <w:spacing w:after="12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This phase defines the problem, sets the aim, outlines the proposed change, and determines the metrics for success (Moen &amp; Norman, 2010).</w:t>
      </w:r>
      <w:r w:rsidR="00C810F7">
        <w:rPr>
          <w:rFonts w:ascii="Arial" w:eastAsia="Times New Roman" w:hAnsi="Arial" w:cs="Arial"/>
          <w:color w:val="1F1F1F"/>
          <w:kern w:val="0"/>
          <w14:ligatures w14:val="none"/>
        </w:rPr>
        <w:t xml:space="preserve"> T</w:t>
      </w:r>
      <w:r w:rsidR="00CF1F43">
        <w:rPr>
          <w:rFonts w:ascii="Arial" w:eastAsia="Times New Roman" w:hAnsi="Arial" w:cs="Arial"/>
          <w:color w:val="1F1F1F"/>
          <w:kern w:val="0"/>
          <w14:ligatures w14:val="none"/>
        </w:rPr>
        <w:t>herefore,</w:t>
      </w:r>
      <w:r w:rsidR="00C810F7">
        <w:rPr>
          <w:rFonts w:ascii="Arial" w:eastAsia="Times New Roman" w:hAnsi="Arial" w:cs="Arial"/>
          <w:color w:val="1F1F1F"/>
          <w:kern w:val="0"/>
          <w14:ligatures w14:val="none"/>
        </w:rPr>
        <w:t xml:space="preserve"> </w:t>
      </w:r>
      <w:r w:rsidR="00710AE1">
        <w:rPr>
          <w:rFonts w:ascii="Arial" w:eastAsia="Times New Roman" w:hAnsi="Arial" w:cs="Arial"/>
          <w:color w:val="1F1F1F"/>
          <w:kern w:val="0"/>
          <w14:ligatures w14:val="none"/>
        </w:rPr>
        <w:t xml:space="preserve">to </w:t>
      </w:r>
      <w:r w:rsidR="00CF1F43" w:rsidRPr="00CE717E">
        <w:rPr>
          <w:rFonts w:ascii="Arial" w:eastAsia="Times New Roman" w:hAnsi="Arial" w:cs="Arial"/>
          <w:kern w:val="0"/>
          <w14:ligatures w14:val="none"/>
        </w:rPr>
        <w:t>s</w:t>
      </w:r>
      <w:r w:rsidR="007339E5" w:rsidRPr="00CE717E">
        <w:rPr>
          <w:rFonts w:ascii="Arial" w:eastAsia="Times New Roman" w:hAnsi="Arial" w:cs="Arial"/>
          <w:kern w:val="0"/>
          <w14:ligatures w14:val="none"/>
        </w:rPr>
        <w:t xml:space="preserve">et a target ratio based on high-quality evidence (West et al., 2015). </w:t>
      </w:r>
    </w:p>
    <w:p w14:paraId="4B563548"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Problem Statement:</w:t>
      </w:r>
      <w:r w:rsidRPr="00E843D6">
        <w:rPr>
          <w:rFonts w:ascii="Arial" w:eastAsia="Times New Roman" w:hAnsi="Arial" w:cs="Arial"/>
          <w:color w:val="1F1F1F"/>
          <w:kern w:val="0"/>
          <w14:ligatures w14:val="none"/>
        </w:rPr>
        <w:t xml:space="preserve"> Inadequate nurse staffing levels (e.g., current ratio </w:t>
      </w:r>
      <w:r w:rsidRPr="00100DB7">
        <w:rPr>
          <w:rFonts w:ascii="Arial" w:eastAsia="Times New Roman" w:hAnsi="Arial" w:cs="Arial"/>
          <w:color w:val="1F1F1F"/>
          <w:kern w:val="0"/>
          <w14:ligatures w14:val="none"/>
        </w:rPr>
        <w:t xml:space="preserve">of </w:t>
      </w:r>
      <w:r w:rsidRPr="00100DB7">
        <w:rPr>
          <w:rFonts w:ascii="Arial" w:eastAsia="Times New Roman" w:hAnsi="Arial" w:cs="Arial"/>
          <w:color w:val="1F1F1F"/>
          <w:kern w:val="0"/>
          <w:bdr w:val="none" w:sz="0" w:space="0" w:color="auto" w:frame="1"/>
          <w14:ligatures w14:val="none"/>
        </w:rPr>
        <w:t>1:10</w:t>
      </w:r>
      <w:r w:rsidRPr="00E843D6">
        <w:rPr>
          <w:rFonts w:ascii="Arial" w:eastAsia="Times New Roman" w:hAnsi="Arial" w:cs="Arial"/>
          <w:color w:val="1F1F1F"/>
          <w:kern w:val="0"/>
          <w14:ligatures w14:val="none"/>
        </w:rPr>
        <w:t xml:space="preserve"> on Ward B) directly contribute to negative patient outcomes (e.g., high incidence of patient falls and medication errors).</w:t>
      </w:r>
    </w:p>
    <w:p w14:paraId="4546E0F3"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Aim:</w:t>
      </w:r>
      <w:r w:rsidRPr="00E843D6">
        <w:rPr>
          <w:rFonts w:ascii="Arial" w:eastAsia="Times New Roman" w:hAnsi="Arial" w:cs="Arial"/>
          <w:color w:val="1F1F1F"/>
          <w:kern w:val="0"/>
          <w14:ligatures w14:val="none"/>
        </w:rPr>
        <w:t xml:space="preserve"> To successfully implement and evaluate the impact of an evidence-based nurse-to-patient ratio of </w:t>
      </w:r>
      <w:r w:rsidRPr="00100DB7">
        <w:rPr>
          <w:rFonts w:ascii="Arial" w:eastAsia="Times New Roman" w:hAnsi="Arial" w:cs="Arial"/>
          <w:color w:val="1F1F1F"/>
          <w:kern w:val="0"/>
          <w:bdr w:val="none" w:sz="0" w:space="0" w:color="auto" w:frame="1"/>
          <w14:ligatures w14:val="none"/>
        </w:rPr>
        <w:t>1:8</w:t>
      </w:r>
      <w:r w:rsidRPr="00E843D6">
        <w:rPr>
          <w:rFonts w:ascii="Arial" w:eastAsia="Times New Roman" w:hAnsi="Arial" w:cs="Arial"/>
          <w:color w:val="1F1F1F"/>
          <w:kern w:val="0"/>
          <w14:ligatures w14:val="none"/>
        </w:rPr>
        <w:t xml:space="preserve"> on a pilot ward within a three-month period.</w:t>
      </w:r>
    </w:p>
    <w:p w14:paraId="4B30A34B" w14:textId="6A12382B"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Proposed Change:</w:t>
      </w:r>
      <w:r w:rsidRPr="00E843D6">
        <w:rPr>
          <w:rFonts w:ascii="Arial" w:eastAsia="Times New Roman" w:hAnsi="Arial" w:cs="Arial"/>
          <w:color w:val="1F1F1F"/>
          <w:kern w:val="0"/>
          <w14:ligatures w14:val="none"/>
        </w:rPr>
        <w:t xml:space="preserve"> Reallocate resources to hire </w:t>
      </w:r>
      <w:r w:rsidR="00DF1417" w:rsidRPr="00100DB7">
        <w:rPr>
          <w:rFonts w:ascii="Arial" w:eastAsia="Times New Roman" w:hAnsi="Arial" w:cs="Arial"/>
          <w:color w:val="1F1F1F"/>
          <w:kern w:val="0"/>
          <w:bdr w:val="none" w:sz="0" w:space="0" w:color="auto" w:frame="1"/>
          <w14:ligatures w14:val="none"/>
        </w:rPr>
        <w:t>health profe</w:t>
      </w:r>
      <w:r w:rsidR="007C7355" w:rsidRPr="00100DB7">
        <w:rPr>
          <w:rFonts w:ascii="Arial" w:eastAsia="Times New Roman" w:hAnsi="Arial" w:cs="Arial"/>
          <w:color w:val="1F1F1F"/>
          <w:kern w:val="0"/>
          <w:bdr w:val="none" w:sz="0" w:space="0" w:color="auto" w:frame="1"/>
          <w14:ligatures w14:val="none"/>
        </w:rPr>
        <w:t>ssionals</w:t>
      </w:r>
      <w:r w:rsidR="007C7355">
        <w:rPr>
          <w:rFonts w:ascii="Arial" w:eastAsia="Times New Roman" w:hAnsi="Arial" w:cs="Arial"/>
          <w:b/>
          <w:bCs/>
          <w:color w:val="1F1F1F"/>
          <w:kern w:val="0"/>
          <w:bdr w:val="none" w:sz="0" w:space="0" w:color="auto" w:frame="1"/>
          <w14:ligatures w14:val="none"/>
        </w:rPr>
        <w:t xml:space="preserve"> </w:t>
      </w:r>
      <w:r w:rsidRPr="00E843D6">
        <w:rPr>
          <w:rFonts w:ascii="Arial" w:eastAsia="Times New Roman" w:hAnsi="Arial" w:cs="Arial"/>
          <w:color w:val="1F1F1F"/>
          <w:kern w:val="0"/>
          <w14:ligatures w14:val="none"/>
        </w:rPr>
        <w:t>additional full-time equivalent (FTE) nurses for Ward B, shifting the ratio from 1:10 to 1:8 during all critical periods.</w:t>
      </w:r>
    </w:p>
    <w:p w14:paraId="23F545FF" w14:textId="77777777" w:rsidR="00857295" w:rsidRPr="00715581"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lastRenderedPageBreak/>
        <w:t>Prediction:</w:t>
      </w:r>
      <w:r w:rsidRPr="00E843D6">
        <w:rPr>
          <w:rFonts w:ascii="Arial" w:eastAsia="Times New Roman" w:hAnsi="Arial" w:cs="Arial"/>
          <w:color w:val="1F1F1F"/>
          <w:kern w:val="0"/>
          <w14:ligatures w14:val="none"/>
        </w:rPr>
        <w:t xml:space="preserve"> </w:t>
      </w:r>
      <w:r w:rsidRPr="00715581">
        <w:rPr>
          <w:rFonts w:ascii="Arial" w:eastAsia="Times New Roman" w:hAnsi="Arial" w:cs="Arial"/>
          <w:color w:val="1F1F1F"/>
          <w:kern w:val="0"/>
          <w14:ligatures w14:val="none"/>
        </w:rPr>
        <w:t xml:space="preserve">It is predicted that reducing the patient load per nurse will result in a </w:t>
      </w:r>
      <w:r w:rsidRPr="00715581">
        <w:rPr>
          <w:rFonts w:ascii="Arial" w:eastAsia="Times New Roman" w:hAnsi="Arial" w:cs="Arial"/>
          <w:color w:val="1F1F1F"/>
          <w:kern w:val="0"/>
          <w:bdr w:val="none" w:sz="0" w:space="0" w:color="auto" w:frame="1"/>
          <w14:ligatures w14:val="none"/>
        </w:rPr>
        <w:t>20% reduction</w:t>
      </w:r>
      <w:r w:rsidRPr="00715581">
        <w:rPr>
          <w:rFonts w:ascii="Arial" w:eastAsia="Times New Roman" w:hAnsi="Arial" w:cs="Arial"/>
          <w:color w:val="1F1F1F"/>
          <w:kern w:val="0"/>
          <w14:ligatures w14:val="none"/>
        </w:rPr>
        <w:t xml:space="preserve"> in patient falls and a </w:t>
      </w:r>
      <w:r w:rsidRPr="00715581">
        <w:rPr>
          <w:rFonts w:ascii="Arial" w:eastAsia="Times New Roman" w:hAnsi="Arial" w:cs="Arial"/>
          <w:color w:val="1F1F1F"/>
          <w:kern w:val="0"/>
          <w:bdr w:val="none" w:sz="0" w:space="0" w:color="auto" w:frame="1"/>
          <w14:ligatures w14:val="none"/>
        </w:rPr>
        <w:t>15% decrease</w:t>
      </w:r>
      <w:r w:rsidRPr="00715581">
        <w:rPr>
          <w:rFonts w:ascii="Arial" w:eastAsia="Times New Roman" w:hAnsi="Arial" w:cs="Arial"/>
          <w:color w:val="1F1F1F"/>
          <w:kern w:val="0"/>
          <w14:ligatures w14:val="none"/>
        </w:rPr>
        <w:t xml:space="preserve"> in documented medication errors on the pilot ward.</w:t>
      </w:r>
    </w:p>
    <w:p w14:paraId="138B01A2"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Measures:</w:t>
      </w:r>
    </w:p>
    <w:p w14:paraId="56CA6DF4"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Process Measure:</w:t>
      </w:r>
      <w:r w:rsidRPr="00E843D6">
        <w:rPr>
          <w:rFonts w:ascii="Arial" w:eastAsia="Times New Roman" w:hAnsi="Arial" w:cs="Arial"/>
          <w:color w:val="1F1F1F"/>
          <w:kern w:val="0"/>
          <w14:ligatures w14:val="none"/>
        </w:rPr>
        <w:t xml:space="preserve"> Actual nurse-to-patient ratio achieved per shift.</w:t>
      </w:r>
    </w:p>
    <w:p w14:paraId="291D20ED" w14:textId="7F8CC24A" w:rsidR="0086231D"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Outcome Measures:</w:t>
      </w:r>
      <w:r w:rsidRPr="00E843D6">
        <w:rPr>
          <w:rFonts w:ascii="Arial" w:eastAsia="Times New Roman" w:hAnsi="Arial" w:cs="Arial"/>
          <w:color w:val="1F1F1F"/>
          <w:kern w:val="0"/>
          <w14:ligatures w14:val="none"/>
        </w:rPr>
        <w:t xml:space="preserve"> Rate of patient falls per 1,000 patient days; rate of medication errors per 100 doses administered.</w:t>
      </w:r>
    </w:p>
    <w:p w14:paraId="4FFDC9A8" w14:textId="77777777" w:rsidR="0086231D" w:rsidRPr="00CA0D78" w:rsidRDefault="0086231D" w:rsidP="00FA6FE5">
      <w:pPr>
        <w:spacing w:after="0" w:line="360" w:lineRule="auto"/>
        <w:jc w:val="both"/>
        <w:rPr>
          <w:rFonts w:ascii="Arial" w:eastAsia="Times New Roman" w:hAnsi="Arial" w:cs="Arial"/>
          <w:color w:val="E97132" w:themeColor="accent2"/>
          <w:kern w:val="0"/>
          <w14:ligatures w14:val="none"/>
        </w:rPr>
      </w:pPr>
    </w:p>
    <w:p w14:paraId="3FE90CCF" w14:textId="77777777" w:rsidR="00857295" w:rsidRPr="00D27234" w:rsidRDefault="00857295" w:rsidP="00FA6FE5">
      <w:pPr>
        <w:pStyle w:val="Heading3"/>
        <w:jc w:val="both"/>
        <w:rPr>
          <w:color w:val="E97132" w:themeColor="accent2"/>
        </w:rPr>
      </w:pPr>
      <w:bookmarkStart w:id="34" w:name="_Toc215125298"/>
      <w:r w:rsidRPr="00D27234">
        <w:rPr>
          <w:color w:val="E97132" w:themeColor="accent2"/>
          <w:sz w:val="32"/>
          <w:szCs w:val="32"/>
        </w:rPr>
        <w:t>2. Do:</w:t>
      </w:r>
      <w:r w:rsidRPr="00D27234">
        <w:rPr>
          <w:color w:val="E97132" w:themeColor="accent2"/>
        </w:rPr>
        <w:t xml:space="preserve"> Executing the Test</w:t>
      </w:r>
      <w:bookmarkEnd w:id="34"/>
    </w:p>
    <w:p w14:paraId="6A9D2D79" w14:textId="56280FE6" w:rsidR="00857295" w:rsidRPr="00B52348" w:rsidRDefault="00857295" w:rsidP="00FA6FE5">
      <w:pPr>
        <w:spacing w:after="100" w:afterAutospacing="1" w:line="360" w:lineRule="auto"/>
        <w:jc w:val="both"/>
        <w:rPr>
          <w:rFonts w:ascii="Arial" w:eastAsia="Times New Roman" w:hAnsi="Arial" w:cs="Arial"/>
          <w:color w:val="C00000"/>
          <w:kern w:val="0"/>
          <w14:ligatures w14:val="none"/>
        </w:rPr>
      </w:pPr>
      <w:r w:rsidRPr="00E843D6">
        <w:rPr>
          <w:rFonts w:ascii="Arial" w:eastAsia="Times New Roman" w:hAnsi="Arial" w:cs="Arial"/>
          <w:color w:val="1F1F1F"/>
          <w:kern w:val="0"/>
          <w14:ligatures w14:val="none"/>
        </w:rPr>
        <w:t>This phase involves carrying out the planned test on a small scale, collecting data, and observing the test conditions (Langley et al., 2009).</w:t>
      </w:r>
      <w:r w:rsidR="00925829">
        <w:rPr>
          <w:rFonts w:ascii="Arial" w:eastAsia="Times New Roman" w:hAnsi="Arial" w:cs="Arial"/>
          <w:color w:val="C00000"/>
          <w:kern w:val="0"/>
          <w14:ligatures w14:val="none"/>
        </w:rPr>
        <w:t xml:space="preserve"> </w:t>
      </w:r>
      <w:r w:rsidR="00925829" w:rsidRPr="00925829">
        <w:rPr>
          <w:rFonts w:ascii="Arial" w:eastAsia="Times New Roman" w:hAnsi="Arial" w:cs="Arial"/>
          <w:kern w:val="0"/>
          <w14:ligatures w14:val="none"/>
        </w:rPr>
        <w:t>For</w:t>
      </w:r>
      <w:r w:rsidR="00925829">
        <w:rPr>
          <w:rFonts w:ascii="Arial" w:eastAsia="Times New Roman" w:hAnsi="Arial" w:cs="Arial"/>
          <w:kern w:val="0"/>
          <w14:ligatures w14:val="none"/>
        </w:rPr>
        <w:t xml:space="preserve"> </w:t>
      </w:r>
      <w:r w:rsidR="00925829" w:rsidRPr="00925829">
        <w:rPr>
          <w:rFonts w:ascii="Arial" w:eastAsia="Times New Roman" w:hAnsi="Arial" w:cs="Arial"/>
          <w:kern w:val="0"/>
          <w14:ligatures w14:val="none"/>
        </w:rPr>
        <w:t>example, to t</w:t>
      </w:r>
      <w:r w:rsidR="0086231D" w:rsidRPr="00925829">
        <w:rPr>
          <w:rFonts w:ascii="Arial" w:eastAsia="Times New Roman" w:hAnsi="Arial" w:cs="Arial"/>
          <w:kern w:val="0"/>
          <w14:ligatures w14:val="none"/>
        </w:rPr>
        <w:t>rack key metrics such as staff sickness, patient complaints, and incident reports</w:t>
      </w:r>
      <w:r w:rsidR="0086231D" w:rsidRPr="00B70370">
        <w:rPr>
          <w:rFonts w:ascii="Arial" w:eastAsia="Times New Roman" w:hAnsi="Arial" w:cs="Arial"/>
          <w:color w:val="C00000"/>
          <w:kern w:val="0"/>
          <w14:ligatures w14:val="none"/>
        </w:rPr>
        <w:t>.</w:t>
      </w:r>
    </w:p>
    <w:p w14:paraId="2AE677B7"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Execution:</w:t>
      </w:r>
      <w:r w:rsidRPr="00E843D6">
        <w:rPr>
          <w:rFonts w:ascii="Arial" w:eastAsia="Times New Roman" w:hAnsi="Arial" w:cs="Arial"/>
          <w:color w:val="1F1F1F"/>
          <w:kern w:val="0"/>
          <w14:ligatures w14:val="none"/>
        </w:rPr>
        <w:t xml:space="preserve"> The Trust recruits the necessary staff or redeploys agency staff to Ward B to establish the 1:8 ratio. This is done for a controlled period, such as four weeks.</w:t>
      </w:r>
    </w:p>
    <w:p w14:paraId="668B6B83"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Data Collection:</w:t>
      </w:r>
      <w:r w:rsidRPr="00E843D6">
        <w:rPr>
          <w:rFonts w:ascii="Arial" w:eastAsia="Times New Roman" w:hAnsi="Arial" w:cs="Arial"/>
          <w:color w:val="1F1F1F"/>
          <w:kern w:val="0"/>
          <w14:ligatures w14:val="none"/>
        </w:rPr>
        <w:t xml:space="preserve"> Frontline managers rigorously collect and document the defined measures:</w:t>
      </w:r>
    </w:p>
    <w:p w14:paraId="0DA87E19" w14:textId="77777777" w:rsidR="00857295" w:rsidRPr="00E843D6" w:rsidRDefault="00857295" w:rsidP="00FA6FE5">
      <w:pPr>
        <w:spacing w:after="12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Daily shift reports confirm the actual staffing ratio achieved.</w:t>
      </w:r>
    </w:p>
    <w:p w14:paraId="13FA4214" w14:textId="77777777" w:rsidR="00857295" w:rsidRPr="00E843D6" w:rsidRDefault="00857295" w:rsidP="00FA6FE5">
      <w:pPr>
        <w:spacing w:after="12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Incident reporting systems are used to log all patient falls and medication errors during the test period.</w:t>
      </w:r>
    </w:p>
    <w:p w14:paraId="02C5A733"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Observation:</w:t>
      </w:r>
      <w:r w:rsidRPr="00E843D6">
        <w:rPr>
          <w:rFonts w:ascii="Arial" w:eastAsia="Times New Roman" w:hAnsi="Arial" w:cs="Arial"/>
          <w:color w:val="1F1F1F"/>
          <w:kern w:val="0"/>
          <w14:ligatures w14:val="none"/>
        </w:rPr>
        <w:t xml:space="preserve"> Qualitative data is collected through informal feedback from staff (nurses, healthcare assistants) on the pilot ward regarding workload perception, morale, and the feasibility of maintaining the new ratio (West et al., 2015).</w:t>
      </w:r>
    </w:p>
    <w:p w14:paraId="73AC1043" w14:textId="77777777" w:rsidR="00857295" w:rsidRPr="00CA0D78" w:rsidRDefault="00857295" w:rsidP="00FA6FE5">
      <w:pPr>
        <w:spacing w:after="0" w:line="360" w:lineRule="auto"/>
        <w:ind w:left="720"/>
        <w:jc w:val="both"/>
        <w:rPr>
          <w:rFonts w:ascii="Arial" w:eastAsia="Times New Roman" w:hAnsi="Arial" w:cs="Arial"/>
          <w:color w:val="196B24" w:themeColor="accent3"/>
          <w:kern w:val="0"/>
          <w14:ligatures w14:val="none"/>
        </w:rPr>
      </w:pPr>
    </w:p>
    <w:p w14:paraId="2AF8D826" w14:textId="77777777" w:rsidR="00857295" w:rsidRPr="00151756" w:rsidRDefault="00857295" w:rsidP="00FA6FE5">
      <w:pPr>
        <w:pStyle w:val="Heading3"/>
        <w:jc w:val="both"/>
        <w:rPr>
          <w:color w:val="275317" w:themeColor="accent6" w:themeShade="80"/>
        </w:rPr>
      </w:pPr>
      <w:bookmarkStart w:id="35" w:name="_Toc215125299"/>
      <w:r w:rsidRPr="00151756">
        <w:rPr>
          <w:color w:val="275317" w:themeColor="accent6" w:themeShade="80"/>
          <w:sz w:val="32"/>
          <w:szCs w:val="32"/>
        </w:rPr>
        <w:t>3. Study:</w:t>
      </w:r>
      <w:r w:rsidRPr="00151756">
        <w:rPr>
          <w:color w:val="275317" w:themeColor="accent6" w:themeShade="80"/>
        </w:rPr>
        <w:t xml:space="preserve"> Analysing the Results</w:t>
      </w:r>
      <w:bookmarkEnd w:id="35"/>
    </w:p>
    <w:p w14:paraId="2788F350" w14:textId="77777777" w:rsidR="00857295" w:rsidRPr="00E843D6" w:rsidRDefault="00857295" w:rsidP="00FA6FE5">
      <w:pPr>
        <w:spacing w:after="12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The data collected in the 'Do' phase is analysed and compared against the predictions made in the 'Plan' phase. This is the critical learning step (Moen &amp; Norman, 2010).</w:t>
      </w:r>
    </w:p>
    <w:p w14:paraId="4BEAFECE"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Analysis:</w:t>
      </w:r>
      <w:r w:rsidRPr="00E843D6">
        <w:rPr>
          <w:rFonts w:ascii="Arial" w:eastAsia="Times New Roman" w:hAnsi="Arial" w:cs="Arial"/>
          <w:color w:val="1F1F1F"/>
          <w:kern w:val="0"/>
          <w14:ligatures w14:val="none"/>
        </w:rPr>
        <w:t xml:space="preserve"> The data shows:</w:t>
      </w:r>
    </w:p>
    <w:p w14:paraId="113E0E43" w14:textId="77777777" w:rsidR="00857295" w:rsidRPr="00715581"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 xml:space="preserve">The 1:8 ratio was </w:t>
      </w:r>
      <w:r w:rsidRPr="00715581">
        <w:rPr>
          <w:rFonts w:ascii="Arial" w:eastAsia="Times New Roman" w:hAnsi="Arial" w:cs="Arial"/>
          <w:color w:val="1F1F1F"/>
          <w:kern w:val="0"/>
          <w14:ligatures w14:val="none"/>
        </w:rPr>
        <w:t xml:space="preserve">achieved </w:t>
      </w:r>
      <w:r w:rsidRPr="00715581">
        <w:rPr>
          <w:rFonts w:ascii="Arial" w:eastAsia="Times New Roman" w:hAnsi="Arial" w:cs="Arial"/>
          <w:color w:val="1F1F1F"/>
          <w:kern w:val="0"/>
          <w:bdr w:val="none" w:sz="0" w:space="0" w:color="auto" w:frame="1"/>
          <w14:ligatures w14:val="none"/>
        </w:rPr>
        <w:t>85%</w:t>
      </w:r>
      <w:r w:rsidRPr="00715581">
        <w:rPr>
          <w:rFonts w:ascii="Arial" w:eastAsia="Times New Roman" w:hAnsi="Arial" w:cs="Arial"/>
          <w:color w:val="1F1F1F"/>
          <w:kern w:val="0"/>
          <w14:ligatures w14:val="none"/>
        </w:rPr>
        <w:t xml:space="preserve"> of the time.</w:t>
      </w:r>
    </w:p>
    <w:p w14:paraId="14B5E99F" w14:textId="77777777" w:rsidR="00857295" w:rsidRPr="00715581" w:rsidRDefault="00857295" w:rsidP="00FA6FE5">
      <w:pPr>
        <w:spacing w:after="0" w:line="360" w:lineRule="auto"/>
        <w:jc w:val="both"/>
        <w:rPr>
          <w:rFonts w:ascii="Arial" w:eastAsia="Times New Roman" w:hAnsi="Arial" w:cs="Arial"/>
          <w:color w:val="1F1F1F"/>
          <w:kern w:val="0"/>
          <w14:ligatures w14:val="none"/>
        </w:rPr>
      </w:pPr>
      <w:r w:rsidRPr="00715581">
        <w:rPr>
          <w:rFonts w:ascii="Arial" w:eastAsia="Times New Roman" w:hAnsi="Arial" w:cs="Arial"/>
          <w:color w:val="1F1F1F"/>
          <w:kern w:val="0"/>
          <w14:ligatures w14:val="none"/>
        </w:rPr>
        <w:t xml:space="preserve">Patient falls reduced by </w:t>
      </w:r>
      <w:r w:rsidRPr="00715581">
        <w:rPr>
          <w:rFonts w:ascii="Arial" w:eastAsia="Times New Roman" w:hAnsi="Arial" w:cs="Arial"/>
          <w:color w:val="1F1F1F"/>
          <w:kern w:val="0"/>
          <w:bdr w:val="none" w:sz="0" w:space="0" w:color="auto" w:frame="1"/>
          <w14:ligatures w14:val="none"/>
        </w:rPr>
        <w:t>18%</w:t>
      </w:r>
      <w:r w:rsidRPr="00715581">
        <w:rPr>
          <w:rFonts w:ascii="Arial" w:eastAsia="Times New Roman" w:hAnsi="Arial" w:cs="Arial"/>
          <w:color w:val="1F1F1F"/>
          <w:kern w:val="0"/>
          <w14:ligatures w14:val="none"/>
        </w:rPr>
        <w:t xml:space="preserve"> (compared to the predicted 20%).</w:t>
      </w:r>
    </w:p>
    <w:p w14:paraId="7BE76E26" w14:textId="094FEBE1" w:rsidR="00B66AB2" w:rsidRPr="00715581" w:rsidRDefault="00857295" w:rsidP="00FA6FE5">
      <w:pPr>
        <w:spacing w:after="0" w:line="360" w:lineRule="auto"/>
        <w:jc w:val="both"/>
        <w:rPr>
          <w:rFonts w:ascii="Arial" w:eastAsia="Times New Roman" w:hAnsi="Arial" w:cs="Arial"/>
          <w:color w:val="1F1F1F"/>
          <w:kern w:val="0"/>
          <w14:ligatures w14:val="none"/>
        </w:rPr>
      </w:pPr>
      <w:r w:rsidRPr="00715581">
        <w:rPr>
          <w:rFonts w:ascii="Arial" w:eastAsia="Times New Roman" w:hAnsi="Arial" w:cs="Arial"/>
          <w:color w:val="1F1F1F"/>
          <w:kern w:val="0"/>
          <w14:ligatures w14:val="none"/>
        </w:rPr>
        <w:t xml:space="preserve">Medication errors reduced by </w:t>
      </w:r>
      <w:r w:rsidRPr="00715581">
        <w:rPr>
          <w:rFonts w:ascii="Arial" w:eastAsia="Times New Roman" w:hAnsi="Arial" w:cs="Arial"/>
          <w:color w:val="1F1F1F"/>
          <w:kern w:val="0"/>
          <w:bdr w:val="none" w:sz="0" w:space="0" w:color="auto" w:frame="1"/>
          <w14:ligatures w14:val="none"/>
        </w:rPr>
        <w:t>12%</w:t>
      </w:r>
      <w:r w:rsidRPr="00715581">
        <w:rPr>
          <w:rFonts w:ascii="Arial" w:eastAsia="Times New Roman" w:hAnsi="Arial" w:cs="Arial"/>
          <w:color w:val="1F1F1F"/>
          <w:kern w:val="0"/>
          <w14:ligatures w14:val="none"/>
        </w:rPr>
        <w:t xml:space="preserve"> (compared to the predicted 15%).</w:t>
      </w:r>
    </w:p>
    <w:p w14:paraId="4DF28727"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lastRenderedPageBreak/>
        <w:t>Comparison:</w:t>
      </w:r>
      <w:r w:rsidRPr="00E843D6">
        <w:rPr>
          <w:rFonts w:ascii="Arial" w:eastAsia="Times New Roman" w:hAnsi="Arial" w:cs="Arial"/>
          <w:color w:val="1F1F1F"/>
          <w:kern w:val="0"/>
          <w14:ligatures w14:val="none"/>
        </w:rPr>
        <w:t xml:space="preserve"> The results largely confirm the initial prediction: improved staffing correlates with improved safety outcomes. However, the ratio was not consistently maintained (the 15% shortfall needs investigation).</w:t>
      </w:r>
    </w:p>
    <w:p w14:paraId="6C37D1AF"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Qualitative Findings:</w:t>
      </w:r>
      <w:r w:rsidRPr="00E843D6">
        <w:rPr>
          <w:rFonts w:ascii="Arial" w:eastAsia="Times New Roman" w:hAnsi="Arial" w:cs="Arial"/>
          <w:color w:val="1F1F1F"/>
          <w:kern w:val="0"/>
          <w14:ligatures w14:val="none"/>
        </w:rPr>
        <w:t xml:space="preserve"> Staff feedback indicates that while the workload is significantly more manageable, the ratio drops during meal breaks and staff sickness, suggesting a need for a dedicated relief nurse or better shift scheduling.</w:t>
      </w:r>
    </w:p>
    <w:p w14:paraId="347423B5" w14:textId="77777777" w:rsidR="00857295"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Learning:</w:t>
      </w:r>
      <w:r w:rsidRPr="00E843D6">
        <w:rPr>
          <w:rFonts w:ascii="Arial" w:eastAsia="Times New Roman" w:hAnsi="Arial" w:cs="Arial"/>
          <w:color w:val="1F1F1F"/>
          <w:kern w:val="0"/>
          <w14:ligatures w14:val="none"/>
        </w:rPr>
        <w:t xml:space="preserve"> The study concludes that the 1:8 ratio is clinically effective, but the staffing model requires adjustment to account for unplanned absences to ensure </w:t>
      </w:r>
      <w:r w:rsidRPr="00715581">
        <w:rPr>
          <w:rFonts w:ascii="Arial" w:eastAsia="Times New Roman" w:hAnsi="Arial" w:cs="Arial"/>
          <w:color w:val="1F1F1F"/>
          <w:kern w:val="0"/>
          <w:bdr w:val="none" w:sz="0" w:space="0" w:color="auto" w:frame="1"/>
          <w14:ligatures w14:val="none"/>
        </w:rPr>
        <w:t>100%</w:t>
      </w:r>
      <w:r w:rsidRPr="00E843D6">
        <w:rPr>
          <w:rFonts w:ascii="Arial" w:eastAsia="Times New Roman" w:hAnsi="Arial" w:cs="Arial"/>
          <w:b/>
          <w:bCs/>
          <w:color w:val="1F1F1F"/>
          <w:kern w:val="0"/>
          <w:bdr w:val="none" w:sz="0" w:space="0" w:color="auto" w:frame="1"/>
          <w14:ligatures w14:val="none"/>
        </w:rPr>
        <w:t xml:space="preserve"> compliance</w:t>
      </w:r>
      <w:r w:rsidRPr="00E843D6">
        <w:rPr>
          <w:rFonts w:ascii="Arial" w:eastAsia="Times New Roman" w:hAnsi="Arial" w:cs="Arial"/>
          <w:color w:val="1F1F1F"/>
          <w:kern w:val="0"/>
          <w14:ligatures w14:val="none"/>
        </w:rPr>
        <w:t xml:space="preserve"> with the safe ratio (Francis, 2013).</w:t>
      </w:r>
    </w:p>
    <w:p w14:paraId="4BDAE7C0" w14:textId="77777777" w:rsidR="00CA0D78" w:rsidRPr="00E843D6" w:rsidRDefault="00CA0D78" w:rsidP="00FA6FE5">
      <w:pPr>
        <w:spacing w:after="0" w:line="360" w:lineRule="auto"/>
        <w:jc w:val="both"/>
        <w:rPr>
          <w:rFonts w:ascii="Arial" w:eastAsia="Times New Roman" w:hAnsi="Arial" w:cs="Arial"/>
          <w:color w:val="1F1F1F"/>
          <w:kern w:val="0"/>
          <w14:ligatures w14:val="none"/>
        </w:rPr>
      </w:pPr>
    </w:p>
    <w:p w14:paraId="668A976A" w14:textId="77777777" w:rsidR="00857295" w:rsidRPr="00151756" w:rsidRDefault="00857295" w:rsidP="00FA6FE5">
      <w:pPr>
        <w:pStyle w:val="Heading3"/>
        <w:jc w:val="both"/>
        <w:rPr>
          <w:color w:val="4C94D8" w:themeColor="text2" w:themeTint="80"/>
        </w:rPr>
      </w:pPr>
      <w:bookmarkStart w:id="36" w:name="_Toc215125300"/>
      <w:r w:rsidRPr="00151756">
        <w:rPr>
          <w:color w:val="4C94D8" w:themeColor="text2" w:themeTint="80"/>
          <w:sz w:val="32"/>
          <w:szCs w:val="32"/>
        </w:rPr>
        <w:t>4. Act:</w:t>
      </w:r>
      <w:r w:rsidRPr="00151756">
        <w:rPr>
          <w:color w:val="4C94D8" w:themeColor="text2" w:themeTint="80"/>
        </w:rPr>
        <w:t xml:space="preserve"> Refining the Change and Standardisation</w:t>
      </w:r>
      <w:bookmarkEnd w:id="36"/>
    </w:p>
    <w:p w14:paraId="017AAF00" w14:textId="5151A60B" w:rsidR="00DF3C4A" w:rsidRDefault="00DF3C4A" w:rsidP="00FA6FE5">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Act:</w:t>
      </w:r>
      <w:r w:rsidRPr="00E843D6">
        <w:rPr>
          <w:rFonts w:ascii="Arial" w:eastAsia="Times New Roman" w:hAnsi="Arial" w:cs="Arial"/>
          <w:kern w:val="0"/>
          <w14:ligatures w14:val="none"/>
        </w:rPr>
        <w:t xml:space="preserve"> If the pilot demonstrates a clear improvement in patient safety metrics,</w:t>
      </w:r>
      <w:r w:rsidR="005B4C8D">
        <w:rPr>
          <w:rFonts w:ascii="Arial" w:eastAsia="Times New Roman" w:hAnsi="Arial" w:cs="Arial"/>
          <w:kern w:val="0"/>
          <w14:ligatures w14:val="none"/>
        </w:rPr>
        <w:t xml:space="preserve"> </w:t>
      </w:r>
      <w:r w:rsidRPr="00E843D6">
        <w:rPr>
          <w:rFonts w:ascii="Arial" w:eastAsia="Times New Roman" w:hAnsi="Arial" w:cs="Arial"/>
          <w:kern w:val="0"/>
          <w14:ligatures w14:val="none"/>
        </w:rPr>
        <w:t>to standardise and spread the new staffing model across the entire Trust, ensuring it is embedded as the new baseline standard. This process ensures resource allocation is evidence-based and continuously monitored.</w:t>
      </w:r>
    </w:p>
    <w:p w14:paraId="13D15B70" w14:textId="77FC43D0" w:rsidR="005B4C8D" w:rsidRPr="00C96AC2" w:rsidRDefault="005B4C8D" w:rsidP="00FA6FE5">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Goal:</w:t>
      </w:r>
      <w:r w:rsidRPr="00E843D6">
        <w:rPr>
          <w:rFonts w:ascii="Arial" w:eastAsia="Times New Roman" w:hAnsi="Arial" w:cs="Arial"/>
          <w:kern w:val="0"/>
          <w14:ligatures w14:val="none"/>
        </w:rPr>
        <w:t xml:space="preserve"> Achieve and sustain the evidence-based </w:t>
      </w:r>
      <w:r w:rsidRPr="00715581">
        <w:rPr>
          <w:rFonts w:ascii="Arial" w:eastAsia="Times New Roman" w:hAnsi="Arial" w:cs="Arial"/>
          <w:kern w:val="0"/>
          <w14:ligatures w14:val="none"/>
        </w:rPr>
        <w:t>safe nursing establishment</w:t>
      </w:r>
      <w:r w:rsidRPr="00E843D6">
        <w:rPr>
          <w:rFonts w:ascii="Arial" w:eastAsia="Times New Roman" w:hAnsi="Arial" w:cs="Arial"/>
          <w:kern w:val="0"/>
          <w14:ligatures w14:val="none"/>
        </w:rPr>
        <w:t>, such as the recommended 1:8 nurse-to-patient ratio or better on general wards (Aiken et al., 2014).</w:t>
      </w:r>
    </w:p>
    <w:p w14:paraId="6DDFB457" w14:textId="77777777" w:rsidR="00857295" w:rsidRPr="00E843D6" w:rsidRDefault="00857295" w:rsidP="00FA6FE5">
      <w:pPr>
        <w:spacing w:after="12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Based on the learning from the 'Study' phase, the organisation either adopts the change, adapts it, or abandons it. This prepares for the next cycle (Langley et al., 2009).</w:t>
      </w:r>
    </w:p>
    <w:p w14:paraId="3A1670F5"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Adapt and Refine:</w:t>
      </w:r>
      <w:r w:rsidRPr="00E843D6">
        <w:rPr>
          <w:rFonts w:ascii="Arial" w:eastAsia="Times New Roman" w:hAnsi="Arial" w:cs="Arial"/>
          <w:color w:val="1F1F1F"/>
          <w:kern w:val="0"/>
          <w14:ligatures w14:val="none"/>
        </w:rPr>
        <w:t xml:space="preserve"> The Trust decides to </w:t>
      </w:r>
      <w:r w:rsidRPr="00715581">
        <w:rPr>
          <w:rFonts w:ascii="Arial" w:eastAsia="Times New Roman" w:hAnsi="Arial" w:cs="Arial"/>
          <w:color w:val="1F1F1F"/>
          <w:kern w:val="0"/>
          <w:bdr w:val="none" w:sz="0" w:space="0" w:color="auto" w:frame="1"/>
          <w14:ligatures w14:val="none"/>
        </w:rPr>
        <w:t>adapt</w:t>
      </w:r>
      <w:r w:rsidRPr="00E843D6">
        <w:rPr>
          <w:rFonts w:ascii="Arial" w:eastAsia="Times New Roman" w:hAnsi="Arial" w:cs="Arial"/>
          <w:color w:val="1F1F1F"/>
          <w:kern w:val="0"/>
          <w14:ligatures w14:val="none"/>
        </w:rPr>
        <w:t xml:space="preserve"> the initial plan:</w:t>
      </w:r>
    </w:p>
    <w:p w14:paraId="09F82A85" w14:textId="77777777" w:rsidR="00857295" w:rsidRPr="00715581"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New Change:</w:t>
      </w:r>
      <w:r w:rsidRPr="00E843D6">
        <w:rPr>
          <w:rFonts w:ascii="Arial" w:eastAsia="Times New Roman" w:hAnsi="Arial" w:cs="Arial"/>
          <w:color w:val="1F1F1F"/>
          <w:kern w:val="0"/>
          <w14:ligatures w14:val="none"/>
        </w:rPr>
        <w:t xml:space="preserve"> Add one floating "relief nurse" position per shift to the establishment specifically to cover breaks and short-notice sick leave, ensuring the </w:t>
      </w:r>
      <w:r w:rsidRPr="00715581">
        <w:rPr>
          <w:rFonts w:ascii="Arial" w:eastAsia="Times New Roman" w:hAnsi="Arial" w:cs="Arial"/>
          <w:color w:val="1F1F1F"/>
          <w:kern w:val="0"/>
          <w:bdr w:val="none" w:sz="0" w:space="0" w:color="auto" w:frame="1"/>
          <w14:ligatures w14:val="none"/>
        </w:rPr>
        <w:t>1:8 ratio remains stable</w:t>
      </w:r>
      <w:r w:rsidRPr="00715581">
        <w:rPr>
          <w:rFonts w:ascii="Arial" w:eastAsia="Times New Roman" w:hAnsi="Arial" w:cs="Arial"/>
          <w:color w:val="1F1F1F"/>
          <w:kern w:val="0"/>
          <w14:ligatures w14:val="none"/>
        </w:rPr>
        <w:t>.</w:t>
      </w:r>
    </w:p>
    <w:p w14:paraId="1083D6AF"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Standardisation (If successful):</w:t>
      </w:r>
      <w:r w:rsidRPr="00E843D6">
        <w:rPr>
          <w:rFonts w:ascii="Arial" w:eastAsia="Times New Roman" w:hAnsi="Arial" w:cs="Arial"/>
          <w:color w:val="1F1F1F"/>
          <w:kern w:val="0"/>
          <w14:ligatures w14:val="none"/>
        </w:rPr>
        <w:t xml:space="preserve"> If the subsequent PDSA cycle with the relief nurse proves the stability of the ratio and continued outcome improvement, the refined staffing model is formally adopted and rolled out across all similar wards in the Trust, establishing the </w:t>
      </w:r>
      <w:r w:rsidRPr="00715581">
        <w:rPr>
          <w:rFonts w:ascii="Arial" w:eastAsia="Times New Roman" w:hAnsi="Arial" w:cs="Arial"/>
          <w:color w:val="1F1F1F"/>
          <w:kern w:val="0"/>
          <w:bdr w:val="none" w:sz="0" w:space="0" w:color="auto" w:frame="1"/>
          <w14:ligatures w14:val="none"/>
        </w:rPr>
        <w:t>1:8</w:t>
      </w:r>
      <w:r w:rsidRPr="00E843D6">
        <w:rPr>
          <w:rFonts w:ascii="Arial" w:eastAsia="Times New Roman" w:hAnsi="Arial" w:cs="Arial"/>
          <w:color w:val="1F1F1F"/>
          <w:kern w:val="0"/>
          <w14:ligatures w14:val="none"/>
        </w:rPr>
        <w:t xml:space="preserve"> as the new organisational standard.</w:t>
      </w:r>
    </w:p>
    <w:p w14:paraId="2CCFAB0D" w14:textId="77777777" w:rsidR="00857295" w:rsidRPr="00E843D6"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b/>
          <w:bCs/>
          <w:color w:val="1F1F1F"/>
          <w:kern w:val="0"/>
          <w:bdr w:val="none" w:sz="0" w:space="0" w:color="auto" w:frame="1"/>
          <w14:ligatures w14:val="none"/>
        </w:rPr>
        <w:t>Next Cycle:</w:t>
      </w:r>
      <w:r w:rsidRPr="00E843D6">
        <w:rPr>
          <w:rFonts w:ascii="Arial" w:eastAsia="Times New Roman" w:hAnsi="Arial" w:cs="Arial"/>
          <w:color w:val="1F1F1F"/>
          <w:kern w:val="0"/>
          <w14:ligatures w14:val="none"/>
        </w:rPr>
        <w:t xml:space="preserve"> A new PDSA cycle is initiated to test the "relief nurse" adjustment, or the next cycle might focus on a related variable, such as the required skill mix (e.g., </w:t>
      </w:r>
      <w:r w:rsidRPr="00E843D6">
        <w:rPr>
          <w:rFonts w:ascii="Arial" w:eastAsia="Times New Roman" w:hAnsi="Arial" w:cs="Arial"/>
          <w:color w:val="1F1F1F"/>
          <w:kern w:val="0"/>
          <w14:ligatures w14:val="none"/>
        </w:rPr>
        <w:lastRenderedPageBreak/>
        <w:t>proportion of registered nurses to healthcare assistants), which also impacts quality of care (Francis, 2013).</w:t>
      </w:r>
    </w:p>
    <w:p w14:paraId="661DDCF8" w14:textId="36A35E63" w:rsidR="00857295" w:rsidRPr="00421220" w:rsidRDefault="00857295" w:rsidP="00FA6FE5">
      <w:pPr>
        <w:spacing w:after="0" w:line="360" w:lineRule="auto"/>
        <w:jc w:val="both"/>
        <w:rPr>
          <w:rFonts w:ascii="Arial" w:eastAsia="Times New Roman" w:hAnsi="Arial" w:cs="Arial"/>
          <w:color w:val="1F1F1F"/>
          <w:kern w:val="0"/>
          <w14:ligatures w14:val="none"/>
        </w:rPr>
      </w:pPr>
      <w:r w:rsidRPr="00E843D6">
        <w:rPr>
          <w:rFonts w:ascii="Arial" w:eastAsia="Times New Roman" w:hAnsi="Arial" w:cs="Arial"/>
          <w:color w:val="1F1F1F"/>
          <w:kern w:val="0"/>
          <w14:ligatures w14:val="none"/>
        </w:rPr>
        <w:t xml:space="preserve">By using the PDSA cycle, the Trust demonstrates a commitment to </w:t>
      </w:r>
      <w:r w:rsidRPr="00715581">
        <w:rPr>
          <w:rFonts w:ascii="Arial" w:eastAsia="Times New Roman" w:hAnsi="Arial" w:cs="Arial"/>
          <w:color w:val="1F1F1F"/>
          <w:kern w:val="0"/>
          <w:bdr w:val="none" w:sz="0" w:space="0" w:color="auto" w:frame="1"/>
          <w14:ligatures w14:val="none"/>
        </w:rPr>
        <w:t>evidence-based continuous improvement</w:t>
      </w:r>
      <w:r w:rsidRPr="00715581">
        <w:rPr>
          <w:rFonts w:ascii="Arial" w:eastAsia="Times New Roman" w:hAnsi="Arial" w:cs="Arial"/>
          <w:color w:val="1F1F1F"/>
          <w:kern w:val="0"/>
          <w14:ligatures w14:val="none"/>
        </w:rPr>
        <w:t xml:space="preserve">, </w:t>
      </w:r>
      <w:r w:rsidRPr="00E843D6">
        <w:rPr>
          <w:rFonts w:ascii="Arial" w:eastAsia="Times New Roman" w:hAnsi="Arial" w:cs="Arial"/>
          <w:color w:val="1F1F1F"/>
          <w:kern w:val="0"/>
          <w14:ligatures w14:val="none"/>
        </w:rPr>
        <w:t>systematically addressing the staffing issue that proved fatal at MSFT and establishing a culture of constant monitoring and adjustment to maintain quality and safety (Moen &amp; Norman, 2010).</w:t>
      </w:r>
      <w:r w:rsidR="00421220">
        <w:rPr>
          <w:rFonts w:ascii="Arial" w:eastAsia="Times New Roman" w:hAnsi="Arial" w:cs="Arial"/>
          <w:color w:val="1F1F1F"/>
          <w:kern w:val="0"/>
          <w14:ligatures w14:val="none"/>
        </w:rPr>
        <w:t xml:space="preserve"> Additionally, </w:t>
      </w:r>
      <w:r w:rsidR="008963A3" w:rsidRPr="00FB1B41">
        <w:rPr>
          <w:rFonts w:ascii="Arial" w:eastAsia="Times New Roman" w:hAnsi="Arial" w:cs="Arial"/>
          <w:kern w:val="0"/>
          <w14:ligatures w14:val="none"/>
        </w:rPr>
        <w:t>the implementation of a mandated safe nurse-to-patient ratio is not a one-off policy change but a subject of continuous learning and refinement, which is essential to prevent backsliding into the poor practices found at MSFT (Francis, 2013).</w:t>
      </w:r>
    </w:p>
    <w:p w14:paraId="2258A890" w14:textId="77777777" w:rsidR="00E21401" w:rsidRPr="00B52348" w:rsidRDefault="00E21401" w:rsidP="00FA6FE5">
      <w:pPr>
        <w:spacing w:after="240" w:line="360" w:lineRule="auto"/>
        <w:jc w:val="both"/>
        <w:rPr>
          <w:rFonts w:ascii="Arial" w:eastAsia="Times New Roman" w:hAnsi="Arial" w:cs="Arial"/>
          <w:color w:val="C00000"/>
          <w:kern w:val="0"/>
          <w14:ligatures w14:val="none"/>
        </w:rPr>
      </w:pPr>
    </w:p>
    <w:p w14:paraId="1652722B" w14:textId="59CAA1E2" w:rsidR="00E55EF4" w:rsidRDefault="00E55EF4" w:rsidP="00C6042D">
      <w:pPr>
        <w:pStyle w:val="Heading2"/>
      </w:pPr>
      <w:bookmarkStart w:id="37" w:name="_Toc215125301"/>
      <w:r w:rsidRPr="00E843D6">
        <w:t>Recommendation 3: Strengthening Board-Level Quality Governance (PDCA &amp; Accountability)</w:t>
      </w:r>
      <w:r w:rsidR="00377CBB" w:rsidRPr="00377CBB">
        <w:t xml:space="preserve"> </w:t>
      </w:r>
      <w:r w:rsidR="00377CBB" w:rsidRPr="00E843D6">
        <w:t>PDCA (Plan-Do-Check-Act) cycle for workforce planning.</w:t>
      </w:r>
      <w:bookmarkEnd w:id="37"/>
    </w:p>
    <w:p w14:paraId="0B4E66CE" w14:textId="77777777" w:rsidR="00FE3D01" w:rsidRPr="00FE3D01" w:rsidRDefault="00FE3D01" w:rsidP="00FA6FE5">
      <w:pPr>
        <w:ind w:left="360"/>
        <w:jc w:val="both"/>
      </w:pPr>
    </w:p>
    <w:p w14:paraId="73F29E14" w14:textId="1F0429D0" w:rsidR="00E55EF4" w:rsidRPr="00E843D6" w:rsidRDefault="00E55EF4" w:rsidP="00FA6FE5">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 xml:space="preserve">The board's failure to oversee quality was a core systemic failure. </w:t>
      </w:r>
    </w:p>
    <w:p w14:paraId="5A9616C9" w14:textId="7CBD910F" w:rsidR="00E55EF4" w:rsidRDefault="00E55EF4" w:rsidP="00FA6FE5">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b/>
          <w:bCs/>
          <w:kern w:val="0"/>
          <w14:ligatures w14:val="none"/>
        </w:rPr>
        <w:t>Goal:</w:t>
      </w:r>
      <w:r w:rsidRPr="00E843D6">
        <w:rPr>
          <w:rFonts w:ascii="Arial" w:eastAsia="Times New Roman" w:hAnsi="Arial" w:cs="Arial"/>
          <w:kern w:val="0"/>
          <w14:ligatures w14:val="none"/>
        </w:rPr>
        <w:t xml:space="preserve"> Establish a governance system that ensures the board is fully informed of, and responsible for, clinical quality, supported by reliable, transparent data.</w:t>
      </w:r>
      <w:r w:rsidR="00CF198D">
        <w:rPr>
          <w:rFonts w:ascii="Arial" w:eastAsia="Times New Roman" w:hAnsi="Arial" w:cs="Arial"/>
          <w:kern w:val="0"/>
          <w14:ligatures w14:val="none"/>
        </w:rPr>
        <w:t xml:space="preserve"> </w:t>
      </w:r>
      <w:r w:rsidRPr="00CF198D">
        <w:rPr>
          <w:rFonts w:ascii="Arial" w:eastAsia="Times New Roman" w:hAnsi="Arial" w:cs="Arial"/>
          <w:kern w:val="0"/>
          <w14:ligatures w14:val="none"/>
        </w:rPr>
        <w:t>T</w:t>
      </w:r>
      <w:r w:rsidR="00CF198D" w:rsidRPr="00CF198D">
        <w:rPr>
          <w:rFonts w:ascii="Arial" w:eastAsia="Times New Roman" w:hAnsi="Arial" w:cs="Arial"/>
          <w:kern w:val="0"/>
          <w14:ligatures w14:val="none"/>
        </w:rPr>
        <w:t xml:space="preserve">he </w:t>
      </w:r>
      <w:r w:rsidRPr="00CF198D">
        <w:rPr>
          <w:rFonts w:ascii="Arial" w:eastAsia="Times New Roman" w:hAnsi="Arial" w:cs="Arial"/>
          <w:kern w:val="0"/>
          <w14:ligatures w14:val="none"/>
        </w:rPr>
        <w:t>Approach</w:t>
      </w:r>
      <w:r w:rsidR="00CF198D" w:rsidRPr="00CF198D">
        <w:rPr>
          <w:rFonts w:ascii="Arial" w:eastAsia="Times New Roman" w:hAnsi="Arial" w:cs="Arial"/>
          <w:kern w:val="0"/>
          <w14:ligatures w14:val="none"/>
        </w:rPr>
        <w:t xml:space="preserve"> of </w:t>
      </w:r>
      <w:r w:rsidRPr="00CF198D">
        <w:rPr>
          <w:rFonts w:ascii="Arial" w:eastAsia="Times New Roman" w:hAnsi="Arial" w:cs="Arial"/>
          <w:kern w:val="0"/>
          <w14:ligatures w14:val="none"/>
        </w:rPr>
        <w:t xml:space="preserve">PDCA </w:t>
      </w:r>
      <w:r w:rsidRPr="00E843D6">
        <w:rPr>
          <w:rFonts w:ascii="Arial" w:eastAsia="Times New Roman" w:hAnsi="Arial" w:cs="Arial"/>
          <w:kern w:val="0"/>
          <w14:ligatures w14:val="none"/>
        </w:rPr>
        <w:t xml:space="preserve">cycle </w:t>
      </w:r>
      <w:r w:rsidR="00CF198D">
        <w:rPr>
          <w:rFonts w:ascii="Arial" w:eastAsia="Times New Roman" w:hAnsi="Arial" w:cs="Arial"/>
          <w:kern w:val="0"/>
          <w14:ligatures w14:val="none"/>
        </w:rPr>
        <w:t xml:space="preserve">is </w:t>
      </w:r>
      <w:r w:rsidRPr="00E843D6">
        <w:rPr>
          <w:rFonts w:ascii="Arial" w:eastAsia="Times New Roman" w:hAnsi="Arial" w:cs="Arial"/>
          <w:kern w:val="0"/>
          <w14:ligatures w14:val="none"/>
        </w:rPr>
        <w:t>for Quality Governance Review and external scrutiny.</w:t>
      </w:r>
    </w:p>
    <w:p w14:paraId="2493DACC" w14:textId="392C244C" w:rsidR="007F76F3" w:rsidRDefault="007F76F3" w:rsidP="00E843D6">
      <w:pPr>
        <w:spacing w:after="100" w:afterAutospacing="1" w:line="360" w:lineRule="auto"/>
        <w:rPr>
          <w:rFonts w:ascii="Arial" w:eastAsia="Times New Roman" w:hAnsi="Arial" w:cs="Arial"/>
          <w:kern w:val="0"/>
          <w14:ligatures w14:val="none"/>
        </w:rPr>
      </w:pPr>
    </w:p>
    <w:p w14:paraId="6C35A642" w14:textId="7670F8F2" w:rsidR="007F76F3" w:rsidRPr="00E843D6" w:rsidRDefault="007F76F3" w:rsidP="00E843D6">
      <w:pPr>
        <w:spacing w:after="100" w:afterAutospacing="1" w:line="360" w:lineRule="auto"/>
        <w:rPr>
          <w:rFonts w:ascii="Arial" w:eastAsia="Times New Roman" w:hAnsi="Arial" w:cs="Arial"/>
          <w:kern w:val="0"/>
          <w14:ligatures w14:val="none"/>
        </w:rPr>
      </w:pPr>
      <w:r>
        <w:rPr>
          <w:rFonts w:ascii="Arial" w:eastAsia="Times New Roman" w:hAnsi="Arial" w:cs="Arial"/>
          <w:noProof/>
          <w:kern w:val="0"/>
        </w:rPr>
        <w:drawing>
          <wp:inline distT="0" distB="0" distL="0" distR="0" wp14:anchorId="10C62DBF" wp14:editId="4F92D6C2">
            <wp:extent cx="5486400" cy="2663687"/>
            <wp:effectExtent l="0" t="0" r="0" b="3810"/>
            <wp:docPr id="1043837378"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F4F762" w14:textId="77777777" w:rsidR="00E55EF4" w:rsidRPr="00E843D6" w:rsidRDefault="00E55EF4" w:rsidP="00C6042D">
      <w:pPr>
        <w:pStyle w:val="Heading2"/>
        <w:jc w:val="both"/>
      </w:pPr>
      <w:bookmarkStart w:id="38" w:name="_Toc215125302"/>
      <w:r w:rsidRPr="00E843D6">
        <w:lastRenderedPageBreak/>
        <w:t>Actionable Steps:</w:t>
      </w:r>
      <w:bookmarkEnd w:id="38"/>
    </w:p>
    <w:p w14:paraId="32C346B1" w14:textId="77777777" w:rsidR="00E55EF4" w:rsidRPr="00E843D6" w:rsidRDefault="00E55EF4" w:rsidP="00C6042D">
      <w:pPr>
        <w:spacing w:after="100" w:afterAutospacing="1" w:line="360" w:lineRule="auto"/>
        <w:jc w:val="both"/>
        <w:rPr>
          <w:rFonts w:ascii="Arial" w:eastAsia="Times New Roman" w:hAnsi="Arial" w:cs="Arial"/>
          <w:kern w:val="0"/>
          <w14:ligatures w14:val="none"/>
        </w:rPr>
      </w:pPr>
      <w:bookmarkStart w:id="39" w:name="_Toc215125303"/>
      <w:r w:rsidRPr="00E40B53">
        <w:rPr>
          <w:rStyle w:val="Heading3Char"/>
          <w:b/>
          <w:bCs/>
          <w:color w:val="45B0E1" w:themeColor="accent1" w:themeTint="99"/>
        </w:rPr>
        <w:t>Plan:</w:t>
      </w:r>
      <w:bookmarkEnd w:id="39"/>
      <w:r w:rsidRPr="00FE3D01">
        <w:rPr>
          <w:rFonts w:ascii="Arial" w:eastAsia="Times New Roman" w:hAnsi="Arial" w:cs="Arial"/>
          <w:color w:val="45B0E1" w:themeColor="accent1" w:themeTint="99"/>
          <w:kern w:val="0"/>
          <w14:ligatures w14:val="none"/>
        </w:rPr>
        <w:t xml:space="preserve"> </w:t>
      </w:r>
      <w:r w:rsidRPr="00E843D6">
        <w:rPr>
          <w:rFonts w:ascii="Arial" w:eastAsia="Times New Roman" w:hAnsi="Arial" w:cs="Arial"/>
          <w:b/>
          <w:bCs/>
          <w:kern w:val="0"/>
          <w14:ligatures w14:val="none"/>
        </w:rPr>
        <w:t>Define</w:t>
      </w:r>
      <w:r w:rsidRPr="00E843D6">
        <w:rPr>
          <w:rFonts w:ascii="Arial" w:eastAsia="Times New Roman" w:hAnsi="Arial" w:cs="Arial"/>
          <w:kern w:val="0"/>
          <w14:ligatures w14:val="none"/>
        </w:rPr>
        <w:t xml:space="preserve"> the metrics for board reporting, moving beyond financial KPIs to include </w:t>
      </w:r>
      <w:r w:rsidRPr="00DB4C14">
        <w:rPr>
          <w:rFonts w:ascii="Arial" w:eastAsia="Times New Roman" w:hAnsi="Arial" w:cs="Arial"/>
          <w:kern w:val="0"/>
          <w14:ligatures w14:val="none"/>
        </w:rPr>
        <w:t>process metrics (e.g., compliance with basic care bundles) and outcome metrics</w:t>
      </w:r>
      <w:r w:rsidRPr="00E843D6">
        <w:rPr>
          <w:rFonts w:ascii="Arial" w:eastAsia="Times New Roman" w:hAnsi="Arial" w:cs="Arial"/>
          <w:kern w:val="0"/>
          <w14:ligatures w14:val="none"/>
        </w:rPr>
        <w:t xml:space="preserve"> (e.g., HSMR, complaint resolution time) (Keogh, 2013). </w:t>
      </w:r>
      <w:bookmarkStart w:id="40" w:name="_Hlk215103235"/>
      <w:r w:rsidRPr="00CF198D">
        <w:rPr>
          <w:rFonts w:ascii="Arial" w:eastAsia="Times New Roman" w:hAnsi="Arial" w:cs="Arial"/>
          <w:kern w:val="0"/>
          <w14:ligatures w14:val="none"/>
        </w:rPr>
        <w:t>Plan</w:t>
      </w:r>
      <w:r w:rsidRPr="00E843D6">
        <w:rPr>
          <w:rFonts w:ascii="Arial" w:eastAsia="Times New Roman" w:hAnsi="Arial" w:cs="Arial"/>
          <w:kern w:val="0"/>
          <w14:ligatures w14:val="none"/>
        </w:rPr>
        <w:t xml:space="preserve"> for a mandatory independent non-executive director with recent clinical quality experience.</w:t>
      </w:r>
    </w:p>
    <w:p w14:paraId="087BB0D9" w14:textId="77777777" w:rsidR="00E55EF4" w:rsidRPr="00E843D6" w:rsidRDefault="00E55EF4" w:rsidP="00C6042D">
      <w:pPr>
        <w:spacing w:after="100" w:afterAutospacing="1" w:line="360" w:lineRule="auto"/>
        <w:jc w:val="both"/>
        <w:rPr>
          <w:rFonts w:ascii="Arial" w:eastAsia="Times New Roman" w:hAnsi="Arial" w:cs="Arial"/>
          <w:kern w:val="0"/>
          <w14:ligatures w14:val="none"/>
        </w:rPr>
      </w:pPr>
      <w:bookmarkStart w:id="41" w:name="_Toc215125304"/>
      <w:bookmarkEnd w:id="40"/>
      <w:r w:rsidRPr="00E40B53">
        <w:rPr>
          <w:rStyle w:val="Heading3Char"/>
          <w:b/>
          <w:bCs/>
          <w:color w:val="3A7C22" w:themeColor="accent6" w:themeShade="BF"/>
        </w:rPr>
        <w:t>Do:</w:t>
      </w:r>
      <w:bookmarkEnd w:id="41"/>
      <w:r w:rsidRPr="00E40B53">
        <w:rPr>
          <w:rFonts w:ascii="Arial" w:eastAsia="Times New Roman" w:hAnsi="Arial" w:cs="Arial"/>
          <w:color w:val="3A7C22" w:themeColor="accent6" w:themeShade="BF"/>
          <w:kern w:val="0"/>
          <w14:ligatures w14:val="none"/>
        </w:rPr>
        <w:t xml:space="preserve"> </w:t>
      </w:r>
      <w:r w:rsidRPr="00E843D6">
        <w:rPr>
          <w:rFonts w:ascii="Arial" w:eastAsia="Times New Roman" w:hAnsi="Arial" w:cs="Arial"/>
          <w:kern w:val="0"/>
          <w14:ligatures w14:val="none"/>
        </w:rPr>
        <w:t xml:space="preserve">Implement the new quality dashboard. Mandate that quality is the first item on the board agenda. </w:t>
      </w:r>
      <w:bookmarkStart w:id="42" w:name="_Hlk215103381"/>
      <w:r w:rsidRPr="00E843D6">
        <w:rPr>
          <w:rFonts w:ascii="Arial" w:eastAsia="Times New Roman" w:hAnsi="Arial" w:cs="Arial"/>
          <w:kern w:val="0"/>
          <w14:ligatures w14:val="none"/>
        </w:rPr>
        <w:t>Require the CEO and Chair to personally sign off on the accuracy of the quality report.</w:t>
      </w:r>
    </w:p>
    <w:p w14:paraId="0C3C1F52" w14:textId="2D94A128" w:rsidR="00E55EF4" w:rsidRPr="00E843D6" w:rsidRDefault="00E55EF4" w:rsidP="00C6042D">
      <w:pPr>
        <w:spacing w:after="100" w:afterAutospacing="1" w:line="360" w:lineRule="auto"/>
        <w:jc w:val="both"/>
        <w:rPr>
          <w:rFonts w:ascii="Arial" w:eastAsia="Times New Roman" w:hAnsi="Arial" w:cs="Arial"/>
          <w:kern w:val="0"/>
          <w14:ligatures w14:val="none"/>
        </w:rPr>
      </w:pPr>
      <w:bookmarkStart w:id="43" w:name="_Toc215125305"/>
      <w:bookmarkEnd w:id="42"/>
      <w:r w:rsidRPr="00E40B53">
        <w:rPr>
          <w:rStyle w:val="Heading3Char"/>
          <w:b/>
          <w:bCs/>
          <w:color w:val="A02B93" w:themeColor="accent5"/>
        </w:rPr>
        <w:t>Check/Study:</w:t>
      </w:r>
      <w:bookmarkEnd w:id="43"/>
      <w:r w:rsidRPr="00E40B53">
        <w:rPr>
          <w:rFonts w:ascii="Arial" w:eastAsia="Times New Roman" w:hAnsi="Arial" w:cs="Arial"/>
          <w:color w:val="A02B93" w:themeColor="accent5"/>
          <w:kern w:val="0"/>
          <w14:ligatures w14:val="none"/>
        </w:rPr>
        <w:t xml:space="preserve"> </w:t>
      </w:r>
      <w:r w:rsidRPr="00E843D6">
        <w:rPr>
          <w:rFonts w:ascii="Arial" w:eastAsia="Times New Roman" w:hAnsi="Arial" w:cs="Arial"/>
          <w:kern w:val="0"/>
          <w14:ligatures w14:val="none"/>
        </w:rPr>
        <w:t xml:space="preserve">Conduct a mandated </w:t>
      </w:r>
      <w:r w:rsidRPr="00004924">
        <w:rPr>
          <w:rFonts w:ascii="Arial" w:eastAsia="Times New Roman" w:hAnsi="Arial" w:cs="Arial"/>
          <w:kern w:val="0"/>
          <w14:ligatures w14:val="none"/>
        </w:rPr>
        <w:t>external peer review of the board's quality assurance processes annually (Francis, 2013). This external Check</w:t>
      </w:r>
      <w:r w:rsidRPr="00E843D6">
        <w:rPr>
          <w:rFonts w:ascii="Arial" w:eastAsia="Times New Roman" w:hAnsi="Arial" w:cs="Arial"/>
          <w:kern w:val="0"/>
          <w14:ligatures w14:val="none"/>
        </w:rPr>
        <w:t xml:space="preserve"> provides necessary impartiality and prevents internal denial.</w:t>
      </w:r>
    </w:p>
    <w:p w14:paraId="798A3FE3" w14:textId="45D435CD" w:rsidR="00E55EF4" w:rsidRPr="00E843D6" w:rsidRDefault="00E55EF4" w:rsidP="00C6042D">
      <w:pPr>
        <w:spacing w:after="100" w:afterAutospacing="1" w:line="360" w:lineRule="auto"/>
        <w:jc w:val="both"/>
        <w:rPr>
          <w:rFonts w:ascii="Arial" w:eastAsia="Times New Roman" w:hAnsi="Arial" w:cs="Arial"/>
          <w:kern w:val="0"/>
          <w14:ligatures w14:val="none"/>
        </w:rPr>
      </w:pPr>
      <w:bookmarkStart w:id="44" w:name="_Toc215125306"/>
      <w:r w:rsidRPr="00E40B53">
        <w:rPr>
          <w:rStyle w:val="Heading3Char"/>
          <w:b/>
          <w:bCs/>
          <w:color w:val="0A2F41" w:themeColor="accent1" w:themeShade="80"/>
        </w:rPr>
        <w:t>Act:</w:t>
      </w:r>
      <w:bookmarkEnd w:id="44"/>
      <w:r w:rsidRPr="00E40B53">
        <w:rPr>
          <w:rFonts w:ascii="Arial" w:eastAsia="Times New Roman" w:hAnsi="Arial" w:cs="Arial"/>
          <w:color w:val="0A2F41" w:themeColor="accent1" w:themeShade="80"/>
          <w:kern w:val="0"/>
          <w14:ligatures w14:val="none"/>
        </w:rPr>
        <w:t xml:space="preserve"> </w:t>
      </w:r>
      <w:r w:rsidRPr="00E843D6">
        <w:rPr>
          <w:rFonts w:ascii="Arial" w:eastAsia="Times New Roman" w:hAnsi="Arial" w:cs="Arial"/>
          <w:kern w:val="0"/>
          <w14:ligatures w14:val="none"/>
        </w:rPr>
        <w:t xml:space="preserve">Use the findings of the external review to immediately implement corrective actions, ensuring sustained compliance. This cycle ensures that quality oversight is a </w:t>
      </w:r>
      <w:r w:rsidRPr="00004924">
        <w:rPr>
          <w:rFonts w:ascii="Arial" w:eastAsia="Times New Roman" w:hAnsi="Arial" w:cs="Arial"/>
          <w:kern w:val="0"/>
          <w14:ligatures w14:val="none"/>
        </w:rPr>
        <w:t xml:space="preserve">continuous and non-negotiable </w:t>
      </w:r>
      <w:r w:rsidRPr="00E843D6">
        <w:rPr>
          <w:rFonts w:ascii="Arial" w:eastAsia="Times New Roman" w:hAnsi="Arial" w:cs="Arial"/>
          <w:kern w:val="0"/>
          <w14:ligatures w14:val="none"/>
        </w:rPr>
        <w:t>commitment at the highest level of the organisation.</w:t>
      </w:r>
    </w:p>
    <w:p w14:paraId="5B2A69CC" w14:textId="3AEECBD1" w:rsidR="00FF1F59" w:rsidRDefault="00E55EF4" w:rsidP="00C6042D">
      <w:pPr>
        <w:spacing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By applying PDSA/PDCA for systemic change and leveraging Lean/Six Sigma to embed quality and consistency, these recommendations provide a comprehensive, actionable, and evidence-based roadmap to prevent future catastrophic quality failures.</w:t>
      </w:r>
      <w:r w:rsidR="007D1F2A" w:rsidRPr="00E843D6">
        <w:rPr>
          <w:rFonts w:ascii="Arial" w:eastAsia="Times New Roman" w:hAnsi="Arial" w:cs="Arial"/>
          <w:kern w:val="0"/>
          <w14:ligatures w14:val="none"/>
        </w:rPr>
        <w:t xml:space="preserve"> Therefore</w:t>
      </w:r>
      <w:r w:rsidR="00144AA5" w:rsidRPr="00E843D6">
        <w:rPr>
          <w:rFonts w:ascii="Arial" w:eastAsia="Times New Roman" w:hAnsi="Arial" w:cs="Arial"/>
          <w:kern w:val="0"/>
          <w14:ligatures w14:val="none"/>
        </w:rPr>
        <w:t xml:space="preserve">, </w:t>
      </w:r>
      <w:r w:rsidR="00F63782" w:rsidRPr="00E843D6">
        <w:rPr>
          <w:rFonts w:ascii="Arial" w:hAnsi="Arial" w:cs="Arial"/>
        </w:rPr>
        <w:t>these frameworks</w:t>
      </w:r>
      <w:r w:rsidR="00DB0A5A" w:rsidRPr="00E843D6">
        <w:rPr>
          <w:rFonts w:ascii="Arial" w:hAnsi="Arial" w:cs="Arial"/>
        </w:rPr>
        <w:t xml:space="preserve"> should outline key performance indicators, incident reporting protocols, and regular auditing processes (NHS Improvement, 2020).</w:t>
      </w:r>
      <w:r w:rsidR="00541053">
        <w:rPr>
          <w:rFonts w:ascii="Arial" w:eastAsia="Times New Roman" w:hAnsi="Arial" w:cs="Arial"/>
          <w:color w:val="C00000"/>
          <w:kern w:val="0"/>
          <w14:ligatures w14:val="none"/>
        </w:rPr>
        <w:t xml:space="preserve"> </w:t>
      </w:r>
      <w:r w:rsidR="00541053" w:rsidRPr="00FE709C">
        <w:rPr>
          <w:rFonts w:ascii="Arial" w:eastAsia="Times New Roman" w:hAnsi="Arial" w:cs="Arial"/>
          <w:kern w:val="0"/>
          <w14:ligatures w14:val="none"/>
        </w:rPr>
        <w:t xml:space="preserve">Furthermore, </w:t>
      </w:r>
      <w:r w:rsidR="00FE709C" w:rsidRPr="00FE709C">
        <w:rPr>
          <w:rFonts w:ascii="Arial" w:eastAsia="Times New Roman" w:hAnsi="Arial" w:cs="Arial"/>
          <w:kern w:val="0"/>
          <w14:ligatures w14:val="none"/>
        </w:rPr>
        <w:t xml:space="preserve">they are </w:t>
      </w:r>
      <w:r w:rsidR="00FF1F59" w:rsidRPr="00FE709C">
        <w:rPr>
          <w:rFonts w:ascii="Arial" w:eastAsia="Times New Roman" w:hAnsi="Arial" w:cs="Arial"/>
          <w:kern w:val="0"/>
          <w14:ligatures w14:val="none"/>
        </w:rPr>
        <w:t>the most widely adopted framework for continuous quality improvement (CQI) in healthcare, providing a structured, iterative method for testing and refining changes before widespread implementation (Langley et al., 2009).</w:t>
      </w:r>
    </w:p>
    <w:p w14:paraId="0A359B5E" w14:textId="77777777" w:rsidR="006117EC" w:rsidRDefault="006117EC" w:rsidP="00C6042D">
      <w:pPr>
        <w:spacing w:line="360" w:lineRule="auto"/>
        <w:jc w:val="both"/>
        <w:rPr>
          <w:rFonts w:ascii="Arial" w:eastAsia="Times New Roman" w:hAnsi="Arial" w:cs="Arial"/>
          <w:kern w:val="0"/>
          <w14:ligatures w14:val="none"/>
        </w:rPr>
      </w:pPr>
    </w:p>
    <w:p w14:paraId="6C55E053" w14:textId="77777777" w:rsidR="00FE709C" w:rsidRDefault="00FE709C" w:rsidP="0087319B">
      <w:pPr>
        <w:spacing w:line="360" w:lineRule="auto"/>
        <w:rPr>
          <w:rFonts w:ascii="Arial" w:eastAsia="Times New Roman" w:hAnsi="Arial" w:cs="Arial"/>
          <w:kern w:val="0"/>
          <w14:ligatures w14:val="none"/>
        </w:rPr>
      </w:pPr>
    </w:p>
    <w:p w14:paraId="502C8026" w14:textId="77777777" w:rsidR="00FE709C" w:rsidRDefault="00FE709C" w:rsidP="0087319B">
      <w:pPr>
        <w:spacing w:line="360" w:lineRule="auto"/>
        <w:rPr>
          <w:rFonts w:ascii="Arial" w:eastAsia="Times New Roman" w:hAnsi="Arial" w:cs="Arial"/>
          <w:kern w:val="0"/>
          <w14:ligatures w14:val="none"/>
        </w:rPr>
      </w:pPr>
    </w:p>
    <w:p w14:paraId="742F24E2" w14:textId="60766F12" w:rsidR="00E55EF4" w:rsidRPr="00E843D6" w:rsidRDefault="00E55EF4" w:rsidP="00E843D6">
      <w:pPr>
        <w:spacing w:after="0" w:line="360" w:lineRule="auto"/>
        <w:rPr>
          <w:rFonts w:ascii="Arial" w:eastAsia="Times New Roman" w:hAnsi="Arial" w:cs="Arial"/>
          <w:kern w:val="0"/>
          <w14:ligatures w14:val="none"/>
        </w:rPr>
      </w:pPr>
    </w:p>
    <w:p w14:paraId="4FA6EBC9" w14:textId="1F6CBAF5" w:rsidR="00E55EF4" w:rsidRDefault="00E55EF4" w:rsidP="00E40B53">
      <w:pPr>
        <w:pStyle w:val="Heading1"/>
        <w:rPr>
          <w:b/>
          <w:bCs/>
        </w:rPr>
      </w:pPr>
      <w:bookmarkStart w:id="45" w:name="_Toc215125307"/>
      <w:r w:rsidRPr="00E40B53">
        <w:rPr>
          <w:b/>
          <w:bCs/>
        </w:rPr>
        <w:lastRenderedPageBreak/>
        <w:t>Conclusion: Summary of Findings</w:t>
      </w:r>
      <w:bookmarkEnd w:id="45"/>
      <w:r w:rsidRPr="00E40B53">
        <w:rPr>
          <w:b/>
          <w:bCs/>
        </w:rPr>
        <w:t xml:space="preserve"> </w:t>
      </w:r>
    </w:p>
    <w:p w14:paraId="0ADD8EBB" w14:textId="77777777" w:rsidR="00E40B53" w:rsidRPr="00E40B53" w:rsidRDefault="00E40B53" w:rsidP="00E40B53"/>
    <w:p w14:paraId="51B05742" w14:textId="77777777" w:rsidR="00E55EF4" w:rsidRPr="00E843D6" w:rsidRDefault="00E55EF4" w:rsidP="006117EC">
      <w:pPr>
        <w:spacing w:after="100" w:afterAutospacing="1" w:line="360" w:lineRule="auto"/>
        <w:jc w:val="both"/>
        <w:rPr>
          <w:rFonts w:ascii="Arial" w:eastAsia="Times New Roman" w:hAnsi="Arial" w:cs="Arial"/>
          <w:kern w:val="0"/>
          <w14:ligatures w14:val="none"/>
        </w:rPr>
      </w:pPr>
      <w:r w:rsidRPr="00E843D6">
        <w:rPr>
          <w:rFonts w:ascii="Arial" w:eastAsia="Times New Roman" w:hAnsi="Arial" w:cs="Arial"/>
          <w:kern w:val="0"/>
          <w14:ligatures w14:val="none"/>
        </w:rPr>
        <w:t>The Mid Staffordshire NHS Foundation Trust case study represents a profound and tragic failure in healthcare quality, resulting in the avoidable death and suffering of hundreds of patients between 2005 and 2009 (Francis, 2013).</w:t>
      </w:r>
    </w:p>
    <w:p w14:paraId="751065A0" w14:textId="77777777" w:rsidR="00E55EF4" w:rsidRPr="00E40B53" w:rsidRDefault="00E55EF4" w:rsidP="006117EC">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t>The key findings, established through rigorous analysis using quality frameworks, demonstrate a failure that was systemic, cultural, and managerial, not merely clinical. The Fishbone Diagram identified the primary root causes as chronic understaffing, a toxic culture of fear and denial, and the deliberate suppression or misinterpretation of mortality data. The Donabedian Model confirmed the failure across all dimensions of quality, revealing inadequate Structure (e.g., dangerously low nurse-to-patient ratios), compromised Process (e.g., failure to provide basic hygiene and hydration), and catastrophic Outcomes (excess mortality). The SWOT Analysis further highlighted that the Trust's pursuit of financial and Foundation Trust status became an internal weakness that was enabled by the external threat of weak regulatory oversight.</w:t>
      </w:r>
    </w:p>
    <w:p w14:paraId="1117A57C" w14:textId="77777777" w:rsidR="00E55EF4" w:rsidRPr="00E40B53" w:rsidRDefault="00E55EF4" w:rsidP="006117EC">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t>The overarching conclusion is that financial accountability was prioritised over clinical accountability, creating an environment where patient safety was critically undermined (Francis, 2013; Learmonth &amp; Harding, 2017).</w:t>
      </w:r>
    </w:p>
    <w:p w14:paraId="53345159" w14:textId="77777777" w:rsidR="00E55EF4" w:rsidRPr="00E40B53" w:rsidRDefault="00E55EF4" w:rsidP="006117EC">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t>To address these deep-seated issues, the report provided three core evidence-based recommendations, underpinned by established quality improvement tools:</w:t>
      </w:r>
    </w:p>
    <w:p w14:paraId="1921B23B" w14:textId="77777777" w:rsidR="00E55EF4" w:rsidRPr="00E40B53" w:rsidRDefault="00E55EF4" w:rsidP="006117EC">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t>Cultivating a Safety-First Culture using Lean and Six Sigma to eliminate the waste of unreported incidents and standardise critical processes.</w:t>
      </w:r>
    </w:p>
    <w:p w14:paraId="3CBF2E51" w14:textId="77777777" w:rsidR="00E55EF4" w:rsidRPr="00E40B53" w:rsidRDefault="00E55EF4" w:rsidP="006117EC">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t>Implementing Safe Staffing and Resource Allocation using the PDSA cycle to continuously monitor and adjust nurse-to-patient ratios based on measurable patient outcomes.</w:t>
      </w:r>
    </w:p>
    <w:p w14:paraId="0D60ABB3" w14:textId="77777777" w:rsidR="00E55EF4" w:rsidRPr="00E40B53" w:rsidRDefault="00E55EF4" w:rsidP="006117EC">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t>Strengthening Board-Level Quality Governance using the PDCA cycle to mandate external scrutiny and ensure quality metrics take absolute precedence over financial targets.</w:t>
      </w:r>
    </w:p>
    <w:p w14:paraId="125307DC" w14:textId="3A6FD15A" w:rsidR="00E40B53" w:rsidRPr="00E40B53" w:rsidRDefault="00E55EF4" w:rsidP="006A7281">
      <w:pPr>
        <w:spacing w:after="100" w:afterAutospacing="1" w:line="360" w:lineRule="auto"/>
        <w:jc w:val="both"/>
        <w:rPr>
          <w:rFonts w:ascii="Arial" w:eastAsia="Times New Roman" w:hAnsi="Arial" w:cs="Arial"/>
          <w:kern w:val="0"/>
          <w14:ligatures w14:val="none"/>
        </w:rPr>
      </w:pPr>
      <w:r w:rsidRPr="00E40B53">
        <w:rPr>
          <w:rFonts w:ascii="Arial" w:eastAsia="Times New Roman" w:hAnsi="Arial" w:cs="Arial"/>
          <w:kern w:val="0"/>
          <w14:ligatures w14:val="none"/>
        </w:rPr>
        <w:lastRenderedPageBreak/>
        <w:t>The legacy of MSFT necessitates a permanent shift in healthcare philosophy, demanding that all Trusts embed a transparent, safety-focused culture, ensure staffing is evidence-based, and maintain unwavering commitment to clinical governance from the board level down.</w:t>
      </w:r>
    </w:p>
    <w:p w14:paraId="01EDB811" w14:textId="22B432B1" w:rsidR="00592827" w:rsidRPr="00592827" w:rsidRDefault="000764F3" w:rsidP="006A7281">
      <w:pPr>
        <w:pStyle w:val="Heading1"/>
      </w:pPr>
      <w:bookmarkStart w:id="46" w:name="_Toc215125308"/>
      <w:r w:rsidRPr="00E843D6">
        <w:t>Benchmark Model: Mid Staffordshire NHS Failure and Post-Francis Benchmarks</w:t>
      </w:r>
      <w:r w:rsidR="00592827">
        <w:t>.</w:t>
      </w:r>
      <w:bookmarkEnd w:id="46"/>
    </w:p>
    <w:p w14:paraId="735626A6" w14:textId="2D769C80" w:rsidR="000764F3" w:rsidRPr="006A7281" w:rsidRDefault="000764F3" w:rsidP="006A7281">
      <w:pPr>
        <w:spacing w:after="100" w:afterAutospacing="1" w:line="360" w:lineRule="auto"/>
        <w:jc w:val="both"/>
        <w:rPr>
          <w:rFonts w:ascii="Arial" w:eastAsia="Times New Roman" w:hAnsi="Arial" w:cs="Arial"/>
          <w:kern w:val="0"/>
          <w14:ligatures w14:val="none"/>
        </w:rPr>
      </w:pPr>
      <w:r w:rsidRPr="006A7281">
        <w:rPr>
          <w:rFonts w:ascii="Arial" w:eastAsia="Times New Roman" w:hAnsi="Arial" w:cs="Arial"/>
          <w:kern w:val="0"/>
          <w14:ligatures w14:val="none"/>
        </w:rPr>
        <w:t>This table benchmarks key indicators from the pre-crisis period at MSFT (2005–2009) against the mandated post-Francis Inquiry national quality standards and targets (often implemented via the Care Quality Commission, CQC, and NHS England).</w:t>
      </w:r>
    </w:p>
    <w:tbl>
      <w:tblPr>
        <w:tblW w:w="0" w:type="auto"/>
        <w:tblCellSpacing w:w="15" w:type="dxa"/>
        <w:tblCellMar>
          <w:left w:w="0" w:type="dxa"/>
          <w:right w:w="0" w:type="dxa"/>
        </w:tblCellMar>
        <w:tblLook w:val="04A0" w:firstRow="1" w:lastRow="0" w:firstColumn="1" w:lastColumn="0" w:noHBand="0" w:noVBand="1"/>
      </w:tblPr>
      <w:tblGrid>
        <w:gridCol w:w="1908"/>
        <w:gridCol w:w="2195"/>
        <w:gridCol w:w="2652"/>
        <w:gridCol w:w="2255"/>
      </w:tblGrid>
      <w:tr w:rsidR="009A714B" w:rsidRPr="00E843D6" w14:paraId="065C78DA" w14:textId="77777777" w:rsidTr="00C35525">
        <w:trPr>
          <w:tblHeade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45B0E1" w:themeFill="accent1" w:themeFillTint="99"/>
            <w:tcMar>
              <w:top w:w="120" w:type="dxa"/>
              <w:left w:w="180" w:type="dxa"/>
              <w:bottom w:w="120" w:type="dxa"/>
              <w:right w:w="180" w:type="dxa"/>
            </w:tcMar>
            <w:vAlign w:val="center"/>
            <w:hideMark/>
          </w:tcPr>
          <w:p w14:paraId="09579CF5"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Indicator</w:t>
            </w:r>
          </w:p>
        </w:tc>
        <w:tc>
          <w:tcPr>
            <w:tcW w:w="0" w:type="auto"/>
            <w:tcBorders>
              <w:top w:val="single" w:sz="6" w:space="0" w:color="auto"/>
              <w:left w:val="single" w:sz="6" w:space="0" w:color="auto"/>
              <w:bottom w:val="single" w:sz="6" w:space="0" w:color="auto"/>
              <w:right w:val="single" w:sz="6" w:space="0" w:color="auto"/>
            </w:tcBorders>
            <w:shd w:val="clear" w:color="auto" w:fill="45B0E1" w:themeFill="accent1" w:themeFillTint="99"/>
            <w:tcMar>
              <w:top w:w="120" w:type="dxa"/>
              <w:left w:w="180" w:type="dxa"/>
              <w:bottom w:w="120" w:type="dxa"/>
              <w:right w:w="180" w:type="dxa"/>
            </w:tcMar>
            <w:vAlign w:val="center"/>
            <w:hideMark/>
          </w:tcPr>
          <w:p w14:paraId="012D2BB0"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MSFT (Before Francis Inquiry: 2005-2009)</w:t>
            </w:r>
          </w:p>
        </w:tc>
        <w:tc>
          <w:tcPr>
            <w:tcW w:w="0" w:type="auto"/>
            <w:tcBorders>
              <w:top w:val="single" w:sz="6" w:space="0" w:color="auto"/>
              <w:left w:val="single" w:sz="6" w:space="0" w:color="auto"/>
              <w:bottom w:val="single" w:sz="6" w:space="0" w:color="auto"/>
              <w:right w:val="single" w:sz="6" w:space="0" w:color="auto"/>
            </w:tcBorders>
            <w:shd w:val="clear" w:color="auto" w:fill="45B0E1" w:themeFill="accent1" w:themeFillTint="99"/>
            <w:tcMar>
              <w:top w:w="120" w:type="dxa"/>
              <w:left w:w="180" w:type="dxa"/>
              <w:bottom w:w="120" w:type="dxa"/>
              <w:right w:w="180" w:type="dxa"/>
            </w:tcMar>
            <w:vAlign w:val="center"/>
            <w:hideMark/>
          </w:tcPr>
          <w:p w14:paraId="3CF1B9C2"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Post-Francis National Benchmark/Goal (c. 2014 onwards)</w:t>
            </w:r>
          </w:p>
        </w:tc>
        <w:tc>
          <w:tcPr>
            <w:tcW w:w="0" w:type="auto"/>
            <w:tcBorders>
              <w:top w:val="single" w:sz="6" w:space="0" w:color="auto"/>
              <w:left w:val="single" w:sz="6" w:space="0" w:color="auto"/>
              <w:bottom w:val="single" w:sz="6" w:space="0" w:color="auto"/>
              <w:right w:val="single" w:sz="6" w:space="0" w:color="auto"/>
            </w:tcBorders>
            <w:shd w:val="clear" w:color="auto" w:fill="45B0E1" w:themeFill="accent1" w:themeFillTint="99"/>
            <w:tcMar>
              <w:top w:w="120" w:type="dxa"/>
              <w:left w:w="180" w:type="dxa"/>
              <w:bottom w:w="120" w:type="dxa"/>
              <w:right w:w="180" w:type="dxa"/>
            </w:tcMar>
            <w:vAlign w:val="center"/>
            <w:hideMark/>
          </w:tcPr>
          <w:p w14:paraId="20701182"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Significance and Source</w:t>
            </w:r>
          </w:p>
        </w:tc>
      </w:tr>
      <w:tr w:rsidR="009A714B" w:rsidRPr="00E843D6" w14:paraId="1FF0B541" w14:textId="77777777" w:rsidTr="006708CB">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F6C5AC" w:themeFill="accent2" w:themeFillTint="66"/>
            <w:tcMar>
              <w:top w:w="120" w:type="dxa"/>
              <w:left w:w="180" w:type="dxa"/>
              <w:bottom w:w="120" w:type="dxa"/>
              <w:right w:w="180" w:type="dxa"/>
            </w:tcMar>
            <w:vAlign w:val="center"/>
            <w:hideMark/>
          </w:tcPr>
          <w:p w14:paraId="249507C2"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Patient Outcome: Excess Mortality</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tcMar>
              <w:top w:w="120" w:type="dxa"/>
              <w:left w:w="180" w:type="dxa"/>
              <w:bottom w:w="120" w:type="dxa"/>
              <w:right w:w="180" w:type="dxa"/>
            </w:tcMar>
            <w:vAlign w:val="center"/>
            <w:hideMark/>
          </w:tcPr>
          <w:p w14:paraId="045758AD"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Estimated </w:t>
            </w:r>
            <w:r w:rsidRPr="00E843D6">
              <w:rPr>
                <w:rFonts w:ascii="Arial" w:eastAsia="Times New Roman" w:hAnsi="Arial" w:cs="Arial"/>
                <w:b/>
                <w:bCs/>
                <w:kern w:val="0"/>
                <w:sz w:val="22"/>
                <w:szCs w:val="22"/>
                <w14:ligatures w14:val="none"/>
              </w:rPr>
              <w:t>400 to 1,200</w:t>
            </w:r>
            <w:r w:rsidRPr="00E843D6">
              <w:rPr>
                <w:rFonts w:ascii="Arial" w:eastAsia="Times New Roman" w:hAnsi="Arial" w:cs="Arial"/>
                <w:kern w:val="0"/>
                <w:sz w:val="22"/>
                <w:szCs w:val="22"/>
                <w14:ligatures w14:val="none"/>
              </w:rPr>
              <w:t xml:space="preserve"> more deaths than expected (Francis, 2013).</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tcMar>
              <w:top w:w="120" w:type="dxa"/>
              <w:left w:w="180" w:type="dxa"/>
              <w:bottom w:w="120" w:type="dxa"/>
              <w:right w:w="180" w:type="dxa"/>
            </w:tcMar>
            <w:vAlign w:val="center"/>
            <w:hideMark/>
          </w:tcPr>
          <w:p w14:paraId="25F184FE"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Goal of </w:t>
            </w:r>
            <w:r w:rsidRPr="00E843D6">
              <w:rPr>
                <w:rFonts w:ascii="Arial" w:eastAsia="Times New Roman" w:hAnsi="Arial" w:cs="Arial"/>
                <w:b/>
                <w:bCs/>
                <w:kern w:val="0"/>
                <w:sz w:val="22"/>
                <w:szCs w:val="22"/>
                <w14:ligatures w14:val="none"/>
              </w:rPr>
              <w:t>Zero avoidable deaths</w:t>
            </w:r>
            <w:r w:rsidRPr="00E843D6">
              <w:rPr>
                <w:rFonts w:ascii="Arial" w:eastAsia="Times New Roman" w:hAnsi="Arial" w:cs="Arial"/>
                <w:kern w:val="0"/>
                <w:sz w:val="22"/>
                <w:szCs w:val="22"/>
                <w14:ligatures w14:val="none"/>
              </w:rPr>
              <w:t xml:space="preserve"> and mortality rates consistently </w:t>
            </w:r>
            <w:r w:rsidRPr="00E843D6">
              <w:rPr>
                <w:rFonts w:ascii="Arial" w:eastAsia="Times New Roman" w:hAnsi="Arial" w:cs="Arial"/>
                <w:i/>
                <w:iCs/>
                <w:kern w:val="0"/>
                <w:sz w:val="22"/>
                <w:szCs w:val="22"/>
                <w14:ligatures w14:val="none"/>
              </w:rPr>
              <w:t>below</w:t>
            </w:r>
            <w:r w:rsidRPr="00E843D6">
              <w:rPr>
                <w:rFonts w:ascii="Arial" w:eastAsia="Times New Roman" w:hAnsi="Arial" w:cs="Arial"/>
                <w:kern w:val="0"/>
                <w:sz w:val="22"/>
                <w:szCs w:val="22"/>
                <w14:ligatures w14:val="none"/>
              </w:rPr>
              <w:t xml:space="preserve"> or </w:t>
            </w:r>
            <w:r w:rsidRPr="00E843D6">
              <w:rPr>
                <w:rFonts w:ascii="Arial" w:eastAsia="Times New Roman" w:hAnsi="Arial" w:cs="Arial"/>
                <w:i/>
                <w:iCs/>
                <w:kern w:val="0"/>
                <w:sz w:val="22"/>
                <w:szCs w:val="22"/>
                <w14:ligatures w14:val="none"/>
              </w:rPr>
              <w:t>within</w:t>
            </w:r>
            <w:r w:rsidRPr="00E843D6">
              <w:rPr>
                <w:rFonts w:ascii="Arial" w:eastAsia="Times New Roman" w:hAnsi="Arial" w:cs="Arial"/>
                <w:kern w:val="0"/>
                <w:sz w:val="22"/>
                <w:szCs w:val="22"/>
                <w14:ligatures w14:val="none"/>
              </w:rPr>
              <w:t xml:space="preserve"> expected range (e.g., HSMR near 100).</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tcMar>
              <w:top w:w="120" w:type="dxa"/>
              <w:left w:w="180" w:type="dxa"/>
              <w:bottom w:w="120" w:type="dxa"/>
              <w:right w:w="180" w:type="dxa"/>
            </w:tcMar>
            <w:vAlign w:val="center"/>
            <w:hideMark/>
          </w:tcPr>
          <w:p w14:paraId="3D87DB31"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The primary measure of quality failure. The "after" benchmark reflects the fundamental commitment to patient safety (Francis, 2013; Keogh, 2013).</w:t>
            </w:r>
          </w:p>
        </w:tc>
      </w:tr>
      <w:tr w:rsidR="009A714B" w:rsidRPr="00E843D6" w14:paraId="41BD6CF2" w14:textId="77777777" w:rsidTr="006708CB">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84E290" w:themeFill="accent3" w:themeFillTint="66"/>
            <w:tcMar>
              <w:top w:w="120" w:type="dxa"/>
              <w:left w:w="180" w:type="dxa"/>
              <w:bottom w:w="120" w:type="dxa"/>
              <w:right w:w="180" w:type="dxa"/>
            </w:tcMar>
            <w:vAlign w:val="center"/>
            <w:hideMark/>
          </w:tcPr>
          <w:p w14:paraId="706638E8"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Staffing: Nurse-to-Patient Ratio (General Ward)</w:t>
            </w:r>
          </w:p>
        </w:tc>
        <w:tc>
          <w:tcPr>
            <w:tcW w:w="0" w:type="auto"/>
            <w:tcBorders>
              <w:top w:val="single" w:sz="6" w:space="0" w:color="auto"/>
              <w:left w:val="single" w:sz="6" w:space="0" w:color="auto"/>
              <w:bottom w:val="single" w:sz="6" w:space="0" w:color="auto"/>
              <w:right w:val="single" w:sz="6" w:space="0" w:color="auto"/>
            </w:tcBorders>
            <w:shd w:val="clear" w:color="auto" w:fill="D9F2D0" w:themeFill="accent6" w:themeFillTint="33"/>
            <w:tcMar>
              <w:top w:w="120" w:type="dxa"/>
              <w:left w:w="180" w:type="dxa"/>
              <w:bottom w:w="120" w:type="dxa"/>
              <w:right w:w="180" w:type="dxa"/>
            </w:tcMar>
            <w:vAlign w:val="center"/>
            <w:hideMark/>
          </w:tcPr>
          <w:p w14:paraId="1CA20243"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Often reported ratios of </w:t>
            </w:r>
            <w:r w:rsidRPr="00E843D6">
              <w:rPr>
                <w:rFonts w:ascii="Arial" w:eastAsia="Times New Roman" w:hAnsi="Arial" w:cs="Arial"/>
                <w:b/>
                <w:bCs/>
                <w:kern w:val="0"/>
                <w:sz w:val="22"/>
                <w:szCs w:val="22"/>
                <w14:ligatures w14:val="none"/>
              </w:rPr>
              <w:t>1:10 to 1:12</w:t>
            </w:r>
            <w:r w:rsidRPr="00E843D6">
              <w:rPr>
                <w:rFonts w:ascii="Arial" w:eastAsia="Times New Roman" w:hAnsi="Arial" w:cs="Arial"/>
                <w:kern w:val="0"/>
                <w:sz w:val="22"/>
                <w:szCs w:val="22"/>
                <w14:ligatures w14:val="none"/>
              </w:rPr>
              <w:t xml:space="preserve"> or worse on busy shifts (Francis, 2013).</w:t>
            </w:r>
          </w:p>
        </w:tc>
        <w:tc>
          <w:tcPr>
            <w:tcW w:w="0" w:type="auto"/>
            <w:tcBorders>
              <w:top w:val="single" w:sz="6" w:space="0" w:color="auto"/>
              <w:left w:val="single" w:sz="6" w:space="0" w:color="auto"/>
              <w:bottom w:val="single" w:sz="6" w:space="0" w:color="auto"/>
              <w:right w:val="single" w:sz="6" w:space="0" w:color="auto"/>
            </w:tcBorders>
            <w:shd w:val="clear" w:color="auto" w:fill="D9F2D0" w:themeFill="accent6" w:themeFillTint="33"/>
            <w:tcMar>
              <w:top w:w="120" w:type="dxa"/>
              <w:left w:w="180" w:type="dxa"/>
              <w:bottom w:w="120" w:type="dxa"/>
              <w:right w:w="180" w:type="dxa"/>
            </w:tcMar>
            <w:vAlign w:val="center"/>
            <w:hideMark/>
          </w:tcPr>
          <w:p w14:paraId="0E3D8010"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Recommended </w:t>
            </w:r>
            <w:r w:rsidRPr="00E843D6">
              <w:rPr>
                <w:rFonts w:ascii="Arial" w:eastAsia="Times New Roman" w:hAnsi="Arial" w:cs="Arial"/>
                <w:b/>
                <w:bCs/>
                <w:kern w:val="0"/>
                <w:sz w:val="22"/>
                <w:szCs w:val="22"/>
                <w14:ligatures w14:val="none"/>
              </w:rPr>
              <w:t>1:8 or better</w:t>
            </w:r>
            <w:r w:rsidRPr="00E843D6">
              <w:rPr>
                <w:rFonts w:ascii="Arial" w:eastAsia="Times New Roman" w:hAnsi="Arial" w:cs="Arial"/>
                <w:kern w:val="0"/>
                <w:sz w:val="22"/>
                <w:szCs w:val="22"/>
                <w14:ligatures w14:val="none"/>
              </w:rPr>
              <w:t xml:space="preserve"> on general acute wards (Aiken et al., 2014; NICE Guidelines, 2014).</w:t>
            </w:r>
          </w:p>
        </w:tc>
        <w:tc>
          <w:tcPr>
            <w:tcW w:w="0" w:type="auto"/>
            <w:tcBorders>
              <w:top w:val="single" w:sz="6" w:space="0" w:color="auto"/>
              <w:left w:val="single" w:sz="6" w:space="0" w:color="auto"/>
              <w:bottom w:val="single" w:sz="6" w:space="0" w:color="auto"/>
              <w:right w:val="single" w:sz="6" w:space="0" w:color="auto"/>
            </w:tcBorders>
            <w:shd w:val="clear" w:color="auto" w:fill="D9F2D0" w:themeFill="accent6" w:themeFillTint="33"/>
            <w:tcMar>
              <w:top w:w="120" w:type="dxa"/>
              <w:left w:w="180" w:type="dxa"/>
              <w:bottom w:w="120" w:type="dxa"/>
              <w:right w:w="180" w:type="dxa"/>
            </w:tcMar>
            <w:vAlign w:val="center"/>
            <w:hideMark/>
          </w:tcPr>
          <w:p w14:paraId="6866905F"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A direct intervention addressing the inability of staff to provide basic care due to overwhelming </w:t>
            </w:r>
            <w:r w:rsidRPr="00E843D6">
              <w:rPr>
                <w:rFonts w:ascii="Arial" w:eastAsia="Times New Roman" w:hAnsi="Arial" w:cs="Arial"/>
                <w:kern w:val="0"/>
                <w:sz w:val="22"/>
                <w:szCs w:val="22"/>
                <w14:ligatures w14:val="none"/>
              </w:rPr>
              <w:lastRenderedPageBreak/>
              <w:t>workload (West et al., 2015).</w:t>
            </w:r>
          </w:p>
        </w:tc>
      </w:tr>
      <w:tr w:rsidR="009A714B" w:rsidRPr="00E843D6" w14:paraId="1F30CE18" w14:textId="77777777" w:rsidTr="006708CB">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E59EDC" w:themeFill="accent5" w:themeFillTint="66"/>
            <w:tcMar>
              <w:top w:w="120" w:type="dxa"/>
              <w:left w:w="180" w:type="dxa"/>
              <w:bottom w:w="120" w:type="dxa"/>
              <w:right w:w="180" w:type="dxa"/>
            </w:tcMar>
            <w:vAlign w:val="center"/>
            <w:hideMark/>
          </w:tcPr>
          <w:p w14:paraId="1B0950FD"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lastRenderedPageBreak/>
              <w:t>Culture: Staff Willingness to Raise Concerns</w:t>
            </w:r>
          </w:p>
        </w:tc>
        <w:tc>
          <w:tcPr>
            <w:tcW w:w="0" w:type="auto"/>
            <w:tcBorders>
              <w:top w:val="single" w:sz="6" w:space="0" w:color="auto"/>
              <w:left w:val="single" w:sz="6" w:space="0" w:color="auto"/>
              <w:bottom w:val="single" w:sz="6" w:space="0" w:color="auto"/>
              <w:right w:val="single" w:sz="6" w:space="0" w:color="auto"/>
            </w:tcBorders>
            <w:shd w:val="clear" w:color="auto" w:fill="F2CEED" w:themeFill="accent5" w:themeFillTint="33"/>
            <w:tcMar>
              <w:top w:w="120" w:type="dxa"/>
              <w:left w:w="180" w:type="dxa"/>
              <w:bottom w:w="120" w:type="dxa"/>
              <w:right w:w="180" w:type="dxa"/>
            </w:tcMar>
            <w:vAlign w:val="center"/>
            <w:hideMark/>
          </w:tcPr>
          <w:p w14:paraId="4F74C1EA"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Estimated </w:t>
            </w:r>
            <w:r w:rsidRPr="00E843D6">
              <w:rPr>
                <w:rFonts w:ascii="Arial" w:eastAsia="Times New Roman" w:hAnsi="Arial" w:cs="Arial"/>
                <w:b/>
                <w:bCs/>
                <w:kern w:val="0"/>
                <w:sz w:val="22"/>
                <w:szCs w:val="22"/>
                <w14:ligatures w14:val="none"/>
              </w:rPr>
              <w:t>&lt;10%</w:t>
            </w:r>
            <w:r w:rsidRPr="00E843D6">
              <w:rPr>
                <w:rFonts w:ascii="Arial" w:eastAsia="Times New Roman" w:hAnsi="Arial" w:cs="Arial"/>
                <w:kern w:val="0"/>
                <w:sz w:val="22"/>
                <w:szCs w:val="22"/>
                <w14:ligatures w14:val="none"/>
              </w:rPr>
              <w:t xml:space="preserve"> of staff felt able to raise concerns without fear of reprisal (Inferred from Inquiry findings of a culture of fear).</w:t>
            </w:r>
          </w:p>
        </w:tc>
        <w:tc>
          <w:tcPr>
            <w:tcW w:w="0" w:type="auto"/>
            <w:tcBorders>
              <w:top w:val="single" w:sz="6" w:space="0" w:color="auto"/>
              <w:left w:val="single" w:sz="6" w:space="0" w:color="auto"/>
              <w:bottom w:val="single" w:sz="6" w:space="0" w:color="auto"/>
              <w:right w:val="single" w:sz="6" w:space="0" w:color="auto"/>
            </w:tcBorders>
            <w:shd w:val="clear" w:color="auto" w:fill="F2CEED" w:themeFill="accent5" w:themeFillTint="33"/>
            <w:tcMar>
              <w:top w:w="120" w:type="dxa"/>
              <w:left w:w="180" w:type="dxa"/>
              <w:bottom w:w="120" w:type="dxa"/>
              <w:right w:w="180" w:type="dxa"/>
            </w:tcMar>
            <w:vAlign w:val="center"/>
            <w:hideMark/>
          </w:tcPr>
          <w:p w14:paraId="4D401D33"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&gt;75%</w:t>
            </w:r>
            <w:r w:rsidRPr="00E843D6">
              <w:rPr>
                <w:rFonts w:ascii="Arial" w:eastAsia="Times New Roman" w:hAnsi="Arial" w:cs="Arial"/>
                <w:kern w:val="0"/>
                <w:sz w:val="22"/>
                <w:szCs w:val="22"/>
                <w14:ligatures w14:val="none"/>
              </w:rPr>
              <w:t xml:space="preserve"> of staff reporting they feel safe to speak up about errors and risks (NHS Staff Survey / Freedom to Speak Up Guardian).</w:t>
            </w:r>
          </w:p>
        </w:tc>
        <w:tc>
          <w:tcPr>
            <w:tcW w:w="0" w:type="auto"/>
            <w:tcBorders>
              <w:top w:val="single" w:sz="6" w:space="0" w:color="auto"/>
              <w:left w:val="single" w:sz="6" w:space="0" w:color="auto"/>
              <w:bottom w:val="single" w:sz="6" w:space="0" w:color="auto"/>
              <w:right w:val="single" w:sz="6" w:space="0" w:color="auto"/>
            </w:tcBorders>
            <w:shd w:val="clear" w:color="auto" w:fill="F2CEED" w:themeFill="accent5" w:themeFillTint="33"/>
            <w:tcMar>
              <w:top w:w="120" w:type="dxa"/>
              <w:left w:w="180" w:type="dxa"/>
              <w:bottom w:w="120" w:type="dxa"/>
              <w:right w:w="180" w:type="dxa"/>
            </w:tcMar>
            <w:vAlign w:val="center"/>
            <w:hideMark/>
          </w:tcPr>
          <w:p w14:paraId="2FAD1CA6"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Measures the psychological safety, which is crucial for a learning culture (</w:t>
            </w:r>
            <w:r w:rsidRPr="00E843D6">
              <w:rPr>
                <w:rFonts w:ascii="Arial" w:eastAsia="Times New Roman" w:hAnsi="Arial" w:cs="Arial"/>
                <w:b/>
                <w:bCs/>
                <w:kern w:val="0"/>
                <w:sz w:val="22"/>
                <w:szCs w:val="22"/>
                <w14:ligatures w14:val="none"/>
              </w:rPr>
              <w:t>Just Culture Theory</w:t>
            </w:r>
            <w:r w:rsidRPr="00E843D6">
              <w:rPr>
                <w:rFonts w:ascii="Arial" w:eastAsia="Times New Roman" w:hAnsi="Arial" w:cs="Arial"/>
                <w:kern w:val="0"/>
                <w:sz w:val="22"/>
                <w:szCs w:val="22"/>
                <w14:ligatures w14:val="none"/>
              </w:rPr>
              <w:t>; Francis, 2013).</w:t>
            </w:r>
          </w:p>
        </w:tc>
      </w:tr>
      <w:tr w:rsidR="009A714B" w:rsidRPr="00E843D6" w14:paraId="30904C71" w14:textId="77777777" w:rsidTr="006708CB">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F6C5AC" w:themeFill="accent2" w:themeFillTint="66"/>
            <w:tcMar>
              <w:top w:w="120" w:type="dxa"/>
              <w:left w:w="180" w:type="dxa"/>
              <w:bottom w:w="120" w:type="dxa"/>
              <w:right w:w="180" w:type="dxa"/>
            </w:tcMar>
            <w:vAlign w:val="center"/>
            <w:hideMark/>
          </w:tcPr>
          <w:p w14:paraId="2E5F34A1"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Governance: Board Quality Assurance</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tcMar>
              <w:top w:w="120" w:type="dxa"/>
              <w:left w:w="180" w:type="dxa"/>
              <w:bottom w:w="120" w:type="dxa"/>
              <w:right w:w="180" w:type="dxa"/>
            </w:tcMar>
            <w:vAlign w:val="center"/>
            <w:hideMark/>
          </w:tcPr>
          <w:p w14:paraId="1572CA06"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Failure to act on </w:t>
            </w:r>
            <w:r w:rsidRPr="00E843D6">
              <w:rPr>
                <w:rFonts w:ascii="Arial" w:eastAsia="Times New Roman" w:hAnsi="Arial" w:cs="Arial"/>
                <w:b/>
                <w:bCs/>
                <w:kern w:val="0"/>
                <w:sz w:val="22"/>
                <w:szCs w:val="22"/>
                <w14:ligatures w14:val="none"/>
              </w:rPr>
              <w:t>elevated Hospital Standardised Mortality Ratio (HSMR)</w:t>
            </w:r>
            <w:r w:rsidRPr="00E843D6">
              <w:rPr>
                <w:rFonts w:ascii="Arial" w:eastAsia="Times New Roman" w:hAnsi="Arial" w:cs="Arial"/>
                <w:kern w:val="0"/>
                <w:sz w:val="22"/>
                <w:szCs w:val="22"/>
                <w14:ligatures w14:val="none"/>
              </w:rPr>
              <w:t xml:space="preserve"> figures (Francis, 2013).</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tcMar>
              <w:top w:w="120" w:type="dxa"/>
              <w:left w:w="180" w:type="dxa"/>
              <w:bottom w:w="120" w:type="dxa"/>
              <w:right w:w="180" w:type="dxa"/>
            </w:tcMar>
            <w:vAlign w:val="center"/>
            <w:hideMark/>
          </w:tcPr>
          <w:p w14:paraId="6FBD113B"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Mandatory </w:t>
            </w:r>
            <w:r w:rsidRPr="00E843D6">
              <w:rPr>
                <w:rFonts w:ascii="Arial" w:eastAsia="Times New Roman" w:hAnsi="Arial" w:cs="Arial"/>
                <w:b/>
                <w:bCs/>
                <w:kern w:val="0"/>
                <w:sz w:val="22"/>
                <w:szCs w:val="22"/>
                <w14:ligatures w14:val="none"/>
              </w:rPr>
              <w:t>weekly/monthly board review</w:t>
            </w:r>
            <w:r w:rsidRPr="00E843D6">
              <w:rPr>
                <w:rFonts w:ascii="Arial" w:eastAsia="Times New Roman" w:hAnsi="Arial" w:cs="Arial"/>
                <w:kern w:val="0"/>
                <w:sz w:val="22"/>
                <w:szCs w:val="22"/>
                <w14:ligatures w14:val="none"/>
              </w:rPr>
              <w:t xml:space="preserve"> of quality data, including </w:t>
            </w:r>
            <w:r w:rsidRPr="00E843D6">
              <w:rPr>
                <w:rFonts w:ascii="Arial" w:eastAsia="Times New Roman" w:hAnsi="Arial" w:cs="Arial"/>
                <w:b/>
                <w:bCs/>
                <w:kern w:val="0"/>
                <w:sz w:val="22"/>
                <w:szCs w:val="22"/>
                <w14:ligatures w14:val="none"/>
              </w:rPr>
              <w:t>HSMR, Safety Incidents, and Staffing Levels</w:t>
            </w:r>
            <w:r w:rsidRPr="00E843D6">
              <w:rPr>
                <w:rFonts w:ascii="Arial" w:eastAsia="Times New Roman" w:hAnsi="Arial" w:cs="Arial"/>
                <w:kern w:val="0"/>
                <w:sz w:val="22"/>
                <w:szCs w:val="22"/>
                <w14:ligatures w14:val="none"/>
              </w:rPr>
              <w:t xml:space="preserve"> (NHS Improvement / CQC Regulations).</w:t>
            </w:r>
          </w:p>
        </w:tc>
        <w:tc>
          <w:tcPr>
            <w:tcW w:w="0" w:type="auto"/>
            <w:tcBorders>
              <w:top w:val="single" w:sz="6" w:space="0" w:color="auto"/>
              <w:left w:val="single" w:sz="6" w:space="0" w:color="auto"/>
              <w:bottom w:val="single" w:sz="6" w:space="0" w:color="auto"/>
              <w:right w:val="single" w:sz="6" w:space="0" w:color="auto"/>
            </w:tcBorders>
            <w:shd w:val="clear" w:color="auto" w:fill="FAE2D5" w:themeFill="accent2" w:themeFillTint="33"/>
            <w:tcMar>
              <w:top w:w="120" w:type="dxa"/>
              <w:left w:w="180" w:type="dxa"/>
              <w:bottom w:w="120" w:type="dxa"/>
              <w:right w:w="180" w:type="dxa"/>
            </w:tcMar>
            <w:vAlign w:val="center"/>
            <w:hideMark/>
          </w:tcPr>
          <w:p w14:paraId="434B0875"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Board accountability and transparency are now mandated, replacing the culture of denial and focusing on proactive measurement (Francis, 2013).</w:t>
            </w:r>
          </w:p>
        </w:tc>
      </w:tr>
      <w:tr w:rsidR="009A714B" w:rsidRPr="00E843D6" w14:paraId="1488B9DB" w14:textId="77777777" w:rsidTr="006708CB">
        <w:trP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120" w:type="dxa"/>
              <w:left w:w="180" w:type="dxa"/>
              <w:bottom w:w="120" w:type="dxa"/>
              <w:right w:w="180" w:type="dxa"/>
            </w:tcMar>
            <w:vAlign w:val="center"/>
            <w:hideMark/>
          </w:tcPr>
          <w:p w14:paraId="2AD16005"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Financial Focus vs. Quality Focus</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120" w:type="dxa"/>
              <w:left w:w="180" w:type="dxa"/>
              <w:bottom w:w="120" w:type="dxa"/>
              <w:right w:w="180" w:type="dxa"/>
            </w:tcMar>
            <w:vAlign w:val="center"/>
            <w:hideMark/>
          </w:tcPr>
          <w:p w14:paraId="3D5D78E8"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 xml:space="preserve">Focus on achieving </w:t>
            </w:r>
            <w:r w:rsidRPr="00E843D6">
              <w:rPr>
                <w:rFonts w:ascii="Arial" w:eastAsia="Times New Roman" w:hAnsi="Arial" w:cs="Arial"/>
                <w:b/>
                <w:bCs/>
                <w:kern w:val="0"/>
                <w:sz w:val="22"/>
                <w:szCs w:val="22"/>
                <w14:ligatures w14:val="none"/>
              </w:rPr>
              <w:t>Foundation Trust status</w:t>
            </w:r>
            <w:r w:rsidRPr="00E843D6">
              <w:rPr>
                <w:rFonts w:ascii="Arial" w:eastAsia="Times New Roman" w:hAnsi="Arial" w:cs="Arial"/>
                <w:kern w:val="0"/>
                <w:sz w:val="22"/>
                <w:szCs w:val="22"/>
                <w14:ligatures w14:val="none"/>
              </w:rPr>
              <w:t xml:space="preserve"> and </w:t>
            </w:r>
            <w:r w:rsidRPr="00E843D6">
              <w:rPr>
                <w:rFonts w:ascii="Arial" w:eastAsia="Times New Roman" w:hAnsi="Arial" w:cs="Arial"/>
                <w:b/>
                <w:bCs/>
                <w:kern w:val="0"/>
                <w:sz w:val="22"/>
                <w:szCs w:val="22"/>
                <w14:ligatures w14:val="none"/>
              </w:rPr>
              <w:t>cost efficiency</w:t>
            </w:r>
            <w:r w:rsidRPr="00E843D6">
              <w:rPr>
                <w:rFonts w:ascii="Arial" w:eastAsia="Times New Roman" w:hAnsi="Arial" w:cs="Arial"/>
                <w:kern w:val="0"/>
                <w:sz w:val="22"/>
                <w:szCs w:val="22"/>
                <w14:ligatures w14:val="none"/>
              </w:rPr>
              <w:t xml:space="preserve"> (Francis, 2013).</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120" w:type="dxa"/>
              <w:left w:w="180" w:type="dxa"/>
              <w:bottom w:w="120" w:type="dxa"/>
              <w:right w:w="180" w:type="dxa"/>
            </w:tcMar>
            <w:vAlign w:val="center"/>
            <w:hideMark/>
          </w:tcPr>
          <w:p w14:paraId="45F434FF"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b/>
                <w:bCs/>
                <w:kern w:val="0"/>
                <w:sz w:val="22"/>
                <w:szCs w:val="22"/>
                <w14:ligatures w14:val="none"/>
              </w:rPr>
              <w:t xml:space="preserve">Quality and safety must be the </w:t>
            </w:r>
            <w:proofErr w:type="gramStart"/>
            <w:r w:rsidRPr="00E843D6">
              <w:rPr>
                <w:rFonts w:ascii="Arial" w:eastAsia="Times New Roman" w:hAnsi="Arial" w:cs="Arial"/>
                <w:b/>
                <w:bCs/>
                <w:kern w:val="0"/>
                <w:sz w:val="22"/>
                <w:szCs w:val="22"/>
                <w14:ligatures w14:val="none"/>
              </w:rPr>
              <w:t>first priority</w:t>
            </w:r>
            <w:proofErr w:type="gramEnd"/>
            <w:r w:rsidRPr="00E843D6">
              <w:rPr>
                <w:rFonts w:ascii="Arial" w:eastAsia="Times New Roman" w:hAnsi="Arial" w:cs="Arial"/>
                <w:kern w:val="0"/>
                <w:sz w:val="22"/>
                <w:szCs w:val="22"/>
                <w14:ligatures w14:val="none"/>
              </w:rPr>
              <w:t xml:space="preserve"> over cost savings and financial targets (</w:t>
            </w:r>
            <w:r w:rsidRPr="00E843D6">
              <w:rPr>
                <w:rFonts w:ascii="Arial" w:eastAsia="Times New Roman" w:hAnsi="Arial" w:cs="Arial"/>
                <w:b/>
                <w:bCs/>
                <w:kern w:val="0"/>
                <w:sz w:val="22"/>
                <w:szCs w:val="22"/>
                <w14:ligatures w14:val="none"/>
              </w:rPr>
              <w:t>Francis Principle</w:t>
            </w:r>
            <w:r w:rsidRPr="00E843D6">
              <w:rPr>
                <w:rFonts w:ascii="Arial" w:eastAsia="Times New Roman" w:hAnsi="Arial" w:cs="Arial"/>
                <w:kern w:val="0"/>
                <w:sz w:val="22"/>
                <w:szCs w:val="22"/>
                <w14:ligatures w14:val="none"/>
              </w:rPr>
              <w:t>; CQC, 2014).</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120" w:type="dxa"/>
              <w:left w:w="180" w:type="dxa"/>
              <w:bottom w:w="120" w:type="dxa"/>
              <w:right w:w="180" w:type="dxa"/>
            </w:tcMar>
            <w:vAlign w:val="center"/>
            <w:hideMark/>
          </w:tcPr>
          <w:p w14:paraId="44A1F6E0" w14:textId="77777777" w:rsidR="009A714B" w:rsidRPr="00E843D6" w:rsidRDefault="009A714B" w:rsidP="00E843D6">
            <w:pPr>
              <w:spacing w:after="100" w:afterAutospacing="1" w:line="360" w:lineRule="auto"/>
              <w:rPr>
                <w:rFonts w:ascii="Arial" w:eastAsia="Times New Roman" w:hAnsi="Arial" w:cs="Arial"/>
                <w:kern w:val="0"/>
                <w:sz w:val="22"/>
                <w:szCs w:val="22"/>
                <w14:ligatures w14:val="none"/>
              </w:rPr>
            </w:pPr>
            <w:r w:rsidRPr="00E843D6">
              <w:rPr>
                <w:rFonts w:ascii="Arial" w:eastAsia="Times New Roman" w:hAnsi="Arial" w:cs="Arial"/>
                <w:kern w:val="0"/>
                <w:sz w:val="22"/>
                <w:szCs w:val="22"/>
                <w14:ligatures w14:val="none"/>
              </w:rPr>
              <w:t>A necessary ideological shift away from financial metrics dominating clinical safety metrics (Learmonth &amp; Harding, 2017).</w:t>
            </w:r>
          </w:p>
        </w:tc>
      </w:tr>
    </w:tbl>
    <w:p w14:paraId="23D5B344" w14:textId="77777777" w:rsidR="004F667E" w:rsidRPr="00E843D6" w:rsidRDefault="004F667E" w:rsidP="00E843D6">
      <w:pPr>
        <w:spacing w:after="0" w:line="360" w:lineRule="auto"/>
        <w:rPr>
          <w:rFonts w:ascii="Arial" w:eastAsia="Times New Roman" w:hAnsi="Arial" w:cs="Arial"/>
          <w:kern w:val="0"/>
          <w14:ligatures w14:val="none"/>
        </w:rPr>
      </w:pPr>
    </w:p>
    <w:p w14:paraId="490E3773" w14:textId="14C31B8A" w:rsidR="00E55EF4" w:rsidRDefault="00E55EF4" w:rsidP="000F06A2">
      <w:pPr>
        <w:pStyle w:val="Heading1"/>
      </w:pPr>
      <w:bookmarkStart w:id="47" w:name="_Toc215125309"/>
      <w:r w:rsidRPr="00E843D6">
        <w:lastRenderedPageBreak/>
        <w:t>References (Sample Harvard)</w:t>
      </w:r>
      <w:r w:rsidR="000F06A2">
        <w:t>.</w:t>
      </w:r>
      <w:bookmarkEnd w:id="47"/>
    </w:p>
    <w:p w14:paraId="290717B0" w14:textId="77777777" w:rsidR="007C2BED" w:rsidRPr="007C2BED" w:rsidRDefault="007C2BED" w:rsidP="007C2BED"/>
    <w:p w14:paraId="0FDE8D7D"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Aiken, L. H., Sloane, D. M., Bruyneel, I., Van den Heede, K., &amp; </w:t>
      </w:r>
      <w:proofErr w:type="spellStart"/>
      <w:r w:rsidRPr="00E843D6">
        <w:rPr>
          <w:rFonts w:ascii="Arial" w:eastAsia="Times New Roman" w:hAnsi="Arial" w:cs="Arial"/>
          <w:kern w:val="0"/>
          <w14:ligatures w14:val="none"/>
        </w:rPr>
        <w:t>Sermeus</w:t>
      </w:r>
      <w:proofErr w:type="spellEnd"/>
      <w:r w:rsidRPr="00E843D6">
        <w:rPr>
          <w:rFonts w:ascii="Arial" w:eastAsia="Times New Roman" w:hAnsi="Arial" w:cs="Arial"/>
          <w:kern w:val="0"/>
          <w14:ligatures w14:val="none"/>
        </w:rPr>
        <w:t xml:space="preserve">, W. (2014). Nurse staffing and education and hospital mortality in nine European countries: a retrospective observational study. </w:t>
      </w:r>
      <w:r w:rsidRPr="00E843D6">
        <w:rPr>
          <w:rFonts w:ascii="Arial" w:eastAsia="Times New Roman" w:hAnsi="Arial" w:cs="Arial"/>
          <w:i/>
          <w:iCs/>
          <w:kern w:val="0"/>
          <w14:ligatures w14:val="none"/>
        </w:rPr>
        <w:t>The Lancet</w:t>
      </w:r>
      <w:r w:rsidRPr="00E843D6">
        <w:rPr>
          <w:rFonts w:ascii="Arial" w:eastAsia="Times New Roman" w:hAnsi="Arial" w:cs="Arial"/>
          <w:kern w:val="0"/>
          <w14:ligatures w14:val="none"/>
        </w:rPr>
        <w:t>, 383(9923), pp. 1047-1053.</w:t>
      </w:r>
    </w:p>
    <w:p w14:paraId="67E6BBD1"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Andrews, K. R. (1971). </w:t>
      </w:r>
      <w:r w:rsidRPr="00E843D6">
        <w:rPr>
          <w:rFonts w:ascii="Arial" w:eastAsia="Times New Roman" w:hAnsi="Arial" w:cs="Arial"/>
          <w:i/>
          <w:iCs/>
          <w:kern w:val="0"/>
          <w14:ligatures w14:val="none"/>
        </w:rPr>
        <w:t>The Concept of Corporate Strategy</w:t>
      </w:r>
      <w:r w:rsidRPr="00E843D6">
        <w:rPr>
          <w:rFonts w:ascii="Arial" w:eastAsia="Times New Roman" w:hAnsi="Arial" w:cs="Arial"/>
          <w:kern w:val="0"/>
          <w14:ligatures w14:val="none"/>
        </w:rPr>
        <w:t>. Homewood, IL: Dow Jones-Irwin.</w:t>
      </w:r>
    </w:p>
    <w:p w14:paraId="19C01EBD"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Argyris, C., &amp; Schön, D. A. (1978). </w:t>
      </w:r>
      <w:r w:rsidRPr="00E843D6">
        <w:rPr>
          <w:rFonts w:ascii="Arial" w:eastAsia="Times New Roman" w:hAnsi="Arial" w:cs="Arial"/>
          <w:i/>
          <w:iCs/>
          <w:kern w:val="0"/>
          <w14:ligatures w14:val="none"/>
        </w:rPr>
        <w:t>Organizational Learning: A Theory of Action Perspective</w:t>
      </w:r>
      <w:r w:rsidRPr="00E843D6">
        <w:rPr>
          <w:rFonts w:ascii="Arial" w:eastAsia="Times New Roman" w:hAnsi="Arial" w:cs="Arial"/>
          <w:kern w:val="0"/>
          <w14:ligatures w14:val="none"/>
        </w:rPr>
        <w:t>. Reading, MA: Addison Wesley.</w:t>
      </w:r>
    </w:p>
    <w:p w14:paraId="7A67FC04"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Dekker, S. (2012). </w:t>
      </w:r>
      <w:r w:rsidRPr="00E843D6">
        <w:rPr>
          <w:rFonts w:ascii="Arial" w:eastAsia="Times New Roman" w:hAnsi="Arial" w:cs="Arial"/>
          <w:i/>
          <w:iCs/>
          <w:kern w:val="0"/>
          <w14:ligatures w14:val="none"/>
        </w:rPr>
        <w:t>Just Culture: Balancing Safety and Accountability</w:t>
      </w:r>
      <w:r w:rsidRPr="00E843D6">
        <w:rPr>
          <w:rFonts w:ascii="Arial" w:eastAsia="Times New Roman" w:hAnsi="Arial" w:cs="Arial"/>
          <w:kern w:val="0"/>
          <w14:ligatures w14:val="none"/>
        </w:rPr>
        <w:t>. 2nd ed. Farnham: Ashgate.</w:t>
      </w:r>
    </w:p>
    <w:p w14:paraId="023C30F9"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Donabedian, A. (1980). </w:t>
      </w:r>
      <w:r w:rsidRPr="00E843D6">
        <w:rPr>
          <w:rFonts w:ascii="Arial" w:eastAsia="Times New Roman" w:hAnsi="Arial" w:cs="Arial"/>
          <w:i/>
          <w:iCs/>
          <w:kern w:val="0"/>
          <w14:ligatures w14:val="none"/>
        </w:rPr>
        <w:t>Explorations in Quality Assessment and Monitoring, Volume I: The Definition of Quality and Approaches to its Assessment</w:t>
      </w:r>
      <w:r w:rsidRPr="00E843D6">
        <w:rPr>
          <w:rFonts w:ascii="Arial" w:eastAsia="Times New Roman" w:hAnsi="Arial" w:cs="Arial"/>
          <w:kern w:val="0"/>
          <w14:ligatures w14:val="none"/>
        </w:rPr>
        <w:t>. Ann Arbor, MI: Health Administration Press.</w:t>
      </w:r>
    </w:p>
    <w:p w14:paraId="5A2F7C53"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Francis, R. (2010). </w:t>
      </w:r>
      <w:r w:rsidRPr="00E843D6">
        <w:rPr>
          <w:rFonts w:ascii="Arial" w:eastAsia="Times New Roman" w:hAnsi="Arial" w:cs="Arial"/>
          <w:i/>
          <w:iCs/>
          <w:kern w:val="0"/>
          <w14:ligatures w14:val="none"/>
        </w:rPr>
        <w:t>Report of the Mid Staffordshire NHS Foundation Trust Inquiry</w:t>
      </w:r>
      <w:r w:rsidRPr="00E843D6">
        <w:rPr>
          <w:rFonts w:ascii="Arial" w:eastAsia="Times New Roman" w:hAnsi="Arial" w:cs="Arial"/>
          <w:kern w:val="0"/>
          <w14:ligatures w14:val="none"/>
        </w:rPr>
        <w:t>. London: The Stationery Office.</w:t>
      </w:r>
    </w:p>
    <w:p w14:paraId="6AC15B03"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Francis, R. (2013). </w:t>
      </w:r>
      <w:r w:rsidRPr="00E843D6">
        <w:rPr>
          <w:rFonts w:ascii="Arial" w:eastAsia="Times New Roman" w:hAnsi="Arial" w:cs="Arial"/>
          <w:i/>
          <w:iCs/>
          <w:kern w:val="0"/>
          <w14:ligatures w14:val="none"/>
        </w:rPr>
        <w:t>Report of the Mid Staffordshire NHS Foundation Trust Public Inquiry</w:t>
      </w:r>
      <w:r w:rsidRPr="00E843D6">
        <w:rPr>
          <w:rFonts w:ascii="Arial" w:eastAsia="Times New Roman" w:hAnsi="Arial" w:cs="Arial"/>
          <w:kern w:val="0"/>
          <w14:ligatures w14:val="none"/>
        </w:rPr>
        <w:t>. HC 947. London: The Stationery Office.</w:t>
      </w:r>
    </w:p>
    <w:p w14:paraId="16CD7149" w14:textId="18FF9500"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Grol, R., &amp; Wensing, M. (2006). What drives change? Barriers to and incentives for achieving evidence-based practice. </w:t>
      </w:r>
      <w:r w:rsidRPr="00E843D6">
        <w:rPr>
          <w:rFonts w:ascii="Arial" w:eastAsia="Times New Roman" w:hAnsi="Arial" w:cs="Arial"/>
          <w:i/>
          <w:iCs/>
          <w:kern w:val="0"/>
          <w14:ligatures w14:val="none"/>
        </w:rPr>
        <w:t>Medical Journal of Australia</w:t>
      </w:r>
      <w:r w:rsidRPr="00E843D6">
        <w:rPr>
          <w:rFonts w:ascii="Arial" w:eastAsia="Times New Roman" w:hAnsi="Arial" w:cs="Arial"/>
          <w:kern w:val="0"/>
          <w14:ligatures w14:val="none"/>
        </w:rPr>
        <w:t xml:space="preserve">, 185(10 </w:t>
      </w:r>
      <w:proofErr w:type="spellStart"/>
      <w:r w:rsidRPr="00E843D6">
        <w:rPr>
          <w:rFonts w:ascii="Arial" w:eastAsia="Times New Roman" w:hAnsi="Arial" w:cs="Arial"/>
          <w:kern w:val="0"/>
          <w14:ligatures w14:val="none"/>
        </w:rPr>
        <w:t>Suppl</w:t>
      </w:r>
      <w:proofErr w:type="spellEnd"/>
      <w:r w:rsidRPr="00E843D6">
        <w:rPr>
          <w:rFonts w:ascii="Arial" w:eastAsia="Times New Roman" w:hAnsi="Arial" w:cs="Arial"/>
          <w:kern w:val="0"/>
          <w14:ligatures w14:val="none"/>
        </w:rPr>
        <w:t xml:space="preserve">), </w:t>
      </w:r>
      <w:r w:rsidR="00B812BE">
        <w:rPr>
          <w:rFonts w:ascii="Arial" w:eastAsia="Times New Roman" w:hAnsi="Arial" w:cs="Arial"/>
          <w:kern w:val="0"/>
          <w14:ligatures w14:val="none"/>
        </w:rPr>
        <w:t xml:space="preserve">pp. </w:t>
      </w:r>
      <w:r w:rsidRPr="00E843D6">
        <w:rPr>
          <w:rFonts w:ascii="Arial" w:eastAsia="Times New Roman" w:hAnsi="Arial" w:cs="Arial"/>
          <w:kern w:val="0"/>
          <w14:ligatures w14:val="none"/>
        </w:rPr>
        <w:t>S105-S109.</w:t>
      </w:r>
    </w:p>
    <w:p w14:paraId="627FC646" w14:textId="77777777" w:rsidR="006A7281" w:rsidRPr="00E843D6" w:rsidRDefault="006A7281" w:rsidP="00E843D6">
      <w:pPr>
        <w:spacing w:line="360" w:lineRule="auto"/>
        <w:ind w:left="360"/>
        <w:rPr>
          <w:rFonts w:ascii="Arial" w:hAnsi="Arial" w:cs="Arial"/>
        </w:rPr>
      </w:pPr>
      <w:r w:rsidRPr="00E843D6">
        <w:rPr>
          <w:rFonts w:ascii="Arial" w:hAnsi="Arial" w:cs="Arial"/>
        </w:rPr>
        <w:t xml:space="preserve">Healthcare Commission. (2009). </w:t>
      </w:r>
      <w:r w:rsidRPr="00E843D6">
        <w:rPr>
          <w:rFonts w:ascii="Arial" w:hAnsi="Arial" w:cs="Arial"/>
          <w:i/>
          <w:iCs/>
        </w:rPr>
        <w:t>Investigation into Mid Staffordshire NHS Foundation Trust</w:t>
      </w:r>
      <w:r w:rsidRPr="00E843D6">
        <w:rPr>
          <w:rFonts w:ascii="Arial" w:hAnsi="Arial" w:cs="Arial"/>
        </w:rPr>
        <w:t>. London: Healthcare Commission.</w:t>
      </w:r>
    </w:p>
    <w:p w14:paraId="5AE65394"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Helm, S. (2008). Marketing planning &amp; strategy. </w:t>
      </w:r>
      <w:r w:rsidRPr="00E843D6">
        <w:rPr>
          <w:rFonts w:ascii="Arial" w:eastAsia="Times New Roman" w:hAnsi="Arial" w:cs="Arial"/>
          <w:i/>
          <w:iCs/>
          <w:kern w:val="0"/>
          <w14:ligatures w14:val="none"/>
        </w:rPr>
        <w:t>Journal of Business Research</w:t>
      </w:r>
      <w:r w:rsidRPr="00E843D6">
        <w:rPr>
          <w:rFonts w:ascii="Arial" w:eastAsia="Times New Roman" w:hAnsi="Arial" w:cs="Arial"/>
          <w:kern w:val="0"/>
          <w14:ligatures w14:val="none"/>
        </w:rPr>
        <w:t>, 61(11), pp. 1205-1210.</w:t>
      </w:r>
    </w:p>
    <w:p w14:paraId="51214109"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lastRenderedPageBreak/>
        <w:t xml:space="preserve">Ishikawa, K. (1985). </w:t>
      </w:r>
      <w:r w:rsidRPr="00E843D6">
        <w:rPr>
          <w:rFonts w:ascii="Arial" w:eastAsia="Times New Roman" w:hAnsi="Arial" w:cs="Arial"/>
          <w:i/>
          <w:iCs/>
          <w:kern w:val="0"/>
          <w14:ligatures w14:val="none"/>
        </w:rPr>
        <w:t>What is Total Quality Control? The Japanese Way</w:t>
      </w:r>
      <w:r w:rsidRPr="00E843D6">
        <w:rPr>
          <w:rFonts w:ascii="Arial" w:eastAsia="Times New Roman" w:hAnsi="Arial" w:cs="Arial"/>
          <w:kern w:val="0"/>
          <w14:ligatures w14:val="none"/>
        </w:rPr>
        <w:t>. Englewood Cliffs, NJ: Prentice-Hall.</w:t>
      </w:r>
    </w:p>
    <w:p w14:paraId="03C8E22C"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Keogh, B. (2013). </w:t>
      </w:r>
      <w:r w:rsidRPr="00E843D6">
        <w:rPr>
          <w:rFonts w:ascii="Arial" w:eastAsia="Times New Roman" w:hAnsi="Arial" w:cs="Arial"/>
          <w:i/>
          <w:iCs/>
          <w:kern w:val="0"/>
          <w14:ligatures w14:val="none"/>
        </w:rPr>
        <w:t>Review into the quality of care and treatment provided by 14 hospital trusts in England: overview report</w:t>
      </w:r>
      <w:r w:rsidRPr="00E843D6">
        <w:rPr>
          <w:rFonts w:ascii="Arial" w:eastAsia="Times New Roman" w:hAnsi="Arial" w:cs="Arial"/>
          <w:kern w:val="0"/>
          <w14:ligatures w14:val="none"/>
        </w:rPr>
        <w:t>. London: NHS Medical Director's Office.</w:t>
      </w:r>
    </w:p>
    <w:p w14:paraId="4C9954AD" w14:textId="77777777" w:rsidR="006A7281" w:rsidRPr="00E843D6" w:rsidRDefault="006A7281" w:rsidP="00E843D6">
      <w:pPr>
        <w:spacing w:line="360" w:lineRule="auto"/>
        <w:ind w:left="360"/>
        <w:rPr>
          <w:rFonts w:ascii="Arial" w:hAnsi="Arial" w:cs="Arial"/>
        </w:rPr>
      </w:pPr>
      <w:r w:rsidRPr="00E843D6">
        <w:rPr>
          <w:rFonts w:ascii="Arial" w:hAnsi="Arial" w:cs="Arial"/>
        </w:rPr>
        <w:t xml:space="preserve">Kirkpatrick, I. (2016). </w:t>
      </w:r>
      <w:r w:rsidRPr="00E843D6">
        <w:rPr>
          <w:rFonts w:ascii="Arial" w:hAnsi="Arial" w:cs="Arial"/>
          <w:i/>
          <w:iCs/>
        </w:rPr>
        <w:t>Leadership in Health Care</w:t>
      </w:r>
      <w:r w:rsidRPr="00E843D6">
        <w:rPr>
          <w:rFonts w:ascii="Arial" w:hAnsi="Arial" w:cs="Arial"/>
        </w:rPr>
        <w:t>. 2nd ed. London: SAGE Publications.</w:t>
      </w:r>
    </w:p>
    <w:p w14:paraId="31524E82"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Learmonth, M., &amp; Harding, N. (2017). </w:t>
      </w:r>
      <w:r w:rsidRPr="00E843D6">
        <w:rPr>
          <w:rFonts w:ascii="Arial" w:eastAsia="Times New Roman" w:hAnsi="Arial" w:cs="Arial"/>
          <w:i/>
          <w:iCs/>
          <w:kern w:val="0"/>
          <w14:ligatures w14:val="none"/>
        </w:rPr>
        <w:t>Francis and the ‘Culture of the NHS’: Purity, Danger, and the Search for Salvation</w:t>
      </w:r>
      <w:r w:rsidRPr="00E843D6">
        <w:rPr>
          <w:rFonts w:ascii="Arial" w:eastAsia="Times New Roman" w:hAnsi="Arial" w:cs="Arial"/>
          <w:kern w:val="0"/>
          <w14:ligatures w14:val="none"/>
        </w:rPr>
        <w:t>. Organization Studies, 38(11), pp. 1645–1662.</w:t>
      </w:r>
    </w:p>
    <w:p w14:paraId="3D9AAD04" w14:textId="5D106BFC" w:rsidR="006A7281" w:rsidRPr="00E843D6" w:rsidRDefault="006A7281" w:rsidP="00E843D6">
      <w:pPr>
        <w:spacing w:line="360" w:lineRule="auto"/>
        <w:ind w:left="360"/>
        <w:rPr>
          <w:rFonts w:ascii="Arial" w:hAnsi="Arial" w:cs="Arial"/>
        </w:rPr>
      </w:pPr>
      <w:r w:rsidRPr="00E843D6">
        <w:rPr>
          <w:rFonts w:ascii="Arial" w:hAnsi="Arial" w:cs="Arial"/>
        </w:rPr>
        <w:t xml:space="preserve">NHS England. (2013). </w:t>
      </w:r>
      <w:r w:rsidRPr="00E843D6">
        <w:rPr>
          <w:rFonts w:ascii="Arial" w:hAnsi="Arial" w:cs="Arial"/>
          <w:i/>
          <w:iCs/>
        </w:rPr>
        <w:t>Report of the Mid Staffordshire NHS Foundation Trust Public Inquiry</w:t>
      </w:r>
      <w:r w:rsidRPr="00E843D6">
        <w:rPr>
          <w:rFonts w:ascii="Arial" w:hAnsi="Arial" w:cs="Arial"/>
        </w:rPr>
        <w:t xml:space="preserve">. [online] Available at: </w:t>
      </w:r>
      <w:hyperlink r:id="rId14" w:history="1">
        <w:r w:rsidRPr="00E843D6">
          <w:rPr>
            <w:rStyle w:val="Hyperlink"/>
            <w:rFonts w:ascii="Arial" w:hAnsi="Arial" w:cs="Arial"/>
          </w:rPr>
          <w:t>https://www.england.nhs.uk/wp-content/uploads/2013/02/item2-280213.pdf</w:t>
        </w:r>
      </w:hyperlink>
      <w:r w:rsidRPr="00E843D6">
        <w:rPr>
          <w:rFonts w:ascii="Arial" w:hAnsi="Arial" w:cs="Arial"/>
        </w:rPr>
        <w:t>) (Accessed: 1</w:t>
      </w:r>
      <w:r w:rsidR="00252CF0">
        <w:rPr>
          <w:rFonts w:ascii="Arial" w:hAnsi="Arial" w:cs="Arial"/>
        </w:rPr>
        <w:t>8</w:t>
      </w:r>
      <w:r w:rsidRPr="00E843D6">
        <w:rPr>
          <w:rFonts w:ascii="Arial" w:hAnsi="Arial" w:cs="Arial"/>
        </w:rPr>
        <w:t xml:space="preserve"> November 2025).</w:t>
      </w:r>
    </w:p>
    <w:p w14:paraId="71EC397C" w14:textId="69E20588" w:rsidR="006A7281" w:rsidRPr="00E843D6" w:rsidRDefault="006A7281" w:rsidP="00E843D6">
      <w:pPr>
        <w:spacing w:line="360" w:lineRule="auto"/>
        <w:ind w:left="360"/>
        <w:rPr>
          <w:rFonts w:ascii="Arial" w:hAnsi="Arial" w:cs="Arial"/>
        </w:rPr>
      </w:pPr>
      <w:r w:rsidRPr="00E843D6">
        <w:rPr>
          <w:rFonts w:ascii="Arial" w:hAnsi="Arial" w:cs="Arial"/>
        </w:rPr>
        <w:t>NHS England. (2019).</w:t>
      </w:r>
      <w:r w:rsidRPr="00E843D6">
        <w:rPr>
          <w:rFonts w:ascii="Arial" w:hAnsi="Arial" w:cs="Arial"/>
          <w:i/>
          <w:iCs/>
        </w:rPr>
        <w:t xml:space="preserve"> Safe Staffing for Nursing in Urgent and Emergency Care. </w:t>
      </w:r>
      <w:r w:rsidRPr="00E843D6">
        <w:rPr>
          <w:rFonts w:ascii="Arial" w:hAnsi="Arial" w:cs="Arial"/>
        </w:rPr>
        <w:t xml:space="preserve">[online] Available at: </w:t>
      </w:r>
      <w:hyperlink r:id="rId15" w:history="1">
        <w:r w:rsidRPr="00E843D6">
          <w:rPr>
            <w:rStyle w:val="Hyperlink"/>
            <w:rFonts w:ascii="Arial" w:hAnsi="Arial" w:cs="Arial"/>
          </w:rPr>
          <w:t>https://www.england.nhs.uk/wp-content/uploads/2019/06/safe-staffing-nursing-urgent.pdf</w:t>
        </w:r>
      </w:hyperlink>
      <w:r w:rsidRPr="00E843D6">
        <w:rPr>
          <w:rFonts w:ascii="Arial" w:hAnsi="Arial" w:cs="Arial"/>
        </w:rPr>
        <w:t xml:space="preserve"> (Accessed: 1</w:t>
      </w:r>
      <w:r w:rsidR="00252CF0">
        <w:rPr>
          <w:rFonts w:ascii="Arial" w:hAnsi="Arial" w:cs="Arial"/>
        </w:rPr>
        <w:t>8</w:t>
      </w:r>
      <w:r w:rsidR="000F419D">
        <w:rPr>
          <w:rFonts w:ascii="Arial" w:hAnsi="Arial" w:cs="Arial"/>
        </w:rPr>
        <w:t xml:space="preserve"> November</w:t>
      </w:r>
      <w:r w:rsidRPr="00E843D6">
        <w:rPr>
          <w:rFonts w:ascii="Arial" w:hAnsi="Arial" w:cs="Arial"/>
        </w:rPr>
        <w:t xml:space="preserve"> 2023).</w:t>
      </w:r>
    </w:p>
    <w:p w14:paraId="0E662B62" w14:textId="262D5835" w:rsidR="006A7281" w:rsidRPr="00E843D6" w:rsidRDefault="006A7281" w:rsidP="00E843D6">
      <w:pPr>
        <w:spacing w:line="360" w:lineRule="auto"/>
        <w:ind w:left="360"/>
        <w:rPr>
          <w:rFonts w:ascii="Arial" w:hAnsi="Arial" w:cs="Arial"/>
        </w:rPr>
      </w:pPr>
      <w:r w:rsidRPr="00E843D6">
        <w:rPr>
          <w:rFonts w:ascii="Arial" w:hAnsi="Arial" w:cs="Arial"/>
        </w:rPr>
        <w:t xml:space="preserve">NHS Improvement. (2020). </w:t>
      </w:r>
      <w:r w:rsidRPr="00E843D6">
        <w:rPr>
          <w:rFonts w:ascii="Arial" w:hAnsi="Arial" w:cs="Arial"/>
          <w:i/>
          <w:iCs/>
        </w:rPr>
        <w:t>Patient Safety Alerts.</w:t>
      </w:r>
      <w:r w:rsidRPr="00E843D6">
        <w:rPr>
          <w:rFonts w:ascii="Arial" w:hAnsi="Arial" w:cs="Arial"/>
        </w:rPr>
        <w:t xml:space="preserve"> [online] Available at: </w:t>
      </w:r>
      <w:hyperlink r:id="rId16" w:history="1">
        <w:r w:rsidRPr="00E843D6">
          <w:rPr>
            <w:rStyle w:val="Hyperlink"/>
            <w:rFonts w:ascii="Arial" w:hAnsi="Arial" w:cs="Arial"/>
          </w:rPr>
          <w:t>https://improvement.nhs.uk/resources/patient-safety-alerts/</w:t>
        </w:r>
      </w:hyperlink>
      <w:r w:rsidRPr="00E843D6">
        <w:rPr>
          <w:rFonts w:ascii="Arial" w:hAnsi="Arial" w:cs="Arial"/>
        </w:rPr>
        <w:t xml:space="preserve"> (Accessed: </w:t>
      </w:r>
      <w:r w:rsidR="000F419D">
        <w:rPr>
          <w:rFonts w:ascii="Arial" w:hAnsi="Arial" w:cs="Arial"/>
        </w:rPr>
        <w:t>2</w:t>
      </w:r>
      <w:r w:rsidRPr="00E843D6">
        <w:rPr>
          <w:rFonts w:ascii="Arial" w:hAnsi="Arial" w:cs="Arial"/>
        </w:rPr>
        <w:t>0 November 2025).</w:t>
      </w:r>
    </w:p>
    <w:p w14:paraId="009B0049"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Sexton, J. B., Helmreich, R. L., </w:t>
      </w:r>
      <w:proofErr w:type="spellStart"/>
      <w:r w:rsidRPr="00E843D6">
        <w:rPr>
          <w:rFonts w:ascii="Arial" w:eastAsia="Times New Roman" w:hAnsi="Arial" w:cs="Arial"/>
          <w:kern w:val="0"/>
          <w14:ligatures w14:val="none"/>
        </w:rPr>
        <w:t>Neilands</w:t>
      </w:r>
      <w:proofErr w:type="spellEnd"/>
      <w:r w:rsidRPr="00E843D6">
        <w:rPr>
          <w:rFonts w:ascii="Arial" w:eastAsia="Times New Roman" w:hAnsi="Arial" w:cs="Arial"/>
          <w:kern w:val="0"/>
          <w14:ligatures w14:val="none"/>
        </w:rPr>
        <w:t xml:space="preserve">, T. B., Row, K. S., &amp; O'Gara, D. A. (2000). The Safety Attitude Questionnaire: psychometric properties, benchmarking data, and future directions. </w:t>
      </w:r>
      <w:r w:rsidRPr="00E843D6">
        <w:rPr>
          <w:rFonts w:ascii="Arial" w:eastAsia="Times New Roman" w:hAnsi="Arial" w:cs="Arial"/>
          <w:i/>
          <w:iCs/>
          <w:kern w:val="0"/>
          <w14:ligatures w14:val="none"/>
        </w:rPr>
        <w:t>Journal of Patient Safety</w:t>
      </w:r>
      <w:r w:rsidRPr="00E843D6">
        <w:rPr>
          <w:rFonts w:ascii="Arial" w:eastAsia="Times New Roman" w:hAnsi="Arial" w:cs="Arial"/>
          <w:kern w:val="0"/>
          <w14:ligatures w14:val="none"/>
        </w:rPr>
        <w:t>, 2(1), pp. 10–18.</w:t>
      </w:r>
    </w:p>
    <w:p w14:paraId="55668E0A" w14:textId="77777777" w:rsidR="006A7281" w:rsidRPr="00E843D6" w:rsidRDefault="006A7281" w:rsidP="00E843D6">
      <w:pPr>
        <w:spacing w:after="100" w:afterAutospacing="1" w:line="360" w:lineRule="auto"/>
        <w:ind w:left="360"/>
        <w:rPr>
          <w:rFonts w:ascii="Arial" w:eastAsia="Times New Roman" w:hAnsi="Arial" w:cs="Arial"/>
          <w:kern w:val="0"/>
          <w14:ligatures w14:val="none"/>
        </w:rPr>
      </w:pPr>
      <w:r w:rsidRPr="00E843D6">
        <w:rPr>
          <w:rFonts w:ascii="Arial" w:eastAsia="Times New Roman" w:hAnsi="Arial" w:cs="Arial"/>
          <w:kern w:val="0"/>
          <w14:ligatures w14:val="none"/>
        </w:rPr>
        <w:t xml:space="preserve">West, M. A., Dawson, J. F., &amp; Richter, A. W. (2015). The impact of quality and safety management, team and staff well-being, and surgical mortality. </w:t>
      </w:r>
      <w:r w:rsidRPr="00E843D6">
        <w:rPr>
          <w:rFonts w:ascii="Arial" w:eastAsia="Times New Roman" w:hAnsi="Arial" w:cs="Arial"/>
          <w:i/>
          <w:iCs/>
          <w:kern w:val="0"/>
          <w14:ligatures w14:val="none"/>
        </w:rPr>
        <w:t>The Lancet</w:t>
      </w:r>
      <w:r w:rsidRPr="00E843D6">
        <w:rPr>
          <w:rFonts w:ascii="Arial" w:eastAsia="Times New Roman" w:hAnsi="Arial" w:cs="Arial"/>
          <w:kern w:val="0"/>
          <w14:ligatures w14:val="none"/>
        </w:rPr>
        <w:t>, 385(9970), pp. 717-728.</w:t>
      </w:r>
    </w:p>
    <w:p w14:paraId="40B5AB7D" w14:textId="1480AF75" w:rsidR="00E55EF4" w:rsidRPr="00E843D6" w:rsidRDefault="00E55EF4" w:rsidP="00E843D6">
      <w:pPr>
        <w:tabs>
          <w:tab w:val="left" w:pos="1123"/>
        </w:tabs>
        <w:spacing w:line="360" w:lineRule="auto"/>
        <w:rPr>
          <w:rFonts w:ascii="Arial" w:hAnsi="Arial" w:cs="Arial"/>
        </w:rPr>
      </w:pPr>
      <w:r w:rsidRPr="00E843D6">
        <w:rPr>
          <w:rFonts w:ascii="Arial" w:hAnsi="Arial" w:cs="Arial"/>
        </w:rPr>
        <w:tab/>
      </w:r>
    </w:p>
    <w:sectPr w:rsidR="00E55EF4" w:rsidRPr="00E843D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548BD" w14:textId="77777777" w:rsidR="00B35343" w:rsidRDefault="00B35343" w:rsidP="00B31301">
      <w:pPr>
        <w:spacing w:after="0" w:line="240" w:lineRule="auto"/>
      </w:pPr>
      <w:r>
        <w:separator/>
      </w:r>
    </w:p>
  </w:endnote>
  <w:endnote w:type="continuationSeparator" w:id="0">
    <w:p w14:paraId="71497CC2" w14:textId="77777777" w:rsidR="00B35343" w:rsidRDefault="00B35343" w:rsidP="00B31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085711"/>
      <w:docPartObj>
        <w:docPartGallery w:val="Page Numbers (Bottom of Page)"/>
        <w:docPartUnique/>
      </w:docPartObj>
    </w:sdtPr>
    <w:sdtEndPr>
      <w:rPr>
        <w:color w:val="7F7F7F" w:themeColor="background1" w:themeShade="7F"/>
        <w:spacing w:val="60"/>
      </w:rPr>
    </w:sdtEndPr>
    <w:sdtContent>
      <w:p w14:paraId="472204AF" w14:textId="5DF988A3" w:rsidR="00054728" w:rsidRDefault="0005472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4E7366" w14:textId="77777777" w:rsidR="00054728" w:rsidRDefault="00054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DC8A1" w14:textId="77777777" w:rsidR="00B35343" w:rsidRDefault="00B35343" w:rsidP="00B31301">
      <w:pPr>
        <w:spacing w:after="0" w:line="240" w:lineRule="auto"/>
      </w:pPr>
      <w:r>
        <w:separator/>
      </w:r>
    </w:p>
  </w:footnote>
  <w:footnote w:type="continuationSeparator" w:id="0">
    <w:p w14:paraId="439FA8AC" w14:textId="77777777" w:rsidR="00B35343" w:rsidRDefault="00B35343" w:rsidP="00B31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2983"/>
    <w:multiLevelType w:val="multilevel"/>
    <w:tmpl w:val="73A05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A6B5E"/>
    <w:multiLevelType w:val="multilevel"/>
    <w:tmpl w:val="9D94E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6676B"/>
    <w:multiLevelType w:val="multilevel"/>
    <w:tmpl w:val="75301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773AB"/>
    <w:multiLevelType w:val="multilevel"/>
    <w:tmpl w:val="82E40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425D5"/>
    <w:multiLevelType w:val="hybridMultilevel"/>
    <w:tmpl w:val="501E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92E83"/>
    <w:multiLevelType w:val="multilevel"/>
    <w:tmpl w:val="5C5248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1723D2"/>
    <w:multiLevelType w:val="multilevel"/>
    <w:tmpl w:val="5C5248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F04591"/>
    <w:multiLevelType w:val="hybridMultilevel"/>
    <w:tmpl w:val="51D84444"/>
    <w:lvl w:ilvl="0" w:tplc="461ADE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443F11"/>
    <w:multiLevelType w:val="hybridMultilevel"/>
    <w:tmpl w:val="42FAC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737E06"/>
    <w:multiLevelType w:val="multilevel"/>
    <w:tmpl w:val="DC6A6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F66A37"/>
    <w:multiLevelType w:val="multilevel"/>
    <w:tmpl w:val="1416F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477D87"/>
    <w:multiLevelType w:val="multilevel"/>
    <w:tmpl w:val="E51E3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E02571"/>
    <w:multiLevelType w:val="multilevel"/>
    <w:tmpl w:val="48381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543703"/>
    <w:multiLevelType w:val="multilevel"/>
    <w:tmpl w:val="79B6C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C32F5B"/>
    <w:multiLevelType w:val="hybridMultilevel"/>
    <w:tmpl w:val="215AE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755FAF"/>
    <w:multiLevelType w:val="multilevel"/>
    <w:tmpl w:val="F7423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4775654">
    <w:abstractNumId w:val="4"/>
  </w:num>
  <w:num w:numId="2" w16cid:durableId="661011527">
    <w:abstractNumId w:val="7"/>
  </w:num>
  <w:num w:numId="3" w16cid:durableId="177086829">
    <w:abstractNumId w:val="13"/>
  </w:num>
  <w:num w:numId="4" w16cid:durableId="2059235030">
    <w:abstractNumId w:val="0"/>
  </w:num>
  <w:num w:numId="5" w16cid:durableId="544453">
    <w:abstractNumId w:val="1"/>
  </w:num>
  <w:num w:numId="6" w16cid:durableId="976687723">
    <w:abstractNumId w:val="3"/>
  </w:num>
  <w:num w:numId="7" w16cid:durableId="2071927607">
    <w:abstractNumId w:val="10"/>
  </w:num>
  <w:num w:numId="8" w16cid:durableId="2060978593">
    <w:abstractNumId w:val="9"/>
  </w:num>
  <w:num w:numId="9" w16cid:durableId="2041200535">
    <w:abstractNumId w:val="8"/>
  </w:num>
  <w:num w:numId="10" w16cid:durableId="663702889">
    <w:abstractNumId w:val="11"/>
  </w:num>
  <w:num w:numId="11" w16cid:durableId="1933733784">
    <w:abstractNumId w:val="12"/>
  </w:num>
  <w:num w:numId="12" w16cid:durableId="1691948800">
    <w:abstractNumId w:val="15"/>
  </w:num>
  <w:num w:numId="13" w16cid:durableId="614412515">
    <w:abstractNumId w:val="2"/>
  </w:num>
  <w:num w:numId="14" w16cid:durableId="206841845">
    <w:abstractNumId w:val="5"/>
  </w:num>
  <w:num w:numId="15" w16cid:durableId="567033430">
    <w:abstractNumId w:val="6"/>
  </w:num>
  <w:num w:numId="16" w16cid:durableId="3575817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87"/>
    <w:rsid w:val="00004924"/>
    <w:rsid w:val="00006C3F"/>
    <w:rsid w:val="00010DCF"/>
    <w:rsid w:val="00016D42"/>
    <w:rsid w:val="0002102A"/>
    <w:rsid w:val="00027B93"/>
    <w:rsid w:val="00033201"/>
    <w:rsid w:val="0003785D"/>
    <w:rsid w:val="000513A5"/>
    <w:rsid w:val="00054728"/>
    <w:rsid w:val="00056F89"/>
    <w:rsid w:val="000623C0"/>
    <w:rsid w:val="0006639F"/>
    <w:rsid w:val="00074B18"/>
    <w:rsid w:val="00075708"/>
    <w:rsid w:val="000764F3"/>
    <w:rsid w:val="00081B20"/>
    <w:rsid w:val="0009236F"/>
    <w:rsid w:val="000945FB"/>
    <w:rsid w:val="000948DD"/>
    <w:rsid w:val="000976A1"/>
    <w:rsid w:val="000A4FFC"/>
    <w:rsid w:val="000A52D9"/>
    <w:rsid w:val="000B3F67"/>
    <w:rsid w:val="000B486C"/>
    <w:rsid w:val="000B4A2C"/>
    <w:rsid w:val="000B6105"/>
    <w:rsid w:val="000B6245"/>
    <w:rsid w:val="000B6D64"/>
    <w:rsid w:val="000C70DB"/>
    <w:rsid w:val="000D1B0A"/>
    <w:rsid w:val="000D311D"/>
    <w:rsid w:val="000D4EFF"/>
    <w:rsid w:val="000D5121"/>
    <w:rsid w:val="000D581D"/>
    <w:rsid w:val="000E2EDF"/>
    <w:rsid w:val="000E660C"/>
    <w:rsid w:val="000E719D"/>
    <w:rsid w:val="000F0460"/>
    <w:rsid w:val="000F06A2"/>
    <w:rsid w:val="000F0F5C"/>
    <w:rsid w:val="000F419D"/>
    <w:rsid w:val="000F4EC2"/>
    <w:rsid w:val="00100DB7"/>
    <w:rsid w:val="001056C3"/>
    <w:rsid w:val="00112EA7"/>
    <w:rsid w:val="00115A8B"/>
    <w:rsid w:val="00122357"/>
    <w:rsid w:val="001264B9"/>
    <w:rsid w:val="00144AA5"/>
    <w:rsid w:val="00151756"/>
    <w:rsid w:val="001528C8"/>
    <w:rsid w:val="001562AD"/>
    <w:rsid w:val="00162223"/>
    <w:rsid w:val="00176198"/>
    <w:rsid w:val="001818DD"/>
    <w:rsid w:val="00181D0B"/>
    <w:rsid w:val="0018352A"/>
    <w:rsid w:val="00184D98"/>
    <w:rsid w:val="00190D2F"/>
    <w:rsid w:val="00191114"/>
    <w:rsid w:val="00196B20"/>
    <w:rsid w:val="001978E9"/>
    <w:rsid w:val="001C79F2"/>
    <w:rsid w:val="001D2CED"/>
    <w:rsid w:val="001D487E"/>
    <w:rsid w:val="001E2A51"/>
    <w:rsid w:val="001E46F1"/>
    <w:rsid w:val="001E5963"/>
    <w:rsid w:val="001E7A96"/>
    <w:rsid w:val="002052A5"/>
    <w:rsid w:val="00223E38"/>
    <w:rsid w:val="0022432A"/>
    <w:rsid w:val="00227E35"/>
    <w:rsid w:val="00231699"/>
    <w:rsid w:val="00232513"/>
    <w:rsid w:val="00233816"/>
    <w:rsid w:val="002354CB"/>
    <w:rsid w:val="002418D8"/>
    <w:rsid w:val="00246038"/>
    <w:rsid w:val="00252CF0"/>
    <w:rsid w:val="00255C22"/>
    <w:rsid w:val="0025797F"/>
    <w:rsid w:val="00264245"/>
    <w:rsid w:val="002669C9"/>
    <w:rsid w:val="0027367E"/>
    <w:rsid w:val="00274323"/>
    <w:rsid w:val="002768B5"/>
    <w:rsid w:val="00291545"/>
    <w:rsid w:val="002939FA"/>
    <w:rsid w:val="002A0CF1"/>
    <w:rsid w:val="002A5BDD"/>
    <w:rsid w:val="002B269D"/>
    <w:rsid w:val="002B2E66"/>
    <w:rsid w:val="002B4C5F"/>
    <w:rsid w:val="002C2782"/>
    <w:rsid w:val="002E1443"/>
    <w:rsid w:val="002E5087"/>
    <w:rsid w:val="002E600F"/>
    <w:rsid w:val="003079B4"/>
    <w:rsid w:val="003111DF"/>
    <w:rsid w:val="0033730A"/>
    <w:rsid w:val="00340116"/>
    <w:rsid w:val="0034062B"/>
    <w:rsid w:val="0035152D"/>
    <w:rsid w:val="003538D4"/>
    <w:rsid w:val="0035424D"/>
    <w:rsid w:val="00356977"/>
    <w:rsid w:val="003631B5"/>
    <w:rsid w:val="003772CE"/>
    <w:rsid w:val="00377CBB"/>
    <w:rsid w:val="00381A15"/>
    <w:rsid w:val="0038584F"/>
    <w:rsid w:val="00386AEA"/>
    <w:rsid w:val="00392207"/>
    <w:rsid w:val="00396388"/>
    <w:rsid w:val="00397495"/>
    <w:rsid w:val="003A0C10"/>
    <w:rsid w:val="003A3A0F"/>
    <w:rsid w:val="003A6D26"/>
    <w:rsid w:val="003C7680"/>
    <w:rsid w:val="003E34E1"/>
    <w:rsid w:val="003F0026"/>
    <w:rsid w:val="003F00CA"/>
    <w:rsid w:val="003F07F7"/>
    <w:rsid w:val="003F310D"/>
    <w:rsid w:val="003F6872"/>
    <w:rsid w:val="0041156E"/>
    <w:rsid w:val="00417363"/>
    <w:rsid w:val="00421220"/>
    <w:rsid w:val="00421B99"/>
    <w:rsid w:val="0042276B"/>
    <w:rsid w:val="00437580"/>
    <w:rsid w:val="00440215"/>
    <w:rsid w:val="004517C5"/>
    <w:rsid w:val="00452F75"/>
    <w:rsid w:val="00453574"/>
    <w:rsid w:val="00460FBF"/>
    <w:rsid w:val="004623E2"/>
    <w:rsid w:val="00472332"/>
    <w:rsid w:val="00472B3D"/>
    <w:rsid w:val="00473A9B"/>
    <w:rsid w:val="004773C4"/>
    <w:rsid w:val="00477F74"/>
    <w:rsid w:val="00481D9F"/>
    <w:rsid w:val="004870A4"/>
    <w:rsid w:val="00492D34"/>
    <w:rsid w:val="00492DC3"/>
    <w:rsid w:val="00493304"/>
    <w:rsid w:val="004B60E0"/>
    <w:rsid w:val="004B76BB"/>
    <w:rsid w:val="004D09A2"/>
    <w:rsid w:val="004D730A"/>
    <w:rsid w:val="004E234F"/>
    <w:rsid w:val="004F2BC6"/>
    <w:rsid w:val="004F3E98"/>
    <w:rsid w:val="004F667E"/>
    <w:rsid w:val="0050004F"/>
    <w:rsid w:val="00501E10"/>
    <w:rsid w:val="00503718"/>
    <w:rsid w:val="00506FD4"/>
    <w:rsid w:val="00520437"/>
    <w:rsid w:val="005219A6"/>
    <w:rsid w:val="00535EE9"/>
    <w:rsid w:val="00541053"/>
    <w:rsid w:val="00541C64"/>
    <w:rsid w:val="00543FB8"/>
    <w:rsid w:val="00551685"/>
    <w:rsid w:val="00555046"/>
    <w:rsid w:val="00556E51"/>
    <w:rsid w:val="00557465"/>
    <w:rsid w:val="00561848"/>
    <w:rsid w:val="005623EB"/>
    <w:rsid w:val="00562A2B"/>
    <w:rsid w:val="00573895"/>
    <w:rsid w:val="00576123"/>
    <w:rsid w:val="0058423A"/>
    <w:rsid w:val="00586356"/>
    <w:rsid w:val="00587952"/>
    <w:rsid w:val="00591490"/>
    <w:rsid w:val="005919E1"/>
    <w:rsid w:val="0059210B"/>
    <w:rsid w:val="005925E5"/>
    <w:rsid w:val="00592827"/>
    <w:rsid w:val="00596ADD"/>
    <w:rsid w:val="005A0DBE"/>
    <w:rsid w:val="005A5A8F"/>
    <w:rsid w:val="005B4C8D"/>
    <w:rsid w:val="005B7008"/>
    <w:rsid w:val="005C1A0B"/>
    <w:rsid w:val="005C41CF"/>
    <w:rsid w:val="005C4FBD"/>
    <w:rsid w:val="005C6D1E"/>
    <w:rsid w:val="005D2F87"/>
    <w:rsid w:val="005D7B44"/>
    <w:rsid w:val="005D7B6F"/>
    <w:rsid w:val="005F0DA3"/>
    <w:rsid w:val="005F771E"/>
    <w:rsid w:val="006117EC"/>
    <w:rsid w:val="00620EFE"/>
    <w:rsid w:val="006212D7"/>
    <w:rsid w:val="00624029"/>
    <w:rsid w:val="006359ED"/>
    <w:rsid w:val="006519B4"/>
    <w:rsid w:val="00657AF1"/>
    <w:rsid w:val="006634A8"/>
    <w:rsid w:val="006708CB"/>
    <w:rsid w:val="006871D1"/>
    <w:rsid w:val="006917A7"/>
    <w:rsid w:val="006A7281"/>
    <w:rsid w:val="006B5523"/>
    <w:rsid w:val="006C5F03"/>
    <w:rsid w:val="006C6D94"/>
    <w:rsid w:val="006D1343"/>
    <w:rsid w:val="006D787B"/>
    <w:rsid w:val="006E554B"/>
    <w:rsid w:val="006F159A"/>
    <w:rsid w:val="006F3770"/>
    <w:rsid w:val="006F3F42"/>
    <w:rsid w:val="00710AE1"/>
    <w:rsid w:val="00715581"/>
    <w:rsid w:val="007217F6"/>
    <w:rsid w:val="007221BF"/>
    <w:rsid w:val="007339E5"/>
    <w:rsid w:val="00736567"/>
    <w:rsid w:val="00744165"/>
    <w:rsid w:val="00744A33"/>
    <w:rsid w:val="00751E5F"/>
    <w:rsid w:val="007759C6"/>
    <w:rsid w:val="00783074"/>
    <w:rsid w:val="00787D82"/>
    <w:rsid w:val="007A66B4"/>
    <w:rsid w:val="007A69A2"/>
    <w:rsid w:val="007B362A"/>
    <w:rsid w:val="007C2BED"/>
    <w:rsid w:val="007C7355"/>
    <w:rsid w:val="007D168C"/>
    <w:rsid w:val="007D1F2A"/>
    <w:rsid w:val="007E354D"/>
    <w:rsid w:val="007F1BE7"/>
    <w:rsid w:val="007F2BE6"/>
    <w:rsid w:val="007F76F3"/>
    <w:rsid w:val="008037C7"/>
    <w:rsid w:val="008065AD"/>
    <w:rsid w:val="0082488D"/>
    <w:rsid w:val="008277C4"/>
    <w:rsid w:val="00831533"/>
    <w:rsid w:val="00840127"/>
    <w:rsid w:val="00843CB7"/>
    <w:rsid w:val="0084419F"/>
    <w:rsid w:val="008507BB"/>
    <w:rsid w:val="00857295"/>
    <w:rsid w:val="0086231D"/>
    <w:rsid w:val="00865E04"/>
    <w:rsid w:val="008679E4"/>
    <w:rsid w:val="00871DC1"/>
    <w:rsid w:val="0087319B"/>
    <w:rsid w:val="00873BB5"/>
    <w:rsid w:val="008762C4"/>
    <w:rsid w:val="00876BBB"/>
    <w:rsid w:val="008907E2"/>
    <w:rsid w:val="00890F35"/>
    <w:rsid w:val="008963A3"/>
    <w:rsid w:val="008B53CA"/>
    <w:rsid w:val="008C36D3"/>
    <w:rsid w:val="008C47B2"/>
    <w:rsid w:val="008C7172"/>
    <w:rsid w:val="008C7D9C"/>
    <w:rsid w:val="008E4842"/>
    <w:rsid w:val="008E69E1"/>
    <w:rsid w:val="008E7563"/>
    <w:rsid w:val="008F1AC7"/>
    <w:rsid w:val="008F4237"/>
    <w:rsid w:val="008F76C1"/>
    <w:rsid w:val="00902EE0"/>
    <w:rsid w:val="00902EEB"/>
    <w:rsid w:val="00907EF5"/>
    <w:rsid w:val="0091326D"/>
    <w:rsid w:val="00915051"/>
    <w:rsid w:val="00916D75"/>
    <w:rsid w:val="009201B9"/>
    <w:rsid w:val="00921D0B"/>
    <w:rsid w:val="009231B0"/>
    <w:rsid w:val="00923F41"/>
    <w:rsid w:val="00925829"/>
    <w:rsid w:val="00944BF1"/>
    <w:rsid w:val="009464CA"/>
    <w:rsid w:val="00950DA2"/>
    <w:rsid w:val="009541FB"/>
    <w:rsid w:val="0096060C"/>
    <w:rsid w:val="00960902"/>
    <w:rsid w:val="00961985"/>
    <w:rsid w:val="00962A3F"/>
    <w:rsid w:val="00965D73"/>
    <w:rsid w:val="00977278"/>
    <w:rsid w:val="009778C1"/>
    <w:rsid w:val="00983929"/>
    <w:rsid w:val="00992069"/>
    <w:rsid w:val="0099514E"/>
    <w:rsid w:val="00997719"/>
    <w:rsid w:val="009A6CBA"/>
    <w:rsid w:val="009A714B"/>
    <w:rsid w:val="009D268D"/>
    <w:rsid w:val="009D2CDE"/>
    <w:rsid w:val="009E20DF"/>
    <w:rsid w:val="009E2B55"/>
    <w:rsid w:val="009E696C"/>
    <w:rsid w:val="009F6E40"/>
    <w:rsid w:val="009F7639"/>
    <w:rsid w:val="00A056C4"/>
    <w:rsid w:val="00A115A1"/>
    <w:rsid w:val="00A14FDF"/>
    <w:rsid w:val="00A16247"/>
    <w:rsid w:val="00A261FA"/>
    <w:rsid w:val="00A26E1E"/>
    <w:rsid w:val="00A32A7F"/>
    <w:rsid w:val="00A3665D"/>
    <w:rsid w:val="00A50556"/>
    <w:rsid w:val="00A51847"/>
    <w:rsid w:val="00A55BEB"/>
    <w:rsid w:val="00A55F2C"/>
    <w:rsid w:val="00A56DAD"/>
    <w:rsid w:val="00A57EA5"/>
    <w:rsid w:val="00A61605"/>
    <w:rsid w:val="00A6635C"/>
    <w:rsid w:val="00A677C1"/>
    <w:rsid w:val="00A82693"/>
    <w:rsid w:val="00A872BE"/>
    <w:rsid w:val="00A91A4D"/>
    <w:rsid w:val="00AA26FE"/>
    <w:rsid w:val="00AA5B86"/>
    <w:rsid w:val="00AA649D"/>
    <w:rsid w:val="00AA68EB"/>
    <w:rsid w:val="00AB342A"/>
    <w:rsid w:val="00AB684D"/>
    <w:rsid w:val="00AD7664"/>
    <w:rsid w:val="00AE2272"/>
    <w:rsid w:val="00AE5667"/>
    <w:rsid w:val="00AF6236"/>
    <w:rsid w:val="00B106E4"/>
    <w:rsid w:val="00B130DC"/>
    <w:rsid w:val="00B1474E"/>
    <w:rsid w:val="00B23722"/>
    <w:rsid w:val="00B23DF5"/>
    <w:rsid w:val="00B25779"/>
    <w:rsid w:val="00B27313"/>
    <w:rsid w:val="00B277A1"/>
    <w:rsid w:val="00B30547"/>
    <w:rsid w:val="00B31301"/>
    <w:rsid w:val="00B344F3"/>
    <w:rsid w:val="00B35343"/>
    <w:rsid w:val="00B52348"/>
    <w:rsid w:val="00B55576"/>
    <w:rsid w:val="00B57ED2"/>
    <w:rsid w:val="00B66AB2"/>
    <w:rsid w:val="00B70370"/>
    <w:rsid w:val="00B7289A"/>
    <w:rsid w:val="00B7634D"/>
    <w:rsid w:val="00B812BE"/>
    <w:rsid w:val="00B93723"/>
    <w:rsid w:val="00B95E86"/>
    <w:rsid w:val="00BB170E"/>
    <w:rsid w:val="00BB53EE"/>
    <w:rsid w:val="00BD6FBC"/>
    <w:rsid w:val="00BE5DD1"/>
    <w:rsid w:val="00BE791B"/>
    <w:rsid w:val="00BF3F2B"/>
    <w:rsid w:val="00C03D52"/>
    <w:rsid w:val="00C120E7"/>
    <w:rsid w:val="00C15F1A"/>
    <w:rsid w:val="00C3093D"/>
    <w:rsid w:val="00C31D63"/>
    <w:rsid w:val="00C32877"/>
    <w:rsid w:val="00C331C6"/>
    <w:rsid w:val="00C35525"/>
    <w:rsid w:val="00C35710"/>
    <w:rsid w:val="00C410D6"/>
    <w:rsid w:val="00C418D1"/>
    <w:rsid w:val="00C42B87"/>
    <w:rsid w:val="00C42F9E"/>
    <w:rsid w:val="00C43CF7"/>
    <w:rsid w:val="00C54293"/>
    <w:rsid w:val="00C54607"/>
    <w:rsid w:val="00C6042D"/>
    <w:rsid w:val="00C70BA2"/>
    <w:rsid w:val="00C75BAB"/>
    <w:rsid w:val="00C810F7"/>
    <w:rsid w:val="00C81BA5"/>
    <w:rsid w:val="00C8475E"/>
    <w:rsid w:val="00C84FAA"/>
    <w:rsid w:val="00C87D9D"/>
    <w:rsid w:val="00C96AC2"/>
    <w:rsid w:val="00CA0D78"/>
    <w:rsid w:val="00CA76B7"/>
    <w:rsid w:val="00CB4BA5"/>
    <w:rsid w:val="00CC7947"/>
    <w:rsid w:val="00CD0D17"/>
    <w:rsid w:val="00CD3D62"/>
    <w:rsid w:val="00CD4B7C"/>
    <w:rsid w:val="00CE717E"/>
    <w:rsid w:val="00CF198D"/>
    <w:rsid w:val="00CF1F43"/>
    <w:rsid w:val="00CF4C77"/>
    <w:rsid w:val="00CF4D2F"/>
    <w:rsid w:val="00CF79BC"/>
    <w:rsid w:val="00D04F5F"/>
    <w:rsid w:val="00D05FF5"/>
    <w:rsid w:val="00D14BC4"/>
    <w:rsid w:val="00D1783F"/>
    <w:rsid w:val="00D27234"/>
    <w:rsid w:val="00D33131"/>
    <w:rsid w:val="00D47908"/>
    <w:rsid w:val="00D56694"/>
    <w:rsid w:val="00D62443"/>
    <w:rsid w:val="00D657BF"/>
    <w:rsid w:val="00D72809"/>
    <w:rsid w:val="00D7443A"/>
    <w:rsid w:val="00D7473D"/>
    <w:rsid w:val="00D75D85"/>
    <w:rsid w:val="00D764DC"/>
    <w:rsid w:val="00D874B0"/>
    <w:rsid w:val="00D94402"/>
    <w:rsid w:val="00D95CA6"/>
    <w:rsid w:val="00D96F5F"/>
    <w:rsid w:val="00DA3102"/>
    <w:rsid w:val="00DB0A5A"/>
    <w:rsid w:val="00DB102E"/>
    <w:rsid w:val="00DB2F9F"/>
    <w:rsid w:val="00DB4C14"/>
    <w:rsid w:val="00DC043E"/>
    <w:rsid w:val="00DC1701"/>
    <w:rsid w:val="00DC21BF"/>
    <w:rsid w:val="00DC4448"/>
    <w:rsid w:val="00DC6C7D"/>
    <w:rsid w:val="00DD3E17"/>
    <w:rsid w:val="00DD40D0"/>
    <w:rsid w:val="00DE7C43"/>
    <w:rsid w:val="00DF1169"/>
    <w:rsid w:val="00DF1417"/>
    <w:rsid w:val="00DF3C4A"/>
    <w:rsid w:val="00DF68CE"/>
    <w:rsid w:val="00E20DC4"/>
    <w:rsid w:val="00E21401"/>
    <w:rsid w:val="00E2184B"/>
    <w:rsid w:val="00E31F61"/>
    <w:rsid w:val="00E36BB6"/>
    <w:rsid w:val="00E40B53"/>
    <w:rsid w:val="00E432FF"/>
    <w:rsid w:val="00E5195E"/>
    <w:rsid w:val="00E55EF4"/>
    <w:rsid w:val="00E55F48"/>
    <w:rsid w:val="00E665E0"/>
    <w:rsid w:val="00E67224"/>
    <w:rsid w:val="00E7224B"/>
    <w:rsid w:val="00E81E6B"/>
    <w:rsid w:val="00E843D6"/>
    <w:rsid w:val="00E84D47"/>
    <w:rsid w:val="00EA478A"/>
    <w:rsid w:val="00EA4D12"/>
    <w:rsid w:val="00EC7784"/>
    <w:rsid w:val="00ED0700"/>
    <w:rsid w:val="00ED43FD"/>
    <w:rsid w:val="00EE3733"/>
    <w:rsid w:val="00EF1194"/>
    <w:rsid w:val="00F00531"/>
    <w:rsid w:val="00F011AD"/>
    <w:rsid w:val="00F03DC5"/>
    <w:rsid w:val="00F15DA8"/>
    <w:rsid w:val="00F16139"/>
    <w:rsid w:val="00F23A25"/>
    <w:rsid w:val="00F258A6"/>
    <w:rsid w:val="00F30391"/>
    <w:rsid w:val="00F3254D"/>
    <w:rsid w:val="00F3754A"/>
    <w:rsid w:val="00F46151"/>
    <w:rsid w:val="00F51EE7"/>
    <w:rsid w:val="00F6121B"/>
    <w:rsid w:val="00F63782"/>
    <w:rsid w:val="00F75DA0"/>
    <w:rsid w:val="00F94478"/>
    <w:rsid w:val="00FA439A"/>
    <w:rsid w:val="00FA6FE5"/>
    <w:rsid w:val="00FB132C"/>
    <w:rsid w:val="00FB1B41"/>
    <w:rsid w:val="00FB4974"/>
    <w:rsid w:val="00FB5A6E"/>
    <w:rsid w:val="00FB5B2B"/>
    <w:rsid w:val="00FB5FD5"/>
    <w:rsid w:val="00FC2531"/>
    <w:rsid w:val="00FC5040"/>
    <w:rsid w:val="00FC7C36"/>
    <w:rsid w:val="00FC7D31"/>
    <w:rsid w:val="00FD1FC4"/>
    <w:rsid w:val="00FD4FC2"/>
    <w:rsid w:val="00FE3D01"/>
    <w:rsid w:val="00FE4C30"/>
    <w:rsid w:val="00FE52EB"/>
    <w:rsid w:val="00FE586A"/>
    <w:rsid w:val="00FE61D8"/>
    <w:rsid w:val="00FE709C"/>
    <w:rsid w:val="00FF1F59"/>
    <w:rsid w:val="00FF46FF"/>
    <w:rsid w:val="00FF78C4"/>
    <w:rsid w:val="00FF7C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85B64"/>
  <w15:chartTrackingRefBased/>
  <w15:docId w15:val="{AA9C5CFF-7AA3-4273-B39D-4FA82EDE4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FBF"/>
  </w:style>
  <w:style w:type="paragraph" w:styleId="Heading1">
    <w:name w:val="heading 1"/>
    <w:basedOn w:val="Normal"/>
    <w:next w:val="Normal"/>
    <w:link w:val="Heading1Char"/>
    <w:uiPriority w:val="9"/>
    <w:qFormat/>
    <w:rsid w:val="002E5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E5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50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0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0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0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0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0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0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0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2E50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50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0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0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0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0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0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087"/>
    <w:rPr>
      <w:rFonts w:eastAsiaTheme="majorEastAsia" w:cstheme="majorBidi"/>
      <w:color w:val="272727" w:themeColor="text1" w:themeTint="D8"/>
    </w:rPr>
  </w:style>
  <w:style w:type="paragraph" w:styleId="Title">
    <w:name w:val="Title"/>
    <w:basedOn w:val="Normal"/>
    <w:next w:val="Normal"/>
    <w:link w:val="TitleChar"/>
    <w:uiPriority w:val="10"/>
    <w:qFormat/>
    <w:rsid w:val="002E50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0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0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0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087"/>
    <w:pPr>
      <w:spacing w:before="160"/>
      <w:jc w:val="center"/>
    </w:pPr>
    <w:rPr>
      <w:i/>
      <w:iCs/>
      <w:color w:val="404040" w:themeColor="text1" w:themeTint="BF"/>
    </w:rPr>
  </w:style>
  <w:style w:type="character" w:customStyle="1" w:styleId="QuoteChar">
    <w:name w:val="Quote Char"/>
    <w:basedOn w:val="DefaultParagraphFont"/>
    <w:link w:val="Quote"/>
    <w:uiPriority w:val="29"/>
    <w:rsid w:val="002E5087"/>
    <w:rPr>
      <w:i/>
      <w:iCs/>
      <w:color w:val="404040" w:themeColor="text1" w:themeTint="BF"/>
    </w:rPr>
  </w:style>
  <w:style w:type="paragraph" w:styleId="ListParagraph">
    <w:name w:val="List Paragraph"/>
    <w:basedOn w:val="Normal"/>
    <w:uiPriority w:val="34"/>
    <w:qFormat/>
    <w:rsid w:val="002E5087"/>
    <w:pPr>
      <w:ind w:left="720"/>
      <w:contextualSpacing/>
    </w:pPr>
  </w:style>
  <w:style w:type="character" w:styleId="IntenseEmphasis">
    <w:name w:val="Intense Emphasis"/>
    <w:basedOn w:val="DefaultParagraphFont"/>
    <w:uiPriority w:val="21"/>
    <w:qFormat/>
    <w:rsid w:val="002E5087"/>
    <w:rPr>
      <w:i/>
      <w:iCs/>
      <w:color w:val="0F4761" w:themeColor="accent1" w:themeShade="BF"/>
    </w:rPr>
  </w:style>
  <w:style w:type="paragraph" w:styleId="IntenseQuote">
    <w:name w:val="Intense Quote"/>
    <w:basedOn w:val="Normal"/>
    <w:next w:val="Normal"/>
    <w:link w:val="IntenseQuoteChar"/>
    <w:uiPriority w:val="30"/>
    <w:qFormat/>
    <w:rsid w:val="002E5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087"/>
    <w:rPr>
      <w:i/>
      <w:iCs/>
      <w:color w:val="0F4761" w:themeColor="accent1" w:themeShade="BF"/>
    </w:rPr>
  </w:style>
  <w:style w:type="character" w:styleId="IntenseReference">
    <w:name w:val="Intense Reference"/>
    <w:basedOn w:val="DefaultParagraphFont"/>
    <w:uiPriority w:val="32"/>
    <w:qFormat/>
    <w:rsid w:val="002E5087"/>
    <w:rPr>
      <w:b/>
      <w:bCs/>
      <w:smallCaps/>
      <w:color w:val="0F4761" w:themeColor="accent1" w:themeShade="BF"/>
      <w:spacing w:val="5"/>
    </w:rPr>
  </w:style>
  <w:style w:type="character" w:styleId="Hyperlink">
    <w:name w:val="Hyperlink"/>
    <w:basedOn w:val="DefaultParagraphFont"/>
    <w:uiPriority w:val="99"/>
    <w:unhideWhenUsed/>
    <w:rsid w:val="00F00531"/>
    <w:rPr>
      <w:color w:val="467886" w:themeColor="hyperlink"/>
      <w:u w:val="single"/>
    </w:rPr>
  </w:style>
  <w:style w:type="character" w:styleId="UnresolvedMention">
    <w:name w:val="Unresolved Mention"/>
    <w:basedOn w:val="DefaultParagraphFont"/>
    <w:uiPriority w:val="99"/>
    <w:semiHidden/>
    <w:unhideWhenUsed/>
    <w:rsid w:val="00F00531"/>
    <w:rPr>
      <w:color w:val="605E5C"/>
      <w:shd w:val="clear" w:color="auto" w:fill="E1DFDD"/>
    </w:rPr>
  </w:style>
  <w:style w:type="paragraph" w:styleId="Header">
    <w:name w:val="header"/>
    <w:basedOn w:val="Normal"/>
    <w:link w:val="HeaderChar"/>
    <w:uiPriority w:val="99"/>
    <w:unhideWhenUsed/>
    <w:rsid w:val="00B31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301"/>
  </w:style>
  <w:style w:type="paragraph" w:styleId="Footer">
    <w:name w:val="footer"/>
    <w:basedOn w:val="Normal"/>
    <w:link w:val="FooterChar"/>
    <w:uiPriority w:val="99"/>
    <w:unhideWhenUsed/>
    <w:rsid w:val="00B31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301"/>
  </w:style>
  <w:style w:type="paragraph" w:styleId="TOCHeading">
    <w:name w:val="TOC Heading"/>
    <w:basedOn w:val="Heading1"/>
    <w:next w:val="Normal"/>
    <w:uiPriority w:val="39"/>
    <w:unhideWhenUsed/>
    <w:qFormat/>
    <w:rsid w:val="007A69A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A69A2"/>
    <w:pPr>
      <w:spacing w:after="100"/>
    </w:pPr>
  </w:style>
  <w:style w:type="paragraph" w:styleId="TOC2">
    <w:name w:val="toc 2"/>
    <w:basedOn w:val="Normal"/>
    <w:next w:val="Normal"/>
    <w:autoRedefine/>
    <w:uiPriority w:val="39"/>
    <w:unhideWhenUsed/>
    <w:rsid w:val="007A69A2"/>
    <w:pPr>
      <w:spacing w:after="100"/>
      <w:ind w:left="240"/>
    </w:pPr>
  </w:style>
  <w:style w:type="paragraph" w:styleId="TOC3">
    <w:name w:val="toc 3"/>
    <w:basedOn w:val="Normal"/>
    <w:next w:val="Normal"/>
    <w:autoRedefine/>
    <w:uiPriority w:val="39"/>
    <w:unhideWhenUsed/>
    <w:rsid w:val="007A69A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354918">
      <w:bodyDiv w:val="1"/>
      <w:marLeft w:val="0"/>
      <w:marRight w:val="0"/>
      <w:marTop w:val="0"/>
      <w:marBottom w:val="0"/>
      <w:divBdr>
        <w:top w:val="none" w:sz="0" w:space="0" w:color="auto"/>
        <w:left w:val="none" w:sz="0" w:space="0" w:color="auto"/>
        <w:bottom w:val="none" w:sz="0" w:space="0" w:color="auto"/>
        <w:right w:val="none" w:sz="0" w:space="0" w:color="auto"/>
      </w:divBdr>
    </w:div>
    <w:div w:id="289552247">
      <w:bodyDiv w:val="1"/>
      <w:marLeft w:val="0"/>
      <w:marRight w:val="0"/>
      <w:marTop w:val="0"/>
      <w:marBottom w:val="0"/>
      <w:divBdr>
        <w:top w:val="none" w:sz="0" w:space="0" w:color="auto"/>
        <w:left w:val="none" w:sz="0" w:space="0" w:color="auto"/>
        <w:bottom w:val="none" w:sz="0" w:space="0" w:color="auto"/>
        <w:right w:val="none" w:sz="0" w:space="0" w:color="auto"/>
      </w:divBdr>
    </w:div>
    <w:div w:id="508720519">
      <w:bodyDiv w:val="1"/>
      <w:marLeft w:val="0"/>
      <w:marRight w:val="0"/>
      <w:marTop w:val="0"/>
      <w:marBottom w:val="0"/>
      <w:divBdr>
        <w:top w:val="none" w:sz="0" w:space="0" w:color="auto"/>
        <w:left w:val="none" w:sz="0" w:space="0" w:color="auto"/>
        <w:bottom w:val="none" w:sz="0" w:space="0" w:color="auto"/>
        <w:right w:val="none" w:sz="0" w:space="0" w:color="auto"/>
      </w:divBdr>
    </w:div>
    <w:div w:id="623997725">
      <w:bodyDiv w:val="1"/>
      <w:marLeft w:val="0"/>
      <w:marRight w:val="0"/>
      <w:marTop w:val="0"/>
      <w:marBottom w:val="0"/>
      <w:divBdr>
        <w:top w:val="none" w:sz="0" w:space="0" w:color="auto"/>
        <w:left w:val="none" w:sz="0" w:space="0" w:color="auto"/>
        <w:bottom w:val="none" w:sz="0" w:space="0" w:color="auto"/>
        <w:right w:val="none" w:sz="0" w:space="0" w:color="auto"/>
      </w:divBdr>
    </w:div>
    <w:div w:id="713425724">
      <w:bodyDiv w:val="1"/>
      <w:marLeft w:val="0"/>
      <w:marRight w:val="0"/>
      <w:marTop w:val="0"/>
      <w:marBottom w:val="0"/>
      <w:divBdr>
        <w:top w:val="none" w:sz="0" w:space="0" w:color="auto"/>
        <w:left w:val="none" w:sz="0" w:space="0" w:color="auto"/>
        <w:bottom w:val="none" w:sz="0" w:space="0" w:color="auto"/>
        <w:right w:val="none" w:sz="0" w:space="0" w:color="auto"/>
      </w:divBdr>
    </w:div>
    <w:div w:id="931276281">
      <w:bodyDiv w:val="1"/>
      <w:marLeft w:val="0"/>
      <w:marRight w:val="0"/>
      <w:marTop w:val="0"/>
      <w:marBottom w:val="0"/>
      <w:divBdr>
        <w:top w:val="none" w:sz="0" w:space="0" w:color="auto"/>
        <w:left w:val="none" w:sz="0" w:space="0" w:color="auto"/>
        <w:bottom w:val="none" w:sz="0" w:space="0" w:color="auto"/>
        <w:right w:val="none" w:sz="0" w:space="0" w:color="auto"/>
      </w:divBdr>
    </w:div>
    <w:div w:id="201590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mprovement.nhs.uk/resources/patient-safety-aler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ngland.nhs.uk/wp-content/uploads/2019/06/safe-staffing-nursing-urgent.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wp-content/uploads/2013/02/item2-280213.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a:solidFill>
                  <a:srgbClr val="C00000"/>
                </a:solidFill>
                <a:latin typeface="Arial" panose="020B0604020202020204" pitchFamily="34" charset="0"/>
                <a:cs typeface="Arial" panose="020B0604020202020204" pitchFamily="34" charset="0"/>
              </a:rPr>
              <a:t>PDSA</a:t>
            </a:r>
            <a:r>
              <a:rPr lang="en-US" sz="1600" b="1" baseline="0">
                <a:solidFill>
                  <a:srgbClr val="C00000"/>
                </a:solidFill>
                <a:latin typeface="Arial" panose="020B0604020202020204" pitchFamily="34" charset="0"/>
                <a:cs typeface="Arial" panose="020B0604020202020204" pitchFamily="34" charset="0"/>
              </a:rPr>
              <a:t> CYCLE </a:t>
            </a:r>
            <a:endParaRPr lang="en-US" sz="1600" b="1">
              <a:solidFill>
                <a:srgbClr val="C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93E-462E-AC8B-977BC673006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93E-462E-AC8B-977BC673006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93E-462E-AC8B-977BC673006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93E-462E-AC8B-977BC6730067}"/>
              </c:ext>
            </c:extLst>
          </c:dPt>
          <c:cat>
            <c:strRef>
              <c:f>Sheet1!$A$2:$A$5</c:f>
              <c:strCache>
                <c:ptCount val="4"/>
                <c:pt idx="0">
                  <c:v>PLAN</c:v>
                </c:pt>
                <c:pt idx="1">
                  <c:v>DO</c:v>
                </c:pt>
                <c:pt idx="2">
                  <c:v>STUDY</c:v>
                </c:pt>
                <c:pt idx="3">
                  <c:v>ACT</c:v>
                </c:pt>
              </c:strCache>
            </c:strRef>
          </c:cat>
          <c:val>
            <c:numRef>
              <c:f>Sheet1!$B$2:$B$5</c:f>
              <c:numCache>
                <c:formatCode>General</c:formatCode>
                <c:ptCount val="4"/>
                <c:pt idx="0">
                  <c:v>25</c:v>
                </c:pt>
                <c:pt idx="1">
                  <c:v>25</c:v>
                </c:pt>
                <c:pt idx="2">
                  <c:v>25</c:v>
                </c:pt>
                <c:pt idx="3">
                  <c:v>25</c:v>
                </c:pt>
              </c:numCache>
            </c:numRef>
          </c:val>
          <c:extLst>
            <c:ext xmlns:c16="http://schemas.microsoft.com/office/drawing/2014/chart" uri="{C3380CC4-5D6E-409C-BE32-E72D297353CC}">
              <c16:uniqueId val="{00000000-5723-4478-8BF4-BE5C9EDA6F2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PDCA</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CC5-4229-87AA-3BD6B207DA2A}"/>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CC5-4229-87AA-3BD6B207DA2A}"/>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CC5-4229-87AA-3BD6B207DA2A}"/>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CC5-4229-87AA-3BD6B207DA2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PLAN</c:v>
                </c:pt>
                <c:pt idx="1">
                  <c:v>DO</c:v>
                </c:pt>
                <c:pt idx="2">
                  <c:v>CHECK</c:v>
                </c:pt>
                <c:pt idx="3">
                  <c:v>ACT</c:v>
                </c:pt>
              </c:strCache>
            </c:strRef>
          </c:cat>
          <c:val>
            <c:numRef>
              <c:f>Sheet1!$B$2:$B$5</c:f>
              <c:numCache>
                <c:formatCode>General</c:formatCode>
                <c:ptCount val="4"/>
                <c:pt idx="0">
                  <c:v>25</c:v>
                </c:pt>
                <c:pt idx="1">
                  <c:v>25</c:v>
                </c:pt>
                <c:pt idx="2">
                  <c:v>25</c:v>
                </c:pt>
                <c:pt idx="3">
                  <c:v>25</c:v>
                </c:pt>
              </c:numCache>
            </c:numRef>
          </c:val>
          <c:extLst>
            <c:ext xmlns:c16="http://schemas.microsoft.com/office/drawing/2014/chart" uri="{C3380CC4-5D6E-409C-BE32-E72D297353CC}">
              <c16:uniqueId val="{00000000-D6E3-42FD-BE0D-49DA0A7AF38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0.50517</cdr:x>
      <cdr:y>0.22506</cdr:y>
    </cdr:from>
    <cdr:to>
      <cdr:x>0.95818</cdr:x>
      <cdr:y>0.43114</cdr:y>
    </cdr:to>
    <cdr:sp macro="" textlink="">
      <cdr:nvSpPr>
        <cdr:cNvPr id="2" name="Text Box 2"/>
        <cdr:cNvSpPr txBox="1">
          <a:spLocks xmlns:a="http://schemas.openxmlformats.org/drawingml/2006/main" noChangeArrowheads="1"/>
        </cdr:cNvSpPr>
      </cdr:nvSpPr>
      <cdr:spPr bwMode="auto">
        <a:xfrm xmlns:a="http://schemas.openxmlformats.org/drawingml/2006/main">
          <a:off x="2771558" y="720281"/>
          <a:ext cx="2485390" cy="659532"/>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l">
            <a:lnSpc>
              <a:spcPct val="150000"/>
            </a:lnSpc>
            <a:spcAft>
              <a:spcPts val="800"/>
            </a:spcAft>
            <a:buNone/>
          </a:pPr>
          <a:r>
            <a:rPr lang="en-GB" sz="1200" b="1"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Plan:</a:t>
          </a:r>
          <a:r>
            <a:rPr lang="en-GB" sz="1200"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 Define the current nurse-to-patient ratio on a pilot ward</a:t>
          </a:r>
          <a:endParaRPr lang="en-GB" sz="1200" kern="100">
            <a:effectLst/>
            <a:latin typeface="Aptos" panose="020B0004020202020204" pitchFamily="34" charset="0"/>
            <a:ea typeface="DengXian" panose="02010600030101010101" pitchFamily="2" charset="-122"/>
            <a:cs typeface="Times New Roman" panose="02020603050405020304" pitchFamily="18" charset="0"/>
          </a:endParaRPr>
        </a:p>
        <a:p xmlns:a="http://schemas.openxmlformats.org/drawingml/2006/main">
          <a:pPr>
            <a:lnSpc>
              <a:spcPct val="115000"/>
            </a:lnSpc>
            <a:spcAft>
              <a:spcPts val="800"/>
            </a:spcAft>
            <a:buNone/>
          </a:pPr>
          <a:r>
            <a:rPr lang="en-GB" sz="1200" kern="100">
              <a:effectLst/>
              <a:latin typeface="Aptos" panose="020B0004020202020204" pitchFamily="34" charset="0"/>
              <a:ea typeface="DengXian" panose="02010600030101010101" pitchFamily="2" charset="-122"/>
              <a:cs typeface="Times New Roman" panose="02020603050405020304" pitchFamily="18" charset="0"/>
            </a:rPr>
            <a:t> </a:t>
          </a:r>
        </a:p>
      </cdr:txBody>
    </cdr:sp>
  </cdr:relSizeAnchor>
  <cdr:relSizeAnchor xmlns:cdr="http://schemas.openxmlformats.org/drawingml/2006/chartDrawing">
    <cdr:from>
      <cdr:x>0.50804</cdr:x>
      <cdr:y>0.5355</cdr:y>
    </cdr:from>
    <cdr:to>
      <cdr:x>0.95609</cdr:x>
      <cdr:y>0.80035</cdr:y>
    </cdr:to>
    <cdr:sp macro="" textlink="">
      <cdr:nvSpPr>
        <cdr:cNvPr id="3" name="Text Box 2"/>
        <cdr:cNvSpPr txBox="1">
          <a:spLocks xmlns:a="http://schemas.openxmlformats.org/drawingml/2006/main" noChangeArrowheads="1"/>
        </cdr:cNvSpPr>
      </cdr:nvSpPr>
      <cdr:spPr bwMode="auto">
        <a:xfrm xmlns:a="http://schemas.openxmlformats.org/drawingml/2006/main">
          <a:off x="2787311" y="1713814"/>
          <a:ext cx="2458181" cy="847642"/>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l">
            <a:lnSpc>
              <a:spcPct val="150000"/>
            </a:lnSpc>
            <a:spcAft>
              <a:spcPts val="800"/>
            </a:spcAft>
            <a:buNone/>
          </a:pPr>
          <a:r>
            <a:rPr lang="en-GB" sz="1200" b="1"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Do:</a:t>
          </a:r>
          <a:r>
            <a:rPr lang="en-GB" sz="1200"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 Implement the revised staffing model on the pilot ward for three months. </a:t>
          </a:r>
          <a:endParaRPr lang="en-GB" sz="1200" kern="100">
            <a:effectLst/>
            <a:latin typeface="Aptos" panose="020B0004020202020204" pitchFamily="34" charset="0"/>
            <a:ea typeface="DengXian" panose="02010600030101010101" pitchFamily="2" charset="-122"/>
            <a:cs typeface="Times New Roman" panose="02020603050405020304" pitchFamily="18" charset="0"/>
          </a:endParaRPr>
        </a:p>
        <a:p xmlns:a="http://schemas.openxmlformats.org/drawingml/2006/main">
          <a:pPr>
            <a:lnSpc>
              <a:spcPct val="115000"/>
            </a:lnSpc>
            <a:spcAft>
              <a:spcPts val="800"/>
            </a:spcAft>
            <a:buNone/>
          </a:pPr>
          <a:r>
            <a:rPr lang="en-GB" sz="1200" kern="100">
              <a:effectLst/>
              <a:latin typeface="Aptos" panose="020B0004020202020204" pitchFamily="34" charset="0"/>
              <a:ea typeface="DengXian" panose="02010600030101010101" pitchFamily="2" charset="-122"/>
              <a:cs typeface="Times New Roman" panose="02020603050405020304" pitchFamily="18" charset="0"/>
            </a:rPr>
            <a:t> </a:t>
          </a:r>
        </a:p>
      </cdr:txBody>
    </cdr:sp>
  </cdr:relSizeAnchor>
  <cdr:relSizeAnchor xmlns:cdr="http://schemas.openxmlformats.org/drawingml/2006/chartDrawing">
    <cdr:from>
      <cdr:x>0.02894</cdr:x>
      <cdr:y>0.5663</cdr:y>
    </cdr:from>
    <cdr:to>
      <cdr:x>0.48059</cdr:x>
      <cdr:y>0.77673</cdr:y>
    </cdr:to>
    <cdr:sp macro="" textlink="">
      <cdr:nvSpPr>
        <cdr:cNvPr id="4" name="Text Box 2"/>
        <cdr:cNvSpPr txBox="1">
          <a:spLocks xmlns:a="http://schemas.openxmlformats.org/drawingml/2006/main" noChangeArrowheads="1"/>
        </cdr:cNvSpPr>
      </cdr:nvSpPr>
      <cdr:spPr bwMode="auto">
        <a:xfrm xmlns:a="http://schemas.openxmlformats.org/drawingml/2006/main">
          <a:off x="158788" y="1812375"/>
          <a:ext cx="2477941" cy="673479"/>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l">
            <a:lnSpc>
              <a:spcPct val="150000"/>
            </a:lnSpc>
            <a:spcAft>
              <a:spcPts val="800"/>
            </a:spcAft>
            <a:buNone/>
          </a:pPr>
          <a:r>
            <a:rPr lang="en-GB" sz="1200" b="1"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Study:</a:t>
          </a:r>
          <a:r>
            <a:rPr lang="en-GB" sz="1200"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 </a:t>
          </a:r>
          <a:r>
            <a:rPr lang="en-GB" sz="1200" b="1"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Analyse</a:t>
          </a:r>
          <a:r>
            <a:rPr lang="en-GB" sz="1200" kern="0">
              <a:solidFill>
                <a:srgbClr val="000000"/>
              </a:solidFill>
              <a:effectLst/>
              <a:latin typeface="Arial" panose="020B0604020202020204" pitchFamily="34" charset="0"/>
              <a:ea typeface="Times New Roman" panose="02020603050405020304" pitchFamily="18" charset="0"/>
              <a:cs typeface="Times New Roman" panose="02020603050405020304" pitchFamily="18" charset="0"/>
            </a:rPr>
            <a:t> the impact of the new ratio on clinical outcomes </a:t>
          </a:r>
          <a:endParaRPr lang="en-GB" sz="1200" kern="100">
            <a:effectLst/>
            <a:latin typeface="Aptos" panose="020B0004020202020204" pitchFamily="34" charset="0"/>
            <a:ea typeface="DengXian" panose="02010600030101010101" pitchFamily="2" charset="-122"/>
            <a:cs typeface="Times New Roman" panose="02020603050405020304" pitchFamily="18" charset="0"/>
          </a:endParaRPr>
        </a:p>
        <a:p xmlns:a="http://schemas.openxmlformats.org/drawingml/2006/main">
          <a:pPr>
            <a:lnSpc>
              <a:spcPct val="115000"/>
            </a:lnSpc>
            <a:spcAft>
              <a:spcPts val="800"/>
            </a:spcAft>
            <a:buNone/>
          </a:pPr>
          <a:r>
            <a:rPr lang="en-GB" sz="1200" kern="100">
              <a:effectLst/>
              <a:latin typeface="Aptos" panose="020B0004020202020204" pitchFamily="34" charset="0"/>
              <a:ea typeface="DengXian" panose="02010600030101010101" pitchFamily="2" charset="-122"/>
              <a:cs typeface="Times New Roman" panose="02020603050405020304" pitchFamily="18" charset="0"/>
            </a:rPr>
            <a:t> </a:t>
          </a:r>
        </a:p>
      </cdr:txBody>
    </cdr:sp>
  </cdr:relSizeAnchor>
  <cdr:relSizeAnchor xmlns:cdr="http://schemas.openxmlformats.org/drawingml/2006/chartDrawing">
    <cdr:from>
      <cdr:x>0.01818</cdr:x>
      <cdr:y>0.21557</cdr:y>
    </cdr:from>
    <cdr:to>
      <cdr:x>0.48716</cdr:x>
      <cdr:y>0.48931</cdr:y>
    </cdr:to>
    <cdr:sp macro="" textlink="">
      <cdr:nvSpPr>
        <cdr:cNvPr id="5" name="Text Box 2"/>
        <cdr:cNvSpPr txBox="1">
          <a:spLocks xmlns:a="http://schemas.openxmlformats.org/drawingml/2006/main" noChangeArrowheads="1"/>
        </cdr:cNvSpPr>
      </cdr:nvSpPr>
      <cdr:spPr bwMode="auto">
        <a:xfrm xmlns:a="http://schemas.openxmlformats.org/drawingml/2006/main">
          <a:off x="99733" y="689905"/>
          <a:ext cx="2573020" cy="876073"/>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marL="0" marR="0" lvl="0" indent="0" algn="l" defTabSz="914400" eaLnBrk="1" fontAlgn="auto" latinLnBrk="0" hangingPunct="1">
            <a:lnSpc>
              <a:spcPct val="150000"/>
            </a:lnSpc>
            <a:spcBef>
              <a:spcPts val="0"/>
            </a:spcBef>
            <a:spcAft>
              <a:spcPts val="800"/>
            </a:spcAft>
            <a:buClrTx/>
            <a:buSzTx/>
            <a:buFontTx/>
            <a:buNone/>
            <a:tabLst/>
            <a:defRPr/>
          </a:pPr>
          <a:r>
            <a:rPr lang="en-GB" sz="1200" b="1" kern="0">
              <a:solidFill>
                <a:schemeClr val="tx1"/>
              </a:solidFill>
              <a:effectLst/>
              <a:latin typeface="Arial" panose="020B0604020202020204" pitchFamily="34" charset="0"/>
              <a:ea typeface="Times New Roman" panose="02020603050405020304" pitchFamily="18" charset="0"/>
              <a:cs typeface="Times New Roman" panose="02020603050405020304" pitchFamily="18" charset="0"/>
            </a:rPr>
            <a:t>Act:</a:t>
          </a:r>
          <a:r>
            <a:rPr lang="en-GB" sz="1200" kern="0">
              <a:solidFill>
                <a:schemeClr val="tx1"/>
              </a:solidFill>
              <a:effectLst/>
              <a:latin typeface="Arial" panose="020B0604020202020204" pitchFamily="34" charset="0"/>
              <a:ea typeface="Times New Roman" panose="02020603050405020304" pitchFamily="18" charset="0"/>
              <a:cs typeface="Times New Roman" panose="02020603050405020304" pitchFamily="18" charset="0"/>
            </a:rPr>
            <a:t> If the pilot demonstrates a clear improvement in patient safety metrics</a:t>
          </a:r>
          <a:endParaRPr lang="en-GB" sz="1200" kern="100">
            <a:solidFill>
              <a:schemeClr val="tx1"/>
            </a:solidFill>
            <a:effectLst/>
            <a:latin typeface="Aptos" panose="020B0004020202020204" pitchFamily="34" charset="0"/>
            <a:ea typeface="DengXian" panose="02010600030101010101" pitchFamily="2" charset="-122"/>
            <a:cs typeface="Times New Roman" panose="02020603050405020304" pitchFamily="18" charset="0"/>
          </a:endParaRPr>
        </a:p>
        <a:p xmlns:a="http://schemas.openxmlformats.org/drawingml/2006/main">
          <a:pPr algn="just">
            <a:lnSpc>
              <a:spcPct val="150000"/>
            </a:lnSpc>
            <a:spcAft>
              <a:spcPts val="800"/>
            </a:spcAft>
            <a:buNone/>
          </a:pPr>
          <a:endParaRPr lang="en-GB" sz="1200" kern="100">
            <a:effectLst/>
            <a:latin typeface="Aptos" panose="020B0004020202020204" pitchFamily="34" charset="0"/>
            <a:ea typeface="DengXian" panose="02010600030101010101" pitchFamily="2" charset="-122"/>
            <a:cs typeface="Times New Roman" panose="02020603050405020304" pitchFamily="18" charset="0"/>
          </a:endParaRPr>
        </a:p>
        <a:p xmlns:a="http://schemas.openxmlformats.org/drawingml/2006/main">
          <a:pPr>
            <a:lnSpc>
              <a:spcPct val="115000"/>
            </a:lnSpc>
            <a:spcAft>
              <a:spcPts val="800"/>
            </a:spcAft>
            <a:buNone/>
          </a:pPr>
          <a:r>
            <a:rPr lang="en-GB" sz="1200" kern="100">
              <a:effectLst/>
              <a:latin typeface="Aptos" panose="020B0004020202020204" pitchFamily="34" charset="0"/>
              <a:ea typeface="DengXian" panose="02010600030101010101" pitchFamily="2" charset="-122"/>
              <a:cs typeface="Times New Roman" panose="02020603050405020304" pitchFamily="18" charset="0"/>
            </a:rPr>
            <a:t> </a:t>
          </a:r>
        </a:p>
      </cdr:txBody>
    </cdr:sp>
  </cdr:relSizeAnchor>
</c:userShapes>
</file>

<file path=word/drawings/drawing2.xml><?xml version="1.0" encoding="utf-8"?>
<c:userShapes xmlns:c="http://schemas.openxmlformats.org/drawingml/2006/chart">
  <cdr:relSizeAnchor xmlns:cdr="http://schemas.openxmlformats.org/drawingml/2006/chartDrawing">
    <cdr:from>
      <cdr:x>0.45131</cdr:x>
      <cdr:y>0.2689</cdr:y>
    </cdr:from>
    <cdr:to>
      <cdr:x>0.86682</cdr:x>
      <cdr:y>0.48417</cdr:y>
    </cdr:to>
    <cdr:sp macro="" textlink="">
      <cdr:nvSpPr>
        <cdr:cNvPr id="2" name="Text Box 2"/>
        <cdr:cNvSpPr txBox="1">
          <a:spLocks xmlns:a="http://schemas.openxmlformats.org/drawingml/2006/main" noChangeArrowheads="1"/>
        </cdr:cNvSpPr>
      </cdr:nvSpPr>
      <cdr:spPr bwMode="auto">
        <a:xfrm xmlns:a="http://schemas.openxmlformats.org/drawingml/2006/main">
          <a:off x="2476079" y="860585"/>
          <a:ext cx="2279650" cy="688967"/>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50000"/>
            </a:lnSpc>
            <a:spcAft>
              <a:spcPts val="800"/>
            </a:spcAft>
            <a:buNone/>
          </a:pPr>
          <a:r>
            <a:rPr lang="en-GB" sz="1200" b="1" kern="0">
              <a:effectLst/>
              <a:latin typeface="Arial" panose="020B0604020202020204" pitchFamily="34" charset="0"/>
              <a:ea typeface="Times New Roman" panose="02020603050405020304" pitchFamily="18" charset="0"/>
              <a:cs typeface="Times New Roman" panose="02020603050405020304" pitchFamily="18" charset="0"/>
            </a:rPr>
            <a:t>Plan</a:t>
          </a:r>
          <a:r>
            <a:rPr lang="en-GB" sz="1200" kern="0">
              <a:effectLst/>
              <a:latin typeface="Arial" panose="020B0604020202020204" pitchFamily="34" charset="0"/>
              <a:ea typeface="Times New Roman" panose="02020603050405020304" pitchFamily="18" charset="0"/>
              <a:cs typeface="Times New Roman" panose="02020603050405020304" pitchFamily="18" charset="0"/>
            </a:rPr>
            <a:t> </a:t>
          </a:r>
          <a:r>
            <a:rPr lang="en-GB" sz="800" kern="0">
              <a:effectLst/>
              <a:latin typeface="Arial" panose="020B0604020202020204" pitchFamily="34" charset="0"/>
              <a:ea typeface="Times New Roman" panose="02020603050405020304" pitchFamily="18" charset="0"/>
              <a:cs typeface="Arial" panose="020B0604020202020204" pitchFamily="34" charset="0"/>
            </a:rPr>
            <a:t>for a mandatory independent non-executive director with recent clinical quality experience.</a:t>
          </a:r>
          <a:endParaRPr lang="en-GB" sz="1200" kern="100">
            <a:effectLst/>
            <a:latin typeface="Arial" panose="020B0604020202020204" pitchFamily="34" charset="0"/>
            <a:ea typeface="DengXian" panose="02010600030101010101" pitchFamily="2" charset="-122"/>
            <a:cs typeface="Arial" panose="020B0604020202020204" pitchFamily="34" charset="0"/>
          </a:endParaRPr>
        </a:p>
        <a:p xmlns:a="http://schemas.openxmlformats.org/drawingml/2006/main">
          <a:pPr>
            <a:lnSpc>
              <a:spcPct val="115000"/>
            </a:lnSpc>
            <a:spcAft>
              <a:spcPts val="800"/>
            </a:spcAft>
            <a:buNone/>
          </a:pPr>
          <a:r>
            <a:rPr lang="en-GB" sz="1200" kern="100">
              <a:effectLst/>
              <a:latin typeface="Aptos" panose="020B0004020202020204" pitchFamily="34" charset="0"/>
              <a:ea typeface="DengXian" panose="02010600030101010101" pitchFamily="2" charset="-122"/>
              <a:cs typeface="Times New Roman" panose="02020603050405020304" pitchFamily="18" charset="0"/>
            </a:rPr>
            <a:t> </a:t>
          </a:r>
        </a:p>
      </cdr:txBody>
    </cdr:sp>
  </cdr:relSizeAnchor>
  <cdr:relSizeAnchor xmlns:cdr="http://schemas.openxmlformats.org/drawingml/2006/chartDrawing">
    <cdr:from>
      <cdr:x>0.45031</cdr:x>
      <cdr:y>0.61692</cdr:y>
    </cdr:from>
    <cdr:to>
      <cdr:x>0.86582</cdr:x>
      <cdr:y>0.82635</cdr:y>
    </cdr:to>
    <cdr:sp macro="" textlink="">
      <cdr:nvSpPr>
        <cdr:cNvPr id="3" name="Text Box 2"/>
        <cdr:cNvSpPr txBox="1">
          <a:spLocks xmlns:a="http://schemas.openxmlformats.org/drawingml/2006/main" noChangeArrowheads="1"/>
        </cdr:cNvSpPr>
      </cdr:nvSpPr>
      <cdr:spPr bwMode="auto">
        <a:xfrm xmlns:a="http://schemas.openxmlformats.org/drawingml/2006/main">
          <a:off x="2470602" y="1974375"/>
          <a:ext cx="2279650" cy="670267"/>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50000"/>
            </a:lnSpc>
            <a:spcAft>
              <a:spcPts val="800"/>
            </a:spcAft>
            <a:buNone/>
          </a:pPr>
          <a:r>
            <a:rPr lang="en-GB" sz="1200" b="1" kern="0">
              <a:effectLst/>
              <a:latin typeface="Arial" panose="020B0604020202020204" pitchFamily="34" charset="0"/>
              <a:ea typeface="Times New Roman" panose="02020603050405020304" pitchFamily="18" charset="0"/>
              <a:cs typeface="Times New Roman" panose="02020603050405020304" pitchFamily="18" charset="0"/>
            </a:rPr>
            <a:t>DO</a:t>
          </a:r>
          <a:r>
            <a:rPr lang="en-GB" sz="900" kern="0">
              <a:effectLst/>
              <a:latin typeface="Arial" panose="020B0604020202020204" pitchFamily="34" charset="0"/>
              <a:ea typeface="Times New Roman" panose="02020603050405020304" pitchFamily="18" charset="0"/>
              <a:cs typeface="Times New Roman" panose="02020603050405020304" pitchFamily="18" charset="0"/>
            </a:rPr>
            <a:t> </a:t>
          </a:r>
          <a:r>
            <a:rPr lang="en-GB" sz="800" kern="0">
              <a:effectLst/>
              <a:latin typeface="Arial" panose="020B0604020202020204" pitchFamily="34" charset="0"/>
              <a:ea typeface="Times New Roman" panose="02020603050405020304" pitchFamily="18" charset="0"/>
              <a:cs typeface="Arial" panose="020B0604020202020204" pitchFamily="34" charset="0"/>
            </a:rPr>
            <a:t>Require the CEO and Chair to personally sign off on the accuracy of the quality report.</a:t>
          </a:r>
          <a:endParaRPr lang="en-GB" sz="1200" kern="100">
            <a:effectLst/>
            <a:latin typeface="Arial" panose="020B0604020202020204" pitchFamily="34" charset="0"/>
            <a:ea typeface="DengXian" panose="02010600030101010101" pitchFamily="2" charset="-122"/>
            <a:cs typeface="Arial" panose="020B0604020202020204" pitchFamily="34" charset="0"/>
          </a:endParaRPr>
        </a:p>
        <a:p xmlns:a="http://schemas.openxmlformats.org/drawingml/2006/main">
          <a:pPr>
            <a:lnSpc>
              <a:spcPct val="115000"/>
            </a:lnSpc>
            <a:spcAft>
              <a:spcPts val="800"/>
            </a:spcAft>
            <a:buNone/>
          </a:pPr>
          <a:r>
            <a:rPr lang="en-GB" sz="1200" kern="100">
              <a:effectLst/>
              <a:latin typeface="Aptos" panose="020B0004020202020204" pitchFamily="34" charset="0"/>
              <a:ea typeface="DengXian" panose="02010600030101010101" pitchFamily="2" charset="-122"/>
              <a:cs typeface="Times New Roman" panose="02020603050405020304" pitchFamily="18" charset="0"/>
            </a:rPr>
            <a:t> </a:t>
          </a:r>
        </a:p>
      </cdr:txBody>
    </cdr:sp>
  </cdr:relSizeAnchor>
  <cdr:relSizeAnchor xmlns:cdr="http://schemas.openxmlformats.org/drawingml/2006/chartDrawing">
    <cdr:from>
      <cdr:x>0.02328</cdr:x>
      <cdr:y>0.62275</cdr:y>
    </cdr:from>
    <cdr:to>
      <cdr:x>0.43879</cdr:x>
      <cdr:y>0.82121</cdr:y>
    </cdr:to>
    <cdr:sp macro="" textlink="">
      <cdr:nvSpPr>
        <cdr:cNvPr id="4" name="Text Box 2"/>
        <cdr:cNvSpPr txBox="1">
          <a:spLocks xmlns:a="http://schemas.openxmlformats.org/drawingml/2006/main" noChangeArrowheads="1"/>
        </cdr:cNvSpPr>
      </cdr:nvSpPr>
      <cdr:spPr bwMode="auto">
        <a:xfrm xmlns:a="http://schemas.openxmlformats.org/drawingml/2006/main">
          <a:off x="127746" y="1993063"/>
          <a:ext cx="2279650" cy="635152"/>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15000"/>
            </a:lnSpc>
            <a:spcAft>
              <a:spcPts val="800"/>
            </a:spcAft>
            <a:buNone/>
          </a:pPr>
          <a:r>
            <a:rPr lang="en-GB" sz="1100" b="1" kern="0">
              <a:effectLst/>
              <a:latin typeface="Arial" panose="020B0604020202020204" pitchFamily="34" charset="0"/>
              <a:ea typeface="Times New Roman" panose="02020603050405020304" pitchFamily="18" charset="0"/>
              <a:cs typeface="Times New Roman" panose="02020603050405020304" pitchFamily="18" charset="0"/>
            </a:rPr>
            <a:t>CHECK</a:t>
          </a:r>
          <a:r>
            <a:rPr lang="en-GB" sz="800" kern="0">
              <a:effectLst/>
              <a:latin typeface="Arial" panose="020B0604020202020204" pitchFamily="34" charset="0"/>
              <a:ea typeface="Times New Roman" panose="02020603050405020304" pitchFamily="18" charset="0"/>
              <a:cs typeface="Times New Roman" panose="02020603050405020304" pitchFamily="18" charset="0"/>
            </a:rPr>
            <a:t> Conduct a mandated </a:t>
          </a:r>
          <a:r>
            <a:rPr lang="en-GB" sz="800" b="1" kern="0">
              <a:effectLst/>
              <a:latin typeface="Arial" panose="020B0604020202020204" pitchFamily="34" charset="0"/>
              <a:ea typeface="Times New Roman" panose="02020603050405020304" pitchFamily="18" charset="0"/>
              <a:cs typeface="Times New Roman" panose="02020603050405020304" pitchFamily="18" charset="0"/>
            </a:rPr>
            <a:t>external peer review</a:t>
          </a:r>
          <a:r>
            <a:rPr lang="en-GB" sz="800" kern="0">
              <a:effectLst/>
              <a:latin typeface="Arial" panose="020B0604020202020204" pitchFamily="34" charset="0"/>
              <a:ea typeface="Times New Roman" panose="02020603050405020304" pitchFamily="18" charset="0"/>
              <a:cs typeface="Times New Roman" panose="02020603050405020304" pitchFamily="18" charset="0"/>
            </a:rPr>
            <a:t> of the board's quality assurance processes annually (Francis, 2013).</a:t>
          </a:r>
          <a:endParaRPr lang="en-GB" sz="1200" kern="100">
            <a:effectLst/>
            <a:latin typeface="Aptos" panose="020B0004020202020204" pitchFamily="34" charset="0"/>
            <a:ea typeface="DengXian" panose="02010600030101010101" pitchFamily="2" charset="-122"/>
            <a:cs typeface="Times New Roman" panose="02020603050405020304" pitchFamily="18" charset="0"/>
          </a:endParaRPr>
        </a:p>
      </cdr:txBody>
    </cdr:sp>
  </cdr:relSizeAnchor>
  <cdr:relSizeAnchor xmlns:cdr="http://schemas.openxmlformats.org/drawingml/2006/chartDrawing">
    <cdr:from>
      <cdr:x>0.02616</cdr:x>
      <cdr:y>0.27592</cdr:y>
    </cdr:from>
    <cdr:to>
      <cdr:x>0.44167</cdr:x>
      <cdr:y>0.48075</cdr:y>
    </cdr:to>
    <cdr:sp macro="" textlink="">
      <cdr:nvSpPr>
        <cdr:cNvPr id="5" name="Text Box 2"/>
        <cdr:cNvSpPr txBox="1">
          <a:spLocks xmlns:a="http://schemas.openxmlformats.org/drawingml/2006/main" noChangeArrowheads="1"/>
        </cdr:cNvSpPr>
      </cdr:nvSpPr>
      <cdr:spPr bwMode="auto">
        <a:xfrm xmlns:a="http://schemas.openxmlformats.org/drawingml/2006/main">
          <a:off x="143537" y="883041"/>
          <a:ext cx="2279650" cy="65556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15000"/>
            </a:lnSpc>
            <a:spcAft>
              <a:spcPts val="800"/>
            </a:spcAft>
            <a:buNone/>
          </a:pPr>
          <a:r>
            <a:rPr lang="en-GB" sz="1200" b="1" kern="0">
              <a:effectLst/>
              <a:latin typeface="Arial" panose="020B0604020202020204" pitchFamily="34" charset="0"/>
              <a:ea typeface="Times New Roman" panose="02020603050405020304" pitchFamily="18" charset="0"/>
              <a:cs typeface="Times New Roman" panose="02020603050405020304" pitchFamily="18" charset="0"/>
            </a:rPr>
            <a:t>Act:</a:t>
          </a:r>
          <a:r>
            <a:rPr lang="en-GB" sz="800" kern="0">
              <a:effectLst/>
              <a:latin typeface="Arial" panose="020B0604020202020204" pitchFamily="34" charset="0"/>
              <a:ea typeface="Times New Roman" panose="02020603050405020304" pitchFamily="18" charset="0"/>
              <a:cs typeface="Times New Roman" panose="02020603050405020304" pitchFamily="18" charset="0"/>
            </a:rPr>
            <a:t> Use the findings of the external review to immediately implement corrective actions, ensuring sustained compliance.</a:t>
          </a:r>
          <a:endParaRPr lang="en-GB" sz="1200" kern="100">
            <a:effectLst/>
            <a:latin typeface="Aptos" panose="020B0004020202020204" pitchFamily="34" charset="0"/>
            <a:ea typeface="DengXian" panose="02010600030101010101" pitchFamily="2" charset="-122"/>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F65A3B-1EBB-4726-8F23-5DE281ED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22</Pages>
  <Words>4963</Words>
  <Characters>28295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Nomathemba Socikwa (2128581)</dc:creator>
  <cp:keywords/>
  <dc:description/>
  <cp:lastModifiedBy>Nomathemba Socikwa (2128581)</cp:lastModifiedBy>
  <cp:revision>475</cp:revision>
  <dcterms:created xsi:type="dcterms:W3CDTF">2025-11-05T14:17:00Z</dcterms:created>
  <dcterms:modified xsi:type="dcterms:W3CDTF">2025-11-27T08:45:00Z</dcterms:modified>
</cp:coreProperties>
</file>