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9AD57" w14:textId="56DC0305" w:rsidR="007106BD" w:rsidRPr="00280F36" w:rsidRDefault="006E27B9" w:rsidP="00280F36">
      <w:pPr>
        <w:spacing w:line="360" w:lineRule="auto"/>
        <w:rPr>
          <w:rStyle w:val="Strong"/>
          <w:rFonts w:ascii="Arial" w:eastAsia="Times New Roman" w:hAnsi="Arial" w:cs="Arial"/>
          <w:color w:val="000000" w:themeColor="text1"/>
          <w:sz w:val="22"/>
          <w:szCs w:val="22"/>
        </w:rPr>
      </w:pPr>
      <w:r w:rsidRPr="00280F36">
        <w:rPr>
          <w:rFonts w:ascii="Arial" w:eastAsia="Times New Roman" w:hAnsi="Arial" w:cs="Arial"/>
          <w:b/>
          <w:bCs/>
          <w:noProof/>
          <w:color w:val="000000" w:themeColor="text1"/>
          <w:sz w:val="22"/>
          <w:szCs w:val="22"/>
        </w:rPr>
        <w:drawing>
          <wp:anchor distT="0" distB="0" distL="114300" distR="114300" simplePos="0" relativeHeight="251672576" behindDoc="0" locked="0" layoutInCell="1" allowOverlap="1" wp14:anchorId="516CA80A" wp14:editId="0D66FA19">
            <wp:simplePos x="0" y="0"/>
            <wp:positionH relativeFrom="column">
              <wp:posOffset>48895</wp:posOffset>
            </wp:positionH>
            <wp:positionV relativeFrom="paragraph">
              <wp:posOffset>133350</wp:posOffset>
            </wp:positionV>
            <wp:extent cx="5731510" cy="3009265"/>
            <wp:effectExtent l="0" t="0" r="2540" b="635"/>
            <wp:wrapTopAndBottom/>
            <wp:docPr id="978290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290216" name="Picture 978290216"/>
                    <pic:cNvPicPr/>
                  </pic:nvPicPr>
                  <pic:blipFill>
                    <a:blip r:embed="rId7">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anchor>
        </w:drawing>
      </w:r>
    </w:p>
    <w:p w14:paraId="3604EDDC" w14:textId="5C3EF64C" w:rsidR="00E4321F" w:rsidRPr="00280F36" w:rsidRDefault="00E4321F" w:rsidP="00280F36">
      <w:pPr>
        <w:spacing w:line="360" w:lineRule="auto"/>
        <w:jc w:val="center"/>
        <w:rPr>
          <w:rFonts w:ascii="Arial" w:hAnsi="Arial" w:cs="Arial"/>
          <w:color w:val="000000" w:themeColor="text1"/>
          <w:sz w:val="22"/>
          <w:szCs w:val="22"/>
        </w:rPr>
      </w:pPr>
    </w:p>
    <w:p w14:paraId="0722CD48" w14:textId="4664AA47" w:rsidR="00F220F9" w:rsidRPr="00345E2A" w:rsidRDefault="00880A49" w:rsidP="00280F36">
      <w:pPr>
        <w:spacing w:line="360" w:lineRule="auto"/>
        <w:rPr>
          <w:rFonts w:ascii="Arial" w:hAnsi="Arial" w:cs="Arial"/>
          <w:color w:val="000000" w:themeColor="text1"/>
          <w:sz w:val="22"/>
          <w:szCs w:val="22"/>
        </w:rPr>
      </w:pPr>
      <w:r>
        <w:rPr>
          <w:rFonts w:ascii="Arial" w:hAnsi="Arial" w:cs="Arial"/>
          <w:b/>
          <w:bCs/>
          <w:color w:val="000000" w:themeColor="text1"/>
          <w:sz w:val="22"/>
          <w:szCs w:val="22"/>
        </w:rPr>
        <w:t xml:space="preserve">Name: </w:t>
      </w:r>
      <w:r w:rsidR="00345E2A">
        <w:rPr>
          <w:rFonts w:ascii="Arial" w:hAnsi="Arial" w:cs="Arial"/>
          <w:color w:val="000000" w:themeColor="text1"/>
          <w:sz w:val="22"/>
          <w:szCs w:val="22"/>
        </w:rPr>
        <w:t xml:space="preserve">Nazmin Malik </w:t>
      </w:r>
    </w:p>
    <w:p w14:paraId="0523BC42" w14:textId="2302E383" w:rsidR="00880A49" w:rsidRPr="00345E2A" w:rsidRDefault="00880A49" w:rsidP="00280F36">
      <w:pPr>
        <w:spacing w:line="360" w:lineRule="auto"/>
        <w:rPr>
          <w:rFonts w:ascii="Arial" w:hAnsi="Arial" w:cs="Arial"/>
          <w:color w:val="000000" w:themeColor="text1"/>
          <w:sz w:val="22"/>
          <w:szCs w:val="22"/>
        </w:rPr>
      </w:pPr>
      <w:r>
        <w:rPr>
          <w:rFonts w:ascii="Arial" w:hAnsi="Arial" w:cs="Arial"/>
          <w:b/>
          <w:bCs/>
          <w:color w:val="000000" w:themeColor="text1"/>
          <w:sz w:val="22"/>
          <w:szCs w:val="22"/>
        </w:rPr>
        <w:t>Student no:</w:t>
      </w:r>
      <w:r w:rsidR="00345E2A">
        <w:rPr>
          <w:rFonts w:ascii="Arial" w:hAnsi="Arial" w:cs="Arial"/>
          <w:b/>
          <w:bCs/>
          <w:color w:val="000000" w:themeColor="text1"/>
          <w:sz w:val="22"/>
          <w:szCs w:val="22"/>
        </w:rPr>
        <w:t xml:space="preserve"> </w:t>
      </w:r>
      <w:r w:rsidR="00345E2A">
        <w:rPr>
          <w:rFonts w:ascii="Arial" w:hAnsi="Arial" w:cs="Arial"/>
          <w:color w:val="000000" w:themeColor="text1"/>
          <w:sz w:val="22"/>
          <w:szCs w:val="22"/>
        </w:rPr>
        <w:t>2242813</w:t>
      </w:r>
    </w:p>
    <w:p w14:paraId="3301C5E2" w14:textId="6C0DA502" w:rsidR="00880A49" w:rsidRPr="00AC033C" w:rsidRDefault="00880A49" w:rsidP="00280F36">
      <w:pPr>
        <w:spacing w:line="360" w:lineRule="auto"/>
        <w:rPr>
          <w:rFonts w:ascii="Arial" w:hAnsi="Arial" w:cs="Arial"/>
          <w:color w:val="000000" w:themeColor="text1"/>
          <w:sz w:val="22"/>
          <w:szCs w:val="22"/>
        </w:rPr>
      </w:pPr>
      <w:r>
        <w:rPr>
          <w:rFonts w:ascii="Arial" w:hAnsi="Arial" w:cs="Arial"/>
          <w:b/>
          <w:bCs/>
          <w:color w:val="000000" w:themeColor="text1"/>
          <w:sz w:val="22"/>
          <w:szCs w:val="22"/>
        </w:rPr>
        <w:t>Module:</w:t>
      </w:r>
      <w:r w:rsidR="00345E2A">
        <w:rPr>
          <w:rFonts w:ascii="Arial" w:hAnsi="Arial" w:cs="Arial"/>
          <w:b/>
          <w:bCs/>
          <w:color w:val="000000" w:themeColor="text1"/>
          <w:sz w:val="22"/>
          <w:szCs w:val="22"/>
        </w:rPr>
        <w:t xml:space="preserve"> </w:t>
      </w:r>
      <w:r w:rsidR="00AC033C">
        <w:rPr>
          <w:rFonts w:ascii="Arial" w:hAnsi="Arial" w:cs="Arial"/>
          <w:color w:val="000000" w:themeColor="text1"/>
          <w:sz w:val="22"/>
          <w:szCs w:val="22"/>
        </w:rPr>
        <w:t>Health Care System Organisation and Leadership</w:t>
      </w:r>
    </w:p>
    <w:p w14:paraId="29C41F23" w14:textId="2D411065" w:rsidR="00880A49" w:rsidRPr="0081283B" w:rsidRDefault="00880A49" w:rsidP="00280F36">
      <w:pPr>
        <w:spacing w:line="360" w:lineRule="auto"/>
        <w:rPr>
          <w:rFonts w:ascii="Arial" w:hAnsi="Arial" w:cs="Arial"/>
          <w:color w:val="000000" w:themeColor="text1"/>
          <w:sz w:val="22"/>
          <w:szCs w:val="22"/>
        </w:rPr>
      </w:pPr>
      <w:r>
        <w:rPr>
          <w:rFonts w:ascii="Arial" w:hAnsi="Arial" w:cs="Arial"/>
          <w:b/>
          <w:bCs/>
          <w:color w:val="000000" w:themeColor="text1"/>
          <w:sz w:val="22"/>
          <w:szCs w:val="22"/>
        </w:rPr>
        <w:t>Module Code:</w:t>
      </w:r>
      <w:r w:rsidR="0081283B">
        <w:rPr>
          <w:rFonts w:ascii="Arial" w:hAnsi="Arial" w:cs="Arial"/>
          <w:color w:val="000000" w:themeColor="text1"/>
          <w:sz w:val="22"/>
          <w:szCs w:val="22"/>
        </w:rPr>
        <w:t>LCHS7002</w:t>
      </w:r>
    </w:p>
    <w:p w14:paraId="32FE24B9" w14:textId="00F504FC" w:rsidR="00880A49" w:rsidRPr="00D018E1" w:rsidRDefault="00880A49" w:rsidP="00280F36">
      <w:pPr>
        <w:spacing w:line="360" w:lineRule="auto"/>
        <w:rPr>
          <w:rFonts w:ascii="Arial" w:hAnsi="Arial" w:cs="Arial"/>
          <w:color w:val="000000" w:themeColor="text1"/>
          <w:sz w:val="22"/>
          <w:szCs w:val="22"/>
        </w:rPr>
      </w:pPr>
      <w:r>
        <w:rPr>
          <w:rFonts w:ascii="Arial" w:hAnsi="Arial" w:cs="Arial"/>
          <w:b/>
          <w:bCs/>
          <w:color w:val="000000" w:themeColor="text1"/>
          <w:sz w:val="22"/>
          <w:szCs w:val="22"/>
        </w:rPr>
        <w:t xml:space="preserve">Assignment </w:t>
      </w:r>
      <w:r w:rsidR="00D018E1">
        <w:rPr>
          <w:rFonts w:ascii="Arial" w:hAnsi="Arial" w:cs="Arial"/>
          <w:b/>
          <w:bCs/>
          <w:color w:val="000000" w:themeColor="text1"/>
          <w:sz w:val="22"/>
          <w:szCs w:val="22"/>
        </w:rPr>
        <w:t>Title:</w:t>
      </w:r>
      <w:r w:rsidR="00D018E1">
        <w:rPr>
          <w:rFonts w:ascii="Arial" w:hAnsi="Arial" w:cs="Arial"/>
          <w:color w:val="000000" w:themeColor="text1"/>
          <w:sz w:val="22"/>
          <w:szCs w:val="22"/>
        </w:rPr>
        <w:t xml:space="preserve"> Case Study Analysis Report</w:t>
      </w:r>
    </w:p>
    <w:p w14:paraId="4BD0A654" w14:textId="4C1C5508" w:rsidR="00880A49" w:rsidRPr="00A14B43" w:rsidRDefault="00880A49" w:rsidP="00280F36">
      <w:pPr>
        <w:spacing w:line="360" w:lineRule="auto"/>
        <w:rPr>
          <w:rFonts w:ascii="Arial" w:hAnsi="Arial" w:cs="Arial"/>
          <w:color w:val="000000" w:themeColor="text1"/>
          <w:sz w:val="22"/>
          <w:szCs w:val="22"/>
        </w:rPr>
      </w:pPr>
      <w:r>
        <w:rPr>
          <w:rFonts w:ascii="Arial" w:hAnsi="Arial" w:cs="Arial"/>
          <w:b/>
          <w:bCs/>
          <w:color w:val="000000" w:themeColor="text1"/>
          <w:sz w:val="22"/>
          <w:szCs w:val="22"/>
        </w:rPr>
        <w:t>Lecture:</w:t>
      </w:r>
      <w:r w:rsidR="00A14B43">
        <w:rPr>
          <w:rFonts w:ascii="Arial" w:hAnsi="Arial" w:cs="Arial"/>
          <w:b/>
          <w:bCs/>
          <w:color w:val="000000" w:themeColor="text1"/>
          <w:sz w:val="22"/>
          <w:szCs w:val="22"/>
        </w:rPr>
        <w:t xml:space="preserve"> </w:t>
      </w:r>
      <w:r w:rsidR="00A14B43">
        <w:rPr>
          <w:rFonts w:ascii="Arial" w:hAnsi="Arial" w:cs="Arial"/>
          <w:color w:val="000000" w:themeColor="text1"/>
          <w:sz w:val="22"/>
          <w:szCs w:val="22"/>
        </w:rPr>
        <w:t>Fahad Khan</w:t>
      </w:r>
    </w:p>
    <w:p w14:paraId="4AB7F156" w14:textId="2145636F" w:rsidR="003C1B6D" w:rsidRPr="00280F36" w:rsidRDefault="00F220F9" w:rsidP="00280F36">
      <w:p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br w:type="page"/>
      </w:r>
    </w:p>
    <w:p w14:paraId="0DB25DB7" w14:textId="77777777" w:rsidR="003C1B6D" w:rsidRPr="00280F36" w:rsidRDefault="003C1B6D" w:rsidP="00280F36">
      <w:pPr>
        <w:pStyle w:val="NormalWeb"/>
        <w:spacing w:line="360" w:lineRule="auto"/>
        <w:rPr>
          <w:rFonts w:ascii="Arial" w:hAnsi="Arial" w:cs="Arial"/>
          <w:color w:val="000000" w:themeColor="text1"/>
          <w:sz w:val="32"/>
          <w:szCs w:val="32"/>
        </w:rPr>
      </w:pPr>
      <w:r w:rsidRPr="00280F36">
        <w:rPr>
          <w:rStyle w:val="Strong"/>
          <w:rFonts w:ascii="Arial" w:hAnsi="Arial" w:cs="Arial"/>
          <w:color w:val="000000" w:themeColor="text1"/>
          <w:sz w:val="32"/>
          <w:szCs w:val="32"/>
        </w:rPr>
        <w:lastRenderedPageBreak/>
        <w:t>A Critical Case Report of Leadership, Governance and Systems Thinking in Improving Patient Safety: An Analysis of an NHS Infant Morphine Overdose Incident</w:t>
      </w:r>
    </w:p>
    <w:p w14:paraId="0EC1F76C" w14:textId="77777777" w:rsidR="003C1B6D" w:rsidRDefault="003C1B6D" w:rsidP="00280F36">
      <w:pPr>
        <w:pStyle w:val="Heading1"/>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Introduction</w:t>
      </w:r>
    </w:p>
    <w:p w14:paraId="4002E5EF" w14:textId="26DD990C" w:rsidR="00EF0D0A" w:rsidRPr="000317A0" w:rsidRDefault="00EF0D0A" w:rsidP="000317A0">
      <w:pPr>
        <w:spacing w:line="360" w:lineRule="auto"/>
        <w:rPr>
          <w:rFonts w:ascii="Arial" w:hAnsi="Arial" w:cs="Arial"/>
          <w:sz w:val="22"/>
          <w:szCs w:val="22"/>
        </w:rPr>
      </w:pPr>
      <w:r w:rsidRPr="000317A0">
        <w:rPr>
          <w:rFonts w:ascii="Arial" w:hAnsi="Arial" w:cs="Arial"/>
          <w:sz w:val="22"/>
          <w:szCs w:val="22"/>
        </w:rPr>
        <w:t xml:space="preserve">Patient safety is a fundamental priority within health and social care organisations, as system failures can result in avoidable harm, reduced quality of care and loss of public confidence. This report critically examines an infant morphine overdose incident within the North East and Yorkshire NHS region, where a four-week-old baby received morphine sulphate oral solution at a concentration approximately 20 times higher than intended. The infant required emergency naloxone treatment but survived; however, national incident analysis identified this as the fifth similar occurrence since 2018, with a previous case resulting in the death of a baby (NHS North East and Yorkshire, 2023). This case provides an opportunity to evaluate how leadership, governance and systems thinking influence patient safety and </w:t>
      </w:r>
      <w:r w:rsidR="00125953">
        <w:rPr>
          <w:rFonts w:ascii="Arial" w:hAnsi="Arial" w:cs="Arial"/>
          <w:sz w:val="22"/>
          <w:szCs w:val="22"/>
        </w:rPr>
        <w:t xml:space="preserve">the </w:t>
      </w:r>
      <w:r w:rsidRPr="000317A0">
        <w:rPr>
          <w:rFonts w:ascii="Arial" w:hAnsi="Arial" w:cs="Arial"/>
          <w:sz w:val="22"/>
          <w:szCs w:val="22"/>
        </w:rPr>
        <w:t>prevention of avoidable harm.</w:t>
      </w:r>
    </w:p>
    <w:p w14:paraId="7219C073" w14:textId="1A0C297B" w:rsidR="00EF0D0A" w:rsidRPr="000317A0" w:rsidRDefault="00EF0D0A" w:rsidP="000317A0">
      <w:pPr>
        <w:spacing w:line="360" w:lineRule="auto"/>
        <w:rPr>
          <w:rFonts w:ascii="Arial" w:hAnsi="Arial" w:cs="Arial"/>
          <w:sz w:val="22"/>
          <w:szCs w:val="22"/>
        </w:rPr>
      </w:pPr>
      <w:r w:rsidRPr="000317A0">
        <w:rPr>
          <w:rFonts w:ascii="Arial" w:hAnsi="Arial" w:cs="Arial"/>
          <w:sz w:val="22"/>
          <w:szCs w:val="22"/>
        </w:rPr>
        <w:t>Leadership in health and social care involves influencing, motivating and supporting teams to achieve shared objectives and improve outcomes (Northouse, 2022). In patient safety contexts, leadership requires creating environments where staff feel psychologically safe to raise concerns, challenge unsafe practices and contribute to improvement (Edmondson, 1999).</w:t>
      </w:r>
    </w:p>
    <w:p w14:paraId="486F3A62" w14:textId="378CA7A9" w:rsidR="00EF0D0A" w:rsidRPr="000317A0" w:rsidRDefault="00EF0D0A" w:rsidP="000317A0">
      <w:pPr>
        <w:spacing w:line="360" w:lineRule="auto"/>
        <w:rPr>
          <w:rFonts w:ascii="Arial" w:hAnsi="Arial" w:cs="Arial"/>
          <w:sz w:val="22"/>
          <w:szCs w:val="22"/>
        </w:rPr>
      </w:pPr>
      <w:r w:rsidRPr="000317A0">
        <w:rPr>
          <w:rFonts w:ascii="Arial" w:hAnsi="Arial" w:cs="Arial"/>
          <w:sz w:val="22"/>
          <w:szCs w:val="22"/>
        </w:rPr>
        <w:t>Healthcare organisations operate through centralised and decentralised structures. Centralisation promotes consistency and standardisation but may reduce local responsiveness, whereas decentralisation supports frontline decision-making but can create variation and accountability challenges (Mintzberg, 1983). Effective governance requires balance between national standards and local autonomy.</w:t>
      </w:r>
    </w:p>
    <w:p w14:paraId="4C78BCC9" w14:textId="1020E370" w:rsidR="00EF0D0A" w:rsidRPr="000317A0" w:rsidRDefault="00EF0D0A" w:rsidP="000317A0">
      <w:pPr>
        <w:spacing w:line="360" w:lineRule="auto"/>
        <w:rPr>
          <w:rFonts w:ascii="Arial" w:hAnsi="Arial" w:cs="Arial"/>
          <w:sz w:val="22"/>
          <w:szCs w:val="22"/>
        </w:rPr>
      </w:pPr>
      <w:r w:rsidRPr="000317A0">
        <w:rPr>
          <w:rFonts w:ascii="Arial" w:hAnsi="Arial" w:cs="Arial"/>
          <w:sz w:val="22"/>
          <w:szCs w:val="22"/>
        </w:rPr>
        <w:t>Different leadership approaches influence responses to safety incidents. Transformational leadership promotes shared values and improvement cultures (Bass, 1985), while transactional leadership supports procedures and compliance (Burns, 1978). Situational leadership highlights the need for adapting leadership approaches according to complexity and circumstances (Hersey and Blanchard,1969).</w:t>
      </w:r>
    </w:p>
    <w:p w14:paraId="06AA9D63" w14:textId="77777777" w:rsidR="00AD75C8" w:rsidRDefault="00EF0D0A" w:rsidP="00AD75C8">
      <w:pPr>
        <w:spacing w:line="360" w:lineRule="auto"/>
        <w:rPr>
          <w:rFonts w:ascii="Arial" w:hAnsi="Arial" w:cs="Arial"/>
          <w:sz w:val="22"/>
          <w:szCs w:val="22"/>
        </w:rPr>
      </w:pPr>
      <w:r w:rsidRPr="000317A0">
        <w:rPr>
          <w:rFonts w:ascii="Arial" w:hAnsi="Arial" w:cs="Arial"/>
          <w:sz w:val="22"/>
          <w:szCs w:val="22"/>
        </w:rPr>
        <w:t xml:space="preserve">This report analyses the infant morphine overdose incident using systems thinking, governance theory and leadership frameworks. It examines the wider healthcare system context, evaluates centralised and decentralised structures, applies leadership theories and </w:t>
      </w:r>
      <w:r w:rsidRPr="000317A0">
        <w:rPr>
          <w:rFonts w:ascii="Arial" w:hAnsi="Arial" w:cs="Arial"/>
          <w:sz w:val="22"/>
          <w:szCs w:val="22"/>
        </w:rPr>
        <w:lastRenderedPageBreak/>
        <w:t>identifies evidence-based recommendations to strengthen patient safety and organisational performance.</w:t>
      </w:r>
    </w:p>
    <w:p w14:paraId="63015CA3" w14:textId="3CF7BA15" w:rsidR="00D75C62" w:rsidRPr="00AD75C8" w:rsidRDefault="00D75C62" w:rsidP="00AD75C8">
      <w:pPr>
        <w:spacing w:line="360" w:lineRule="auto"/>
        <w:rPr>
          <w:rFonts w:ascii="Arial" w:hAnsi="Arial" w:cs="Arial"/>
          <w:sz w:val="22"/>
          <w:szCs w:val="22"/>
        </w:rPr>
      </w:pPr>
      <w:r w:rsidRPr="00280F36">
        <w:rPr>
          <w:rFonts w:ascii="Arial" w:eastAsia="Times New Roman" w:hAnsi="Arial" w:cs="Arial"/>
          <w:b/>
          <w:bCs/>
          <w:color w:val="000000" w:themeColor="text1"/>
          <w:sz w:val="22"/>
          <w:szCs w:val="22"/>
        </w:rPr>
        <w:t>A. Identifying the Problem and Setting the System Context: Applying Systems Thinking and the Rich Picture Approach</w:t>
      </w:r>
    </w:p>
    <w:p w14:paraId="464BC99B"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selected case study involves a serious medication safety incident affecting a four-week-old infant in the North East and Yorkshire region of the NHS. The infant was prescribed morphine sulphate oral solution but was supplied with a formulation containing a significantly higher concentration than intended. The parents received a 10 mg/5 ml preparation instead of the intended 100 micrograms/ml preparation, resulting in a potential overdose approximately 20 times greater than the prescribed dose. Although the infant survived following emergency treatment with naloxone, the incident exposed weaknesses within medication governance, communication processes and organisational learning systems (NHS North East and Yorkshire, 2023).</w:t>
      </w:r>
    </w:p>
    <w:p w14:paraId="64822AD4"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critical analysis of this incident requires moving beyond an individual error perspective and examining the wider healthcare system in which the failure occurred. Healthcare delivery involves complex interactions between professionals, policies, technology, resources and organisational structures. Therefore, patient safety incidents often occur when multiple weaknesses align rather than because of one person’s actions alone (Reason, 1997). This approach is supported by the systems perspective of patient safety, which argues that organisations must understand why safeguards failed rather than simply identifying who made the error (Kohn, Corrigan and Donaldson, 2000).</w:t>
      </w:r>
    </w:p>
    <w:p w14:paraId="70B1F9F4" w14:textId="77777777" w:rsidR="00D75C62" w:rsidRPr="00280F36" w:rsidRDefault="00D75C62"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Global and National Context of Medication Safety</w:t>
      </w:r>
    </w:p>
    <w:p w14:paraId="76CEF7E7" w14:textId="7AEA18F1"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Medication-related harm represents a significant global patient safety challenge. The World Health Organization (WHO) identifies medication errors as a major cause of avoidable patient harm and launched the Global Patient Safety Challenge “Medication Without Harm” to reduce severe medication-related injuries worldwide (WHO, 2017). </w:t>
      </w:r>
    </w:p>
    <w:p w14:paraId="7D095944"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global relevance of this incident is demonstrated by the fact that medication errors frequently occur because of weaknesses within healthcare systems, including inadequate communication, unclear responsibilities, poor information transfer and insufficient safety monitoring (WHO, 2021). Therefore, the infant morphine overdose should not be viewed solely as an isolated clinical mistake but as an example of wider vulnerabilities present within complex healthcare systems.</w:t>
      </w:r>
    </w:p>
    <w:p w14:paraId="6AB28BBF"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lastRenderedPageBreak/>
        <w:t>Within the United Kingdom, medication safety remains a significant priority for NHS organisations. NHS England’s Patient Safety Strategy highlights that reducing avoidable harm requires stronger safety cultures, improved reporting systems and effective learning from incidents (NHS England, 2019). High-risk medicines, including opioids such as morphine, require additional controls because small errors in prescribing or dispensing can result in severe consequences. NICE (2021) emphasises that medicines optimisation requires organisations to implement reliable processes, effective communication and appropriate monitoring systems to ensure medicines are used safely.</w:t>
      </w:r>
    </w:p>
    <w:p w14:paraId="5EA81CF0"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repeated occurrence of similar morphine incidents demonstrates a gap between the existence of safety policies and their practical implementation. Although national controls existed regarding specialist medicines, these safeguards did not consistently prevent errors from reaching patients. This suggests weaknesses within the translation of policy into frontline practice and highlights the importance of leadership in ensuring that governance systems are actively embedded.</w:t>
      </w:r>
    </w:p>
    <w:p w14:paraId="726B1B5F" w14:textId="77777777" w:rsidR="00D75C62" w:rsidRPr="00280F36" w:rsidRDefault="00D75C62"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Applying Systems Thinking to the Incident</w:t>
      </w:r>
    </w:p>
    <w:p w14:paraId="1205F2D7"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Systems thinking provides a useful framework for analysing healthcare failures because it recognises that organisations operate as complex adaptive systems where different components influence each other (Braithwaite et al., 2018). Within this case, the medication pathway involved multiple interconnected elements, including specialist prescribing, pharmacy dispensing, medication governance, communication between services and parental understanding of administration instructions.</w:t>
      </w:r>
    </w:p>
    <w:p w14:paraId="0941E82B"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Reason’s (1997, 2000) Swiss Cheese Model of organisational accidents illustrates how harm occurs when multiple protective barriers fail simultaneously. In this case, potential safety barriers included appropriate prescribing decisions, pharmacy checking procedures, clear medication labelling, communication between professionals and education provided to the family. While each individual safety measure may have existed, weaknesses across several stages allowed the error to progress until it reached the infant.</w:t>
      </w:r>
    </w:p>
    <w:p w14:paraId="407466BA"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human factors approach further demonstrates why focusing only on individual responsibility is inadequate. Dekker (2014) argues that healthcare errors should be understood within the conditions in which professionals work, including workload pressures, system design and communication processes. Therefore, improvement requires examining the organisational environment that allowed the error to occur rather than assigning blame to individual staff members.</w:t>
      </w:r>
    </w:p>
    <w:p w14:paraId="4C95D4BF" w14:textId="77777777" w:rsidR="00D75C62" w:rsidRPr="00280F36" w:rsidRDefault="00D75C62"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lastRenderedPageBreak/>
        <w:t>Governance and Underlying System Challenges</w:t>
      </w:r>
    </w:p>
    <w:p w14:paraId="2B0F81CC"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governance responsibility for this incident existed across multiple levels. Locally, NHS organisations and healthcare providers were responsible for implementing safe medication processes, monitoring risks and ensuring staff followed appropriate procedures. Regionally, systems were responsible for sharing learning and coordinating improvements. Nationally, NHS England and regulatory bodies provided standards and guidance intended to improve patient safety.</w:t>
      </w:r>
    </w:p>
    <w:p w14:paraId="0CF343DB"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However, repeated incidents suggest weaknesses in feedback mechanisms between these levels. Effective governance requires not only developing policies but ensuring that learning from incidents leads to measurable change. The NHS Patient Safety Incident Response Framework emphasises the importance of understanding contributing factors and developing system improvements rather than relying on blame-focused investigations (NHS England, 2022).</w:t>
      </w:r>
    </w:p>
    <w:p w14:paraId="0D0989DA" w14:textId="30605E7F" w:rsidR="00DA1962" w:rsidRDefault="00D75C62"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Healthcare pressures may also influence safety performance. Workforce shortages, increasing demand and operational pressures can reduce the capacity of organisations to undertake improvement activities and reflective learning (The King’s Fund, 2023).</w:t>
      </w:r>
      <w:r w:rsidR="00F4598A">
        <w:rPr>
          <w:rFonts w:ascii="Arial" w:hAnsi="Arial" w:cs="Arial"/>
          <w:color w:val="000000" w:themeColor="text1"/>
          <w:sz w:val="22"/>
          <w:szCs w:val="22"/>
        </w:rPr>
        <w:t>The Care Quality Commission (CQC, 2022) highlights that workforce pressures and organisational challenges can affect the ability of health and care providers to maintain safe, effective and high-quality services. Although these factors do not directly cause errors, they may increase vulnerability by creating environments where communication failures and process weaknesses are more likely.</w:t>
      </w:r>
    </w:p>
    <w:p w14:paraId="57A335D5" w14:textId="7C15E92D" w:rsidR="00944B5E" w:rsidRDefault="002536D8" w:rsidP="00280F36">
      <w:pPr>
        <w:pStyle w:val="NormalWeb"/>
        <w:spacing w:line="360" w:lineRule="auto"/>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anchor distT="0" distB="0" distL="114300" distR="114300" simplePos="0" relativeHeight="251673600" behindDoc="1" locked="0" layoutInCell="1" allowOverlap="1" wp14:anchorId="22BF8CD1" wp14:editId="6CD13E67">
            <wp:simplePos x="0" y="0"/>
            <wp:positionH relativeFrom="column">
              <wp:posOffset>17780</wp:posOffset>
            </wp:positionH>
            <wp:positionV relativeFrom="paragraph">
              <wp:posOffset>172085</wp:posOffset>
            </wp:positionV>
            <wp:extent cx="5964555" cy="2482850"/>
            <wp:effectExtent l="0" t="0" r="0" b="0"/>
            <wp:wrapTight wrapText="bothSides">
              <wp:wrapPolygon edited="0">
                <wp:start x="0" y="0"/>
                <wp:lineTo x="0" y="21379"/>
                <wp:lineTo x="21524" y="21379"/>
                <wp:lineTo x="21524" y="0"/>
                <wp:lineTo x="0" y="0"/>
              </wp:wrapPolygon>
            </wp:wrapTight>
            <wp:docPr id="462694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694274" name="Picture 1"/>
                    <pic:cNvPicPr/>
                  </pic:nvPicPr>
                  <pic:blipFill rotWithShape="1">
                    <a:blip r:embed="rId8"/>
                    <a:srcRect l="1472" r="-196"/>
                    <a:stretch>
                      <a:fillRect/>
                    </a:stretch>
                  </pic:blipFill>
                  <pic:spPr bwMode="auto">
                    <a:xfrm>
                      <a:off x="0" y="0"/>
                      <a:ext cx="5964555" cy="2482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5C62" w:rsidRPr="00280F36">
        <w:rPr>
          <w:rFonts w:ascii="Arial" w:hAnsi="Arial" w:cs="Arial"/>
          <w:color w:val="000000" w:themeColor="text1"/>
          <w:sz w:val="22"/>
          <w:szCs w:val="22"/>
        </w:rPr>
        <w:t xml:space="preserve"> </w:t>
      </w:r>
      <w:r w:rsidR="00DA1962" w:rsidRPr="00DA1962">
        <w:rPr>
          <w:rFonts w:ascii="Arial" w:hAnsi="Arial" w:cs="Arial"/>
          <w:b/>
          <w:bCs/>
          <w:color w:val="000000" w:themeColor="text1"/>
          <w:sz w:val="22"/>
          <w:szCs w:val="22"/>
        </w:rPr>
        <w:t>Rich Picture Analysis:</w:t>
      </w:r>
    </w:p>
    <w:p w14:paraId="7DE624BF" w14:textId="43B28A28" w:rsidR="00094792" w:rsidRPr="006D1FC7" w:rsidRDefault="00094792" w:rsidP="00280F36">
      <w:pPr>
        <w:pStyle w:val="NormalWeb"/>
        <w:spacing w:line="360" w:lineRule="auto"/>
        <w:rPr>
          <w:rFonts w:ascii="Arial" w:hAnsi="Arial" w:cs="Arial"/>
          <w:color w:val="000000" w:themeColor="text1"/>
          <w:sz w:val="18"/>
          <w:szCs w:val="18"/>
        </w:rPr>
      </w:pPr>
      <w:r w:rsidRPr="006D1FC7">
        <w:rPr>
          <w:rFonts w:ascii="Arial" w:hAnsi="Arial" w:cs="Arial"/>
          <w:color w:val="000000" w:themeColor="text1"/>
          <w:sz w:val="18"/>
          <w:szCs w:val="18"/>
        </w:rPr>
        <w:t>Figure 1: Rich Picture illustrating the interacting system factors contributing to the NHS infant morphine overdose incident</w:t>
      </w:r>
    </w:p>
    <w:p w14:paraId="5B4BED7C" w14:textId="72D8E1DF" w:rsidR="00397B7C" w:rsidRPr="00094792" w:rsidRDefault="00D75C62" w:rsidP="00280F36">
      <w:pPr>
        <w:pStyle w:val="NormalWeb"/>
        <w:spacing w:line="360" w:lineRule="auto"/>
        <w:rPr>
          <w:rStyle w:val="Strong"/>
          <w:rFonts w:ascii="Arial" w:hAnsi="Arial" w:cs="Arial"/>
          <w:b w:val="0"/>
          <w:bCs w:val="0"/>
          <w:color w:val="000000" w:themeColor="text1"/>
          <w:sz w:val="22"/>
          <w:szCs w:val="22"/>
        </w:rPr>
      </w:pPr>
      <w:r w:rsidRPr="00280F36">
        <w:rPr>
          <w:rFonts w:ascii="Arial" w:hAnsi="Arial" w:cs="Arial"/>
          <w:color w:val="000000" w:themeColor="text1"/>
          <w:sz w:val="22"/>
          <w:szCs w:val="22"/>
        </w:rPr>
        <w:lastRenderedPageBreak/>
        <w:t>A rich picture illustrates the complexity of the incident by mapping the relationships between people, processes and structures involved.</w:t>
      </w:r>
    </w:p>
    <w:p w14:paraId="3056E100" w14:textId="1279E4F4" w:rsidR="00F80958" w:rsidRDefault="00F80958" w:rsidP="00280F36">
      <w:pPr>
        <w:pStyle w:val="NormalWeb"/>
        <w:spacing w:line="360" w:lineRule="auto"/>
        <w:rPr>
          <w:rStyle w:val="Strong"/>
          <w:rFonts w:ascii="Arial" w:hAnsi="Arial" w:cs="Arial"/>
          <w:b w:val="0"/>
          <w:bCs w:val="0"/>
          <w:color w:val="000000" w:themeColor="text1"/>
          <w:sz w:val="22"/>
          <w:szCs w:val="22"/>
        </w:rPr>
      </w:pPr>
      <w:r>
        <w:rPr>
          <w:rStyle w:val="Strong"/>
          <w:rFonts w:ascii="Arial" w:hAnsi="Arial" w:cs="Arial"/>
          <w:b w:val="0"/>
          <w:bCs w:val="0"/>
          <w:color w:val="000000" w:themeColor="text1"/>
          <w:sz w:val="22"/>
          <w:szCs w:val="22"/>
        </w:rPr>
        <w:t>This reinforces a systems thinking perspective by demonstrating that the incident emerged from interactions between multiple components rather than a single individual action.</w:t>
      </w:r>
    </w:p>
    <w:p w14:paraId="534C32F3" w14:textId="17DB4252" w:rsidR="005C14DB" w:rsidRPr="004B7AC5" w:rsidRDefault="005C14DB" w:rsidP="00280F36">
      <w:pPr>
        <w:pStyle w:val="NormalWeb"/>
        <w:spacing w:line="360" w:lineRule="auto"/>
        <w:rPr>
          <w:rStyle w:val="Strong"/>
          <w:rFonts w:ascii="Arial" w:hAnsi="Arial" w:cs="Arial"/>
          <w:b w:val="0"/>
          <w:bCs w:val="0"/>
          <w:color w:val="000000" w:themeColor="text1"/>
          <w:sz w:val="22"/>
          <w:szCs w:val="22"/>
        </w:rPr>
      </w:pPr>
      <w:r>
        <w:rPr>
          <w:rStyle w:val="Strong"/>
          <w:rFonts w:ascii="Arial" w:hAnsi="Arial" w:cs="Arial"/>
          <w:b w:val="0"/>
          <w:bCs w:val="0"/>
          <w:color w:val="000000" w:themeColor="text1"/>
          <w:sz w:val="22"/>
          <w:szCs w:val="22"/>
        </w:rPr>
        <w:t>The rich picture identifies important feedback loops and dependencies. Previous incidents generated learning opportunities, but these were insufficiently converted into system redesign. Communication gaps between different healthcare settings increased risk because responsibility was distributed across several organisations. This demonstrates that patient safety depends on effective coordination between all parts of the system.</w:t>
      </w:r>
    </w:p>
    <w:p w14:paraId="32764CF1" w14:textId="27AE0D96" w:rsidR="00D75C62" w:rsidRPr="00280F36" w:rsidRDefault="00D75C62" w:rsidP="00280F36">
      <w:pPr>
        <w:pStyle w:val="NormalWeb"/>
        <w:spacing w:line="360" w:lineRule="auto"/>
        <w:rPr>
          <w:rFonts w:ascii="Arial" w:hAnsi="Arial" w:cs="Arial"/>
          <w:color w:val="000000" w:themeColor="text1"/>
          <w:sz w:val="22"/>
          <w:szCs w:val="22"/>
        </w:rPr>
      </w:pPr>
      <w:r w:rsidRPr="00280F36">
        <w:rPr>
          <w:rStyle w:val="Strong"/>
          <w:rFonts w:ascii="Arial" w:hAnsi="Arial" w:cs="Arial"/>
          <w:color w:val="000000" w:themeColor="text1"/>
          <w:sz w:val="22"/>
          <w:szCs w:val="22"/>
        </w:rPr>
        <w:t>Patient and family factors</w:t>
      </w:r>
    </w:p>
    <w:p w14:paraId="7F727617" w14:textId="77777777" w:rsidR="00D75C62" w:rsidRPr="00280F36" w:rsidRDefault="00D75C62" w:rsidP="00280F36">
      <w:pPr>
        <w:pStyle w:val="NormalWeb"/>
        <w:numPr>
          <w:ilvl w:val="0"/>
          <w:numId w:val="2"/>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Infant dependent on safe medication management.</w:t>
      </w:r>
    </w:p>
    <w:p w14:paraId="65294790" w14:textId="77777777" w:rsidR="00D75C62" w:rsidRPr="00280F36" w:rsidRDefault="00D75C62" w:rsidP="00280F36">
      <w:pPr>
        <w:pStyle w:val="NormalWeb"/>
        <w:numPr>
          <w:ilvl w:val="0"/>
          <w:numId w:val="2"/>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Parents reliant on accurate information and clear instructions.</w:t>
      </w:r>
    </w:p>
    <w:p w14:paraId="7BAB5F36" w14:textId="77777777" w:rsidR="00D75C62" w:rsidRPr="00280F36" w:rsidRDefault="00D75C62" w:rsidP="00280F36">
      <w:pPr>
        <w:pStyle w:val="NormalWeb"/>
        <w:numPr>
          <w:ilvl w:val="0"/>
          <w:numId w:val="2"/>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Potential risk from misunderstanding medication concentration.</w:t>
      </w:r>
    </w:p>
    <w:p w14:paraId="78709D24"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Style w:val="Strong"/>
          <w:rFonts w:ascii="Arial" w:hAnsi="Arial" w:cs="Arial"/>
          <w:color w:val="000000" w:themeColor="text1"/>
          <w:sz w:val="22"/>
          <w:szCs w:val="22"/>
        </w:rPr>
        <w:t>Healthcare professionals</w:t>
      </w:r>
    </w:p>
    <w:p w14:paraId="134957F4" w14:textId="77777777" w:rsidR="00D75C62" w:rsidRPr="00280F36" w:rsidRDefault="00D75C62" w:rsidP="00280F36">
      <w:pPr>
        <w:pStyle w:val="NormalWeb"/>
        <w:numPr>
          <w:ilvl w:val="0"/>
          <w:numId w:val="3"/>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Doctors responsible for prescribing decisions.</w:t>
      </w:r>
    </w:p>
    <w:p w14:paraId="7FBFF870" w14:textId="77777777" w:rsidR="00D75C62" w:rsidRPr="00280F36" w:rsidRDefault="00D75C62" w:rsidP="00280F36">
      <w:pPr>
        <w:pStyle w:val="NormalWeb"/>
        <w:numPr>
          <w:ilvl w:val="0"/>
          <w:numId w:val="3"/>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Pharmacists responsible for dispensing and safety checks.</w:t>
      </w:r>
    </w:p>
    <w:p w14:paraId="02AAE7DD" w14:textId="77777777" w:rsidR="00D75C62" w:rsidRPr="00280F36" w:rsidRDefault="00D75C62" w:rsidP="00280F36">
      <w:pPr>
        <w:pStyle w:val="NormalWeb"/>
        <w:numPr>
          <w:ilvl w:val="0"/>
          <w:numId w:val="3"/>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Nurses and community professionals involved in communication and monitoring.</w:t>
      </w:r>
    </w:p>
    <w:p w14:paraId="718DB078"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Style w:val="Strong"/>
          <w:rFonts w:ascii="Arial" w:hAnsi="Arial" w:cs="Arial"/>
          <w:color w:val="000000" w:themeColor="text1"/>
          <w:sz w:val="22"/>
          <w:szCs w:val="22"/>
        </w:rPr>
        <w:t>Organisational systems</w:t>
      </w:r>
    </w:p>
    <w:p w14:paraId="63B7EBB9" w14:textId="77777777" w:rsidR="00D75C62" w:rsidRPr="00280F36" w:rsidRDefault="00D75C62" w:rsidP="00280F36">
      <w:pPr>
        <w:pStyle w:val="NormalWeb"/>
        <w:numPr>
          <w:ilvl w:val="0"/>
          <w:numId w:val="4"/>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NHS Trust governance structures.</w:t>
      </w:r>
    </w:p>
    <w:p w14:paraId="21DAF9D7" w14:textId="77777777" w:rsidR="00D75C62" w:rsidRPr="00280F36" w:rsidRDefault="00D75C62" w:rsidP="00280F36">
      <w:pPr>
        <w:pStyle w:val="NormalWeb"/>
        <w:numPr>
          <w:ilvl w:val="0"/>
          <w:numId w:val="4"/>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Medication safety committees.</w:t>
      </w:r>
    </w:p>
    <w:p w14:paraId="68AF7A94" w14:textId="77777777" w:rsidR="00D75C62" w:rsidRPr="00280F36" w:rsidRDefault="00D75C62" w:rsidP="00280F36">
      <w:pPr>
        <w:pStyle w:val="NormalWeb"/>
        <w:numPr>
          <w:ilvl w:val="0"/>
          <w:numId w:val="4"/>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National prescribing guidance.</w:t>
      </w:r>
    </w:p>
    <w:p w14:paraId="2EFE78ED" w14:textId="77777777" w:rsidR="00D75C62" w:rsidRPr="00280F36" w:rsidRDefault="00D75C62" w:rsidP="00280F36">
      <w:pPr>
        <w:pStyle w:val="NormalWeb"/>
        <w:numPr>
          <w:ilvl w:val="0"/>
          <w:numId w:val="4"/>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Reporting and learning systems.</w:t>
      </w:r>
    </w:p>
    <w:p w14:paraId="7371EAEB" w14:textId="77777777" w:rsidR="00D75C62" w:rsidRPr="00280F36" w:rsidRDefault="00D75C62" w:rsidP="00280F36">
      <w:pPr>
        <w:pStyle w:val="NormalWeb"/>
        <w:spacing w:line="360" w:lineRule="auto"/>
        <w:rPr>
          <w:rFonts w:ascii="Arial" w:hAnsi="Arial" w:cs="Arial"/>
          <w:color w:val="000000" w:themeColor="text1"/>
          <w:sz w:val="22"/>
          <w:szCs w:val="22"/>
        </w:rPr>
      </w:pPr>
      <w:r w:rsidRPr="00280F36">
        <w:rPr>
          <w:rStyle w:val="Strong"/>
          <w:rFonts w:ascii="Arial" w:hAnsi="Arial" w:cs="Arial"/>
          <w:color w:val="000000" w:themeColor="text1"/>
          <w:sz w:val="22"/>
          <w:szCs w:val="22"/>
        </w:rPr>
        <w:t>Communication pathways</w:t>
      </w:r>
    </w:p>
    <w:p w14:paraId="744E3CDE" w14:textId="77777777" w:rsidR="00D75C62" w:rsidRPr="00280F36" w:rsidRDefault="00D75C62" w:rsidP="00280F36">
      <w:pPr>
        <w:pStyle w:val="NormalWeb"/>
        <w:numPr>
          <w:ilvl w:val="0"/>
          <w:numId w:val="5"/>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Information transfer between hospital and community services.</w:t>
      </w:r>
    </w:p>
    <w:p w14:paraId="78820875" w14:textId="77777777" w:rsidR="00D75C62" w:rsidRPr="00280F36" w:rsidRDefault="00D75C62" w:rsidP="00280F36">
      <w:pPr>
        <w:pStyle w:val="NormalWeb"/>
        <w:numPr>
          <w:ilvl w:val="0"/>
          <w:numId w:val="5"/>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Communication of medication strength and administration instructions.</w:t>
      </w:r>
    </w:p>
    <w:p w14:paraId="2F8B5B6E" w14:textId="77777777" w:rsidR="00D75C62" w:rsidRPr="00280F36" w:rsidRDefault="00D75C62" w:rsidP="00280F36">
      <w:pPr>
        <w:pStyle w:val="NormalWeb"/>
        <w:numPr>
          <w:ilvl w:val="0"/>
          <w:numId w:val="5"/>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Feedback from previous incidents.</w:t>
      </w:r>
    </w:p>
    <w:p w14:paraId="63F3BF96" w14:textId="3D65C28C" w:rsidR="004D5231" w:rsidRPr="00F00573" w:rsidRDefault="00D75C62" w:rsidP="00F00573">
      <w:pPr>
        <w:pStyle w:val="NormalWeb"/>
        <w:spacing w:line="360" w:lineRule="auto"/>
        <w:rPr>
          <w:rStyle w:val="Strong"/>
          <w:rFonts w:ascii="Arial" w:hAnsi="Arial" w:cs="Arial"/>
          <w:b w:val="0"/>
          <w:bCs w:val="0"/>
          <w:color w:val="000000" w:themeColor="text1"/>
          <w:sz w:val="22"/>
          <w:szCs w:val="22"/>
        </w:rPr>
      </w:pPr>
      <w:r w:rsidRPr="00280F36">
        <w:rPr>
          <w:rFonts w:ascii="Arial" w:hAnsi="Arial" w:cs="Arial"/>
          <w:color w:val="000000" w:themeColor="text1"/>
          <w:sz w:val="22"/>
          <w:szCs w:val="22"/>
        </w:rPr>
        <w:t xml:space="preserve">Overall, the incident reflects a failure of system reliability rather than an isolated mistake. The interaction between governance weaknesses, communication problems and insufficient </w:t>
      </w:r>
      <w:r w:rsidRPr="00280F36">
        <w:rPr>
          <w:rFonts w:ascii="Arial" w:hAnsi="Arial" w:cs="Arial"/>
          <w:color w:val="000000" w:themeColor="text1"/>
          <w:sz w:val="22"/>
          <w:szCs w:val="22"/>
        </w:rPr>
        <w:lastRenderedPageBreak/>
        <w:t>organisational learning created conditions where harm could occur. Understanding these factors provides the foundation for evaluating how centralised and decentralised structures influenced the organisation’s ability to manage risk and improve performance.</w:t>
      </w:r>
    </w:p>
    <w:p w14:paraId="3FFA9391" w14:textId="0D83B7BE" w:rsidR="00563D09" w:rsidRPr="008D4DFD" w:rsidRDefault="00563D09" w:rsidP="00586322">
      <w:pPr>
        <w:pStyle w:val="NormalWeb"/>
        <w:rPr>
          <w:rFonts w:ascii="Arial" w:hAnsi="Arial" w:cs="Arial"/>
          <w:sz w:val="22"/>
          <w:szCs w:val="22"/>
        </w:rPr>
      </w:pPr>
      <w:r w:rsidRPr="008D4DFD">
        <w:rPr>
          <w:rStyle w:val="Strong"/>
          <w:rFonts w:ascii="Arial" w:hAnsi="Arial" w:cs="Arial"/>
          <w:sz w:val="22"/>
          <w:szCs w:val="22"/>
        </w:rPr>
        <w:t>Table 1: CATWOE Analysis of the Infant Morphine Overdose Incident</w:t>
      </w:r>
    </w:p>
    <w:tbl>
      <w:tblPr>
        <w:tblStyle w:val="GridTable2-Accent5"/>
        <w:tblW w:w="0" w:type="auto"/>
        <w:tblLook w:val="04A0" w:firstRow="1" w:lastRow="0" w:firstColumn="1" w:lastColumn="0" w:noHBand="0" w:noVBand="1"/>
      </w:tblPr>
      <w:tblGrid>
        <w:gridCol w:w="2121"/>
        <w:gridCol w:w="6905"/>
      </w:tblGrid>
      <w:tr w:rsidR="00563D09" w:rsidRPr="008D4DFD" w14:paraId="7ED8EFE2" w14:textId="77777777" w:rsidTr="004E72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FBF885" w14:textId="77777777" w:rsidR="00563D09" w:rsidRPr="008D4DFD" w:rsidRDefault="00563D09" w:rsidP="00586322">
            <w:pPr>
              <w:jc w:val="center"/>
              <w:rPr>
                <w:rFonts w:ascii="Arial" w:eastAsia="Times New Roman" w:hAnsi="Arial" w:cs="Arial"/>
                <w:b w:val="0"/>
                <w:bCs w:val="0"/>
                <w:sz w:val="22"/>
                <w:szCs w:val="22"/>
              </w:rPr>
            </w:pPr>
            <w:r w:rsidRPr="008D4DFD">
              <w:rPr>
                <w:rStyle w:val="Strong"/>
                <w:rFonts w:ascii="Arial" w:eastAsia="Times New Roman" w:hAnsi="Arial" w:cs="Arial"/>
                <w:sz w:val="22"/>
                <w:szCs w:val="22"/>
              </w:rPr>
              <w:t>CATWOE Element</w:t>
            </w:r>
          </w:p>
        </w:tc>
        <w:tc>
          <w:tcPr>
            <w:tcW w:w="0" w:type="auto"/>
            <w:hideMark/>
          </w:tcPr>
          <w:p w14:paraId="7F79CDCB" w14:textId="77777777" w:rsidR="00563D09" w:rsidRPr="008D4DFD" w:rsidRDefault="00563D09" w:rsidP="00586322">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2"/>
                <w:szCs w:val="22"/>
              </w:rPr>
            </w:pPr>
            <w:r w:rsidRPr="008D4DFD">
              <w:rPr>
                <w:rStyle w:val="Strong"/>
                <w:rFonts w:ascii="Arial" w:eastAsia="Times New Roman" w:hAnsi="Arial" w:cs="Arial"/>
                <w:sz w:val="22"/>
                <w:szCs w:val="22"/>
              </w:rPr>
              <w:t>Application to Case Study</w:t>
            </w:r>
          </w:p>
        </w:tc>
      </w:tr>
      <w:tr w:rsidR="00563D09" w:rsidRPr="008D4DFD" w14:paraId="2B5F93B7" w14:textId="77777777" w:rsidTr="00427D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77BD24"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Customers</w:t>
            </w:r>
          </w:p>
        </w:tc>
        <w:tc>
          <w:tcPr>
            <w:tcW w:w="0" w:type="auto"/>
            <w:hideMark/>
          </w:tcPr>
          <w:p w14:paraId="039FFAA7" w14:textId="77777777" w:rsidR="00563D09" w:rsidRPr="008D4DFD" w:rsidRDefault="00563D09" w:rsidP="00427DEA">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The infant and family affected by the medication error, as well as future patients who depend on safe medication systems.</w:t>
            </w:r>
          </w:p>
        </w:tc>
      </w:tr>
      <w:tr w:rsidR="00563D09" w:rsidRPr="008D4DFD" w14:paraId="602284CD" w14:textId="77777777" w:rsidTr="00427DEA">
        <w:tc>
          <w:tcPr>
            <w:cnfStyle w:val="001000000000" w:firstRow="0" w:lastRow="0" w:firstColumn="1" w:lastColumn="0" w:oddVBand="0" w:evenVBand="0" w:oddHBand="0" w:evenHBand="0" w:firstRowFirstColumn="0" w:firstRowLastColumn="0" w:lastRowFirstColumn="0" w:lastRowLastColumn="0"/>
            <w:tcW w:w="0" w:type="auto"/>
            <w:shd w:val="clear" w:color="auto" w:fill="CAEDFB" w:themeFill="accent4" w:themeFillTint="33"/>
            <w:hideMark/>
          </w:tcPr>
          <w:p w14:paraId="0CB28C0E"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Actors</w:t>
            </w:r>
          </w:p>
        </w:tc>
        <w:tc>
          <w:tcPr>
            <w:tcW w:w="0" w:type="auto"/>
            <w:shd w:val="clear" w:color="auto" w:fill="CAEDFB" w:themeFill="accent4" w:themeFillTint="33"/>
            <w:hideMark/>
          </w:tcPr>
          <w:p w14:paraId="38B3ADE2" w14:textId="77777777" w:rsidR="00563D09" w:rsidRPr="008D4DFD" w:rsidRDefault="00563D09" w:rsidP="00427DE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Doctors, pharmacists, nurses, NHS Trust leaders and medicines governance teams involved in prescribing, dispensing and monitoring medication safety.</w:t>
            </w:r>
          </w:p>
        </w:tc>
      </w:tr>
      <w:tr w:rsidR="00563D09" w:rsidRPr="008D4DFD" w14:paraId="646E9775" w14:textId="77777777" w:rsidTr="00AD14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1F0C7" w:themeFill="accent3" w:themeFillTint="33"/>
            <w:hideMark/>
          </w:tcPr>
          <w:p w14:paraId="274D942D"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Transformation</w:t>
            </w:r>
          </w:p>
        </w:tc>
        <w:tc>
          <w:tcPr>
            <w:tcW w:w="0" w:type="auto"/>
            <w:shd w:val="clear" w:color="auto" w:fill="C1F0C7" w:themeFill="accent3" w:themeFillTint="33"/>
            <w:hideMark/>
          </w:tcPr>
          <w:p w14:paraId="663A44CF" w14:textId="77777777" w:rsidR="00563D09" w:rsidRPr="008D4DFD" w:rsidRDefault="00563D09" w:rsidP="00427DEA">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Transforming an unsafe medication pathway into a safer, learning-focused system that reduces avoidable medication harm.</w:t>
            </w:r>
          </w:p>
        </w:tc>
      </w:tr>
      <w:tr w:rsidR="00563D09" w:rsidRPr="008D4DFD" w14:paraId="1B0A66C3" w14:textId="77777777" w:rsidTr="00AD1493">
        <w:tc>
          <w:tcPr>
            <w:cnfStyle w:val="001000000000" w:firstRow="0" w:lastRow="0" w:firstColumn="1" w:lastColumn="0" w:oddVBand="0" w:evenVBand="0" w:oddHBand="0" w:evenHBand="0" w:firstRowFirstColumn="0" w:firstRowLastColumn="0" w:lastRowFirstColumn="0" w:lastRowLastColumn="0"/>
            <w:tcW w:w="0" w:type="auto"/>
            <w:shd w:val="clear" w:color="auto" w:fill="FE9292"/>
            <w:hideMark/>
          </w:tcPr>
          <w:p w14:paraId="01B550AE"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Worldview</w:t>
            </w:r>
          </w:p>
        </w:tc>
        <w:tc>
          <w:tcPr>
            <w:tcW w:w="0" w:type="auto"/>
            <w:shd w:val="clear" w:color="auto" w:fill="FE9292"/>
            <w:hideMark/>
          </w:tcPr>
          <w:p w14:paraId="23E4C947" w14:textId="77777777" w:rsidR="00563D09" w:rsidRPr="008D4DFD" w:rsidRDefault="00563D09" w:rsidP="00427DE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Patient safety incidents are caused by interactions between systems, processes and organisational factors rather than individual error alone.</w:t>
            </w:r>
          </w:p>
        </w:tc>
      </w:tr>
      <w:tr w:rsidR="00563D09" w:rsidRPr="008D4DFD" w14:paraId="4A82C9C5" w14:textId="77777777" w:rsidTr="00AD14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FFD965"/>
            <w:hideMark/>
          </w:tcPr>
          <w:p w14:paraId="791519A2"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Owners</w:t>
            </w:r>
          </w:p>
        </w:tc>
        <w:tc>
          <w:tcPr>
            <w:tcW w:w="0" w:type="auto"/>
            <w:shd w:val="clear" w:color="auto" w:fill="FFD965"/>
            <w:hideMark/>
          </w:tcPr>
          <w:p w14:paraId="3985510A" w14:textId="77777777" w:rsidR="00563D09" w:rsidRPr="008D4DFD" w:rsidRDefault="00563D09" w:rsidP="00427DEA">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NHS organisations, clinical leaders and governance teams responsible for implementing and sustaining safety improvements.</w:t>
            </w:r>
          </w:p>
        </w:tc>
      </w:tr>
      <w:tr w:rsidR="00563D09" w:rsidRPr="008D4DFD" w14:paraId="48A26CE3" w14:textId="77777777" w:rsidTr="00AD1493">
        <w:tc>
          <w:tcPr>
            <w:cnfStyle w:val="001000000000" w:firstRow="0" w:lastRow="0" w:firstColumn="1" w:lastColumn="0" w:oddVBand="0" w:evenVBand="0" w:oddHBand="0" w:evenHBand="0" w:firstRowFirstColumn="0" w:firstRowLastColumn="0" w:lastRowFirstColumn="0" w:lastRowLastColumn="0"/>
            <w:tcW w:w="0" w:type="auto"/>
            <w:shd w:val="clear" w:color="auto" w:fill="C7A2E3"/>
            <w:hideMark/>
          </w:tcPr>
          <w:p w14:paraId="16835BF1" w14:textId="77777777" w:rsidR="00563D09" w:rsidRPr="008D4DFD" w:rsidRDefault="00563D09" w:rsidP="00427DEA">
            <w:pPr>
              <w:spacing w:line="360" w:lineRule="auto"/>
              <w:rPr>
                <w:rFonts w:ascii="Arial" w:eastAsia="Times New Roman" w:hAnsi="Arial" w:cs="Arial"/>
                <w:sz w:val="22"/>
                <w:szCs w:val="22"/>
              </w:rPr>
            </w:pPr>
            <w:r w:rsidRPr="008D4DFD">
              <w:rPr>
                <w:rStyle w:val="Strong"/>
                <w:rFonts w:ascii="Arial" w:eastAsia="Times New Roman" w:hAnsi="Arial" w:cs="Arial"/>
                <w:sz w:val="22"/>
                <w:szCs w:val="22"/>
              </w:rPr>
              <w:t>Environmental Constraints</w:t>
            </w:r>
          </w:p>
        </w:tc>
        <w:tc>
          <w:tcPr>
            <w:tcW w:w="0" w:type="auto"/>
            <w:shd w:val="clear" w:color="auto" w:fill="C7A2E3"/>
            <w:hideMark/>
          </w:tcPr>
          <w:p w14:paraId="486AEA11" w14:textId="77777777" w:rsidR="00563D09" w:rsidRPr="008D4DFD" w:rsidRDefault="00563D09" w:rsidP="00427DE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8D4DFD">
              <w:rPr>
                <w:rFonts w:ascii="Arial" w:eastAsia="Times New Roman" w:hAnsi="Arial" w:cs="Arial"/>
                <w:sz w:val="22"/>
                <w:szCs w:val="22"/>
              </w:rPr>
              <w:t>Workforce pressures, healthcare complexity, regulatory requirements, high-risk medicines and resource limitations influencing service delivery.</w:t>
            </w:r>
          </w:p>
        </w:tc>
      </w:tr>
    </w:tbl>
    <w:p w14:paraId="7276507C" w14:textId="6E139A44" w:rsidR="00563D09" w:rsidRPr="00011FC8" w:rsidRDefault="00563D09" w:rsidP="00011FC8">
      <w:pPr>
        <w:pStyle w:val="NormalWeb"/>
        <w:rPr>
          <w:rFonts w:ascii="Arial" w:hAnsi="Arial" w:cs="Arial"/>
          <w:b/>
          <w:bCs/>
          <w:sz w:val="22"/>
          <w:szCs w:val="22"/>
        </w:rPr>
      </w:pPr>
      <w:r w:rsidRPr="008D4DFD">
        <w:rPr>
          <w:rStyle w:val="Strong"/>
          <w:rFonts w:ascii="Arial" w:hAnsi="Arial" w:cs="Arial"/>
          <w:b w:val="0"/>
          <w:bCs w:val="0"/>
          <w:sz w:val="22"/>
          <w:szCs w:val="22"/>
        </w:rPr>
        <w:t xml:space="preserve">Source: </w:t>
      </w:r>
      <w:r w:rsidR="00031FD0">
        <w:rPr>
          <w:rStyle w:val="Strong"/>
          <w:rFonts w:ascii="Arial" w:hAnsi="Arial" w:cs="Arial"/>
          <w:b w:val="0"/>
          <w:bCs w:val="0"/>
          <w:sz w:val="22"/>
          <w:szCs w:val="22"/>
        </w:rPr>
        <w:t>A</w:t>
      </w:r>
      <w:r w:rsidRPr="008D4DFD">
        <w:rPr>
          <w:rStyle w:val="Strong"/>
          <w:rFonts w:ascii="Arial" w:hAnsi="Arial" w:cs="Arial"/>
          <w:b w:val="0"/>
          <w:bCs w:val="0"/>
          <w:sz w:val="22"/>
          <w:szCs w:val="22"/>
        </w:rPr>
        <w:t>nalysis based on Checkland’s (1981) CATWOE framework.</w:t>
      </w:r>
    </w:p>
    <w:p w14:paraId="792AFB1B" w14:textId="77777777" w:rsidR="000245E7" w:rsidRPr="00280F36" w:rsidRDefault="000245E7" w:rsidP="00280F36">
      <w:pPr>
        <w:pStyle w:val="Heading1"/>
        <w:spacing w:line="360" w:lineRule="auto"/>
        <w:rPr>
          <w:rFonts w:ascii="Arial" w:eastAsia="Times New Roman" w:hAnsi="Arial" w:cs="Arial"/>
          <w:b/>
          <w:bCs/>
          <w:color w:val="000000" w:themeColor="text1"/>
          <w:kern w:val="36"/>
          <w:sz w:val="22"/>
          <w:szCs w:val="22"/>
          <w14:ligatures w14:val="none"/>
        </w:rPr>
      </w:pPr>
      <w:r w:rsidRPr="00280F36">
        <w:rPr>
          <w:rFonts w:ascii="Arial" w:eastAsia="Times New Roman" w:hAnsi="Arial" w:cs="Arial"/>
          <w:b/>
          <w:bCs/>
          <w:color w:val="000000" w:themeColor="text1"/>
          <w:sz w:val="22"/>
          <w:szCs w:val="22"/>
        </w:rPr>
        <w:t>B. Centralisation or Decentralisation within the Case Study</w:t>
      </w:r>
    </w:p>
    <w:p w14:paraId="00F031CD"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Healthcare organisations require governance structures that enable safe decision-making, effective accountability and continuous improvement. The NHS operates through a combination of centralised and decentralised approaches, where national bodies establish strategic direction and safety standards while local organisations retain responsibility for implementation and operational decisions. The infant morphine overdose incident demonstrates how the relationship between central control and local autonomy influenced medication safety, crisis management and organisational learning.</w:t>
      </w:r>
    </w:p>
    <w:p w14:paraId="19B323AC" w14:textId="77777777" w:rsidR="000245E7" w:rsidRPr="001A6AC3" w:rsidRDefault="000245E7" w:rsidP="00280F36">
      <w:pPr>
        <w:pStyle w:val="Heading2"/>
        <w:spacing w:line="360" w:lineRule="auto"/>
        <w:rPr>
          <w:rFonts w:ascii="Arial" w:eastAsia="Times New Roman" w:hAnsi="Arial" w:cs="Arial"/>
          <w:color w:val="000000" w:themeColor="text1"/>
          <w:sz w:val="22"/>
          <w:szCs w:val="22"/>
        </w:rPr>
      </w:pPr>
      <w:r w:rsidRPr="001A6AC3">
        <w:rPr>
          <w:rFonts w:ascii="Arial" w:eastAsia="Times New Roman" w:hAnsi="Arial" w:cs="Arial"/>
          <w:color w:val="000000" w:themeColor="text1"/>
          <w:sz w:val="22"/>
          <w:szCs w:val="22"/>
        </w:rPr>
        <w:t>Centralisation within the Case Study</w:t>
      </w:r>
    </w:p>
    <w:p w14:paraId="086C38AF"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Centralisation refers to a system where authority and decision-making responsibilities are concentrated at higher organisational levels (Mintzberg, 1983). Within healthcare, </w:t>
      </w:r>
      <w:r w:rsidRPr="00280F36">
        <w:rPr>
          <w:rFonts w:ascii="Arial" w:hAnsi="Arial" w:cs="Arial"/>
          <w:color w:val="000000" w:themeColor="text1"/>
          <w:sz w:val="22"/>
          <w:szCs w:val="22"/>
        </w:rPr>
        <w:lastRenderedPageBreak/>
        <w:t>centralised approaches are often used to improve consistency, reduce variation and establish minimum safety standards across services. In the NHS, centralisation is evident through national organisations such as NHS England and NICE, which develop policies, guidance and frameworks designed to improve quality and safety.</w:t>
      </w:r>
    </w:p>
    <w:p w14:paraId="3AC73D38"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Within this case study, the classification of concentrated morphine sulphate oral solution as a specialist “red drug” demonstrates a centralised safety approach. Restricting the prescribing and dispensing of high-risk medicines aims to ensure that appropriate safeguards are applied and that specialist oversight is maintained. Standardisation is particularly important for medicines where incorrect doses or formulations can result in severe harm.</w:t>
      </w:r>
    </w:p>
    <w:p w14:paraId="088472EA"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key advantage of centralisation is that it enables learning from individual incidents to influence wider healthcare practice. Without national coordination, safety improvements may remain limited to one organisation rather than being shared across the wider health system. The WHO (2017) emphasises that medication safety requires system-wide approaches, including standardised processes, clear guidance and effective monitoring mechanisms.</w:t>
      </w:r>
    </w:p>
    <w:p w14:paraId="5C39238B" w14:textId="2C26EA03"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National frameworks such as the NHS Patient Safety Strategy provide organisations with common principles for improving safety culture, reporting incidents and reducing avoidable harm (NHS England, 2019). This creates consistency across healthcare services and reduces the risk of significant variation in practice.</w:t>
      </w:r>
    </w:p>
    <w:p w14:paraId="17156F9A"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However, centralisation also has limitations. A highly centralised system may create distance between policy-makers and frontline professionals, meaning that decisions may not fully reflect practical challenges experienced during service delivery. Healthcare environments are complex, and risks identified by frontline staff may not always be visible to those developing national policies. Greenhalgh et al. (2018) argue that healthcare systems involve complexity and uncertainty, meaning that improvement cannot rely solely on top-down approaches.</w:t>
      </w:r>
    </w:p>
    <w:p w14:paraId="2C673433"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 this case, although national safety guidance existed, similar morphine incidents continued to occur. This suggests that centralised policies were not sufficient on their own to ensure safe practice. A potential weakness was not the absence of standards, but the gap between national expectations and local implementation. This highlights the importance of leadership in ensuring policies become embedded within everyday practice.</w:t>
      </w:r>
    </w:p>
    <w:p w14:paraId="0E4A466C" w14:textId="77777777" w:rsidR="000245E7" w:rsidRPr="00280F36" w:rsidRDefault="000245E7"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lastRenderedPageBreak/>
        <w:t>Decentralisation within the Case Study</w:t>
      </w:r>
    </w:p>
    <w:p w14:paraId="527C520F"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Decentralisation involves distributing authority and decision-making closer to frontline teams and local organisations (Mintzberg, 1983). Within the NHS, decentralised structures allow Trusts, clinical teams and pharmacy departments to adapt national guidance according to local circumstances. This approach recognises that healthcare professionals working directly with patients often have valuable insight into operational risks and improvement opportunities.</w:t>
      </w:r>
    </w:p>
    <w:p w14:paraId="0664E577"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significant advantage of decentralisation is increased responsiveness. Local teams can identify problems quickly and implement solutions that reflect their specific environment. For example, pharmacy teams may recognise local risks associated with medication storage, prescribing practices or communication processes and develop targeted interventions. This flexibility can support innovation and encourage staff involvement in improvement activities.</w:t>
      </w:r>
    </w:p>
    <w:p w14:paraId="67C3BBCD"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Decentralisation also supports distributed leadership, where responsibility for improvement is shared across professional groups rather than being controlled solely by senior leaders. West et al. (2015) argue that effective healthcare organisations require leadership at all levels, enabling staff to contribute their expertise and participate in decision-making.</w:t>
      </w:r>
    </w:p>
    <w:p w14:paraId="5B08A2CE"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However, decentralised systems can create challenges. Greater local autonomy may result in variation between organisations, particularly when implementing safety procedures. In medication management, inconsistency between services can increase risks because patients often move between hospitals, community services and primary care. The infant morphine incident demonstrates how fragmented responsibilities across different parts of the healthcare system can create opportunities for communication failure.</w:t>
      </w:r>
    </w:p>
    <w:p w14:paraId="755A91EC"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Another limitation is accountability. When multiple organisations are involved in a patient’s care pathway, responsibility for preventing harm can become unclear. Although decentralisation encourages local decision-making, it requires strong governance mechanisms to ensure that organisations remain aligned with national safety expectations.</w:t>
      </w:r>
    </w:p>
    <w:p w14:paraId="2E9D09D0" w14:textId="77777777" w:rsidR="000245E7" w:rsidRPr="00280F36" w:rsidRDefault="000245E7"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Critical Evaluation: Finding the Balance</w:t>
      </w:r>
    </w:p>
    <w:p w14:paraId="598E4CCC"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The case study demonstrates that neither complete centralisation nor complete decentralisation is sufficient for managing healthcare safety challenges. Centralised systems provide essential standardisation and oversight, while decentralised systems provide </w:t>
      </w:r>
      <w:r w:rsidRPr="00280F36">
        <w:rPr>
          <w:rFonts w:ascii="Arial" w:hAnsi="Arial" w:cs="Arial"/>
          <w:color w:val="000000" w:themeColor="text1"/>
          <w:sz w:val="22"/>
          <w:szCs w:val="22"/>
        </w:rPr>
        <w:lastRenderedPageBreak/>
        <w:t>adaptability and frontline responsiveness. The most effective approach is therefore a balanced model where national standards are combined with local empowerment.</w:t>
      </w:r>
    </w:p>
    <w:p w14:paraId="43251EF4"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incident suggests that the NHS had appropriate centralised controls, but weaknesses occurred during local implementation and coordination. The existence of national policies did not prevent the error because safety depends on how policies are translated into everyday practice. This supports the argument that healthcare organisations require both reliable systems and adaptive leadership.</w:t>
      </w:r>
    </w:p>
    <w:p w14:paraId="02213F40"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balanced governance model reflects the concept of “regulated autonomy”, where organisations maintain flexibility while operating within clear safety expectations. Local teams should have the authority to identify risks and develop solutions, but these improvements should be supported by national learning systems and shared standards.</w:t>
      </w:r>
    </w:p>
    <w:p w14:paraId="50842E1A"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Data and performance monitoring are essential in maintaining this balance. Healthcare organisations should use incident reports, safety audits and outcome measures to identify whether policies are achieving their intended outcomes. Bevan and Hood (2006) highlight that performance measurement can influence organisational behaviour, but leaders must ensure that targets support genuine improvement rather than simply compliance.</w:t>
      </w:r>
    </w:p>
    <w:p w14:paraId="79E96998" w14:textId="77777777" w:rsidR="000245E7" w:rsidRPr="00280F36" w:rsidRDefault="000245E7"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Therefore, the morphine overdose incident highlights that the challenge was not simply whether the NHS structure was centralised or decentralised. Instead, the problem was the interaction between different levels of governance. National policies, local decision-making and frontline practice must operate as an integrated system. Effective leadership is required to connect these levels, ensuring that safety information flows throughout the organisation and that learning from incidents results in meaningful change.</w:t>
      </w:r>
    </w:p>
    <w:p w14:paraId="7D74DF7D" w14:textId="77777777" w:rsidR="005F68D5" w:rsidRPr="00280F36" w:rsidRDefault="005F68D5" w:rsidP="00280F36">
      <w:pPr>
        <w:pStyle w:val="Heading1"/>
        <w:spacing w:line="360" w:lineRule="auto"/>
        <w:rPr>
          <w:rFonts w:ascii="Arial" w:eastAsia="Times New Roman" w:hAnsi="Arial" w:cs="Arial"/>
          <w:b/>
          <w:bCs/>
          <w:color w:val="000000" w:themeColor="text1"/>
          <w:kern w:val="36"/>
          <w:sz w:val="22"/>
          <w:szCs w:val="22"/>
          <w14:ligatures w14:val="none"/>
        </w:rPr>
      </w:pPr>
      <w:r w:rsidRPr="00280F36">
        <w:rPr>
          <w:rFonts w:ascii="Arial" w:eastAsia="Times New Roman" w:hAnsi="Arial" w:cs="Arial"/>
          <w:b/>
          <w:bCs/>
          <w:color w:val="000000" w:themeColor="text1"/>
          <w:sz w:val="22"/>
          <w:szCs w:val="22"/>
        </w:rPr>
        <w:t>C. Leadership Theories and Application to the Case Study</w:t>
      </w:r>
    </w:p>
    <w:p w14:paraId="07AEB314"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Leadership is a critical factor in determining how healthcare organisations respond to safety challenges, manage change and improve performance. In complex healthcare systems, leaders influence not only operational decisions but also organisational culture, staff behaviour and the ability of teams to learn from failure. The infant morphine overdose incident highlights the importance of leadership approaches that promote accountability, collaboration and continuous improvement. Applying different leadership theories allows evaluation of whether the response to the incident was effective and what alternative approaches may have reduced the risk of recurrence.</w:t>
      </w:r>
    </w:p>
    <w:p w14:paraId="5418B2B2" w14:textId="77777777" w:rsidR="005F68D5" w:rsidRPr="00280F36" w:rsidRDefault="005F68D5"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lastRenderedPageBreak/>
        <w:t>Transformational Leadership</w:t>
      </w:r>
    </w:p>
    <w:p w14:paraId="528C4BDA"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Transformational leadership focuses on inspiring individuals, creating shared values and motivating teams to achieve improvement beyond routine expectations (Bass, 1985). Within healthcare, transformational leaders encourage innovation, empower staff and promote cultures where patient safety becomes a collective responsibility. This approach is particularly relevant to patient safety because reducing harm requires cultural change rather than simply introducing additional policies.</w:t>
      </w:r>
    </w:p>
    <w:p w14:paraId="6B46C754"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Applied to the morphine incident, transformational leadership would require leaders to explore why repeated medication errors occurred and create an environment where staff could openly discuss weaknesses within the system. Rather than focusing on individual blame, leaders should encourage learning from incidents and redesign processes to prevent recurrence. This aligns with Reason’s (1997) argument that organisational failures often result from hidden system weaknesses rather than isolated human mistakes.</w:t>
      </w:r>
    </w:p>
    <w:p w14:paraId="1559D941"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Evidence suggests that transformational leadership can improve healthcare quality by strengthening teamwork, engagement and organisational learning. West et al. (2015) argue that compassionate and inclusive leadership supports innovation by encouraging staff to contribute ideas and identify risks. This is important because frontline professionals are often best positioned to recognise problems within clinical processes.</w:t>
      </w:r>
    </w:p>
    <w:p w14:paraId="32F05021"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However, the recurrence of similar morphine incidents indicates that leadership responses may have been more reactive than transformational. Although investigations and reviews occurred after incidents, the continued presence of similar failures suggests that learning was not sufficiently embedded into system redesign. A transformational approach would require leaders to anticipate risks, engage staff proactively and create stronger mechanisms for translating learning into practice.</w:t>
      </w:r>
    </w:p>
    <w:p w14:paraId="483EE0B3" w14:textId="77777777" w:rsidR="005F68D5" w:rsidRPr="00280F36" w:rsidRDefault="005F68D5"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Transactional Leadership</w:t>
      </w:r>
    </w:p>
    <w:p w14:paraId="2F3EFD48"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Transactional leadership focuses on structure, supervision, performance monitoring and compliance with established procedures (Burns, 1978). Within healthcare, this approach remains important because safe care depends on reliable systems, especially when managing high-risk medicines.</w:t>
      </w:r>
    </w:p>
    <w:p w14:paraId="1E878D39"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In this case, transactional leadership is demonstrated through medication policies, prescribing standards and restrictions surrounding specialist medicines. The existence of </w:t>
      </w:r>
      <w:r w:rsidRPr="00280F36">
        <w:rPr>
          <w:rFonts w:ascii="Arial" w:hAnsi="Arial" w:cs="Arial"/>
          <w:color w:val="000000" w:themeColor="text1"/>
          <w:sz w:val="22"/>
          <w:szCs w:val="22"/>
        </w:rPr>
        <w:lastRenderedPageBreak/>
        <w:t>governance procedures shows that the healthcare system recognised the risks associated with concentrated morphine preparations. Clear rules, checking procedures and accountability structures are essential components of safe healthcare delivery.</w:t>
      </w:r>
    </w:p>
    <w:p w14:paraId="596EC1C2"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limitation of transactional leadership is that it may encourage staff to focus on whether procedures have been followed rather than questioning whether the system itself remains safe. Quality improvement requires organisations to move beyond compliance and develop learning cultures where staff actively identify opportunities for improvement (The Health Foundation, 2021).</w:t>
      </w:r>
    </w:p>
    <w:p w14:paraId="090C2531"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Therefore, transactional leadership should support rather than replace transformational approaches. Policies and standards provide essential foundations, but leaders must ensure that these are continuously reviewed and adapted based on evidence and frontline experience.</w:t>
      </w:r>
    </w:p>
    <w:p w14:paraId="31FB89FD" w14:textId="77777777" w:rsidR="005F68D5" w:rsidRPr="00280F36" w:rsidRDefault="005F68D5"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Situational Leadership</w:t>
      </w:r>
    </w:p>
    <w:p w14:paraId="19E989CD"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Situational leadership suggests that effective leaders adapt their approach depending on the circumstances, the complexity of the problem and the needs of the workforce (Hersey and Blanchard, 1969). Healthcare leaders frequently need to change their approach depending on whether they are responding to an immediate crisis or implementing long-term improvement.</w:t>
      </w:r>
    </w:p>
    <w:p w14:paraId="2F583D9D"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During the immediate morphine overdose incident, a directive leadership approach would have been necessary to ensure rapid clinical intervention, investigation and risk management. However, preventing future incidents requires a different leadership approach involving collaboration, reflection and organisational learning.</w:t>
      </w:r>
    </w:p>
    <w:p w14:paraId="67407617"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repeated occurrence of similar medication incidents suggests that although immediate responses may have been effective, longer-term adaptive leadership was required. Leaders needed to move beyond crisis management and address underlying issues such as communication failures, fragmented responsibility and weaknesses in safety systems.</w:t>
      </w:r>
    </w:p>
    <w:p w14:paraId="2EFF4A31"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Situational leadership is therefore valuable because it recognises that healthcare challenges cannot be managed through one fixed leadership style. Leaders must balance decisive action during emergencies with inclusive approaches during improvement processes.</w:t>
      </w:r>
    </w:p>
    <w:p w14:paraId="12CDFA9E" w14:textId="77777777" w:rsidR="005F68D5" w:rsidRPr="00280F36" w:rsidRDefault="005F68D5"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lastRenderedPageBreak/>
        <w:t>Distributed and Compassionate Leadership</w:t>
      </w:r>
    </w:p>
    <w:p w14:paraId="03143773"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Modern healthcare increasingly recognises the importance of distributed leadership, where responsibility for improvement is shared across professional groups. Rather than relying solely on senior managers, distributed leadership enables doctors, nurses, pharmacists and other staff to contribute to organisational decision-making (West et al., 2015).</w:t>
      </w:r>
    </w:p>
    <w:p w14:paraId="399FE529"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This approach is particularly relevant to the morphine incident because the medication pathway involved multiple professionals and services. Shared leadership could improve communication between departments and reduce the risk of safety issues being overlooked between organisational boundaries.</w:t>
      </w:r>
    </w:p>
    <w:p w14:paraId="46271A15"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Compassionate leadership is also essential because safety depends on psychological safety. Edmondson (1999) highlights that teams perform better when individuals feel able to raise concerns without fear of blame. In healthcare, staff must feel confident reporting risks because unreported concerns cannot be addressed.</w:t>
      </w:r>
    </w:p>
    <w:p w14:paraId="65206D58"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West (2021) argues that compassionate leaders listen, understand challenges and take action to support improvement. Applying this approach would help create a culture where staff are encouraged to identify medication risks and contribute to safer systems.</w:t>
      </w:r>
    </w:p>
    <w:p w14:paraId="280FC161" w14:textId="77777777" w:rsidR="005F68D5" w:rsidRPr="00280F36" w:rsidRDefault="005F68D5"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Critical Evaluation of Leadership Effectiveness</w:t>
      </w:r>
    </w:p>
    <w:p w14:paraId="7F7A7C1A"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Overall, the case suggests that leadership within the system was predominantly reactive rather than proactive. The organisation responded after harm occurred, but repeated incidents indicate that preventative leadership strategies were insufficient. Effective leadership requires moving beyond investigating failures towards anticipating risks and creating resilient systems.</w:t>
      </w:r>
    </w:p>
    <w:p w14:paraId="18F7F7CB"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most appropriate approach for improving medication safety would be a combination of leadership styles. Transactional leadership remains necessary for maintaining medication standards and accountability, while transformational, distributed and compassionate leadership are required to create cultural change and continuous learning.</w:t>
      </w:r>
    </w:p>
    <w:p w14:paraId="7BE9F472" w14:textId="77777777" w:rsidR="005F68D5" w:rsidRPr="00280F36" w:rsidRDefault="005F68D5"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incident demonstrates that healthcare leadership is not simply about managing people; it involves shaping systems, influencing behaviour and ensuring that organisations learn from experience. Leaders who combine strong governance with inclusive decision-making are more likely to create safer healthcare environments and improve long-term organisational performance.</w:t>
      </w:r>
    </w:p>
    <w:p w14:paraId="7A6C32EB" w14:textId="77777777" w:rsidR="00CC0BD1" w:rsidRPr="00280F36" w:rsidRDefault="00CC0BD1" w:rsidP="00280F36">
      <w:pPr>
        <w:pStyle w:val="Heading1"/>
        <w:spacing w:line="360" w:lineRule="auto"/>
        <w:rPr>
          <w:rFonts w:ascii="Arial" w:eastAsia="Times New Roman" w:hAnsi="Arial" w:cs="Arial"/>
          <w:b/>
          <w:bCs/>
          <w:color w:val="000000" w:themeColor="text1"/>
          <w:kern w:val="36"/>
          <w:sz w:val="22"/>
          <w:szCs w:val="22"/>
          <w14:ligatures w14:val="none"/>
        </w:rPr>
      </w:pPr>
      <w:r w:rsidRPr="00280F36">
        <w:rPr>
          <w:rFonts w:ascii="Arial" w:eastAsia="Times New Roman" w:hAnsi="Arial" w:cs="Arial"/>
          <w:b/>
          <w:bCs/>
          <w:color w:val="000000" w:themeColor="text1"/>
          <w:sz w:val="22"/>
          <w:szCs w:val="22"/>
        </w:rPr>
        <w:lastRenderedPageBreak/>
        <w:t>D. Improvement and Lessons Learned</w:t>
      </w:r>
    </w:p>
    <w:p w14:paraId="23EA69F8"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infant morphine overdose incident demonstrates that improving healthcare performance requires more than correcting individual errors; it requires organisations to examine how leadership, governance and system design interact to influence patient safety. A systems approach recognises that healthcare failures are usually caused by multiple contributing factors rather than a single mistake (Reason, 1997). Therefore, effective improvement requires healthcare organisations to identify underlying vulnerabilities, strengthen safety culture and develop mechanisms that prevent similar incidents from recurring.</w:t>
      </w:r>
    </w:p>
    <w:p w14:paraId="72F007A9" w14:textId="77777777" w:rsidR="00CC0BD1" w:rsidRPr="00280F36"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Strengthening Medication Safety Systems</w:t>
      </w:r>
    </w:p>
    <w:p w14:paraId="7D62E3EA" w14:textId="77777777" w:rsidR="00CC0BD1"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primary improvement area identified from this case is the need to strengthen medication safety processes surrounding high-risk medicines. Although concentrated morphine sulphate oral solution was recognised as requiring specialist oversight, existing safeguards failed to prevent an incorrect formulation reaching the patient. The recurrence of similar incidents indicates that previous learning opportunities were not sufficiently translated into reliable system improvements.</w:t>
      </w:r>
    </w:p>
    <w:p w14:paraId="0C94EEE9" w14:textId="77777777" w:rsidR="00CA560A" w:rsidRPr="002D2BF8" w:rsidRDefault="00CA560A">
      <w:pPr>
        <w:pStyle w:val="Heading3"/>
        <w:rPr>
          <w:rFonts w:ascii="Arial" w:eastAsia="Times New Roman" w:hAnsi="Arial" w:cs="Arial"/>
          <w:color w:val="000000" w:themeColor="text1"/>
          <w:kern w:val="0"/>
          <w:sz w:val="22"/>
          <w:szCs w:val="22"/>
          <w14:ligatures w14:val="none"/>
        </w:rPr>
      </w:pPr>
      <w:r w:rsidRPr="002D2BF8">
        <w:rPr>
          <w:rFonts w:ascii="Arial" w:eastAsia="Times New Roman" w:hAnsi="Arial" w:cs="Arial"/>
          <w:color w:val="000000" w:themeColor="text1"/>
          <w:sz w:val="22"/>
          <w:szCs w:val="22"/>
        </w:rPr>
        <w:t>Table 2: Identified Safety Failures and Evidence-Based Improvement Strategies</w:t>
      </w:r>
    </w:p>
    <w:tbl>
      <w:tblPr>
        <w:tblStyle w:val="GridTable1Light-Accent1"/>
        <w:tblW w:w="0" w:type="auto"/>
        <w:tblLook w:val="04A0" w:firstRow="1" w:lastRow="0" w:firstColumn="1" w:lastColumn="0" w:noHBand="0" w:noVBand="1"/>
      </w:tblPr>
      <w:tblGrid>
        <w:gridCol w:w="2854"/>
        <w:gridCol w:w="3030"/>
        <w:gridCol w:w="3132"/>
      </w:tblGrid>
      <w:tr w:rsidR="00CA560A" w:rsidRPr="002D2BF8" w14:paraId="623F419B" w14:textId="77777777" w:rsidTr="00862F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1E4F5" w:themeFill="accent1" w:themeFillTint="33"/>
            <w:hideMark/>
          </w:tcPr>
          <w:p w14:paraId="489E1791" w14:textId="77777777" w:rsidR="00CA560A" w:rsidRPr="002D2BF8" w:rsidRDefault="00CA560A">
            <w:pPr>
              <w:jc w:val="center"/>
              <w:rPr>
                <w:rFonts w:ascii="Arial" w:eastAsia="Times New Roman" w:hAnsi="Arial" w:cs="Arial"/>
                <w:color w:val="000000" w:themeColor="text1"/>
                <w:sz w:val="22"/>
                <w:szCs w:val="22"/>
              </w:rPr>
            </w:pPr>
            <w:r w:rsidRPr="002D2BF8">
              <w:rPr>
                <w:rFonts w:ascii="Arial" w:eastAsia="Times New Roman" w:hAnsi="Arial" w:cs="Arial"/>
                <w:b w:val="0"/>
                <w:bCs w:val="0"/>
                <w:color w:val="000000" w:themeColor="text1"/>
                <w:sz w:val="22"/>
                <w:szCs w:val="22"/>
              </w:rPr>
              <w:t>Problem Identified</w:t>
            </w:r>
          </w:p>
        </w:tc>
        <w:tc>
          <w:tcPr>
            <w:tcW w:w="0" w:type="auto"/>
            <w:shd w:val="clear" w:color="auto" w:fill="C1E4F5" w:themeFill="accent1" w:themeFillTint="33"/>
            <w:hideMark/>
          </w:tcPr>
          <w:p w14:paraId="73FAF4FB" w14:textId="77777777" w:rsidR="00CA560A" w:rsidRPr="002D2BF8" w:rsidRDefault="00CA560A">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themeColor="text1"/>
                <w:sz w:val="22"/>
                <w:szCs w:val="22"/>
              </w:rPr>
            </w:pPr>
            <w:r w:rsidRPr="002D2BF8">
              <w:rPr>
                <w:rFonts w:ascii="Arial" w:eastAsia="Times New Roman" w:hAnsi="Arial" w:cs="Arial"/>
                <w:b w:val="0"/>
                <w:bCs w:val="0"/>
                <w:color w:val="000000" w:themeColor="text1"/>
                <w:sz w:val="22"/>
                <w:szCs w:val="22"/>
              </w:rPr>
              <w:t>Supporting Evidence</w:t>
            </w:r>
          </w:p>
        </w:tc>
        <w:tc>
          <w:tcPr>
            <w:tcW w:w="0" w:type="auto"/>
            <w:shd w:val="clear" w:color="auto" w:fill="C1E4F5" w:themeFill="accent1" w:themeFillTint="33"/>
            <w:hideMark/>
          </w:tcPr>
          <w:p w14:paraId="7D95432E" w14:textId="77777777" w:rsidR="00CA560A" w:rsidRPr="002D2BF8" w:rsidRDefault="00CA560A">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themeColor="text1"/>
                <w:sz w:val="22"/>
                <w:szCs w:val="22"/>
              </w:rPr>
            </w:pPr>
            <w:r w:rsidRPr="002D2BF8">
              <w:rPr>
                <w:rFonts w:ascii="Arial" w:eastAsia="Times New Roman" w:hAnsi="Arial" w:cs="Arial"/>
                <w:b w:val="0"/>
                <w:bCs w:val="0"/>
                <w:color w:val="000000" w:themeColor="text1"/>
                <w:sz w:val="22"/>
                <w:szCs w:val="22"/>
              </w:rPr>
              <w:t>Improvement Strategy / Solution</w:t>
            </w:r>
          </w:p>
        </w:tc>
      </w:tr>
      <w:tr w:rsidR="00CA560A" w:rsidRPr="002D2BF8" w14:paraId="245B9EFC"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2FC4C7ED" w14:textId="77777777" w:rsidR="00CA560A" w:rsidRPr="002D2BF8" w:rsidRDefault="00CA560A" w:rsidP="009961F3">
            <w:pPr>
              <w:spacing w:line="360" w:lineRule="auto"/>
              <w:rPr>
                <w:rFonts w:ascii="Arial" w:eastAsia="Times New Roman" w:hAnsi="Arial" w:cs="Arial"/>
                <w:b w:val="0"/>
                <w:bCs w:val="0"/>
                <w:sz w:val="22"/>
                <w:szCs w:val="22"/>
              </w:rPr>
            </w:pPr>
            <w:r w:rsidRPr="002D2BF8">
              <w:rPr>
                <w:rFonts w:ascii="Arial" w:eastAsia="Times New Roman" w:hAnsi="Arial" w:cs="Arial"/>
                <w:sz w:val="22"/>
                <w:szCs w:val="22"/>
              </w:rPr>
              <w:t>Handwritten discharge summary used abbreviations (‘mcg’) and did not clearly state medication strength or volume.</w:t>
            </w:r>
          </w:p>
        </w:tc>
        <w:tc>
          <w:tcPr>
            <w:tcW w:w="0" w:type="auto"/>
            <w:hideMark/>
          </w:tcPr>
          <w:p w14:paraId="2B36A92A"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The NHS North East and Yorkshire review identified repeated morphine concentration errors, with this being the fifth similar incident since 2018 (NHS North East and Yorkshire, 2023).</w:t>
            </w:r>
          </w:p>
        </w:tc>
        <w:tc>
          <w:tcPr>
            <w:tcW w:w="0" w:type="auto"/>
            <w:hideMark/>
          </w:tcPr>
          <w:p w14:paraId="6B047078"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Introduce mandatory electronic discharge summaries with structured medication fields requiring full drug name, concentration, dose and administration volume.</w:t>
            </w:r>
          </w:p>
        </w:tc>
      </w:tr>
      <w:tr w:rsidR="00CA560A" w:rsidRPr="002D2BF8" w14:paraId="435AC826"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69EEF8E5" w14:textId="5CF0FC26" w:rsidR="00CA560A" w:rsidRPr="002D2BF8" w:rsidRDefault="00A670E5" w:rsidP="009961F3">
            <w:pPr>
              <w:spacing w:line="360" w:lineRule="auto"/>
              <w:rPr>
                <w:rFonts w:ascii="Arial" w:eastAsia="Times New Roman" w:hAnsi="Arial" w:cs="Arial"/>
                <w:sz w:val="22"/>
                <w:szCs w:val="22"/>
              </w:rPr>
            </w:pPr>
            <w:r>
              <w:rPr>
                <w:rFonts w:ascii="Arial" w:eastAsia="Times New Roman" w:hAnsi="Arial" w:cs="Arial"/>
                <w:sz w:val="22"/>
                <w:szCs w:val="22"/>
              </w:rPr>
              <w:t xml:space="preserve">High Risk </w:t>
            </w:r>
            <w:r w:rsidR="00947390">
              <w:rPr>
                <w:rFonts w:ascii="Arial" w:eastAsia="Times New Roman" w:hAnsi="Arial" w:cs="Arial"/>
                <w:sz w:val="22"/>
                <w:szCs w:val="22"/>
              </w:rPr>
              <w:t xml:space="preserve">Morphine </w:t>
            </w:r>
            <w:r w:rsidR="00CA560A" w:rsidRPr="002D2BF8">
              <w:rPr>
                <w:rFonts w:ascii="Arial" w:eastAsia="Times New Roman" w:hAnsi="Arial" w:cs="Arial"/>
                <w:sz w:val="22"/>
                <w:szCs w:val="22"/>
              </w:rPr>
              <w:t>classification was not visible across hospital, GP and community pharmacy systems.</w:t>
            </w:r>
          </w:p>
        </w:tc>
        <w:tc>
          <w:tcPr>
            <w:tcW w:w="0" w:type="auto"/>
            <w:hideMark/>
          </w:tcPr>
          <w:p w14:paraId="0FCF50BF"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Although concentrated morphine was recognised as a high-risk specialist medicine, existing controls did not prevent the error occurring after transfer of care (NHS North East and Yorkshire, 2023).</w:t>
            </w:r>
          </w:p>
        </w:tc>
        <w:tc>
          <w:tcPr>
            <w:tcW w:w="0" w:type="auto"/>
            <w:hideMark/>
          </w:tcPr>
          <w:p w14:paraId="1F5963EA"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Develop integrated electronic prescribing systems with persistent high-risk medicine alerts that transfer across healthcare settings.</w:t>
            </w:r>
          </w:p>
        </w:tc>
      </w:tr>
      <w:tr w:rsidR="00CA560A" w:rsidRPr="002D2BF8" w14:paraId="4C84704B"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0CBD1FDE" w14:textId="77777777" w:rsidR="00CA560A" w:rsidRPr="002D2BF8" w:rsidRDefault="00CA560A" w:rsidP="009961F3">
            <w:pPr>
              <w:spacing w:line="360" w:lineRule="auto"/>
              <w:rPr>
                <w:rFonts w:ascii="Arial" w:eastAsia="Times New Roman" w:hAnsi="Arial" w:cs="Arial"/>
                <w:sz w:val="22"/>
                <w:szCs w:val="22"/>
              </w:rPr>
            </w:pPr>
            <w:r w:rsidRPr="002D2BF8">
              <w:rPr>
                <w:rFonts w:ascii="Arial" w:eastAsia="Times New Roman" w:hAnsi="Arial" w:cs="Arial"/>
                <w:sz w:val="22"/>
                <w:szCs w:val="22"/>
              </w:rPr>
              <w:lastRenderedPageBreak/>
              <w:t>Medication safety concerns were communicated indirectly through pharmacy technicians and GP reception staff rather than directly between clinicians.</w:t>
            </w:r>
          </w:p>
        </w:tc>
        <w:tc>
          <w:tcPr>
            <w:tcW w:w="0" w:type="auto"/>
            <w:hideMark/>
          </w:tcPr>
          <w:p w14:paraId="4E7C34C1"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Effective communication is recognised as a key component of patient safety, while poor information transfer contributes to avoidable medication harm (WHO, 2017; O’Daniel and Rosenstein, 2008).</w:t>
            </w:r>
          </w:p>
        </w:tc>
        <w:tc>
          <w:tcPr>
            <w:tcW w:w="0" w:type="auto"/>
            <w:hideMark/>
          </w:tcPr>
          <w:p w14:paraId="0E00B74B"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Require direct clinician-to-clinician communication for any query involving controlled drugs, paediatric medicines or unfamiliar medication strengths.</w:t>
            </w:r>
          </w:p>
        </w:tc>
      </w:tr>
      <w:tr w:rsidR="00CA560A" w:rsidRPr="002D2BF8" w14:paraId="1FBB0152"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0FD4C1FE" w14:textId="77777777" w:rsidR="00CA560A" w:rsidRPr="002D2BF8" w:rsidRDefault="00CA560A" w:rsidP="009961F3">
            <w:pPr>
              <w:spacing w:line="360" w:lineRule="auto"/>
              <w:rPr>
                <w:rFonts w:ascii="Arial" w:eastAsia="Times New Roman" w:hAnsi="Arial" w:cs="Arial"/>
                <w:sz w:val="22"/>
                <w:szCs w:val="22"/>
              </w:rPr>
            </w:pPr>
            <w:r w:rsidRPr="002D2BF8">
              <w:rPr>
                <w:rFonts w:ascii="Arial" w:eastAsia="Times New Roman" w:hAnsi="Arial" w:cs="Arial"/>
                <w:sz w:val="22"/>
                <w:szCs w:val="22"/>
              </w:rPr>
              <w:t>No appropriate measuring device was supplied for the very small 0.1ml dose and verbal reassurance was accepted.</w:t>
            </w:r>
          </w:p>
        </w:tc>
        <w:tc>
          <w:tcPr>
            <w:tcW w:w="0" w:type="auto"/>
            <w:hideMark/>
          </w:tcPr>
          <w:p w14:paraId="7022F175"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Medication errors frequently occur due to weaknesses in administration processes, communication and human factors (WHO, 2017).</w:t>
            </w:r>
          </w:p>
        </w:tc>
        <w:tc>
          <w:tcPr>
            <w:tcW w:w="0" w:type="auto"/>
            <w:hideMark/>
          </w:tcPr>
          <w:p w14:paraId="0795FA96"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Provide appropriate oral syringes for low-volume paediatric medicines and introduce teach-back methods where parents demonstrate their understanding of dosage instructions.</w:t>
            </w:r>
          </w:p>
        </w:tc>
      </w:tr>
      <w:tr w:rsidR="00CA560A" w:rsidRPr="002D2BF8" w14:paraId="774B34CE"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642E5C70" w14:textId="77777777" w:rsidR="00CA560A" w:rsidRPr="002D2BF8" w:rsidRDefault="00CA560A" w:rsidP="009961F3">
            <w:pPr>
              <w:spacing w:line="360" w:lineRule="auto"/>
              <w:rPr>
                <w:rFonts w:ascii="Arial" w:eastAsia="Times New Roman" w:hAnsi="Arial" w:cs="Arial"/>
                <w:sz w:val="22"/>
                <w:szCs w:val="22"/>
              </w:rPr>
            </w:pPr>
            <w:r w:rsidRPr="002D2BF8">
              <w:rPr>
                <w:rFonts w:ascii="Arial" w:eastAsia="Times New Roman" w:hAnsi="Arial" w:cs="Arial"/>
                <w:sz w:val="22"/>
                <w:szCs w:val="22"/>
              </w:rPr>
              <w:t>Reliance on staff familiarity with rare high-risk medicines created vulnerability.</w:t>
            </w:r>
          </w:p>
        </w:tc>
        <w:tc>
          <w:tcPr>
            <w:tcW w:w="0" w:type="auto"/>
            <w:hideMark/>
          </w:tcPr>
          <w:p w14:paraId="619D109F"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Workforce pressures, increasing demand and staffing shortages can reduce organisational capacity to maintain safe systems and learning processes (The King’s Fund, 2023).</w:t>
            </w:r>
          </w:p>
        </w:tc>
        <w:tc>
          <w:tcPr>
            <w:tcW w:w="0" w:type="auto"/>
            <w:hideMark/>
          </w:tcPr>
          <w:p w14:paraId="61939F18"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Introduce mandatory training and induction regarding high-risk medicines for locum, agency and newly rotating staff.</w:t>
            </w:r>
          </w:p>
        </w:tc>
      </w:tr>
      <w:tr w:rsidR="00CA560A" w:rsidRPr="002D2BF8" w14:paraId="665F27C0" w14:textId="77777777" w:rsidTr="00862FB4">
        <w:tc>
          <w:tcPr>
            <w:cnfStyle w:val="001000000000" w:firstRow="0" w:lastRow="0" w:firstColumn="1" w:lastColumn="0" w:oddVBand="0" w:evenVBand="0" w:oddHBand="0" w:evenHBand="0" w:firstRowFirstColumn="0" w:firstRowLastColumn="0" w:lastRowFirstColumn="0" w:lastRowLastColumn="0"/>
            <w:tcW w:w="0" w:type="auto"/>
            <w:hideMark/>
          </w:tcPr>
          <w:p w14:paraId="1B35C1EB" w14:textId="77777777" w:rsidR="00CA560A" w:rsidRPr="002D2BF8" w:rsidRDefault="00CA560A" w:rsidP="009961F3">
            <w:pPr>
              <w:spacing w:line="360" w:lineRule="auto"/>
              <w:rPr>
                <w:rFonts w:ascii="Arial" w:eastAsia="Times New Roman" w:hAnsi="Arial" w:cs="Arial"/>
                <w:sz w:val="22"/>
                <w:szCs w:val="22"/>
              </w:rPr>
            </w:pPr>
            <w:r w:rsidRPr="002D2BF8">
              <w:rPr>
                <w:rFonts w:ascii="Arial" w:eastAsia="Times New Roman" w:hAnsi="Arial" w:cs="Arial"/>
                <w:sz w:val="22"/>
                <w:szCs w:val="22"/>
              </w:rPr>
              <w:t>Previous incidents generated learning opportunities but changes were not embedded across the wider system.</w:t>
            </w:r>
          </w:p>
        </w:tc>
        <w:tc>
          <w:tcPr>
            <w:tcW w:w="0" w:type="auto"/>
            <w:hideMark/>
          </w:tcPr>
          <w:p w14:paraId="785D0A3E"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The recurrence of five similar incidents since 2018 suggests that learning was not effectively translated into wider system redesign (NHS North East and Yorkshire, 2023).</w:t>
            </w:r>
          </w:p>
        </w:tc>
        <w:tc>
          <w:tcPr>
            <w:tcW w:w="0" w:type="auto"/>
            <w:hideMark/>
          </w:tcPr>
          <w:p w14:paraId="245EDD5E" w14:textId="77777777" w:rsidR="00CA560A" w:rsidRPr="002D2BF8" w:rsidRDefault="00CA560A" w:rsidP="009961F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2"/>
                <w:szCs w:val="22"/>
              </w:rPr>
            </w:pPr>
            <w:r w:rsidRPr="002D2BF8">
              <w:rPr>
                <w:rFonts w:ascii="Arial" w:eastAsia="Times New Roman" w:hAnsi="Arial" w:cs="Arial"/>
                <w:sz w:val="22"/>
                <w:szCs w:val="22"/>
              </w:rPr>
              <w:t>Establish national review of repeated medication incidents, monitor implementation of recommendations and use safety data to support continuous improvement.</w:t>
            </w:r>
          </w:p>
        </w:tc>
      </w:tr>
    </w:tbl>
    <w:p w14:paraId="65A10140" w14:textId="77777777" w:rsidR="00CA560A" w:rsidRPr="00CA560A" w:rsidRDefault="00CA560A">
      <w:pPr>
        <w:pStyle w:val="z-TopofForm"/>
      </w:pPr>
      <w:r w:rsidRPr="00CA560A">
        <w:t>Top of Form</w:t>
      </w:r>
    </w:p>
    <w:p w14:paraId="6CB9D0A2" w14:textId="77777777" w:rsidR="00CA560A" w:rsidRPr="00CA560A" w:rsidRDefault="00CA560A">
      <w:pPr>
        <w:pStyle w:val="placeholder"/>
        <w:rPr>
          <w:rFonts w:ascii="Arial" w:hAnsi="Arial" w:cs="Arial"/>
        </w:rPr>
      </w:pPr>
    </w:p>
    <w:p w14:paraId="2F85D5A2" w14:textId="77777777" w:rsidR="00CA560A" w:rsidRDefault="00CA560A">
      <w:pPr>
        <w:pStyle w:val="z-BottomofForm"/>
      </w:pPr>
      <w:r>
        <w:t>Bottom of Form</w:t>
      </w:r>
    </w:p>
    <w:p w14:paraId="7AFB3D6A" w14:textId="332FFFA0" w:rsidR="00860801" w:rsidRDefault="00860801" w:rsidP="00280F3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WHO (2017) identifies medication safety as a global priority and recommends system-based interventions rather than reliance on individual vigilance. Therefore, improvements should combine electronic prescribing, pharmacist verification, clear medication labelling and </w:t>
      </w:r>
      <w:r>
        <w:rPr>
          <w:rFonts w:ascii="Arial" w:hAnsi="Arial" w:cs="Arial"/>
          <w:color w:val="000000" w:themeColor="text1"/>
          <w:sz w:val="22"/>
          <w:szCs w:val="22"/>
        </w:rPr>
        <w:lastRenderedPageBreak/>
        <w:t>strong human-factor approaches, recognising that technology alone cannot eliminate risks within complex healthcare systems (</w:t>
      </w:r>
      <w:proofErr w:type="spellStart"/>
      <w:r>
        <w:rPr>
          <w:rFonts w:ascii="Arial" w:hAnsi="Arial" w:cs="Arial"/>
          <w:color w:val="000000" w:themeColor="text1"/>
          <w:sz w:val="22"/>
          <w:szCs w:val="22"/>
        </w:rPr>
        <w:t>Carayon</w:t>
      </w:r>
      <w:proofErr w:type="spellEnd"/>
      <w:r>
        <w:rPr>
          <w:rFonts w:ascii="Arial" w:hAnsi="Arial" w:cs="Arial"/>
          <w:color w:val="000000" w:themeColor="text1"/>
          <w:sz w:val="22"/>
          <w:szCs w:val="22"/>
        </w:rPr>
        <w:t xml:space="preserve"> et al., 2014).</w:t>
      </w:r>
    </w:p>
    <w:p w14:paraId="154B3ADC" w14:textId="77777777" w:rsidR="00CC0BD1"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Developing a Stronger Learning Culture</w:t>
      </w:r>
    </w:p>
    <w:p w14:paraId="0E238AF4" w14:textId="04966C0A" w:rsidR="00F24D7C" w:rsidRPr="00F24D7C" w:rsidRDefault="00F24D7C" w:rsidP="00F24D7C">
      <w:pPr>
        <w:spacing w:line="360" w:lineRule="auto"/>
        <w:rPr>
          <w:rFonts w:ascii="Arial" w:hAnsi="Arial" w:cs="Arial"/>
          <w:sz w:val="22"/>
          <w:szCs w:val="22"/>
        </w:rPr>
      </w:pPr>
      <w:r w:rsidRPr="00F24D7C">
        <w:rPr>
          <w:rFonts w:ascii="Arial" w:hAnsi="Arial" w:cs="Arial"/>
          <w:sz w:val="22"/>
          <w:szCs w:val="22"/>
        </w:rPr>
        <w:t>Repeated morphine errors indicate that learning from previous incidents was not effectively translated into sustainable system change. Patient safety requires organisations to convert incident findings into measurable improvements.</w:t>
      </w:r>
    </w:p>
    <w:p w14:paraId="4A034335"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NHS Patient Safety Incident Response Framework promotes a shift away from blame-focused investigations towards understanding contributing factors and improving systems (NHS England, 2022). This approach reflects modern patient safety thinking, where errors are viewed as opportunities to examine weaknesses in processes, communication and decision-making.</w:t>
      </w:r>
    </w:p>
    <w:p w14:paraId="7A363786"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Leaders should ensure that incident investigations involve multidisciplinary teams, including clinicians, pharmacists, governance professionals and where appropriate, patients and families. Collaborative investigation improves understanding of the factors contributing to harm and supports the development of realistic solutions.</w:t>
      </w:r>
    </w:p>
    <w:p w14:paraId="0CFCF669"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Healthcare organisations should also evaluate whether recommended actions following incidents have achieved measurable improvement. Too often, investigations identify problems but fail to monitor whether interventions reduce future risk. Regular audits, safety indicators and feedback mechanisms are required to ensure continuous improvement.</w:t>
      </w:r>
    </w:p>
    <w:p w14:paraId="5F85CED1" w14:textId="77777777" w:rsidR="00CC0BD1" w:rsidRPr="00280F36"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Improving Communication and System Integration</w:t>
      </w:r>
    </w:p>
    <w:p w14:paraId="2B5C1C5E"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case highlights the risks associated with fragmented healthcare delivery. The infant’s medication pathway involved different professionals and services, meaning safe care depended on effective communication between organisational boundaries. When responsibility is distributed across multiple services, there is increased potential for information loss and unclear accountability.</w:t>
      </w:r>
    </w:p>
    <w:p w14:paraId="07B8FFF8"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Improvement should therefore focus on strengthening integration between hospitals, pharmacies, primary care and community services. Shared communication systems, structured handovers and clear responsibilities for medication management can reduce risks associated with transitions of care.</w:t>
      </w:r>
    </w:p>
    <w:p w14:paraId="5F407AF3"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The NHS Long Term Plan emphasises the importance of integrated care systems that encourage collaboration between organisations and reduce fragmentation (NHS England, </w:t>
      </w:r>
      <w:r w:rsidRPr="00280F36">
        <w:rPr>
          <w:rFonts w:ascii="Arial" w:hAnsi="Arial" w:cs="Arial"/>
          <w:color w:val="000000" w:themeColor="text1"/>
          <w:sz w:val="22"/>
          <w:szCs w:val="22"/>
        </w:rPr>
        <w:lastRenderedPageBreak/>
        <w:t>2019). Effective integration requires leadership that promotes shared responsibility rather than allowing professional or organisational boundaries to limit communication.</w:t>
      </w:r>
    </w:p>
    <w:p w14:paraId="47B99C69" w14:textId="77777777" w:rsidR="00CC0BD1" w:rsidRPr="00280F36"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Enhancing Psychological Safety and Staff Engagement</w:t>
      </w:r>
    </w:p>
    <w:p w14:paraId="36B243B5"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Another important lesson is the need to develop psychological safety within healthcare teams. Edmondson (1999) identifies psychological safety as essential for learning because staff are more likely to report concerns, discuss mistakes and contribute ideas when they feel supported.</w:t>
      </w:r>
    </w:p>
    <w:p w14:paraId="6FDC4F3E"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 blame culture can prevent organisations from identifying risks because staff may avoid reporting problems due to fear of criticism. In contrast, compassionate leadership encourages openness and improvement by recognising the challenges faced by healthcare professionals (West, 2021).</w:t>
      </w:r>
    </w:p>
    <w:p w14:paraId="71D8EB37"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Healthcare leaders should therefore promote environments where staff are encouraged to question processes, report safety concerns and participate in improvement activities. This is particularly important in medication safety because frontline professionals often identify risks before serious harm occurs.</w:t>
      </w:r>
    </w:p>
    <w:p w14:paraId="29C49A30" w14:textId="77777777" w:rsidR="00CC0BD1" w:rsidRPr="00280F36"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Using Data to Support Continuous Improvement</w:t>
      </w:r>
    </w:p>
    <w:p w14:paraId="765BEAFE"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Improvement strategies must be supported by reliable data. Healthcare organisations should use medication incident data, audit findings and safety performance measures to identify trends and evaluate whether interventions are effective. Quality improvement approaches provide structured methods for testing changes, measuring outcomes and sustaining improvements over time (The Health Foundation, 2021).</w:t>
      </w:r>
    </w:p>
    <w:p w14:paraId="3F52FE05"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Data should not simply be used retrospectively after harm has occurred; it should support proactive risk identification. By monitoring patterns in medication errors, organisations can identify emerging risks and intervene before patients are harmed.</w:t>
      </w:r>
    </w:p>
    <w:p w14:paraId="6DE7E74C" w14:textId="77777777" w:rsidR="00CC0BD1" w:rsidRDefault="00CC0BD1"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Overall Lessons for Healthcare Organisations</w:t>
      </w:r>
    </w:p>
    <w:p w14:paraId="09A5C7C1" w14:textId="5EAA8608" w:rsidR="00E270CD" w:rsidRPr="00E14435" w:rsidRDefault="00E14435" w:rsidP="00E14435">
      <w:pPr>
        <w:spacing w:line="360" w:lineRule="auto"/>
        <w:rPr>
          <w:rFonts w:ascii="Arial" w:hAnsi="Arial" w:cs="Arial"/>
          <w:sz w:val="22"/>
          <w:szCs w:val="22"/>
        </w:rPr>
      </w:pPr>
      <w:r w:rsidRPr="00E14435">
        <w:rPr>
          <w:rFonts w:ascii="Arial" w:hAnsi="Arial" w:cs="Arial"/>
          <w:sz w:val="22"/>
          <w:szCs w:val="22"/>
        </w:rPr>
        <w:t>The incident demonstrates that patient safety depends on the interaction between leadership, governance and system design. Multiple barriers failed; therefore, improvement requires a whole-system approach.</w:t>
      </w:r>
    </w:p>
    <w:p w14:paraId="676860A0"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 xml:space="preserve">Other healthcare organisations can learn that policies alone do not guarantee safety. Effective implementation requires leadership that supports staff, governance systems that </w:t>
      </w:r>
      <w:r w:rsidRPr="00280F36">
        <w:rPr>
          <w:rFonts w:ascii="Arial" w:hAnsi="Arial" w:cs="Arial"/>
          <w:color w:val="000000" w:themeColor="text1"/>
          <w:sz w:val="22"/>
          <w:szCs w:val="22"/>
        </w:rPr>
        <w:lastRenderedPageBreak/>
        <w:t>promote accountability and data-driven approaches that enable continuous learning. Organisations should aim to become learning systems where evidence from incidents is actively used to redesign services and improve outcomes.</w:t>
      </w:r>
    </w:p>
    <w:p w14:paraId="2A4FCEA4" w14:textId="77777777" w:rsidR="00CC0BD1" w:rsidRPr="00280F36" w:rsidRDefault="00CC0BD1"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Overall, the case demonstrates that sustainable improvement requires moving from reactive responses towards proactive safety management. By combining strong governance, transformational leadership and systems thinking, healthcare organisations can reduce avoidable harm and improve the reliability of care.</w:t>
      </w:r>
    </w:p>
    <w:p w14:paraId="46745A3A" w14:textId="77777777" w:rsidR="0026325D" w:rsidRPr="00280F36" w:rsidRDefault="0026325D" w:rsidP="00280F36">
      <w:pPr>
        <w:pStyle w:val="Heading1"/>
        <w:spacing w:line="360" w:lineRule="auto"/>
        <w:rPr>
          <w:rFonts w:ascii="Arial" w:eastAsia="Times New Roman" w:hAnsi="Arial" w:cs="Arial"/>
          <w:b/>
          <w:bCs/>
          <w:color w:val="000000" w:themeColor="text1"/>
          <w:kern w:val="36"/>
          <w:sz w:val="22"/>
          <w:szCs w:val="22"/>
          <w14:ligatures w14:val="none"/>
        </w:rPr>
      </w:pPr>
      <w:r w:rsidRPr="00280F36">
        <w:rPr>
          <w:rFonts w:ascii="Arial" w:eastAsia="Times New Roman" w:hAnsi="Arial" w:cs="Arial"/>
          <w:b/>
          <w:bCs/>
          <w:color w:val="000000" w:themeColor="text1"/>
          <w:sz w:val="22"/>
          <w:szCs w:val="22"/>
        </w:rPr>
        <w:t>Recommendations</w:t>
      </w:r>
    </w:p>
    <w:p w14:paraId="78B62F88"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Based on the analysis of the infant morphine overdose incident, several recommendations are proposed to strengthen patient safety, improve organisational performance and support sustainable healthcare improvement. These recommendations focus on leadership, governance, communication, system integration and continuous learning.</w:t>
      </w:r>
    </w:p>
    <w:p w14:paraId="004A6F71" w14:textId="77777777" w:rsidR="0026325D" w:rsidRPr="00280F36" w:rsidRDefault="0026325D"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1. Adopt Transformational and Distributed Leadership Approaches</w:t>
      </w:r>
    </w:p>
    <w:p w14:paraId="42A1FF44" w14:textId="77777777" w:rsidR="0026325D"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organisation should strengthen transformational and distributed leadership approaches to create a proactive safety culture. Transformational leadership would enable leaders to develop a shared vision for safer care, encourage innovation and support staff involvement in improvement activities (Bass, 1985). Distributed leadership should also be promoted because patient safety cannot be achieved through senior leadership alone; it requires active involvement from healthcare professionals across different roles and services (West et al., 2015).</w:t>
      </w:r>
    </w:p>
    <w:p w14:paraId="3E98C630" w14:textId="05F801D2" w:rsidR="00390C50" w:rsidRPr="00390C50" w:rsidRDefault="00390C50" w:rsidP="00280F36">
      <w:pPr>
        <w:pStyle w:val="NormalWeb"/>
        <w:spacing w:line="360" w:lineRule="auto"/>
        <w:rPr>
          <w:rFonts w:ascii="Arial" w:hAnsi="Arial" w:cs="Arial"/>
          <w:color w:val="000000" w:themeColor="text1"/>
          <w:sz w:val="22"/>
          <w:szCs w:val="22"/>
        </w:rPr>
      </w:pPr>
      <w:r w:rsidRPr="00390C50">
        <w:rPr>
          <w:rFonts w:ascii="Arial" w:hAnsi="Arial" w:cs="Arial"/>
          <w:color w:val="000000" w:themeColor="text1"/>
          <w:sz w:val="22"/>
          <w:szCs w:val="22"/>
        </w:rPr>
        <w:t>Leaders should adopt a proactive approach by anticipating risks, encouraging staff engagement and creating psychologically safe environments where concerns can be raised (Edmondson, 1999).</w:t>
      </w:r>
    </w:p>
    <w:p w14:paraId="0BBDD30C" w14:textId="77777777" w:rsidR="0026325D" w:rsidRPr="00280F36" w:rsidRDefault="0026325D"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2. Strengthen Medication Governance and Safety Controls</w:t>
      </w:r>
    </w:p>
    <w:p w14:paraId="0D0805AE" w14:textId="07CEA6E7" w:rsidR="007045BA" w:rsidRDefault="007045BA" w:rsidP="00280F3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High-risk medicines require strengthened governance because repeated incidents demonstrate gaps between policy and implementation.</w:t>
      </w:r>
    </w:p>
    <w:p w14:paraId="5F33DBE3"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Actions should include:</w:t>
      </w:r>
    </w:p>
    <w:p w14:paraId="638787C0" w14:textId="77777777" w:rsidR="0026325D" w:rsidRPr="00280F36" w:rsidRDefault="0026325D" w:rsidP="00280F36">
      <w:pPr>
        <w:pStyle w:val="NormalWeb"/>
        <w:numPr>
          <w:ilvl w:val="0"/>
          <w:numId w:val="6"/>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improving electronic prescribing alerts for high-risk medicines;</w:t>
      </w:r>
    </w:p>
    <w:p w14:paraId="616FCD5B" w14:textId="77777777" w:rsidR="0026325D" w:rsidRPr="00280F36" w:rsidRDefault="0026325D" w:rsidP="00280F36">
      <w:pPr>
        <w:pStyle w:val="NormalWeb"/>
        <w:numPr>
          <w:ilvl w:val="0"/>
          <w:numId w:val="6"/>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introducing robust pharmacist verification processes;</w:t>
      </w:r>
    </w:p>
    <w:p w14:paraId="1925F886" w14:textId="77777777" w:rsidR="0026325D" w:rsidRPr="00280F36" w:rsidRDefault="0026325D" w:rsidP="00280F36">
      <w:pPr>
        <w:pStyle w:val="NormalWeb"/>
        <w:numPr>
          <w:ilvl w:val="0"/>
          <w:numId w:val="6"/>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lastRenderedPageBreak/>
        <w:t>ensuring clear differentiation between medication concentrations;</w:t>
      </w:r>
    </w:p>
    <w:p w14:paraId="60BBE5B3" w14:textId="77777777" w:rsidR="0026325D" w:rsidRPr="00280F36" w:rsidRDefault="0026325D" w:rsidP="00280F36">
      <w:pPr>
        <w:pStyle w:val="NormalWeb"/>
        <w:numPr>
          <w:ilvl w:val="0"/>
          <w:numId w:val="6"/>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conducting regular medication safety audits;</w:t>
      </w:r>
    </w:p>
    <w:p w14:paraId="2367E6A3" w14:textId="77777777" w:rsidR="0026325D" w:rsidRPr="00280F36" w:rsidRDefault="0026325D" w:rsidP="00280F36">
      <w:pPr>
        <w:pStyle w:val="NormalWeb"/>
        <w:numPr>
          <w:ilvl w:val="0"/>
          <w:numId w:val="6"/>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monitoring compliance with safety procedures.</w:t>
      </w:r>
    </w:p>
    <w:p w14:paraId="6407B030"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These measures reflect WHO (2017) recommendations that medication safety requires reliable systems rather than dependence on individual memory or vigilance.</w:t>
      </w:r>
    </w:p>
    <w:p w14:paraId="7CF98AEE" w14:textId="2A96167D" w:rsidR="006C5CE0" w:rsidRPr="005B45EF" w:rsidRDefault="0026325D" w:rsidP="005B45EF">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3. Improve Communication and Integrated Working</w:t>
      </w:r>
    </w:p>
    <w:p w14:paraId="7464A8A8"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incident demonstrates the risks associated with fragmented care pathways. Healthcare organisations should strengthen communication between hospitals, pharmacies, general practitioners and community services.</w:t>
      </w:r>
    </w:p>
    <w:p w14:paraId="54A7311D"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Improvement strategies should include:</w:t>
      </w:r>
    </w:p>
    <w:p w14:paraId="2D13F795" w14:textId="77777777" w:rsidR="0026325D" w:rsidRPr="00280F36" w:rsidRDefault="0026325D" w:rsidP="00280F36">
      <w:pPr>
        <w:pStyle w:val="NormalWeb"/>
        <w:numPr>
          <w:ilvl w:val="0"/>
          <w:numId w:val="7"/>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structured transfer-of-care communication;</w:t>
      </w:r>
    </w:p>
    <w:p w14:paraId="720DE4FE" w14:textId="77777777" w:rsidR="0026325D" w:rsidRPr="00280F36" w:rsidRDefault="0026325D" w:rsidP="00280F36">
      <w:pPr>
        <w:pStyle w:val="NormalWeb"/>
        <w:numPr>
          <w:ilvl w:val="0"/>
          <w:numId w:val="7"/>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shared documentation systems;</w:t>
      </w:r>
    </w:p>
    <w:p w14:paraId="1A16EA9F" w14:textId="77777777" w:rsidR="0026325D" w:rsidRPr="00280F36" w:rsidRDefault="0026325D" w:rsidP="00280F36">
      <w:pPr>
        <w:pStyle w:val="NormalWeb"/>
        <w:numPr>
          <w:ilvl w:val="0"/>
          <w:numId w:val="7"/>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clear accountability for medication management;</w:t>
      </w:r>
    </w:p>
    <w:p w14:paraId="7C33A376" w14:textId="77777777" w:rsidR="0026325D" w:rsidRPr="00280F36" w:rsidRDefault="0026325D" w:rsidP="00280F36">
      <w:pPr>
        <w:pStyle w:val="NormalWeb"/>
        <w:numPr>
          <w:ilvl w:val="0"/>
          <w:numId w:val="7"/>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multidisciplinary safety discussions.</w:t>
      </w:r>
    </w:p>
    <w:p w14:paraId="6412CD91"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Integrated working reduces the risk of information being lost between services and supports safer patient journeys. This aligns with the NHS Long Term Plan, which emphasises collaboration between organisations to improve continuity and quality of care (NHS England, 2019).</w:t>
      </w:r>
    </w:p>
    <w:p w14:paraId="40651C80" w14:textId="77777777" w:rsidR="0026325D" w:rsidRPr="00280F36" w:rsidRDefault="0026325D"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4. Develop Continuous Learning and Improvement Systems</w:t>
      </w:r>
    </w:p>
    <w:p w14:paraId="020338C4"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The organisation should strengthen mechanisms for learning from incidents by ensuring that investigations result in measurable improvements. The NHS Patient Safety Incident Response Framework promotes learning-focused investigations that identify system weaknesses and support prevention of future harm (NHS England, 2022).</w:t>
      </w:r>
    </w:p>
    <w:p w14:paraId="50A557A5"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Healthcare leaders should monitor whether improvement actions are effective through:</w:t>
      </w:r>
    </w:p>
    <w:p w14:paraId="722047BB" w14:textId="77777777" w:rsidR="0026325D" w:rsidRPr="00280F36" w:rsidRDefault="0026325D" w:rsidP="00280F36">
      <w:pPr>
        <w:pStyle w:val="NormalWeb"/>
        <w:numPr>
          <w:ilvl w:val="0"/>
          <w:numId w:val="8"/>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medication safety indicators;</w:t>
      </w:r>
    </w:p>
    <w:p w14:paraId="5B6CCC44" w14:textId="77777777" w:rsidR="0026325D" w:rsidRPr="00280F36" w:rsidRDefault="0026325D" w:rsidP="00280F36">
      <w:pPr>
        <w:pStyle w:val="NormalWeb"/>
        <w:numPr>
          <w:ilvl w:val="0"/>
          <w:numId w:val="8"/>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incident trend analysis;</w:t>
      </w:r>
    </w:p>
    <w:p w14:paraId="77E525CA" w14:textId="77777777" w:rsidR="0026325D" w:rsidRPr="00280F36" w:rsidRDefault="0026325D" w:rsidP="00280F36">
      <w:pPr>
        <w:pStyle w:val="NormalWeb"/>
        <w:numPr>
          <w:ilvl w:val="0"/>
          <w:numId w:val="8"/>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staff feedback;</w:t>
      </w:r>
    </w:p>
    <w:p w14:paraId="2CE7B576" w14:textId="77777777" w:rsidR="0026325D" w:rsidRPr="00280F36" w:rsidRDefault="0026325D" w:rsidP="00280F36">
      <w:pPr>
        <w:pStyle w:val="NormalWeb"/>
        <w:numPr>
          <w:ilvl w:val="0"/>
          <w:numId w:val="8"/>
        </w:numPr>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regular quality improvement reviews.</w:t>
      </w:r>
    </w:p>
    <w:p w14:paraId="50294C1A" w14:textId="0386DFD3"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lastRenderedPageBreak/>
        <w:t xml:space="preserve">Using evidence and data in this way supports continuous improvement and strengthens </w:t>
      </w:r>
      <w:r w:rsidR="00250C18" w:rsidRPr="00280F36">
        <w:rPr>
          <w:rFonts w:ascii="Arial" w:hAnsi="Arial" w:cs="Arial"/>
          <w:color w:val="000000" w:themeColor="text1"/>
          <w:sz w:val="22"/>
          <w:szCs w:val="22"/>
        </w:rPr>
        <w:t>accountability.</w:t>
      </w:r>
      <w:r w:rsidR="00250C18">
        <w:rPr>
          <w:rFonts w:ascii="Arial" w:hAnsi="Arial" w:cs="Arial"/>
          <w:color w:val="000000" w:themeColor="text1"/>
          <w:sz w:val="22"/>
          <w:szCs w:val="22"/>
        </w:rPr>
        <w:t xml:space="preserve"> This reflects the CQC’s (2022) view that effective providers require robust systems for monitoring performance, identifying risks and embedding learning to improve patient safety.</w:t>
      </w:r>
    </w:p>
    <w:p w14:paraId="5B597249" w14:textId="77777777" w:rsidR="0026325D" w:rsidRPr="00280F36" w:rsidRDefault="0026325D" w:rsidP="00280F36">
      <w:pPr>
        <w:pStyle w:val="Heading2"/>
        <w:spacing w:line="360" w:lineRule="auto"/>
        <w:rPr>
          <w:rFonts w:ascii="Arial" w:eastAsia="Times New Roman" w:hAnsi="Arial" w:cs="Arial"/>
          <w:color w:val="000000" w:themeColor="text1"/>
          <w:sz w:val="22"/>
          <w:szCs w:val="22"/>
        </w:rPr>
      </w:pPr>
      <w:r w:rsidRPr="00280F36">
        <w:rPr>
          <w:rFonts w:ascii="Arial" w:eastAsia="Times New Roman" w:hAnsi="Arial" w:cs="Arial"/>
          <w:color w:val="000000" w:themeColor="text1"/>
          <w:sz w:val="22"/>
          <w:szCs w:val="22"/>
        </w:rPr>
        <w:t>5. Increase Patient and Family Co-production</w:t>
      </w:r>
    </w:p>
    <w:p w14:paraId="1182497E"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Patients and families should be recognised as important partners in improving healthcare safety. Clear communication with families regarding medicines, including confirmation of understanding, can act as an additional safety barrier. Healthcare organisations should use accessible language and encourage families to ask questions about medication instructions.</w:t>
      </w:r>
    </w:p>
    <w:p w14:paraId="4E4A1AA0" w14:textId="77777777" w:rsidR="0026325D"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Co-production supports person-centred care by ensuring that improvement strategies consider the experiences of those receiving services.</w:t>
      </w:r>
    </w:p>
    <w:p w14:paraId="11B66975" w14:textId="7BDF9DC1" w:rsidR="009D5ECA" w:rsidRPr="00241688" w:rsidRDefault="009D5ECA" w:rsidP="00280F36">
      <w:pPr>
        <w:pStyle w:val="NormalWeb"/>
        <w:spacing w:line="360" w:lineRule="auto"/>
        <w:rPr>
          <w:rFonts w:ascii="Arial" w:hAnsi="Arial" w:cs="Arial"/>
          <w:b/>
          <w:bCs/>
          <w:color w:val="000000" w:themeColor="text1"/>
          <w:sz w:val="22"/>
          <w:szCs w:val="22"/>
        </w:rPr>
      </w:pPr>
      <w:r w:rsidRPr="00241688">
        <w:rPr>
          <w:rFonts w:ascii="Arial" w:hAnsi="Arial" w:cs="Arial"/>
          <w:b/>
          <w:bCs/>
          <w:color w:val="000000" w:themeColor="text1"/>
          <w:sz w:val="22"/>
          <w:szCs w:val="22"/>
        </w:rPr>
        <w:t>Proposed Transformation Strategy</w:t>
      </w:r>
    </w:p>
    <w:p w14:paraId="1DF85D03" w14:textId="453A8363" w:rsidR="009D5ECA" w:rsidRPr="00280F36" w:rsidRDefault="009D5ECA" w:rsidP="00280F36">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 systems-based transformation strategy, informed by the Plan-Do-Study-Act (PDSA) improvement cycle, should be introduced to redesign medication safety </w:t>
      </w:r>
      <w:r w:rsidR="002D177F">
        <w:rPr>
          <w:rFonts w:ascii="Arial" w:hAnsi="Arial" w:cs="Arial"/>
          <w:color w:val="000000" w:themeColor="text1"/>
          <w:sz w:val="22"/>
          <w:szCs w:val="22"/>
        </w:rPr>
        <w:t>processes. The</w:t>
      </w:r>
      <w:r w:rsidR="00076FEF">
        <w:rPr>
          <w:rFonts w:ascii="Arial" w:hAnsi="Arial" w:cs="Arial"/>
          <w:color w:val="000000" w:themeColor="text1"/>
          <w:sz w:val="22"/>
          <w:szCs w:val="22"/>
        </w:rPr>
        <w:t xml:space="preserve"> PDSA model supports iterative testing of change by allowing healthcare teams to plan interventions, implement them on a small scale, evaluate outcomes and refine processes before wider implementation (Batalden and Davidoff, 2007).</w:t>
      </w:r>
      <w:r>
        <w:rPr>
          <w:rFonts w:ascii="Arial" w:hAnsi="Arial" w:cs="Arial"/>
          <w:color w:val="000000" w:themeColor="text1"/>
          <w:sz w:val="22"/>
          <w:szCs w:val="22"/>
        </w:rPr>
        <w:t xml:space="preserve"> The strategy would combine electronic prescribing safeguards, multidisciplinary medication reviews, staff engagement and continuous measurement of safety outcomes. Success should be evaluated through reductions in medication incidents, improved reporting culture, audit compliance and staff confidence in raising concerns. This approach would support sustainable improvement by integrating leadership, governance and evidence-based quality improvement.</w:t>
      </w:r>
    </w:p>
    <w:p w14:paraId="0BEC3A47" w14:textId="77777777" w:rsidR="0026325D" w:rsidRPr="00241688" w:rsidRDefault="0026325D" w:rsidP="00280F36">
      <w:pPr>
        <w:pStyle w:val="Heading2"/>
        <w:spacing w:line="360" w:lineRule="auto"/>
        <w:rPr>
          <w:rFonts w:ascii="Arial" w:eastAsia="Times New Roman" w:hAnsi="Arial" w:cs="Arial"/>
          <w:b/>
          <w:bCs/>
          <w:color w:val="000000" w:themeColor="text1"/>
          <w:sz w:val="22"/>
          <w:szCs w:val="22"/>
        </w:rPr>
      </w:pPr>
      <w:r w:rsidRPr="00241688">
        <w:rPr>
          <w:rFonts w:ascii="Arial" w:eastAsia="Times New Roman" w:hAnsi="Arial" w:cs="Arial"/>
          <w:b/>
          <w:bCs/>
          <w:color w:val="000000" w:themeColor="text1"/>
          <w:sz w:val="22"/>
          <w:szCs w:val="22"/>
        </w:rPr>
        <w:t>Summary of Recommendations</w:t>
      </w:r>
    </w:p>
    <w:p w14:paraId="00847A95" w14:textId="77777777" w:rsidR="0026325D" w:rsidRPr="00280F36" w:rsidRDefault="0026325D" w:rsidP="00280F36">
      <w:pPr>
        <w:pStyle w:val="NormalWeb"/>
        <w:spacing w:line="360" w:lineRule="auto"/>
        <w:rPr>
          <w:rFonts w:ascii="Arial" w:hAnsi="Arial" w:cs="Arial"/>
          <w:color w:val="000000" w:themeColor="text1"/>
          <w:sz w:val="22"/>
          <w:szCs w:val="22"/>
        </w:rPr>
      </w:pPr>
      <w:r w:rsidRPr="00280F36">
        <w:rPr>
          <w:rFonts w:ascii="Arial" w:hAnsi="Arial" w:cs="Arial"/>
          <w:color w:val="000000" w:themeColor="text1"/>
          <w:sz w:val="22"/>
          <w:szCs w:val="22"/>
        </w:rPr>
        <w:t>Overall, the organisation should adopt a balanced approach combining strong governance with empowered frontline leadership. National standards remain essential for consistency, but local teams must have the authority and support to identify risks and develop improvements. By integrating transformational leadership, effective medication governance, communication systems and continuous learning, healthcare organisations can improve both technical efficiency by reducing avoidable harm and allocative efficiency by directing resources towards interventions with the greatest safety benefit.</w:t>
      </w:r>
    </w:p>
    <w:p w14:paraId="40FD3306" w14:textId="77777777" w:rsidR="00583B39" w:rsidRDefault="00583B39" w:rsidP="00280F36">
      <w:pPr>
        <w:pStyle w:val="Heading1"/>
        <w:spacing w:line="360" w:lineRule="auto"/>
        <w:rPr>
          <w:rFonts w:ascii="Arial" w:eastAsia="Times New Roman" w:hAnsi="Arial" w:cs="Arial"/>
          <w:b/>
          <w:bCs/>
          <w:color w:val="000000" w:themeColor="text1"/>
          <w:sz w:val="22"/>
          <w:szCs w:val="22"/>
        </w:rPr>
      </w:pPr>
      <w:r w:rsidRPr="00280F36">
        <w:rPr>
          <w:rFonts w:ascii="Arial" w:eastAsia="Times New Roman" w:hAnsi="Arial" w:cs="Arial"/>
          <w:b/>
          <w:bCs/>
          <w:color w:val="000000" w:themeColor="text1"/>
          <w:sz w:val="22"/>
          <w:szCs w:val="22"/>
        </w:rPr>
        <w:lastRenderedPageBreak/>
        <w:t>Conclusion</w:t>
      </w:r>
    </w:p>
    <w:p w14:paraId="46E3B545" w14:textId="58CDD1A9" w:rsidR="008A0CE1" w:rsidRPr="00611390" w:rsidRDefault="00904BE5" w:rsidP="00611390">
      <w:pPr>
        <w:spacing w:line="360" w:lineRule="auto"/>
        <w:rPr>
          <w:rFonts w:ascii="Arial" w:hAnsi="Arial" w:cs="Arial"/>
          <w:sz w:val="22"/>
          <w:szCs w:val="22"/>
          <w:lang w:eastAsia="en-US"/>
        </w:rPr>
      </w:pPr>
      <w:r w:rsidRPr="00611390">
        <w:rPr>
          <w:rFonts w:ascii="Arial" w:eastAsia="Times New Roman" w:hAnsi="Arial" w:cs="Arial"/>
          <w:sz w:val="22"/>
          <w:szCs w:val="22"/>
        </w:rPr>
        <w:t>This case report has examined the 2023 NHS infant morphine overdose incident to explore how leadership, governance and systems thinking interact to influence patient safety. The analysis demonstrates that the incident was not caused by an individual error alone, but by weaknesses within a complex system where centralised safety policies were not effectively translated into a decentralised and poorly integrated care pathway. Limited feedback mechanisms prevented frontline concerns from reaching decision-makers who could have prevented harm.</w:t>
      </w:r>
    </w:p>
    <w:p w14:paraId="361A4C74" w14:textId="5FCFC5E5" w:rsidR="008A0CE1" w:rsidRPr="00611390" w:rsidRDefault="006B0DDC" w:rsidP="00611390">
      <w:pPr>
        <w:spacing w:line="360" w:lineRule="auto"/>
        <w:rPr>
          <w:rFonts w:ascii="Arial" w:hAnsi="Arial" w:cs="Arial"/>
          <w:sz w:val="22"/>
          <w:szCs w:val="22"/>
          <w:lang w:eastAsia="en-US"/>
        </w:rPr>
      </w:pPr>
      <w:r w:rsidRPr="00611390">
        <w:rPr>
          <w:rFonts w:ascii="Arial" w:hAnsi="Arial" w:cs="Arial"/>
          <w:sz w:val="22"/>
          <w:szCs w:val="22"/>
          <w:lang w:eastAsia="en-US"/>
        </w:rPr>
        <w:t>Evidence from the World Health Organization, NHS incident reporting systems and the Institute for Healthcare Improvement highlights that medication-related harm is a systemic and preventable challenge associated with communication failures, workforce pressures and weaknesses in safety processes. The recurrence of this incident as the fifth similar case since 2018 demonstrates that previous learning was not fully embedded into system redesign.</w:t>
      </w:r>
    </w:p>
    <w:p w14:paraId="17A373DF" w14:textId="3DC60C93" w:rsidR="006B0DDC" w:rsidRPr="00611390" w:rsidRDefault="00611390" w:rsidP="00611390">
      <w:pPr>
        <w:spacing w:line="360" w:lineRule="auto"/>
        <w:rPr>
          <w:rFonts w:ascii="Arial" w:hAnsi="Arial" w:cs="Arial"/>
          <w:sz w:val="22"/>
          <w:szCs w:val="22"/>
          <w:lang w:eastAsia="en-US"/>
        </w:rPr>
      </w:pPr>
      <w:r w:rsidRPr="00611390">
        <w:rPr>
          <w:rFonts w:ascii="Arial" w:hAnsi="Arial" w:cs="Arial"/>
          <w:sz w:val="22"/>
          <w:szCs w:val="22"/>
          <w:lang w:eastAsia="en-US"/>
        </w:rPr>
        <w:t>The central lesson for health and social care organisations is that leadership, governance and systems thinking must operate together. Governance establishes safety expectations, systems determine how these are implemented, and leadership influences whether staff feel empowered to identify and escalate risks. Sustainable improvement requires closing gaps between policy and practice, adopting leadership approaches appropriate to risk and complexity, and using incident data and near-misses as opportunities for continuous learning and redesign rather than retrospective accountability.</w:t>
      </w:r>
    </w:p>
    <w:p w14:paraId="4E72317B" w14:textId="23CD2252" w:rsidR="00611390" w:rsidRDefault="005C3960" w:rsidP="00E41FA5">
      <w:pPr>
        <w:pStyle w:val="z-BottomofForm"/>
      </w:pPr>
      <w:r>
        <w:t>Bottom of Form</w:t>
      </w:r>
    </w:p>
    <w:p w14:paraId="1022FA6C" w14:textId="77777777" w:rsidR="00611390" w:rsidRDefault="00611390" w:rsidP="00611390">
      <w:pPr>
        <w:rPr>
          <w:lang w:eastAsia="en-US"/>
        </w:rPr>
      </w:pPr>
    </w:p>
    <w:p w14:paraId="43A4AB7E" w14:textId="77777777" w:rsidR="00611390" w:rsidRDefault="00611390" w:rsidP="00611390">
      <w:pPr>
        <w:rPr>
          <w:lang w:eastAsia="en-US"/>
        </w:rPr>
      </w:pPr>
    </w:p>
    <w:p w14:paraId="71916CB3" w14:textId="77777777" w:rsidR="00611390" w:rsidRDefault="00611390" w:rsidP="00611390">
      <w:pPr>
        <w:rPr>
          <w:lang w:eastAsia="en-US"/>
        </w:rPr>
      </w:pPr>
    </w:p>
    <w:p w14:paraId="7E2AD7C8" w14:textId="77777777" w:rsidR="00611390" w:rsidRPr="00611390" w:rsidRDefault="00611390" w:rsidP="00611390">
      <w:pPr>
        <w:rPr>
          <w:lang w:eastAsia="en-US"/>
        </w:rPr>
      </w:pPr>
    </w:p>
    <w:p w14:paraId="1980083A" w14:textId="77777777" w:rsidR="00E41FA5" w:rsidRDefault="00E41FA5" w:rsidP="00280F36">
      <w:pPr>
        <w:pStyle w:val="Heading1"/>
        <w:spacing w:line="360" w:lineRule="auto"/>
        <w:rPr>
          <w:rFonts w:ascii="Arial" w:eastAsia="Times New Roman" w:hAnsi="Arial" w:cs="Arial"/>
          <w:b/>
          <w:bCs/>
          <w:color w:val="000000" w:themeColor="text1"/>
          <w:sz w:val="28"/>
          <w:szCs w:val="28"/>
        </w:rPr>
      </w:pPr>
    </w:p>
    <w:p w14:paraId="74A5D064" w14:textId="77777777" w:rsidR="002C4452" w:rsidRDefault="002C4452" w:rsidP="002C4452"/>
    <w:p w14:paraId="4885FC6B" w14:textId="77777777" w:rsidR="002C4452" w:rsidRDefault="002C4452" w:rsidP="002C4452"/>
    <w:p w14:paraId="2A057292" w14:textId="77777777" w:rsidR="002C4452" w:rsidRDefault="002C4452" w:rsidP="002C4452"/>
    <w:p w14:paraId="72411C22" w14:textId="77777777" w:rsidR="002C4452" w:rsidRPr="002C4452" w:rsidRDefault="002C4452" w:rsidP="002C4452"/>
    <w:p w14:paraId="26DACE58" w14:textId="500BFBEE" w:rsidR="002E677D" w:rsidRPr="00280F36" w:rsidRDefault="002E677D" w:rsidP="00280F36">
      <w:pPr>
        <w:pStyle w:val="Heading1"/>
        <w:spacing w:line="360" w:lineRule="auto"/>
        <w:rPr>
          <w:rFonts w:ascii="Arial" w:eastAsia="Times New Roman" w:hAnsi="Arial" w:cs="Arial"/>
          <w:b/>
          <w:bCs/>
          <w:color w:val="000000" w:themeColor="text1"/>
          <w:sz w:val="28"/>
          <w:szCs w:val="28"/>
        </w:rPr>
      </w:pPr>
      <w:r w:rsidRPr="00280F36">
        <w:rPr>
          <w:rFonts w:ascii="Arial" w:eastAsia="Times New Roman" w:hAnsi="Arial" w:cs="Arial"/>
          <w:b/>
          <w:bCs/>
          <w:color w:val="000000" w:themeColor="text1"/>
          <w:sz w:val="28"/>
          <w:szCs w:val="28"/>
        </w:rPr>
        <w:lastRenderedPageBreak/>
        <w:t>References</w:t>
      </w:r>
    </w:p>
    <w:p w14:paraId="2A91E874" w14:textId="499F21D3" w:rsidR="003577F3" w:rsidRPr="00280F36" w:rsidRDefault="003577F3" w:rsidP="00280F36">
      <w:pPr>
        <w:spacing w:line="360" w:lineRule="auto"/>
        <w:rPr>
          <w:rFonts w:ascii="Arial" w:hAnsi="Arial" w:cs="Arial"/>
          <w:sz w:val="22"/>
          <w:szCs w:val="22"/>
        </w:rPr>
      </w:pPr>
      <w:r w:rsidRPr="00280F36">
        <w:rPr>
          <w:rStyle w:val="Strong"/>
          <w:rFonts w:ascii="Arial" w:eastAsia="Times New Roman" w:hAnsi="Arial" w:cs="Arial"/>
          <w:b w:val="0"/>
          <w:bCs w:val="0"/>
          <w:sz w:val="22"/>
          <w:szCs w:val="22"/>
        </w:rPr>
        <w:t>Batalden, P.B. and Davidoff, F. (2007)</w:t>
      </w:r>
      <w:r w:rsidRPr="00280F36">
        <w:rPr>
          <w:rFonts w:ascii="Arial" w:eastAsia="Times New Roman" w:hAnsi="Arial" w:cs="Arial"/>
          <w:b/>
          <w:bCs/>
          <w:sz w:val="22"/>
          <w:szCs w:val="22"/>
        </w:rPr>
        <w:t xml:space="preserve"> ‘</w:t>
      </w:r>
      <w:r w:rsidRPr="00280F36">
        <w:rPr>
          <w:rFonts w:ascii="Arial" w:eastAsia="Times New Roman" w:hAnsi="Arial" w:cs="Arial"/>
          <w:sz w:val="22"/>
          <w:szCs w:val="22"/>
        </w:rPr>
        <w:t xml:space="preserve">Quality improvement research: the key to accelerating healthcare improvement’, </w:t>
      </w:r>
      <w:r w:rsidRPr="00280F36">
        <w:rPr>
          <w:rStyle w:val="Emphasis"/>
          <w:rFonts w:ascii="Arial" w:eastAsia="Times New Roman" w:hAnsi="Arial" w:cs="Arial"/>
          <w:sz w:val="22"/>
          <w:szCs w:val="22"/>
        </w:rPr>
        <w:t>Quality and Safety in Health Care</w:t>
      </w:r>
      <w:r w:rsidRPr="00280F36">
        <w:rPr>
          <w:rFonts w:ascii="Arial" w:eastAsia="Times New Roman" w:hAnsi="Arial" w:cs="Arial"/>
          <w:sz w:val="22"/>
          <w:szCs w:val="22"/>
        </w:rPr>
        <w:t>, 16(1), pp.2–3. doi:10.1136/qshc.2006.022046.</w:t>
      </w:r>
    </w:p>
    <w:p w14:paraId="332ADC5D"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Bass, B.M. (1985) </w:t>
      </w:r>
      <w:r w:rsidRPr="00280F36">
        <w:rPr>
          <w:rStyle w:val="Emphasis"/>
          <w:rFonts w:ascii="Arial" w:hAnsi="Arial" w:cs="Arial"/>
          <w:sz w:val="22"/>
          <w:szCs w:val="22"/>
        </w:rPr>
        <w:t>Leadership and Performance Beyond Expectations</w:t>
      </w:r>
      <w:r w:rsidRPr="00280F36">
        <w:rPr>
          <w:rFonts w:ascii="Arial" w:hAnsi="Arial" w:cs="Arial"/>
          <w:sz w:val="22"/>
          <w:szCs w:val="22"/>
        </w:rPr>
        <w:t>. New York: Free Press.</w:t>
      </w:r>
    </w:p>
    <w:p w14:paraId="0E549FD3" w14:textId="6590B76B"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Bevan, G. and Hood, C. (2006) ‘What’s measured is what matters: targets and gaming in the English public health care system’, </w:t>
      </w:r>
      <w:r w:rsidRPr="00280F36">
        <w:rPr>
          <w:rStyle w:val="Emphasis"/>
          <w:rFonts w:ascii="Arial" w:hAnsi="Arial" w:cs="Arial"/>
          <w:sz w:val="22"/>
          <w:szCs w:val="22"/>
        </w:rPr>
        <w:t>Public Administration</w:t>
      </w:r>
      <w:r w:rsidRPr="00280F36">
        <w:rPr>
          <w:rFonts w:ascii="Arial" w:hAnsi="Arial" w:cs="Arial"/>
          <w:sz w:val="22"/>
          <w:szCs w:val="22"/>
        </w:rPr>
        <w:t>, 84(3), pp.517–538. doi:10.1111/j.1467-9299.2006.00600.x</w:t>
      </w:r>
      <w:r w:rsidR="00614C4F" w:rsidRPr="00280F36">
        <w:rPr>
          <w:rFonts w:ascii="Arial" w:hAnsi="Arial" w:cs="Arial"/>
          <w:sz w:val="22"/>
          <w:szCs w:val="22"/>
        </w:rPr>
        <w:t>.</w:t>
      </w:r>
    </w:p>
    <w:p w14:paraId="5F84126E" w14:textId="694A503B"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Braithwaite, J., </w:t>
      </w:r>
      <w:proofErr w:type="spellStart"/>
      <w:r w:rsidRPr="00280F36">
        <w:rPr>
          <w:rFonts w:ascii="Arial" w:hAnsi="Arial" w:cs="Arial"/>
          <w:sz w:val="22"/>
          <w:szCs w:val="22"/>
        </w:rPr>
        <w:t>Churruca</w:t>
      </w:r>
      <w:proofErr w:type="spellEnd"/>
      <w:r w:rsidRPr="00280F36">
        <w:rPr>
          <w:rFonts w:ascii="Arial" w:hAnsi="Arial" w:cs="Arial"/>
          <w:sz w:val="22"/>
          <w:szCs w:val="22"/>
        </w:rPr>
        <w:t xml:space="preserve">, K., Long, J.C., Ellis, L.A. and </w:t>
      </w:r>
      <w:proofErr w:type="spellStart"/>
      <w:r w:rsidRPr="00280F36">
        <w:rPr>
          <w:rFonts w:ascii="Arial" w:hAnsi="Arial" w:cs="Arial"/>
          <w:sz w:val="22"/>
          <w:szCs w:val="22"/>
        </w:rPr>
        <w:t>Herkes</w:t>
      </w:r>
      <w:proofErr w:type="spellEnd"/>
      <w:r w:rsidRPr="00280F36">
        <w:rPr>
          <w:rFonts w:ascii="Arial" w:hAnsi="Arial" w:cs="Arial"/>
          <w:sz w:val="22"/>
          <w:szCs w:val="22"/>
        </w:rPr>
        <w:t xml:space="preserve">, J. (2018) ‘When complexity science meets implementation science: a theoretical and empirical analysis of systems change’, </w:t>
      </w:r>
      <w:r w:rsidRPr="00280F36">
        <w:rPr>
          <w:rStyle w:val="Emphasis"/>
          <w:rFonts w:ascii="Arial" w:hAnsi="Arial" w:cs="Arial"/>
          <w:sz w:val="22"/>
          <w:szCs w:val="22"/>
        </w:rPr>
        <w:t>BMC Medicine</w:t>
      </w:r>
      <w:r w:rsidRPr="00280F36">
        <w:rPr>
          <w:rFonts w:ascii="Arial" w:hAnsi="Arial" w:cs="Arial"/>
          <w:sz w:val="22"/>
          <w:szCs w:val="22"/>
        </w:rPr>
        <w:t xml:space="preserve">, 16, 63. Available at: </w:t>
      </w:r>
      <w:hyperlink r:id="rId9" w:history="1">
        <w:r w:rsidRPr="00280F36">
          <w:rPr>
            <w:rStyle w:val="Hyperlink"/>
            <w:rFonts w:ascii="Arial" w:hAnsi="Arial" w:cs="Arial"/>
            <w:sz w:val="22"/>
            <w:szCs w:val="22"/>
          </w:rPr>
          <w:t>https://bmcmedicine.biomedcentral.com/articles/10.1186/s12916-018-1057-z</w:t>
        </w:r>
      </w:hyperlink>
      <w:r w:rsidRPr="00280F36">
        <w:rPr>
          <w:rFonts w:ascii="Arial" w:hAnsi="Arial" w:cs="Arial"/>
          <w:sz w:val="22"/>
          <w:szCs w:val="22"/>
        </w:rPr>
        <w:t xml:space="preserve"> (Accessed: 1</w:t>
      </w:r>
      <w:r w:rsidR="00392177">
        <w:rPr>
          <w:rFonts w:ascii="Arial" w:hAnsi="Arial" w:cs="Arial"/>
          <w:sz w:val="22"/>
          <w:szCs w:val="22"/>
        </w:rPr>
        <w:t>1</w:t>
      </w:r>
      <w:r w:rsidRPr="00280F36">
        <w:rPr>
          <w:rFonts w:ascii="Arial" w:hAnsi="Arial" w:cs="Arial"/>
          <w:sz w:val="22"/>
          <w:szCs w:val="22"/>
        </w:rPr>
        <w:t xml:space="preserve"> July 2026).</w:t>
      </w:r>
    </w:p>
    <w:p w14:paraId="68C3E950"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Burns, J.M. (1978) </w:t>
      </w:r>
      <w:r w:rsidRPr="00280F36">
        <w:rPr>
          <w:rStyle w:val="Emphasis"/>
          <w:rFonts w:ascii="Arial" w:hAnsi="Arial" w:cs="Arial"/>
          <w:sz w:val="22"/>
          <w:szCs w:val="22"/>
        </w:rPr>
        <w:t>Leadership</w:t>
      </w:r>
      <w:r w:rsidRPr="00280F36">
        <w:rPr>
          <w:rFonts w:ascii="Arial" w:hAnsi="Arial" w:cs="Arial"/>
          <w:sz w:val="22"/>
          <w:szCs w:val="22"/>
        </w:rPr>
        <w:t>. New York: Harper &amp; Row.</w:t>
      </w:r>
    </w:p>
    <w:p w14:paraId="3EDA9CB8" w14:textId="77777777" w:rsidR="002E677D" w:rsidRPr="00280F36" w:rsidRDefault="002E677D" w:rsidP="00280F36">
      <w:pPr>
        <w:pStyle w:val="NormalWeb"/>
        <w:spacing w:line="360" w:lineRule="auto"/>
        <w:rPr>
          <w:rFonts w:ascii="Arial" w:hAnsi="Arial" w:cs="Arial"/>
          <w:sz w:val="22"/>
          <w:szCs w:val="22"/>
        </w:rPr>
      </w:pPr>
      <w:proofErr w:type="spellStart"/>
      <w:r w:rsidRPr="00280F36">
        <w:rPr>
          <w:rFonts w:ascii="Arial" w:hAnsi="Arial" w:cs="Arial"/>
          <w:sz w:val="22"/>
          <w:szCs w:val="22"/>
        </w:rPr>
        <w:t>Carayon</w:t>
      </w:r>
      <w:proofErr w:type="spellEnd"/>
      <w:r w:rsidRPr="00280F36">
        <w:rPr>
          <w:rFonts w:ascii="Arial" w:hAnsi="Arial" w:cs="Arial"/>
          <w:sz w:val="22"/>
          <w:szCs w:val="22"/>
        </w:rPr>
        <w:t xml:space="preserve">, P., </w:t>
      </w:r>
      <w:proofErr w:type="spellStart"/>
      <w:r w:rsidRPr="00280F36">
        <w:rPr>
          <w:rFonts w:ascii="Arial" w:hAnsi="Arial" w:cs="Arial"/>
          <w:sz w:val="22"/>
          <w:szCs w:val="22"/>
        </w:rPr>
        <w:t>Wetterneck</w:t>
      </w:r>
      <w:proofErr w:type="spellEnd"/>
      <w:r w:rsidRPr="00280F36">
        <w:rPr>
          <w:rFonts w:ascii="Arial" w:hAnsi="Arial" w:cs="Arial"/>
          <w:sz w:val="22"/>
          <w:szCs w:val="22"/>
        </w:rPr>
        <w:t xml:space="preserve">, T.B., Rivera-Rodriguez, A.J., </w:t>
      </w:r>
      <w:proofErr w:type="spellStart"/>
      <w:r w:rsidRPr="00280F36">
        <w:rPr>
          <w:rFonts w:ascii="Arial" w:hAnsi="Arial" w:cs="Arial"/>
          <w:sz w:val="22"/>
          <w:szCs w:val="22"/>
        </w:rPr>
        <w:t>Hundt</w:t>
      </w:r>
      <w:proofErr w:type="spellEnd"/>
      <w:r w:rsidRPr="00280F36">
        <w:rPr>
          <w:rFonts w:ascii="Arial" w:hAnsi="Arial" w:cs="Arial"/>
          <w:sz w:val="22"/>
          <w:szCs w:val="22"/>
        </w:rPr>
        <w:t xml:space="preserve">, A.S., </w:t>
      </w:r>
      <w:proofErr w:type="spellStart"/>
      <w:r w:rsidRPr="00280F36">
        <w:rPr>
          <w:rFonts w:ascii="Arial" w:hAnsi="Arial" w:cs="Arial"/>
          <w:sz w:val="22"/>
          <w:szCs w:val="22"/>
        </w:rPr>
        <w:t>Hoonakker</w:t>
      </w:r>
      <w:proofErr w:type="spellEnd"/>
      <w:r w:rsidRPr="00280F36">
        <w:rPr>
          <w:rFonts w:ascii="Arial" w:hAnsi="Arial" w:cs="Arial"/>
          <w:sz w:val="22"/>
          <w:szCs w:val="22"/>
        </w:rPr>
        <w:t xml:space="preserve">, P., Holden, R. and </w:t>
      </w:r>
      <w:proofErr w:type="spellStart"/>
      <w:r w:rsidRPr="00280F36">
        <w:rPr>
          <w:rFonts w:ascii="Arial" w:hAnsi="Arial" w:cs="Arial"/>
          <w:sz w:val="22"/>
          <w:szCs w:val="22"/>
        </w:rPr>
        <w:t>Gurses</w:t>
      </w:r>
      <w:proofErr w:type="spellEnd"/>
      <w:r w:rsidRPr="00280F36">
        <w:rPr>
          <w:rFonts w:ascii="Arial" w:hAnsi="Arial" w:cs="Arial"/>
          <w:sz w:val="22"/>
          <w:szCs w:val="22"/>
        </w:rPr>
        <w:t xml:space="preserve">, A.P. (2014) ‘Human factors systems approach to healthcare quality and patient safety’, </w:t>
      </w:r>
      <w:r w:rsidRPr="00280F36">
        <w:rPr>
          <w:rStyle w:val="Emphasis"/>
          <w:rFonts w:ascii="Arial" w:hAnsi="Arial" w:cs="Arial"/>
          <w:sz w:val="22"/>
          <w:szCs w:val="22"/>
        </w:rPr>
        <w:t>Applied Ergonomics</w:t>
      </w:r>
      <w:r w:rsidRPr="00280F36">
        <w:rPr>
          <w:rFonts w:ascii="Arial" w:hAnsi="Arial" w:cs="Arial"/>
          <w:sz w:val="22"/>
          <w:szCs w:val="22"/>
        </w:rPr>
        <w:t>, 45(1), pp.14–25. doi:10.1016/j.apergo.2013.04.023.</w:t>
      </w:r>
    </w:p>
    <w:p w14:paraId="63BB25F1" w14:textId="77777777" w:rsidR="002E677D"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Care Quality Commission (CQC) (2022) </w:t>
      </w:r>
      <w:r w:rsidRPr="00280F36">
        <w:rPr>
          <w:rStyle w:val="Emphasis"/>
          <w:rFonts w:ascii="Arial" w:hAnsi="Arial" w:cs="Arial"/>
          <w:sz w:val="22"/>
          <w:szCs w:val="22"/>
        </w:rPr>
        <w:t>The State of Health Care and Adult Social Care in England 2021/22</w:t>
      </w:r>
      <w:r w:rsidRPr="00280F36">
        <w:rPr>
          <w:rFonts w:ascii="Arial" w:hAnsi="Arial" w:cs="Arial"/>
          <w:sz w:val="22"/>
          <w:szCs w:val="22"/>
        </w:rPr>
        <w:t xml:space="preserve">. Available at: </w:t>
      </w:r>
      <w:hyperlink r:id="rId10" w:history="1">
        <w:r w:rsidRPr="00280F36">
          <w:rPr>
            <w:rStyle w:val="Hyperlink"/>
            <w:rFonts w:ascii="Arial" w:hAnsi="Arial" w:cs="Arial"/>
            <w:sz w:val="22"/>
            <w:szCs w:val="22"/>
          </w:rPr>
          <w:t>https://www.cqc.org.uk/publications/major-report/state-care</w:t>
        </w:r>
      </w:hyperlink>
      <w:r w:rsidRPr="00280F36">
        <w:rPr>
          <w:rFonts w:ascii="Arial" w:hAnsi="Arial" w:cs="Arial"/>
          <w:sz w:val="22"/>
          <w:szCs w:val="22"/>
        </w:rPr>
        <w:t xml:space="preserve"> (Accessed: 18 July 2026).</w:t>
      </w:r>
    </w:p>
    <w:p w14:paraId="5887A10E" w14:textId="10D4755A" w:rsidR="001D05B0" w:rsidRPr="001D05B0" w:rsidRDefault="001D05B0" w:rsidP="00280F36">
      <w:pPr>
        <w:pStyle w:val="NormalWeb"/>
        <w:spacing w:line="360" w:lineRule="auto"/>
        <w:rPr>
          <w:rFonts w:ascii="Arial" w:hAnsi="Arial" w:cs="Arial"/>
          <w:sz w:val="22"/>
          <w:szCs w:val="22"/>
        </w:rPr>
      </w:pPr>
      <w:proofErr w:type="spellStart"/>
      <w:r w:rsidRPr="001D05B0">
        <w:rPr>
          <w:rFonts w:ascii="Arial" w:eastAsia="Times New Roman" w:hAnsi="Arial" w:cs="Arial"/>
          <w:sz w:val="22"/>
          <w:szCs w:val="22"/>
        </w:rPr>
        <w:t>Checkland</w:t>
      </w:r>
      <w:proofErr w:type="spellEnd"/>
      <w:r w:rsidRPr="001D05B0">
        <w:rPr>
          <w:rFonts w:ascii="Arial" w:eastAsia="Times New Roman" w:hAnsi="Arial" w:cs="Arial"/>
          <w:sz w:val="22"/>
          <w:szCs w:val="22"/>
        </w:rPr>
        <w:t xml:space="preserve">, P. (1981) </w:t>
      </w:r>
      <w:r w:rsidRPr="001D05B0">
        <w:rPr>
          <w:rStyle w:val="Emphasis"/>
          <w:rFonts w:ascii="Arial" w:eastAsia="Times New Roman" w:hAnsi="Arial" w:cs="Arial"/>
          <w:sz w:val="22"/>
          <w:szCs w:val="22"/>
        </w:rPr>
        <w:t>Systems Thinking, Systems Practice</w:t>
      </w:r>
      <w:r w:rsidRPr="001D05B0">
        <w:rPr>
          <w:rFonts w:ascii="Arial" w:eastAsia="Times New Roman" w:hAnsi="Arial" w:cs="Arial"/>
          <w:sz w:val="22"/>
          <w:szCs w:val="22"/>
        </w:rPr>
        <w:t>. Chichester: John Wiley &amp; Sons.</w:t>
      </w:r>
    </w:p>
    <w:p w14:paraId="1DAB8C5C"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Dekker, S. (2014) </w:t>
      </w:r>
      <w:r w:rsidRPr="00280F36">
        <w:rPr>
          <w:rStyle w:val="Emphasis"/>
          <w:rFonts w:ascii="Arial" w:hAnsi="Arial" w:cs="Arial"/>
          <w:sz w:val="22"/>
          <w:szCs w:val="22"/>
        </w:rPr>
        <w:t>The Field Guide to Understanding “Human Error”</w:t>
      </w:r>
      <w:r w:rsidRPr="00280F36">
        <w:rPr>
          <w:rFonts w:ascii="Arial" w:hAnsi="Arial" w:cs="Arial"/>
          <w:sz w:val="22"/>
          <w:szCs w:val="22"/>
        </w:rPr>
        <w:t xml:space="preserve">. 3rd edn. Farnham: </w:t>
      </w:r>
      <w:proofErr w:type="spellStart"/>
      <w:r w:rsidRPr="00280F36">
        <w:rPr>
          <w:rFonts w:ascii="Arial" w:hAnsi="Arial" w:cs="Arial"/>
          <w:sz w:val="22"/>
          <w:szCs w:val="22"/>
        </w:rPr>
        <w:t>Ashgate</w:t>
      </w:r>
      <w:proofErr w:type="spellEnd"/>
      <w:r w:rsidRPr="00280F36">
        <w:rPr>
          <w:rFonts w:ascii="Arial" w:hAnsi="Arial" w:cs="Arial"/>
          <w:sz w:val="22"/>
          <w:szCs w:val="22"/>
        </w:rPr>
        <w:t>.</w:t>
      </w:r>
    </w:p>
    <w:p w14:paraId="1535A814" w14:textId="288FA874" w:rsidR="00EC2697" w:rsidRPr="00280F36" w:rsidRDefault="00EC2697" w:rsidP="00280F36">
      <w:pPr>
        <w:pStyle w:val="NormalWeb"/>
        <w:spacing w:line="360" w:lineRule="auto"/>
        <w:rPr>
          <w:rFonts w:ascii="Arial" w:hAnsi="Arial" w:cs="Arial"/>
          <w:sz w:val="22"/>
          <w:szCs w:val="22"/>
        </w:rPr>
      </w:pPr>
      <w:r w:rsidRPr="00280F36">
        <w:rPr>
          <w:rStyle w:val="Strong"/>
          <w:rFonts w:ascii="Arial" w:eastAsia="Times New Roman" w:hAnsi="Arial" w:cs="Arial"/>
          <w:b w:val="0"/>
          <w:bCs w:val="0"/>
          <w:sz w:val="22"/>
          <w:szCs w:val="22"/>
        </w:rPr>
        <w:t xml:space="preserve">Dixon-Woods, M., </w:t>
      </w:r>
      <w:proofErr w:type="spellStart"/>
      <w:r w:rsidRPr="00280F36">
        <w:rPr>
          <w:rStyle w:val="Strong"/>
          <w:rFonts w:ascii="Arial" w:eastAsia="Times New Roman" w:hAnsi="Arial" w:cs="Arial"/>
          <w:b w:val="0"/>
          <w:bCs w:val="0"/>
          <w:sz w:val="22"/>
          <w:szCs w:val="22"/>
        </w:rPr>
        <w:t>McNicol</w:t>
      </w:r>
      <w:proofErr w:type="spellEnd"/>
      <w:r w:rsidRPr="00280F36">
        <w:rPr>
          <w:rStyle w:val="Strong"/>
          <w:rFonts w:ascii="Arial" w:eastAsia="Times New Roman" w:hAnsi="Arial" w:cs="Arial"/>
          <w:b w:val="0"/>
          <w:bCs w:val="0"/>
          <w:sz w:val="22"/>
          <w:szCs w:val="22"/>
        </w:rPr>
        <w:t>, S. and Martin, G. (2012)</w:t>
      </w:r>
      <w:r w:rsidRPr="00280F36">
        <w:rPr>
          <w:rFonts w:ascii="Arial" w:eastAsia="Times New Roman" w:hAnsi="Arial" w:cs="Arial"/>
          <w:b/>
          <w:bCs/>
          <w:sz w:val="22"/>
          <w:szCs w:val="22"/>
        </w:rPr>
        <w:t xml:space="preserve"> </w:t>
      </w:r>
      <w:r w:rsidRPr="00280F36">
        <w:rPr>
          <w:rFonts w:ascii="Arial" w:eastAsia="Times New Roman" w:hAnsi="Arial" w:cs="Arial"/>
          <w:sz w:val="22"/>
          <w:szCs w:val="22"/>
        </w:rPr>
        <w:t xml:space="preserve">‘Ten challenges in improving quality in healthcare: lessons from the Health Foundation’s programme evaluations and relevant literature’, </w:t>
      </w:r>
      <w:r w:rsidRPr="00280F36">
        <w:rPr>
          <w:rStyle w:val="Emphasis"/>
          <w:rFonts w:ascii="Arial" w:eastAsia="Times New Roman" w:hAnsi="Arial" w:cs="Arial"/>
          <w:sz w:val="22"/>
          <w:szCs w:val="22"/>
        </w:rPr>
        <w:t>BMJ Quality &amp; Safety</w:t>
      </w:r>
      <w:r w:rsidRPr="00280F36">
        <w:rPr>
          <w:rFonts w:ascii="Arial" w:eastAsia="Times New Roman" w:hAnsi="Arial" w:cs="Arial"/>
          <w:sz w:val="22"/>
          <w:szCs w:val="22"/>
        </w:rPr>
        <w:t>, 21(10), pp.876–884. doi:10.1136/bmjqs-2011-000760.</w:t>
      </w:r>
    </w:p>
    <w:p w14:paraId="593457EC"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Edmondson, A. (1999) ‘Psychological safety and learning behaviour in work teams’, </w:t>
      </w:r>
      <w:r w:rsidRPr="00280F36">
        <w:rPr>
          <w:rStyle w:val="Emphasis"/>
          <w:rFonts w:ascii="Arial" w:hAnsi="Arial" w:cs="Arial"/>
          <w:sz w:val="22"/>
          <w:szCs w:val="22"/>
        </w:rPr>
        <w:t>Administrative Science Quarterly</w:t>
      </w:r>
      <w:r w:rsidRPr="00280F36">
        <w:rPr>
          <w:rFonts w:ascii="Arial" w:hAnsi="Arial" w:cs="Arial"/>
          <w:sz w:val="22"/>
          <w:szCs w:val="22"/>
        </w:rPr>
        <w:t>, 44(2), pp.350–383. doi:10.2307/2666999.</w:t>
      </w:r>
    </w:p>
    <w:p w14:paraId="481DE2E8" w14:textId="77777777" w:rsidR="002E677D" w:rsidRPr="00280F36" w:rsidRDefault="002E677D" w:rsidP="00280F36">
      <w:pPr>
        <w:pStyle w:val="NormalWeb"/>
        <w:spacing w:line="360" w:lineRule="auto"/>
        <w:rPr>
          <w:rFonts w:ascii="Arial" w:hAnsi="Arial" w:cs="Arial"/>
          <w:sz w:val="22"/>
          <w:szCs w:val="22"/>
        </w:rPr>
      </w:pPr>
      <w:proofErr w:type="spellStart"/>
      <w:r w:rsidRPr="00280F36">
        <w:rPr>
          <w:rFonts w:ascii="Arial" w:hAnsi="Arial" w:cs="Arial"/>
          <w:sz w:val="22"/>
          <w:szCs w:val="22"/>
        </w:rPr>
        <w:lastRenderedPageBreak/>
        <w:t>Gawande</w:t>
      </w:r>
      <w:proofErr w:type="spellEnd"/>
      <w:r w:rsidRPr="00280F36">
        <w:rPr>
          <w:rFonts w:ascii="Arial" w:hAnsi="Arial" w:cs="Arial"/>
          <w:sz w:val="22"/>
          <w:szCs w:val="22"/>
        </w:rPr>
        <w:t xml:space="preserve">, A. (2007) </w:t>
      </w:r>
      <w:r w:rsidRPr="00280F36">
        <w:rPr>
          <w:rStyle w:val="Emphasis"/>
          <w:rFonts w:ascii="Arial" w:hAnsi="Arial" w:cs="Arial"/>
          <w:sz w:val="22"/>
          <w:szCs w:val="22"/>
        </w:rPr>
        <w:t>Better: A Surgeon’s Notes on Performance</w:t>
      </w:r>
      <w:r w:rsidRPr="00280F36">
        <w:rPr>
          <w:rFonts w:ascii="Arial" w:hAnsi="Arial" w:cs="Arial"/>
          <w:sz w:val="22"/>
          <w:szCs w:val="22"/>
        </w:rPr>
        <w:t>. London: Profile Books.</w:t>
      </w:r>
    </w:p>
    <w:p w14:paraId="3D96C6E2"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Greenhalgh, T., </w:t>
      </w:r>
      <w:proofErr w:type="spellStart"/>
      <w:r w:rsidRPr="00280F36">
        <w:rPr>
          <w:rFonts w:ascii="Arial" w:hAnsi="Arial" w:cs="Arial"/>
          <w:sz w:val="22"/>
          <w:szCs w:val="22"/>
        </w:rPr>
        <w:t>Papoutsi</w:t>
      </w:r>
      <w:proofErr w:type="spellEnd"/>
      <w:r w:rsidRPr="00280F36">
        <w:rPr>
          <w:rFonts w:ascii="Arial" w:hAnsi="Arial" w:cs="Arial"/>
          <w:sz w:val="22"/>
          <w:szCs w:val="22"/>
        </w:rPr>
        <w:t xml:space="preserve">, C. and Shaw, S. (2018) ‘Researching complexity in health services’, </w:t>
      </w:r>
      <w:r w:rsidRPr="00280F36">
        <w:rPr>
          <w:rStyle w:val="Emphasis"/>
          <w:rFonts w:ascii="Arial" w:hAnsi="Arial" w:cs="Arial"/>
          <w:sz w:val="22"/>
          <w:szCs w:val="22"/>
        </w:rPr>
        <w:t>The Lancet</w:t>
      </w:r>
      <w:r w:rsidRPr="00280F36">
        <w:rPr>
          <w:rFonts w:ascii="Arial" w:hAnsi="Arial" w:cs="Arial"/>
          <w:sz w:val="22"/>
          <w:szCs w:val="22"/>
        </w:rPr>
        <w:t>, 392(10162), pp.139–140. doi:10.1016/S0140-6736(18)31117-0.</w:t>
      </w:r>
    </w:p>
    <w:p w14:paraId="5C589574"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Hersey, P. and Blanchard, K.H. (1969) ‘Life cycle theory of leadership’, </w:t>
      </w:r>
      <w:r w:rsidRPr="00280F36">
        <w:rPr>
          <w:rStyle w:val="Emphasis"/>
          <w:rFonts w:ascii="Arial" w:hAnsi="Arial" w:cs="Arial"/>
          <w:sz w:val="22"/>
          <w:szCs w:val="22"/>
        </w:rPr>
        <w:t>Training and Development Journal</w:t>
      </w:r>
      <w:r w:rsidRPr="00280F36">
        <w:rPr>
          <w:rFonts w:ascii="Arial" w:hAnsi="Arial" w:cs="Arial"/>
          <w:sz w:val="22"/>
          <w:szCs w:val="22"/>
        </w:rPr>
        <w:t>, 23(5), pp.26–34.</w:t>
      </w:r>
    </w:p>
    <w:p w14:paraId="4D6A7CAC" w14:textId="0C6F4083"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Institute for Healthcare Improvement (IHI) (2020) </w:t>
      </w:r>
      <w:r w:rsidRPr="00280F36">
        <w:rPr>
          <w:rStyle w:val="Emphasis"/>
          <w:rFonts w:ascii="Arial" w:hAnsi="Arial" w:cs="Arial"/>
          <w:sz w:val="22"/>
          <w:szCs w:val="22"/>
        </w:rPr>
        <w:t>Science of Improvement: How to Improve</w:t>
      </w:r>
      <w:r w:rsidRPr="00280F36">
        <w:rPr>
          <w:rFonts w:ascii="Arial" w:hAnsi="Arial" w:cs="Arial"/>
          <w:sz w:val="22"/>
          <w:szCs w:val="22"/>
        </w:rPr>
        <w:t xml:space="preserve">. Available at: </w:t>
      </w:r>
      <w:hyperlink r:id="rId11" w:history="1">
        <w:r w:rsidRPr="00280F36">
          <w:rPr>
            <w:rStyle w:val="Hyperlink"/>
            <w:rFonts w:ascii="Arial" w:hAnsi="Arial" w:cs="Arial"/>
            <w:sz w:val="22"/>
            <w:szCs w:val="22"/>
          </w:rPr>
          <w:t>https://www.ihi.org/resources/Pages/HowtoImprove/default.aspx</w:t>
        </w:r>
      </w:hyperlink>
      <w:r w:rsidRPr="00280F36">
        <w:rPr>
          <w:rFonts w:ascii="Arial" w:hAnsi="Arial" w:cs="Arial"/>
          <w:sz w:val="22"/>
          <w:szCs w:val="22"/>
        </w:rPr>
        <w:t xml:space="preserve"> (Accessed: 1</w:t>
      </w:r>
      <w:r w:rsidR="00392177">
        <w:rPr>
          <w:rFonts w:ascii="Arial" w:hAnsi="Arial" w:cs="Arial"/>
          <w:sz w:val="22"/>
          <w:szCs w:val="22"/>
        </w:rPr>
        <w:t>7</w:t>
      </w:r>
      <w:r w:rsidRPr="00280F36">
        <w:rPr>
          <w:rFonts w:ascii="Arial" w:hAnsi="Arial" w:cs="Arial"/>
          <w:sz w:val="22"/>
          <w:szCs w:val="22"/>
        </w:rPr>
        <w:t xml:space="preserve"> July 2026).</w:t>
      </w:r>
    </w:p>
    <w:p w14:paraId="093DC427"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Kohn, L.T., Corrigan, J.M. and Donaldson, M.S. (eds.) (2000) </w:t>
      </w:r>
      <w:r w:rsidRPr="00280F36">
        <w:rPr>
          <w:rStyle w:val="Emphasis"/>
          <w:rFonts w:ascii="Arial" w:hAnsi="Arial" w:cs="Arial"/>
          <w:sz w:val="22"/>
          <w:szCs w:val="22"/>
        </w:rPr>
        <w:t>To Err Is Human: Building a Safer Health System</w:t>
      </w:r>
      <w:r w:rsidRPr="00280F36">
        <w:rPr>
          <w:rFonts w:ascii="Arial" w:hAnsi="Arial" w:cs="Arial"/>
          <w:sz w:val="22"/>
          <w:szCs w:val="22"/>
        </w:rPr>
        <w:t>. Washington DC: National Academy Press.</w:t>
      </w:r>
    </w:p>
    <w:p w14:paraId="219AD4B3"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Kotter, J.P. (2012) </w:t>
      </w:r>
      <w:r w:rsidRPr="00280F36">
        <w:rPr>
          <w:rStyle w:val="Emphasis"/>
          <w:rFonts w:ascii="Arial" w:hAnsi="Arial" w:cs="Arial"/>
          <w:sz w:val="22"/>
          <w:szCs w:val="22"/>
        </w:rPr>
        <w:t>Leading Change</w:t>
      </w:r>
      <w:r w:rsidRPr="00280F36">
        <w:rPr>
          <w:rFonts w:ascii="Arial" w:hAnsi="Arial" w:cs="Arial"/>
          <w:sz w:val="22"/>
          <w:szCs w:val="22"/>
        </w:rPr>
        <w:t>. Boston: Harvard Business Review Press.</w:t>
      </w:r>
    </w:p>
    <w:p w14:paraId="4BDEAA46" w14:textId="77777777" w:rsidR="002E677D" w:rsidRPr="00280F36" w:rsidRDefault="002E677D" w:rsidP="00280F36">
      <w:pPr>
        <w:pStyle w:val="NormalWeb"/>
        <w:spacing w:line="360" w:lineRule="auto"/>
        <w:rPr>
          <w:rFonts w:ascii="Arial" w:hAnsi="Arial" w:cs="Arial"/>
          <w:sz w:val="22"/>
          <w:szCs w:val="22"/>
        </w:rPr>
      </w:pPr>
      <w:proofErr w:type="spellStart"/>
      <w:r w:rsidRPr="00280F36">
        <w:rPr>
          <w:rFonts w:ascii="Arial" w:hAnsi="Arial" w:cs="Arial"/>
          <w:sz w:val="22"/>
          <w:szCs w:val="22"/>
        </w:rPr>
        <w:t>Leape</w:t>
      </w:r>
      <w:proofErr w:type="spellEnd"/>
      <w:r w:rsidRPr="00280F36">
        <w:rPr>
          <w:rFonts w:ascii="Arial" w:hAnsi="Arial" w:cs="Arial"/>
          <w:sz w:val="22"/>
          <w:szCs w:val="22"/>
        </w:rPr>
        <w:t xml:space="preserve">, L.L. (1994) ‘Error in medicine’, </w:t>
      </w:r>
      <w:r w:rsidRPr="00280F36">
        <w:rPr>
          <w:rStyle w:val="Emphasis"/>
          <w:rFonts w:ascii="Arial" w:hAnsi="Arial" w:cs="Arial"/>
          <w:sz w:val="22"/>
          <w:szCs w:val="22"/>
        </w:rPr>
        <w:t>JAMA</w:t>
      </w:r>
      <w:r w:rsidRPr="00280F36">
        <w:rPr>
          <w:rFonts w:ascii="Arial" w:hAnsi="Arial" w:cs="Arial"/>
          <w:sz w:val="22"/>
          <w:szCs w:val="22"/>
        </w:rPr>
        <w:t>, 272(23), pp.1851–1857. doi:10.1001/jama.1994.03520230061039.</w:t>
      </w:r>
    </w:p>
    <w:p w14:paraId="383711B4"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Mintzberg, H. (1983) </w:t>
      </w:r>
      <w:r w:rsidRPr="00280F36">
        <w:rPr>
          <w:rStyle w:val="Emphasis"/>
          <w:rFonts w:ascii="Arial" w:hAnsi="Arial" w:cs="Arial"/>
          <w:sz w:val="22"/>
          <w:szCs w:val="22"/>
        </w:rPr>
        <w:t>Structure in Fives: Designing Effective Organizations</w:t>
      </w:r>
      <w:r w:rsidRPr="00280F36">
        <w:rPr>
          <w:rFonts w:ascii="Arial" w:hAnsi="Arial" w:cs="Arial"/>
          <w:sz w:val="22"/>
          <w:szCs w:val="22"/>
        </w:rPr>
        <w:t>. Englewood Cliffs, NJ: Prentice Hall.</w:t>
      </w:r>
    </w:p>
    <w:p w14:paraId="33AEEACD" w14:textId="0619048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National Institute for Health and Care Excellence (NICE) (2021) </w:t>
      </w:r>
      <w:r w:rsidRPr="00280F36">
        <w:rPr>
          <w:rStyle w:val="Emphasis"/>
          <w:rFonts w:ascii="Arial" w:hAnsi="Arial" w:cs="Arial"/>
          <w:sz w:val="22"/>
          <w:szCs w:val="22"/>
        </w:rPr>
        <w:t>Medicines Optimisation: The Safe and Effective Use of Medicines to Enable the Best Possible Outcomes</w:t>
      </w:r>
      <w:r w:rsidRPr="00280F36">
        <w:rPr>
          <w:rFonts w:ascii="Arial" w:hAnsi="Arial" w:cs="Arial"/>
          <w:sz w:val="22"/>
          <w:szCs w:val="22"/>
        </w:rPr>
        <w:t xml:space="preserve">. Available at: </w:t>
      </w:r>
      <w:hyperlink r:id="rId12" w:history="1">
        <w:r w:rsidRPr="00280F36">
          <w:rPr>
            <w:rStyle w:val="Hyperlink"/>
            <w:rFonts w:ascii="Arial" w:hAnsi="Arial" w:cs="Arial"/>
            <w:sz w:val="22"/>
            <w:szCs w:val="22"/>
          </w:rPr>
          <w:t>https://www.nice.org.uk/guidance/ng5</w:t>
        </w:r>
      </w:hyperlink>
      <w:r w:rsidRPr="00280F36">
        <w:rPr>
          <w:rFonts w:ascii="Arial" w:hAnsi="Arial" w:cs="Arial"/>
          <w:sz w:val="22"/>
          <w:szCs w:val="22"/>
        </w:rPr>
        <w:t xml:space="preserve"> (Accessed: 1</w:t>
      </w:r>
      <w:r w:rsidR="00DE1C6B">
        <w:rPr>
          <w:rFonts w:ascii="Arial" w:hAnsi="Arial" w:cs="Arial"/>
          <w:sz w:val="22"/>
          <w:szCs w:val="22"/>
        </w:rPr>
        <w:t>1</w:t>
      </w:r>
      <w:r w:rsidRPr="00280F36">
        <w:rPr>
          <w:rFonts w:ascii="Arial" w:hAnsi="Arial" w:cs="Arial"/>
          <w:sz w:val="22"/>
          <w:szCs w:val="22"/>
        </w:rPr>
        <w:t xml:space="preserve"> July 2026).</w:t>
      </w:r>
    </w:p>
    <w:p w14:paraId="58728E17" w14:textId="67064F90" w:rsidR="002E677D" w:rsidRDefault="002E677D" w:rsidP="00280F36">
      <w:pPr>
        <w:pStyle w:val="NormalWeb"/>
        <w:spacing w:line="360" w:lineRule="auto"/>
        <w:rPr>
          <w:rFonts w:ascii="Arial" w:hAnsi="Arial" w:cs="Arial"/>
          <w:sz w:val="22"/>
          <w:szCs w:val="22"/>
        </w:rPr>
      </w:pPr>
      <w:r w:rsidRPr="00280F36">
        <w:rPr>
          <w:rFonts w:ascii="Arial" w:hAnsi="Arial" w:cs="Arial"/>
          <w:sz w:val="22"/>
          <w:szCs w:val="22"/>
        </w:rPr>
        <w:t>N</w:t>
      </w:r>
      <w:r w:rsidR="00C343DD">
        <w:rPr>
          <w:rFonts w:ascii="Arial" w:hAnsi="Arial" w:cs="Arial"/>
          <w:sz w:val="22"/>
          <w:szCs w:val="22"/>
        </w:rPr>
        <w:t>HS</w:t>
      </w:r>
      <w:r w:rsidR="00930D35">
        <w:rPr>
          <w:rFonts w:ascii="Arial" w:hAnsi="Arial" w:cs="Arial"/>
          <w:sz w:val="22"/>
          <w:szCs w:val="22"/>
        </w:rPr>
        <w:t xml:space="preserve"> England</w:t>
      </w:r>
      <w:r w:rsidRPr="00280F36">
        <w:rPr>
          <w:rFonts w:ascii="Arial" w:hAnsi="Arial" w:cs="Arial"/>
          <w:sz w:val="22"/>
          <w:szCs w:val="22"/>
        </w:rPr>
        <w:t xml:space="preserve"> (2022) </w:t>
      </w:r>
      <w:r w:rsidRPr="00280F36">
        <w:rPr>
          <w:rStyle w:val="Emphasis"/>
          <w:rFonts w:ascii="Arial" w:hAnsi="Arial" w:cs="Arial"/>
          <w:sz w:val="22"/>
          <w:szCs w:val="22"/>
        </w:rPr>
        <w:t>Patient Safety Incident Response Framework</w:t>
      </w:r>
      <w:r w:rsidRPr="00280F36">
        <w:rPr>
          <w:rFonts w:ascii="Arial" w:hAnsi="Arial" w:cs="Arial"/>
          <w:sz w:val="22"/>
          <w:szCs w:val="22"/>
        </w:rPr>
        <w:t>. Available at:</w:t>
      </w:r>
      <w:r w:rsidR="00930D35">
        <w:rPr>
          <w:rFonts w:ascii="Arial" w:hAnsi="Arial" w:cs="Arial"/>
          <w:sz w:val="22"/>
          <w:szCs w:val="22"/>
        </w:rPr>
        <w:t xml:space="preserve"> </w:t>
      </w:r>
      <w:hyperlink r:id="rId13" w:history="1">
        <w:r w:rsidR="00841888" w:rsidRPr="009B725A">
          <w:rPr>
            <w:rStyle w:val="Hyperlink"/>
            <w:rFonts w:ascii="Arial" w:hAnsi="Arial" w:cs="Arial"/>
            <w:sz w:val="22"/>
            <w:szCs w:val="22"/>
          </w:rPr>
          <w:t>https://www.england.nhs.uk/patient-safety/patient-safety-insight/incident-response-framework/</w:t>
        </w:r>
      </w:hyperlink>
      <w:r w:rsidR="00841888">
        <w:rPr>
          <w:rFonts w:ascii="Arial" w:hAnsi="Arial" w:cs="Arial"/>
          <w:sz w:val="22"/>
          <w:szCs w:val="22"/>
        </w:rPr>
        <w:t xml:space="preserve"> </w:t>
      </w:r>
      <w:r w:rsidRPr="00280F36">
        <w:rPr>
          <w:rFonts w:ascii="Arial" w:hAnsi="Arial" w:cs="Arial"/>
          <w:sz w:val="22"/>
          <w:szCs w:val="22"/>
        </w:rPr>
        <w:t xml:space="preserve"> (Accessed: 1</w:t>
      </w:r>
      <w:r w:rsidR="00DE1C6B">
        <w:rPr>
          <w:rFonts w:ascii="Arial" w:hAnsi="Arial" w:cs="Arial"/>
          <w:sz w:val="22"/>
          <w:szCs w:val="22"/>
        </w:rPr>
        <w:t>0</w:t>
      </w:r>
      <w:r w:rsidRPr="00280F36">
        <w:rPr>
          <w:rFonts w:ascii="Arial" w:hAnsi="Arial" w:cs="Arial"/>
          <w:sz w:val="22"/>
          <w:szCs w:val="22"/>
        </w:rPr>
        <w:t xml:space="preserve"> July 2026).</w:t>
      </w:r>
    </w:p>
    <w:p w14:paraId="48FC0964" w14:textId="4EDB9C36" w:rsidR="00A852B0" w:rsidRPr="007464F3" w:rsidRDefault="00A852B0" w:rsidP="00280F36">
      <w:pPr>
        <w:pStyle w:val="NormalWeb"/>
        <w:spacing w:line="360" w:lineRule="auto"/>
        <w:rPr>
          <w:rFonts w:ascii="Arial" w:hAnsi="Arial" w:cs="Arial"/>
          <w:sz w:val="22"/>
          <w:szCs w:val="22"/>
        </w:rPr>
      </w:pPr>
      <w:r w:rsidRPr="007464F3">
        <w:rPr>
          <w:rFonts w:ascii="Arial" w:eastAsia="Times New Roman" w:hAnsi="Arial" w:cs="Arial"/>
          <w:sz w:val="22"/>
          <w:szCs w:val="22"/>
        </w:rPr>
        <w:t xml:space="preserve">NHS North East and Yorkshire (2023) </w:t>
      </w:r>
      <w:r w:rsidRPr="007464F3">
        <w:rPr>
          <w:rStyle w:val="Emphasis"/>
          <w:rFonts w:ascii="Arial" w:eastAsia="Times New Roman" w:hAnsi="Arial" w:cs="Arial"/>
          <w:sz w:val="22"/>
          <w:szCs w:val="22"/>
        </w:rPr>
        <w:t>Serious Incident Case Study: Infant Morphine Overdose Investigation Summary and Learning</w:t>
      </w:r>
      <w:r w:rsidRPr="007464F3">
        <w:rPr>
          <w:rFonts w:ascii="Arial" w:eastAsia="Times New Roman" w:hAnsi="Arial" w:cs="Arial"/>
          <w:sz w:val="22"/>
          <w:szCs w:val="22"/>
        </w:rPr>
        <w:t xml:space="preserve">. NHS England North East and Yorkshire. Available at: </w:t>
      </w:r>
      <w:hyperlink r:id="rId14" w:tgtFrame="_new" w:history="1">
        <w:r w:rsidRPr="007464F3">
          <w:rPr>
            <w:rStyle w:val="Hyperlink"/>
            <w:rFonts w:ascii="Arial" w:eastAsia="Times New Roman" w:hAnsi="Arial" w:cs="Arial"/>
            <w:sz w:val="22"/>
            <w:szCs w:val="22"/>
          </w:rPr>
          <w:t>https://northyorkshireccg.nhs.uk/wp-content/uploads/2023/09/11.07.23-NHS-NEY-INFANT-MORPHINE-OVERDOSE-CASE-STUDY.pdf</w:t>
        </w:r>
      </w:hyperlink>
      <w:r w:rsidRPr="007464F3">
        <w:rPr>
          <w:rFonts w:ascii="Arial" w:eastAsia="Times New Roman" w:hAnsi="Arial" w:cs="Arial"/>
          <w:sz w:val="22"/>
          <w:szCs w:val="22"/>
        </w:rPr>
        <w:t xml:space="preserve"> (Accessed: </w:t>
      </w:r>
      <w:r w:rsidR="007464F3" w:rsidRPr="007464F3">
        <w:rPr>
          <w:rFonts w:ascii="Arial" w:eastAsia="Times New Roman" w:hAnsi="Arial" w:cs="Arial"/>
          <w:sz w:val="22"/>
          <w:szCs w:val="22"/>
        </w:rPr>
        <w:t>10</w:t>
      </w:r>
      <w:r w:rsidRPr="007464F3">
        <w:rPr>
          <w:rFonts w:ascii="Arial" w:eastAsia="Times New Roman" w:hAnsi="Arial" w:cs="Arial"/>
          <w:sz w:val="22"/>
          <w:szCs w:val="22"/>
        </w:rPr>
        <w:t xml:space="preserve"> July 2026).</w:t>
      </w:r>
    </w:p>
    <w:p w14:paraId="3DC1FD78" w14:textId="4A690E64"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NHS England (2019) </w:t>
      </w:r>
      <w:r w:rsidRPr="00280F36">
        <w:rPr>
          <w:rStyle w:val="Emphasis"/>
          <w:rFonts w:ascii="Arial" w:hAnsi="Arial" w:cs="Arial"/>
          <w:sz w:val="22"/>
          <w:szCs w:val="22"/>
        </w:rPr>
        <w:t>The NHS Patient Safety Strategy: Safer Culture, Safer Systems, Safer Patients</w:t>
      </w:r>
      <w:r w:rsidRPr="00280F36">
        <w:rPr>
          <w:rFonts w:ascii="Arial" w:hAnsi="Arial" w:cs="Arial"/>
          <w:sz w:val="22"/>
          <w:szCs w:val="22"/>
        </w:rPr>
        <w:t xml:space="preserve">. Available at: </w:t>
      </w:r>
      <w:hyperlink r:id="rId15" w:history="1">
        <w:r w:rsidRPr="00280F36">
          <w:rPr>
            <w:rStyle w:val="Hyperlink"/>
            <w:rFonts w:ascii="Arial" w:hAnsi="Arial" w:cs="Arial"/>
            <w:sz w:val="22"/>
            <w:szCs w:val="22"/>
          </w:rPr>
          <w:t>https://www.england.nhs.uk/patient-safety/the-nhs-patient-safety-strategy/</w:t>
        </w:r>
      </w:hyperlink>
      <w:r w:rsidRPr="00280F36">
        <w:rPr>
          <w:rFonts w:ascii="Arial" w:hAnsi="Arial" w:cs="Arial"/>
          <w:sz w:val="22"/>
          <w:szCs w:val="22"/>
        </w:rPr>
        <w:t xml:space="preserve"> (Accessed: 1</w:t>
      </w:r>
      <w:r w:rsidR="00DE1C6B">
        <w:rPr>
          <w:rFonts w:ascii="Arial" w:hAnsi="Arial" w:cs="Arial"/>
          <w:sz w:val="22"/>
          <w:szCs w:val="22"/>
        </w:rPr>
        <w:t>9</w:t>
      </w:r>
      <w:r w:rsidRPr="00280F36">
        <w:rPr>
          <w:rFonts w:ascii="Arial" w:hAnsi="Arial" w:cs="Arial"/>
          <w:sz w:val="22"/>
          <w:szCs w:val="22"/>
        </w:rPr>
        <w:t xml:space="preserve"> July 2026).</w:t>
      </w:r>
    </w:p>
    <w:p w14:paraId="5625BAC3"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lastRenderedPageBreak/>
        <w:t xml:space="preserve">NHS England (2019) </w:t>
      </w:r>
      <w:r w:rsidRPr="00280F36">
        <w:rPr>
          <w:rStyle w:val="Emphasis"/>
          <w:rFonts w:ascii="Arial" w:hAnsi="Arial" w:cs="Arial"/>
          <w:sz w:val="22"/>
          <w:szCs w:val="22"/>
        </w:rPr>
        <w:t>The NHS Long Term Plan</w:t>
      </w:r>
      <w:r w:rsidRPr="00280F36">
        <w:rPr>
          <w:rFonts w:ascii="Arial" w:hAnsi="Arial" w:cs="Arial"/>
          <w:sz w:val="22"/>
          <w:szCs w:val="22"/>
        </w:rPr>
        <w:t xml:space="preserve">. Available at: </w:t>
      </w:r>
      <w:hyperlink r:id="rId16" w:history="1">
        <w:r w:rsidRPr="00280F36">
          <w:rPr>
            <w:rStyle w:val="Hyperlink"/>
            <w:rFonts w:ascii="Arial" w:hAnsi="Arial" w:cs="Arial"/>
            <w:sz w:val="22"/>
            <w:szCs w:val="22"/>
          </w:rPr>
          <w:t>https://www.longtermplan.nhs.uk</w:t>
        </w:r>
      </w:hyperlink>
      <w:r w:rsidRPr="00280F36">
        <w:rPr>
          <w:rFonts w:ascii="Arial" w:hAnsi="Arial" w:cs="Arial"/>
          <w:sz w:val="22"/>
          <w:szCs w:val="22"/>
        </w:rPr>
        <w:t xml:space="preserve"> (Accessed: 18 July 2026).</w:t>
      </w:r>
    </w:p>
    <w:p w14:paraId="007AA056" w14:textId="41C4F095"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NHS England (2022) </w:t>
      </w:r>
      <w:r w:rsidRPr="00280F36">
        <w:rPr>
          <w:rStyle w:val="Emphasis"/>
          <w:rFonts w:ascii="Arial" w:hAnsi="Arial" w:cs="Arial"/>
          <w:sz w:val="22"/>
          <w:szCs w:val="22"/>
        </w:rPr>
        <w:t>Patient Safety Incident Response Framework</w:t>
      </w:r>
      <w:r w:rsidRPr="00280F36">
        <w:rPr>
          <w:rFonts w:ascii="Arial" w:hAnsi="Arial" w:cs="Arial"/>
          <w:sz w:val="22"/>
          <w:szCs w:val="22"/>
        </w:rPr>
        <w:t xml:space="preserve">. Available at: </w:t>
      </w:r>
      <w:hyperlink r:id="rId17" w:history="1">
        <w:r w:rsidRPr="00280F36">
          <w:rPr>
            <w:rStyle w:val="Hyperlink"/>
            <w:rFonts w:ascii="Arial" w:hAnsi="Arial" w:cs="Arial"/>
            <w:sz w:val="22"/>
            <w:szCs w:val="22"/>
          </w:rPr>
          <w:t>https://www.england.nhs.uk/patient-safety/incident-response-framework/</w:t>
        </w:r>
      </w:hyperlink>
      <w:r w:rsidRPr="00280F36">
        <w:rPr>
          <w:rFonts w:ascii="Arial" w:hAnsi="Arial" w:cs="Arial"/>
          <w:sz w:val="22"/>
          <w:szCs w:val="22"/>
        </w:rPr>
        <w:t xml:space="preserve"> (Accessed: </w:t>
      </w:r>
      <w:r w:rsidR="00DE1C6B">
        <w:rPr>
          <w:rFonts w:ascii="Arial" w:hAnsi="Arial" w:cs="Arial"/>
          <w:sz w:val="22"/>
          <w:szCs w:val="22"/>
        </w:rPr>
        <w:t xml:space="preserve">20 </w:t>
      </w:r>
      <w:r w:rsidRPr="00280F36">
        <w:rPr>
          <w:rFonts w:ascii="Arial" w:hAnsi="Arial" w:cs="Arial"/>
          <w:sz w:val="22"/>
          <w:szCs w:val="22"/>
        </w:rPr>
        <w:t>July 2026).</w:t>
      </w:r>
    </w:p>
    <w:p w14:paraId="7B65C061" w14:textId="2F7EDA03"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NHS England (2023) </w:t>
      </w:r>
      <w:r w:rsidRPr="00280F36">
        <w:rPr>
          <w:rStyle w:val="Emphasis"/>
          <w:rFonts w:ascii="Arial" w:hAnsi="Arial" w:cs="Arial"/>
          <w:sz w:val="22"/>
          <w:szCs w:val="22"/>
        </w:rPr>
        <w:t>National Patient Safety Improvement Programmes</w:t>
      </w:r>
      <w:r w:rsidRPr="00280F36">
        <w:rPr>
          <w:rFonts w:ascii="Arial" w:hAnsi="Arial" w:cs="Arial"/>
          <w:sz w:val="22"/>
          <w:szCs w:val="22"/>
        </w:rPr>
        <w:t xml:space="preserve">. Available at: </w:t>
      </w:r>
      <w:hyperlink r:id="rId18" w:history="1">
        <w:r w:rsidRPr="00280F36">
          <w:rPr>
            <w:rStyle w:val="Hyperlink"/>
            <w:rFonts w:ascii="Arial" w:hAnsi="Arial" w:cs="Arial"/>
            <w:sz w:val="22"/>
            <w:szCs w:val="22"/>
          </w:rPr>
          <w:t>https://www.england.nhs.uk/patient-safety/patient-safety-improvement-programmes/</w:t>
        </w:r>
      </w:hyperlink>
      <w:r w:rsidRPr="00280F36">
        <w:rPr>
          <w:rFonts w:ascii="Arial" w:hAnsi="Arial" w:cs="Arial"/>
          <w:sz w:val="22"/>
          <w:szCs w:val="22"/>
        </w:rPr>
        <w:t xml:space="preserve"> (Accessed: </w:t>
      </w:r>
      <w:r w:rsidR="00DE1C6B">
        <w:rPr>
          <w:rFonts w:ascii="Arial" w:hAnsi="Arial" w:cs="Arial"/>
          <w:sz w:val="22"/>
          <w:szCs w:val="22"/>
        </w:rPr>
        <w:t>20</w:t>
      </w:r>
      <w:r w:rsidRPr="00280F36">
        <w:rPr>
          <w:rFonts w:ascii="Arial" w:hAnsi="Arial" w:cs="Arial"/>
          <w:sz w:val="22"/>
          <w:szCs w:val="22"/>
        </w:rPr>
        <w:t xml:space="preserve"> July 2026).</w:t>
      </w:r>
    </w:p>
    <w:p w14:paraId="668F5AC1" w14:textId="578067AA" w:rsidR="00516B36" w:rsidRPr="00280F36" w:rsidRDefault="00516B36" w:rsidP="00280F36">
      <w:pPr>
        <w:pStyle w:val="NormalWeb"/>
        <w:spacing w:line="360" w:lineRule="auto"/>
        <w:rPr>
          <w:rFonts w:ascii="Arial" w:hAnsi="Arial" w:cs="Arial"/>
          <w:sz w:val="22"/>
          <w:szCs w:val="22"/>
        </w:rPr>
      </w:pPr>
      <w:r w:rsidRPr="00280F36">
        <w:rPr>
          <w:rStyle w:val="Strong"/>
          <w:rFonts w:ascii="Arial" w:eastAsia="Times New Roman" w:hAnsi="Arial" w:cs="Arial"/>
          <w:b w:val="0"/>
          <w:bCs w:val="0"/>
          <w:sz w:val="22"/>
          <w:szCs w:val="22"/>
        </w:rPr>
        <w:t>NHS England (2023</w:t>
      </w:r>
      <w:r w:rsidRPr="00280F36">
        <w:rPr>
          <w:rStyle w:val="Strong"/>
          <w:rFonts w:ascii="Arial" w:eastAsia="Times New Roman" w:hAnsi="Arial" w:cs="Arial"/>
          <w:sz w:val="22"/>
          <w:szCs w:val="22"/>
        </w:rPr>
        <w:t>)</w:t>
      </w:r>
      <w:r w:rsidRPr="00280F36">
        <w:rPr>
          <w:rFonts w:ascii="Arial" w:eastAsia="Times New Roman" w:hAnsi="Arial" w:cs="Arial"/>
          <w:sz w:val="22"/>
          <w:szCs w:val="22"/>
        </w:rPr>
        <w:t xml:space="preserve"> </w:t>
      </w:r>
      <w:r w:rsidRPr="00280F36">
        <w:rPr>
          <w:rStyle w:val="Emphasis"/>
          <w:rFonts w:ascii="Arial" w:eastAsia="Times New Roman" w:hAnsi="Arial" w:cs="Arial"/>
          <w:sz w:val="22"/>
          <w:szCs w:val="22"/>
        </w:rPr>
        <w:t>NHS Patient Safety Strategy: Safety Culture and Learning Systems</w:t>
      </w:r>
      <w:r w:rsidRPr="00280F36">
        <w:rPr>
          <w:rFonts w:ascii="Arial" w:eastAsia="Times New Roman" w:hAnsi="Arial" w:cs="Arial"/>
          <w:sz w:val="22"/>
          <w:szCs w:val="22"/>
        </w:rPr>
        <w:t xml:space="preserve">. Available at: </w:t>
      </w:r>
      <w:hyperlink r:id="rId19" w:tgtFrame="_new" w:history="1">
        <w:r w:rsidRPr="00280F36">
          <w:rPr>
            <w:rStyle w:val="Hyperlink"/>
            <w:rFonts w:ascii="Arial" w:eastAsia="Times New Roman" w:hAnsi="Arial" w:cs="Arial"/>
            <w:sz w:val="22"/>
            <w:szCs w:val="22"/>
          </w:rPr>
          <w:t>https://www.england.nhs.uk/patient-safety/</w:t>
        </w:r>
      </w:hyperlink>
      <w:r w:rsidRPr="00280F36">
        <w:rPr>
          <w:rFonts w:ascii="Arial" w:eastAsia="Times New Roman" w:hAnsi="Arial" w:cs="Arial"/>
          <w:sz w:val="22"/>
          <w:szCs w:val="22"/>
        </w:rPr>
        <w:t xml:space="preserve"> (Accessed: 1</w:t>
      </w:r>
      <w:r w:rsidR="00DE1C6B">
        <w:rPr>
          <w:rFonts w:ascii="Arial" w:eastAsia="Times New Roman" w:hAnsi="Arial" w:cs="Arial"/>
          <w:sz w:val="22"/>
          <w:szCs w:val="22"/>
        </w:rPr>
        <w:t>3</w:t>
      </w:r>
      <w:r w:rsidRPr="00280F36">
        <w:rPr>
          <w:rFonts w:ascii="Arial" w:eastAsia="Times New Roman" w:hAnsi="Arial" w:cs="Arial"/>
          <w:sz w:val="22"/>
          <w:szCs w:val="22"/>
        </w:rPr>
        <w:t xml:space="preserve"> July 2026).</w:t>
      </w:r>
    </w:p>
    <w:p w14:paraId="099251D6"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NHS North East and Yorkshire (2023) </w:t>
      </w:r>
      <w:r w:rsidRPr="00280F36">
        <w:rPr>
          <w:rStyle w:val="Emphasis"/>
          <w:rFonts w:ascii="Arial" w:hAnsi="Arial" w:cs="Arial"/>
          <w:sz w:val="22"/>
          <w:szCs w:val="22"/>
        </w:rPr>
        <w:t>Infant Morphine Overdose Case Study: Medication Safety Incident</w:t>
      </w:r>
      <w:r w:rsidRPr="00280F36">
        <w:rPr>
          <w:rFonts w:ascii="Arial" w:hAnsi="Arial" w:cs="Arial"/>
          <w:sz w:val="22"/>
          <w:szCs w:val="22"/>
        </w:rPr>
        <w:t xml:space="preserve">. Available at: </w:t>
      </w:r>
      <w:hyperlink r:id="rId20" w:history="1">
        <w:r w:rsidRPr="00280F36">
          <w:rPr>
            <w:rStyle w:val="Hyperlink"/>
            <w:rFonts w:ascii="Arial" w:hAnsi="Arial" w:cs="Arial"/>
            <w:sz w:val="22"/>
            <w:szCs w:val="22"/>
          </w:rPr>
          <w:t>https://northyorkshireccg.nhs.uk/wp-content/uploads/2023/09/11.07.23-NHS-NEY-INFANT-MORPHINE-OVERDOSE-CASE-STUDY.pdf</w:t>
        </w:r>
      </w:hyperlink>
      <w:r w:rsidRPr="00280F36">
        <w:rPr>
          <w:rFonts w:ascii="Arial" w:hAnsi="Arial" w:cs="Arial"/>
          <w:sz w:val="22"/>
          <w:szCs w:val="22"/>
        </w:rPr>
        <w:t xml:space="preserve"> (Accessed: 18 July 2026).</w:t>
      </w:r>
    </w:p>
    <w:p w14:paraId="4D5A42B4"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Northouse, P.G. (2022) </w:t>
      </w:r>
      <w:r w:rsidRPr="00280F36">
        <w:rPr>
          <w:rStyle w:val="Emphasis"/>
          <w:rFonts w:ascii="Arial" w:hAnsi="Arial" w:cs="Arial"/>
          <w:sz w:val="22"/>
          <w:szCs w:val="22"/>
        </w:rPr>
        <w:t>Leadership: Theory and Practice</w:t>
      </w:r>
      <w:r w:rsidRPr="00280F36">
        <w:rPr>
          <w:rFonts w:ascii="Arial" w:hAnsi="Arial" w:cs="Arial"/>
          <w:sz w:val="22"/>
          <w:szCs w:val="22"/>
        </w:rPr>
        <w:t>. 9th edn. Thousand Oaks, CA: Sage Publications.</w:t>
      </w:r>
    </w:p>
    <w:p w14:paraId="600E2FBD" w14:textId="0F53FF0A" w:rsidR="00431419" w:rsidRPr="00280F36" w:rsidRDefault="00431419" w:rsidP="00280F36">
      <w:pPr>
        <w:pStyle w:val="NormalWeb"/>
        <w:spacing w:line="360" w:lineRule="auto"/>
        <w:rPr>
          <w:rFonts w:ascii="Arial" w:hAnsi="Arial" w:cs="Arial"/>
          <w:sz w:val="22"/>
          <w:szCs w:val="22"/>
        </w:rPr>
      </w:pPr>
      <w:r w:rsidRPr="00280F36">
        <w:rPr>
          <w:rStyle w:val="Strong"/>
          <w:rFonts w:ascii="Arial" w:eastAsia="Times New Roman" w:hAnsi="Arial" w:cs="Arial"/>
          <w:b w:val="0"/>
          <w:bCs w:val="0"/>
          <w:sz w:val="22"/>
          <w:szCs w:val="22"/>
        </w:rPr>
        <w:t>O’Daniel, M. and Rosenstein, A.H. (2008)</w:t>
      </w:r>
      <w:r w:rsidRPr="00280F36">
        <w:rPr>
          <w:rFonts w:ascii="Arial" w:eastAsia="Times New Roman" w:hAnsi="Arial" w:cs="Arial"/>
          <w:sz w:val="22"/>
          <w:szCs w:val="22"/>
        </w:rPr>
        <w:t xml:space="preserve"> ‘Professional communication and team collaboration’, in Hughes, R.G. (ed.) </w:t>
      </w:r>
      <w:r w:rsidRPr="00280F36">
        <w:rPr>
          <w:rStyle w:val="Emphasis"/>
          <w:rFonts w:ascii="Arial" w:eastAsia="Times New Roman" w:hAnsi="Arial" w:cs="Arial"/>
          <w:sz w:val="22"/>
          <w:szCs w:val="22"/>
        </w:rPr>
        <w:t>Patient Safety and Quality: An Evidence-Based Handbook for Nurses</w:t>
      </w:r>
      <w:r w:rsidRPr="00280F36">
        <w:rPr>
          <w:rFonts w:ascii="Arial" w:eastAsia="Times New Roman" w:hAnsi="Arial" w:cs="Arial"/>
          <w:sz w:val="22"/>
          <w:szCs w:val="22"/>
        </w:rPr>
        <w:t xml:space="preserve">. Rockville, MD: Agency for Healthcare Research and Quality. Available at: </w:t>
      </w:r>
      <w:hyperlink r:id="rId21" w:tgtFrame="_new" w:history="1">
        <w:r w:rsidRPr="00280F36">
          <w:rPr>
            <w:rStyle w:val="Hyperlink"/>
            <w:rFonts w:ascii="Arial" w:eastAsia="Times New Roman" w:hAnsi="Arial" w:cs="Arial"/>
            <w:sz w:val="22"/>
            <w:szCs w:val="22"/>
          </w:rPr>
          <w:t>https://www.ncbi.nlm.nih.gov/books/NBK2637/</w:t>
        </w:r>
      </w:hyperlink>
      <w:r w:rsidRPr="00280F36">
        <w:rPr>
          <w:rFonts w:ascii="Arial" w:eastAsia="Times New Roman" w:hAnsi="Arial" w:cs="Arial"/>
          <w:sz w:val="22"/>
          <w:szCs w:val="22"/>
        </w:rPr>
        <w:t xml:space="preserve"> (Accessed: 1</w:t>
      </w:r>
      <w:r w:rsidR="00DE1C6B">
        <w:rPr>
          <w:rFonts w:ascii="Arial" w:eastAsia="Times New Roman" w:hAnsi="Arial" w:cs="Arial"/>
          <w:sz w:val="22"/>
          <w:szCs w:val="22"/>
        </w:rPr>
        <w:t>1</w:t>
      </w:r>
      <w:r w:rsidRPr="00280F36">
        <w:rPr>
          <w:rFonts w:ascii="Arial" w:eastAsia="Times New Roman" w:hAnsi="Arial" w:cs="Arial"/>
          <w:sz w:val="22"/>
          <w:szCs w:val="22"/>
        </w:rPr>
        <w:t xml:space="preserve"> July 2026).</w:t>
      </w:r>
    </w:p>
    <w:p w14:paraId="1ABDC391"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Reason, J. (1997) </w:t>
      </w:r>
      <w:r w:rsidRPr="00280F36">
        <w:rPr>
          <w:rStyle w:val="Emphasis"/>
          <w:rFonts w:ascii="Arial" w:hAnsi="Arial" w:cs="Arial"/>
          <w:sz w:val="22"/>
          <w:szCs w:val="22"/>
        </w:rPr>
        <w:t>Managing the Risks of Organisational Accidents</w:t>
      </w:r>
      <w:r w:rsidRPr="00280F36">
        <w:rPr>
          <w:rFonts w:ascii="Arial" w:hAnsi="Arial" w:cs="Arial"/>
          <w:sz w:val="22"/>
          <w:szCs w:val="22"/>
        </w:rPr>
        <w:t xml:space="preserve">. Aldershot: </w:t>
      </w:r>
      <w:proofErr w:type="spellStart"/>
      <w:r w:rsidRPr="00280F36">
        <w:rPr>
          <w:rFonts w:ascii="Arial" w:hAnsi="Arial" w:cs="Arial"/>
          <w:sz w:val="22"/>
          <w:szCs w:val="22"/>
        </w:rPr>
        <w:t>Ashgate</w:t>
      </w:r>
      <w:proofErr w:type="spellEnd"/>
      <w:r w:rsidRPr="00280F36">
        <w:rPr>
          <w:rFonts w:ascii="Arial" w:hAnsi="Arial" w:cs="Arial"/>
          <w:sz w:val="22"/>
          <w:szCs w:val="22"/>
        </w:rPr>
        <w:t>.</w:t>
      </w:r>
    </w:p>
    <w:p w14:paraId="7D0452C9"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Reason, J. (2000) ‘Human error: models and management’, </w:t>
      </w:r>
      <w:r w:rsidRPr="00280F36">
        <w:rPr>
          <w:rStyle w:val="Emphasis"/>
          <w:rFonts w:ascii="Arial" w:hAnsi="Arial" w:cs="Arial"/>
          <w:sz w:val="22"/>
          <w:szCs w:val="22"/>
        </w:rPr>
        <w:t>BMJ</w:t>
      </w:r>
      <w:r w:rsidRPr="00280F36">
        <w:rPr>
          <w:rFonts w:ascii="Arial" w:hAnsi="Arial" w:cs="Arial"/>
          <w:sz w:val="22"/>
          <w:szCs w:val="22"/>
        </w:rPr>
        <w:t>, 320(7237), pp.768–770. doi:10.1136/bmj.320.7237.768.</w:t>
      </w:r>
    </w:p>
    <w:p w14:paraId="29E8E34E" w14:textId="77777777" w:rsidR="002E677D" w:rsidRPr="00280F36" w:rsidRDefault="002E677D" w:rsidP="00280F36">
      <w:pPr>
        <w:pStyle w:val="NormalWeb"/>
        <w:spacing w:line="360" w:lineRule="auto"/>
        <w:rPr>
          <w:rFonts w:ascii="Arial" w:hAnsi="Arial" w:cs="Arial"/>
          <w:sz w:val="22"/>
          <w:szCs w:val="22"/>
        </w:rPr>
      </w:pPr>
      <w:proofErr w:type="spellStart"/>
      <w:r w:rsidRPr="00280F36">
        <w:rPr>
          <w:rFonts w:ascii="Arial" w:hAnsi="Arial" w:cs="Arial"/>
          <w:sz w:val="22"/>
          <w:szCs w:val="22"/>
        </w:rPr>
        <w:t>Senge</w:t>
      </w:r>
      <w:proofErr w:type="spellEnd"/>
      <w:r w:rsidRPr="00280F36">
        <w:rPr>
          <w:rFonts w:ascii="Arial" w:hAnsi="Arial" w:cs="Arial"/>
          <w:sz w:val="22"/>
          <w:szCs w:val="22"/>
        </w:rPr>
        <w:t xml:space="preserve">, P.M. (1990) </w:t>
      </w:r>
      <w:r w:rsidRPr="00280F36">
        <w:rPr>
          <w:rStyle w:val="Emphasis"/>
          <w:rFonts w:ascii="Arial" w:hAnsi="Arial" w:cs="Arial"/>
          <w:sz w:val="22"/>
          <w:szCs w:val="22"/>
        </w:rPr>
        <w:t>The Fifth Discipline: The Art and Practice of the Learning Organization</w:t>
      </w:r>
      <w:r w:rsidRPr="00280F36">
        <w:rPr>
          <w:rFonts w:ascii="Arial" w:hAnsi="Arial" w:cs="Arial"/>
          <w:sz w:val="22"/>
          <w:szCs w:val="22"/>
        </w:rPr>
        <w:t>. New York: Doubleday.</w:t>
      </w:r>
    </w:p>
    <w:p w14:paraId="6664EB98" w14:textId="609FC559"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The Health Foundation (2021) </w:t>
      </w:r>
      <w:r w:rsidRPr="00280F36">
        <w:rPr>
          <w:rStyle w:val="Emphasis"/>
          <w:rFonts w:ascii="Arial" w:hAnsi="Arial" w:cs="Arial"/>
          <w:sz w:val="22"/>
          <w:szCs w:val="22"/>
        </w:rPr>
        <w:t>Quality Improvement Made Simple: What Everyone Should Know About Healthcare Quality Improvement</w:t>
      </w:r>
      <w:r w:rsidRPr="00280F36">
        <w:rPr>
          <w:rFonts w:ascii="Arial" w:hAnsi="Arial" w:cs="Arial"/>
          <w:sz w:val="22"/>
          <w:szCs w:val="22"/>
        </w:rPr>
        <w:t xml:space="preserve">. Available at: </w:t>
      </w:r>
      <w:hyperlink r:id="rId22" w:history="1">
        <w:r w:rsidRPr="00280F36">
          <w:rPr>
            <w:rStyle w:val="Hyperlink"/>
            <w:rFonts w:ascii="Arial" w:hAnsi="Arial" w:cs="Arial"/>
            <w:sz w:val="22"/>
            <w:szCs w:val="22"/>
          </w:rPr>
          <w:t>https://www.health.org.uk/publications/quality-improvement-made-simple</w:t>
        </w:r>
      </w:hyperlink>
      <w:r w:rsidRPr="00280F36">
        <w:rPr>
          <w:rFonts w:ascii="Arial" w:hAnsi="Arial" w:cs="Arial"/>
          <w:sz w:val="22"/>
          <w:szCs w:val="22"/>
        </w:rPr>
        <w:t xml:space="preserve"> (Accessed: 1</w:t>
      </w:r>
      <w:r w:rsidR="00124B27">
        <w:rPr>
          <w:rFonts w:ascii="Arial" w:hAnsi="Arial" w:cs="Arial"/>
          <w:sz w:val="22"/>
          <w:szCs w:val="22"/>
        </w:rPr>
        <w:t>3</w:t>
      </w:r>
      <w:r w:rsidRPr="00280F36">
        <w:rPr>
          <w:rFonts w:ascii="Arial" w:hAnsi="Arial" w:cs="Arial"/>
          <w:sz w:val="22"/>
          <w:szCs w:val="22"/>
        </w:rPr>
        <w:t xml:space="preserve"> July 2026).</w:t>
      </w:r>
    </w:p>
    <w:p w14:paraId="48AF1244" w14:textId="1B90E189"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lastRenderedPageBreak/>
        <w:t xml:space="preserve">The King’s Fund (2023) </w:t>
      </w:r>
      <w:r w:rsidRPr="00280F36">
        <w:rPr>
          <w:rStyle w:val="Emphasis"/>
          <w:rFonts w:ascii="Arial" w:hAnsi="Arial" w:cs="Arial"/>
          <w:sz w:val="22"/>
          <w:szCs w:val="22"/>
        </w:rPr>
        <w:t>The NHS Workforce Crisis: What Can Be Done?</w:t>
      </w:r>
      <w:r w:rsidRPr="00280F36">
        <w:rPr>
          <w:rFonts w:ascii="Arial" w:hAnsi="Arial" w:cs="Arial"/>
          <w:sz w:val="22"/>
          <w:szCs w:val="22"/>
        </w:rPr>
        <w:t xml:space="preserve"> Available at: </w:t>
      </w:r>
      <w:hyperlink r:id="rId23" w:history="1">
        <w:r w:rsidRPr="00280F36">
          <w:rPr>
            <w:rStyle w:val="Hyperlink"/>
            <w:rFonts w:ascii="Arial" w:hAnsi="Arial" w:cs="Arial"/>
            <w:sz w:val="22"/>
            <w:szCs w:val="22"/>
          </w:rPr>
          <w:t>https://www.kingsfund.org.uk</w:t>
        </w:r>
      </w:hyperlink>
      <w:r w:rsidRPr="00280F36">
        <w:rPr>
          <w:rFonts w:ascii="Arial" w:hAnsi="Arial" w:cs="Arial"/>
          <w:sz w:val="22"/>
          <w:szCs w:val="22"/>
        </w:rPr>
        <w:t xml:space="preserve"> (Accessed: 1</w:t>
      </w:r>
      <w:r w:rsidR="00124B27">
        <w:rPr>
          <w:rFonts w:ascii="Arial" w:hAnsi="Arial" w:cs="Arial"/>
          <w:sz w:val="22"/>
          <w:szCs w:val="22"/>
        </w:rPr>
        <w:t xml:space="preserve">3 </w:t>
      </w:r>
      <w:r w:rsidRPr="00280F36">
        <w:rPr>
          <w:rFonts w:ascii="Arial" w:hAnsi="Arial" w:cs="Arial"/>
          <w:sz w:val="22"/>
          <w:szCs w:val="22"/>
        </w:rPr>
        <w:t>July 2026).</w:t>
      </w:r>
    </w:p>
    <w:p w14:paraId="7F5C91B1"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Vincent, C. (2010) </w:t>
      </w:r>
      <w:r w:rsidRPr="00280F36">
        <w:rPr>
          <w:rStyle w:val="Emphasis"/>
          <w:rFonts w:ascii="Arial" w:hAnsi="Arial" w:cs="Arial"/>
          <w:sz w:val="22"/>
          <w:szCs w:val="22"/>
        </w:rPr>
        <w:t>Patient Safety</w:t>
      </w:r>
      <w:r w:rsidRPr="00280F36">
        <w:rPr>
          <w:rFonts w:ascii="Arial" w:hAnsi="Arial" w:cs="Arial"/>
          <w:sz w:val="22"/>
          <w:szCs w:val="22"/>
        </w:rPr>
        <w:t>. 2nd edn. Chichester: Wiley-Blackwell.</w:t>
      </w:r>
    </w:p>
    <w:p w14:paraId="1D4E2F16" w14:textId="66D8090D"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West, M., Eckert, R., Collins, B. and </w:t>
      </w:r>
      <w:proofErr w:type="spellStart"/>
      <w:r w:rsidRPr="00280F36">
        <w:rPr>
          <w:rFonts w:ascii="Arial" w:hAnsi="Arial" w:cs="Arial"/>
          <w:sz w:val="22"/>
          <w:szCs w:val="22"/>
        </w:rPr>
        <w:t>Chowla</w:t>
      </w:r>
      <w:proofErr w:type="spellEnd"/>
      <w:r w:rsidRPr="00280F36">
        <w:rPr>
          <w:rFonts w:ascii="Arial" w:hAnsi="Arial" w:cs="Arial"/>
          <w:sz w:val="22"/>
          <w:szCs w:val="22"/>
        </w:rPr>
        <w:t xml:space="preserve">, R. (2015) </w:t>
      </w:r>
      <w:r w:rsidRPr="00280F36">
        <w:rPr>
          <w:rStyle w:val="Emphasis"/>
          <w:rFonts w:ascii="Arial" w:hAnsi="Arial" w:cs="Arial"/>
          <w:sz w:val="22"/>
          <w:szCs w:val="22"/>
        </w:rPr>
        <w:t>Caring to Change: How Compassionate Leadership Can Stimulate Innovation in Health Care</w:t>
      </w:r>
      <w:r w:rsidRPr="00280F36">
        <w:rPr>
          <w:rFonts w:ascii="Arial" w:hAnsi="Arial" w:cs="Arial"/>
          <w:sz w:val="22"/>
          <w:szCs w:val="22"/>
        </w:rPr>
        <w:t xml:space="preserve">. London: The King’s Fund. Available at: </w:t>
      </w:r>
      <w:hyperlink r:id="rId24" w:history="1">
        <w:r w:rsidRPr="00280F36">
          <w:rPr>
            <w:rStyle w:val="Hyperlink"/>
            <w:rFonts w:ascii="Arial" w:hAnsi="Arial" w:cs="Arial"/>
            <w:sz w:val="22"/>
            <w:szCs w:val="22"/>
          </w:rPr>
          <w:t>https://www.kingsfund.org.uk/publications/caring-change</w:t>
        </w:r>
      </w:hyperlink>
      <w:r w:rsidRPr="00280F36">
        <w:rPr>
          <w:rFonts w:ascii="Arial" w:hAnsi="Arial" w:cs="Arial"/>
          <w:sz w:val="22"/>
          <w:szCs w:val="22"/>
        </w:rPr>
        <w:t xml:space="preserve"> (Accessed: 1</w:t>
      </w:r>
      <w:r w:rsidR="00124B27">
        <w:rPr>
          <w:rFonts w:ascii="Arial" w:hAnsi="Arial" w:cs="Arial"/>
          <w:sz w:val="22"/>
          <w:szCs w:val="22"/>
        </w:rPr>
        <w:t>5</w:t>
      </w:r>
      <w:r w:rsidRPr="00280F36">
        <w:rPr>
          <w:rFonts w:ascii="Arial" w:hAnsi="Arial" w:cs="Arial"/>
          <w:sz w:val="22"/>
          <w:szCs w:val="22"/>
        </w:rPr>
        <w:t xml:space="preserve"> July 2026).</w:t>
      </w:r>
    </w:p>
    <w:p w14:paraId="5B71152A"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West, M. (2021) </w:t>
      </w:r>
      <w:r w:rsidRPr="00280F36">
        <w:rPr>
          <w:rStyle w:val="Emphasis"/>
          <w:rFonts w:ascii="Arial" w:hAnsi="Arial" w:cs="Arial"/>
          <w:sz w:val="22"/>
          <w:szCs w:val="22"/>
        </w:rPr>
        <w:t>Compassionate Leadership: Sustaining Wisdom, Humanity and Presence in Health and Social Care</w:t>
      </w:r>
      <w:r w:rsidRPr="00280F36">
        <w:rPr>
          <w:rFonts w:ascii="Arial" w:hAnsi="Arial" w:cs="Arial"/>
          <w:sz w:val="22"/>
          <w:szCs w:val="22"/>
        </w:rPr>
        <w:t>. London: Swirling Leaf Press.</w:t>
      </w:r>
    </w:p>
    <w:p w14:paraId="1C45D29D"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World Health Organization (WHO) (2017) </w:t>
      </w:r>
      <w:r w:rsidRPr="00280F36">
        <w:rPr>
          <w:rStyle w:val="Emphasis"/>
          <w:rFonts w:ascii="Arial" w:hAnsi="Arial" w:cs="Arial"/>
          <w:sz w:val="22"/>
          <w:szCs w:val="22"/>
        </w:rPr>
        <w:t>Medication Without Harm: Global Patient Safety Challenge on Medication Safety</w:t>
      </w:r>
      <w:r w:rsidRPr="00280F36">
        <w:rPr>
          <w:rFonts w:ascii="Arial" w:hAnsi="Arial" w:cs="Arial"/>
          <w:sz w:val="22"/>
          <w:szCs w:val="22"/>
        </w:rPr>
        <w:t xml:space="preserve">. Geneva: WHO. Available at: </w:t>
      </w:r>
      <w:hyperlink r:id="rId25" w:history="1">
        <w:r w:rsidRPr="00280F36">
          <w:rPr>
            <w:rStyle w:val="Hyperlink"/>
            <w:rFonts w:ascii="Arial" w:hAnsi="Arial" w:cs="Arial"/>
            <w:sz w:val="22"/>
            <w:szCs w:val="22"/>
          </w:rPr>
          <w:t>https://www.who.int/initiatives/medication-without-harm</w:t>
        </w:r>
      </w:hyperlink>
      <w:r w:rsidRPr="00280F36">
        <w:rPr>
          <w:rFonts w:ascii="Arial" w:hAnsi="Arial" w:cs="Arial"/>
          <w:sz w:val="22"/>
          <w:szCs w:val="22"/>
        </w:rPr>
        <w:t xml:space="preserve"> (Accessed: 18 July 2026).</w:t>
      </w:r>
    </w:p>
    <w:p w14:paraId="3DAD8928" w14:textId="695E1548"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World Health Organization (WHO) (2021) </w:t>
      </w:r>
      <w:r w:rsidRPr="00280F36">
        <w:rPr>
          <w:rStyle w:val="Emphasis"/>
          <w:rFonts w:ascii="Arial" w:hAnsi="Arial" w:cs="Arial"/>
          <w:sz w:val="22"/>
          <w:szCs w:val="22"/>
        </w:rPr>
        <w:t>Global Patient Safety Action Plan 2021–2030: Towards Eliminating Avoidable Harm in Health Care</w:t>
      </w:r>
      <w:r w:rsidRPr="00280F36">
        <w:rPr>
          <w:rFonts w:ascii="Arial" w:hAnsi="Arial" w:cs="Arial"/>
          <w:sz w:val="22"/>
          <w:szCs w:val="22"/>
        </w:rPr>
        <w:t xml:space="preserve">. Geneva: WHO. Available at: </w:t>
      </w:r>
      <w:hyperlink r:id="rId26" w:history="1">
        <w:r w:rsidRPr="00280F36">
          <w:rPr>
            <w:rStyle w:val="Hyperlink"/>
            <w:rFonts w:ascii="Arial" w:hAnsi="Arial" w:cs="Arial"/>
            <w:sz w:val="22"/>
            <w:szCs w:val="22"/>
          </w:rPr>
          <w:t>https://www.who.int/publications/i/item/9789240032705</w:t>
        </w:r>
      </w:hyperlink>
      <w:r w:rsidRPr="00280F36">
        <w:rPr>
          <w:rFonts w:ascii="Arial" w:hAnsi="Arial" w:cs="Arial"/>
          <w:sz w:val="22"/>
          <w:szCs w:val="22"/>
        </w:rPr>
        <w:t xml:space="preserve"> (Accessed: </w:t>
      </w:r>
      <w:r w:rsidR="00221DBB">
        <w:rPr>
          <w:rFonts w:ascii="Arial" w:hAnsi="Arial" w:cs="Arial"/>
          <w:sz w:val="22"/>
          <w:szCs w:val="22"/>
        </w:rPr>
        <w:t xml:space="preserve">20 </w:t>
      </w:r>
      <w:r w:rsidRPr="00280F36">
        <w:rPr>
          <w:rFonts w:ascii="Arial" w:hAnsi="Arial" w:cs="Arial"/>
          <w:sz w:val="22"/>
          <w:szCs w:val="22"/>
        </w:rPr>
        <w:t>July 2026).</w:t>
      </w:r>
    </w:p>
    <w:p w14:paraId="45739F3E" w14:textId="77777777"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World Health Organization (WHO) (2022) </w:t>
      </w:r>
      <w:r w:rsidRPr="00280F36">
        <w:rPr>
          <w:rStyle w:val="Emphasis"/>
          <w:rFonts w:ascii="Arial" w:hAnsi="Arial" w:cs="Arial"/>
          <w:sz w:val="22"/>
          <w:szCs w:val="22"/>
        </w:rPr>
        <w:t>Global Report on Patient Safety</w:t>
      </w:r>
      <w:r w:rsidRPr="00280F36">
        <w:rPr>
          <w:rFonts w:ascii="Arial" w:hAnsi="Arial" w:cs="Arial"/>
          <w:sz w:val="22"/>
          <w:szCs w:val="22"/>
        </w:rPr>
        <w:t xml:space="preserve">. Geneva: WHO. Available at: </w:t>
      </w:r>
      <w:hyperlink r:id="rId27" w:history="1">
        <w:r w:rsidRPr="00280F36">
          <w:rPr>
            <w:rStyle w:val="Hyperlink"/>
            <w:rFonts w:ascii="Arial" w:hAnsi="Arial" w:cs="Arial"/>
            <w:sz w:val="22"/>
            <w:szCs w:val="22"/>
          </w:rPr>
          <w:t>https://www.who.int/publications/i/item/9789240055070</w:t>
        </w:r>
      </w:hyperlink>
      <w:r w:rsidRPr="00280F36">
        <w:rPr>
          <w:rFonts w:ascii="Arial" w:hAnsi="Arial" w:cs="Arial"/>
          <w:sz w:val="22"/>
          <w:szCs w:val="22"/>
        </w:rPr>
        <w:t xml:space="preserve"> (Accessed: 18 July 2026).</w:t>
      </w:r>
    </w:p>
    <w:p w14:paraId="7FB0F3F2" w14:textId="58FEC4D6" w:rsidR="002E677D" w:rsidRPr="00280F36" w:rsidRDefault="002E677D" w:rsidP="00280F36">
      <w:pPr>
        <w:pStyle w:val="NormalWeb"/>
        <w:spacing w:line="360" w:lineRule="auto"/>
        <w:rPr>
          <w:rFonts w:ascii="Arial" w:hAnsi="Arial" w:cs="Arial"/>
          <w:sz w:val="22"/>
          <w:szCs w:val="22"/>
        </w:rPr>
      </w:pPr>
      <w:r w:rsidRPr="00280F36">
        <w:rPr>
          <w:rFonts w:ascii="Arial" w:hAnsi="Arial" w:cs="Arial"/>
          <w:sz w:val="22"/>
          <w:szCs w:val="22"/>
        </w:rPr>
        <w:t xml:space="preserve">World Health Organization (WHO) (2023) </w:t>
      </w:r>
      <w:r w:rsidRPr="00280F36">
        <w:rPr>
          <w:rStyle w:val="Emphasis"/>
          <w:rFonts w:ascii="Arial" w:hAnsi="Arial" w:cs="Arial"/>
          <w:sz w:val="22"/>
          <w:szCs w:val="22"/>
        </w:rPr>
        <w:t>Patient Safety</w:t>
      </w:r>
      <w:r w:rsidRPr="00280F36">
        <w:rPr>
          <w:rFonts w:ascii="Arial" w:hAnsi="Arial" w:cs="Arial"/>
          <w:sz w:val="22"/>
          <w:szCs w:val="22"/>
        </w:rPr>
        <w:t xml:space="preserve">. Available at: </w:t>
      </w:r>
      <w:hyperlink r:id="rId28" w:history="1">
        <w:r w:rsidRPr="00280F36">
          <w:rPr>
            <w:rStyle w:val="Hyperlink"/>
            <w:rFonts w:ascii="Arial" w:hAnsi="Arial" w:cs="Arial"/>
            <w:sz w:val="22"/>
            <w:szCs w:val="22"/>
          </w:rPr>
          <w:t>https://www.who.int/health-topics/patient-safety</w:t>
        </w:r>
      </w:hyperlink>
      <w:r w:rsidRPr="00280F36">
        <w:rPr>
          <w:rFonts w:ascii="Arial" w:hAnsi="Arial" w:cs="Arial"/>
          <w:sz w:val="22"/>
          <w:szCs w:val="22"/>
        </w:rPr>
        <w:t xml:space="preserve"> (Accessed: 1</w:t>
      </w:r>
      <w:r w:rsidR="00221DBB">
        <w:rPr>
          <w:rFonts w:ascii="Arial" w:hAnsi="Arial" w:cs="Arial"/>
          <w:sz w:val="22"/>
          <w:szCs w:val="22"/>
        </w:rPr>
        <w:t xml:space="preserve">9 </w:t>
      </w:r>
      <w:r w:rsidRPr="00280F36">
        <w:rPr>
          <w:rFonts w:ascii="Arial" w:hAnsi="Arial" w:cs="Arial"/>
          <w:sz w:val="22"/>
          <w:szCs w:val="22"/>
        </w:rPr>
        <w:t>July 2026).</w:t>
      </w:r>
    </w:p>
    <w:p w14:paraId="1B3D81DC" w14:textId="53970D49" w:rsidR="00F220F9" w:rsidRPr="00280F36" w:rsidRDefault="00F220F9" w:rsidP="00280F36">
      <w:pPr>
        <w:spacing w:line="360" w:lineRule="auto"/>
        <w:rPr>
          <w:rFonts w:ascii="Arial" w:hAnsi="Arial" w:cs="Arial"/>
          <w:color w:val="000000" w:themeColor="text1"/>
          <w:sz w:val="22"/>
          <w:szCs w:val="22"/>
        </w:rPr>
      </w:pPr>
    </w:p>
    <w:sectPr w:rsidR="00F220F9" w:rsidRPr="00280F36">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E2B3F" w14:textId="77777777" w:rsidR="00500B2E" w:rsidRDefault="00500B2E" w:rsidP="00545A69">
      <w:pPr>
        <w:spacing w:after="0" w:line="240" w:lineRule="auto"/>
      </w:pPr>
      <w:r>
        <w:separator/>
      </w:r>
    </w:p>
  </w:endnote>
  <w:endnote w:type="continuationSeparator" w:id="0">
    <w:p w14:paraId="3B2567D5" w14:textId="77777777" w:rsidR="00500B2E" w:rsidRDefault="00500B2E" w:rsidP="00545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7816178"/>
      <w:docPartObj>
        <w:docPartGallery w:val="Page Numbers (Bottom of Page)"/>
        <w:docPartUnique/>
      </w:docPartObj>
    </w:sdtPr>
    <w:sdtEndPr>
      <w:rPr>
        <w:rStyle w:val="PageNumber"/>
      </w:rPr>
    </w:sdtEndPr>
    <w:sdtContent>
      <w:p w14:paraId="075ED1FE" w14:textId="3E656642" w:rsidR="00545A69" w:rsidRDefault="00545A69" w:rsidP="004D5032">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4FDAF5" w14:textId="77777777" w:rsidR="00545A69" w:rsidRDefault="00545A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3032813"/>
      <w:docPartObj>
        <w:docPartGallery w:val="Page Numbers (Bottom of Page)"/>
        <w:docPartUnique/>
      </w:docPartObj>
    </w:sdtPr>
    <w:sdtEndPr>
      <w:rPr>
        <w:rStyle w:val="PageNumber"/>
      </w:rPr>
    </w:sdtEndPr>
    <w:sdtContent>
      <w:p w14:paraId="57736DC5" w14:textId="4CAB2713" w:rsidR="00545A69" w:rsidRDefault="00545A69" w:rsidP="004D5032">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7126FF25" w14:textId="77777777" w:rsidR="00545A69" w:rsidRDefault="00545A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85412" w14:textId="77777777" w:rsidR="00500B2E" w:rsidRDefault="00500B2E" w:rsidP="00545A69">
      <w:pPr>
        <w:spacing w:after="0" w:line="240" w:lineRule="auto"/>
      </w:pPr>
      <w:r>
        <w:separator/>
      </w:r>
    </w:p>
  </w:footnote>
  <w:footnote w:type="continuationSeparator" w:id="0">
    <w:p w14:paraId="51D4EEAD" w14:textId="77777777" w:rsidR="00500B2E" w:rsidRDefault="00500B2E" w:rsidP="00545A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72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579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12F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BD44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990563"/>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A86C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321B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5967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877BE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9528909">
    <w:abstractNumId w:val="4"/>
  </w:num>
  <w:num w:numId="2" w16cid:durableId="1981766056">
    <w:abstractNumId w:val="8"/>
  </w:num>
  <w:num w:numId="3" w16cid:durableId="671645000">
    <w:abstractNumId w:val="7"/>
  </w:num>
  <w:num w:numId="4" w16cid:durableId="1387485177">
    <w:abstractNumId w:val="3"/>
  </w:num>
  <w:num w:numId="5" w16cid:durableId="1533490660">
    <w:abstractNumId w:val="6"/>
  </w:num>
  <w:num w:numId="6" w16cid:durableId="1732844592">
    <w:abstractNumId w:val="2"/>
  </w:num>
  <w:num w:numId="7" w16cid:durableId="1244681695">
    <w:abstractNumId w:val="0"/>
  </w:num>
  <w:num w:numId="8" w16cid:durableId="573321699">
    <w:abstractNumId w:val="1"/>
  </w:num>
  <w:num w:numId="9" w16cid:durableId="15948936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6BD"/>
    <w:rsid w:val="000036ED"/>
    <w:rsid w:val="00011FC8"/>
    <w:rsid w:val="00012F6D"/>
    <w:rsid w:val="000146A5"/>
    <w:rsid w:val="00016374"/>
    <w:rsid w:val="000211E3"/>
    <w:rsid w:val="000245E7"/>
    <w:rsid w:val="000317A0"/>
    <w:rsid w:val="00031FD0"/>
    <w:rsid w:val="00033F47"/>
    <w:rsid w:val="00034E0F"/>
    <w:rsid w:val="000363B1"/>
    <w:rsid w:val="00040D3A"/>
    <w:rsid w:val="00042092"/>
    <w:rsid w:val="00051449"/>
    <w:rsid w:val="00051DEC"/>
    <w:rsid w:val="0005292F"/>
    <w:rsid w:val="00052A1B"/>
    <w:rsid w:val="0005361B"/>
    <w:rsid w:val="000546A7"/>
    <w:rsid w:val="00061DAE"/>
    <w:rsid w:val="00070E3F"/>
    <w:rsid w:val="00076FEF"/>
    <w:rsid w:val="000818E5"/>
    <w:rsid w:val="000854DD"/>
    <w:rsid w:val="0008655D"/>
    <w:rsid w:val="000910FD"/>
    <w:rsid w:val="00093312"/>
    <w:rsid w:val="00094792"/>
    <w:rsid w:val="00094D0F"/>
    <w:rsid w:val="000954E1"/>
    <w:rsid w:val="000955FE"/>
    <w:rsid w:val="00097FCB"/>
    <w:rsid w:val="000A2E35"/>
    <w:rsid w:val="000A4713"/>
    <w:rsid w:val="000A4967"/>
    <w:rsid w:val="000A67C1"/>
    <w:rsid w:val="000A6CA3"/>
    <w:rsid w:val="000B3844"/>
    <w:rsid w:val="000B7133"/>
    <w:rsid w:val="000C2AD7"/>
    <w:rsid w:val="000C7039"/>
    <w:rsid w:val="000C73BE"/>
    <w:rsid w:val="000D67F1"/>
    <w:rsid w:val="000E27EC"/>
    <w:rsid w:val="000E2D4C"/>
    <w:rsid w:val="000E7157"/>
    <w:rsid w:val="00105681"/>
    <w:rsid w:val="00123664"/>
    <w:rsid w:val="00124B27"/>
    <w:rsid w:val="00125953"/>
    <w:rsid w:val="00125B20"/>
    <w:rsid w:val="0013360E"/>
    <w:rsid w:val="00133FFE"/>
    <w:rsid w:val="00134043"/>
    <w:rsid w:val="00137ABB"/>
    <w:rsid w:val="001402D9"/>
    <w:rsid w:val="00144668"/>
    <w:rsid w:val="00150E2C"/>
    <w:rsid w:val="00151114"/>
    <w:rsid w:val="00155DAF"/>
    <w:rsid w:val="001677D2"/>
    <w:rsid w:val="001745BC"/>
    <w:rsid w:val="00175864"/>
    <w:rsid w:val="00176A87"/>
    <w:rsid w:val="00182448"/>
    <w:rsid w:val="00182EB0"/>
    <w:rsid w:val="00196CC8"/>
    <w:rsid w:val="001A20FF"/>
    <w:rsid w:val="001A40B1"/>
    <w:rsid w:val="001A6AC3"/>
    <w:rsid w:val="001B7845"/>
    <w:rsid w:val="001B7B8D"/>
    <w:rsid w:val="001D05B0"/>
    <w:rsid w:val="001D06DE"/>
    <w:rsid w:val="001D0C32"/>
    <w:rsid w:val="001D25B9"/>
    <w:rsid w:val="001D5735"/>
    <w:rsid w:val="001E6006"/>
    <w:rsid w:val="001F3C6C"/>
    <w:rsid w:val="001F66EA"/>
    <w:rsid w:val="001F7774"/>
    <w:rsid w:val="0020474B"/>
    <w:rsid w:val="0020593E"/>
    <w:rsid w:val="00206694"/>
    <w:rsid w:val="00211710"/>
    <w:rsid w:val="00212C0C"/>
    <w:rsid w:val="00215556"/>
    <w:rsid w:val="0021711D"/>
    <w:rsid w:val="00221DBB"/>
    <w:rsid w:val="00223E77"/>
    <w:rsid w:val="00224F9C"/>
    <w:rsid w:val="00225BE9"/>
    <w:rsid w:val="00230056"/>
    <w:rsid w:val="0023332B"/>
    <w:rsid w:val="002407B1"/>
    <w:rsid w:val="00241688"/>
    <w:rsid w:val="00241B9F"/>
    <w:rsid w:val="00241F0D"/>
    <w:rsid w:val="00244144"/>
    <w:rsid w:val="0024614D"/>
    <w:rsid w:val="0024627F"/>
    <w:rsid w:val="00250C18"/>
    <w:rsid w:val="002536D8"/>
    <w:rsid w:val="0025429B"/>
    <w:rsid w:val="002601B7"/>
    <w:rsid w:val="00261719"/>
    <w:rsid w:val="0026325D"/>
    <w:rsid w:val="00267FE3"/>
    <w:rsid w:val="0027125D"/>
    <w:rsid w:val="00271CD7"/>
    <w:rsid w:val="00280F36"/>
    <w:rsid w:val="002866A6"/>
    <w:rsid w:val="002940D1"/>
    <w:rsid w:val="002A1565"/>
    <w:rsid w:val="002A1E23"/>
    <w:rsid w:val="002A5758"/>
    <w:rsid w:val="002A6937"/>
    <w:rsid w:val="002B4D39"/>
    <w:rsid w:val="002B673C"/>
    <w:rsid w:val="002B7061"/>
    <w:rsid w:val="002C4452"/>
    <w:rsid w:val="002D177F"/>
    <w:rsid w:val="002D2BF8"/>
    <w:rsid w:val="002D2E0E"/>
    <w:rsid w:val="002D4839"/>
    <w:rsid w:val="002D5910"/>
    <w:rsid w:val="002D6008"/>
    <w:rsid w:val="002E677D"/>
    <w:rsid w:val="002F0055"/>
    <w:rsid w:val="002F0C16"/>
    <w:rsid w:val="002F68D9"/>
    <w:rsid w:val="002F7BCA"/>
    <w:rsid w:val="00301CC0"/>
    <w:rsid w:val="00303BE2"/>
    <w:rsid w:val="003040E2"/>
    <w:rsid w:val="00317211"/>
    <w:rsid w:val="00320D5D"/>
    <w:rsid w:val="00321BE6"/>
    <w:rsid w:val="00321F96"/>
    <w:rsid w:val="00324C07"/>
    <w:rsid w:val="003262B1"/>
    <w:rsid w:val="0033429D"/>
    <w:rsid w:val="00336DE3"/>
    <w:rsid w:val="0034577E"/>
    <w:rsid w:val="00345E2A"/>
    <w:rsid w:val="00352105"/>
    <w:rsid w:val="00354A5F"/>
    <w:rsid w:val="00354E6D"/>
    <w:rsid w:val="003577F3"/>
    <w:rsid w:val="003654F8"/>
    <w:rsid w:val="00367297"/>
    <w:rsid w:val="00367403"/>
    <w:rsid w:val="0037025F"/>
    <w:rsid w:val="00371AB0"/>
    <w:rsid w:val="003749AA"/>
    <w:rsid w:val="00374DE8"/>
    <w:rsid w:val="00383DE7"/>
    <w:rsid w:val="00390462"/>
    <w:rsid w:val="00390C50"/>
    <w:rsid w:val="00392177"/>
    <w:rsid w:val="0039412B"/>
    <w:rsid w:val="00397B7C"/>
    <w:rsid w:val="003A1209"/>
    <w:rsid w:val="003A7161"/>
    <w:rsid w:val="003B0E06"/>
    <w:rsid w:val="003B25A1"/>
    <w:rsid w:val="003B31D6"/>
    <w:rsid w:val="003B4AE4"/>
    <w:rsid w:val="003C0B05"/>
    <w:rsid w:val="003C1B6D"/>
    <w:rsid w:val="003C41B9"/>
    <w:rsid w:val="003C472D"/>
    <w:rsid w:val="003C606B"/>
    <w:rsid w:val="003D2EA1"/>
    <w:rsid w:val="003E1C78"/>
    <w:rsid w:val="003E2AE4"/>
    <w:rsid w:val="003F0F0D"/>
    <w:rsid w:val="003F1029"/>
    <w:rsid w:val="003F514E"/>
    <w:rsid w:val="0040681F"/>
    <w:rsid w:val="00407C88"/>
    <w:rsid w:val="00416D31"/>
    <w:rsid w:val="00425168"/>
    <w:rsid w:val="00427DEA"/>
    <w:rsid w:val="00431419"/>
    <w:rsid w:val="00432116"/>
    <w:rsid w:val="00446521"/>
    <w:rsid w:val="00446C36"/>
    <w:rsid w:val="0045437F"/>
    <w:rsid w:val="00454E16"/>
    <w:rsid w:val="00456ED6"/>
    <w:rsid w:val="00464104"/>
    <w:rsid w:val="00464B5F"/>
    <w:rsid w:val="0047157B"/>
    <w:rsid w:val="00475905"/>
    <w:rsid w:val="0047773A"/>
    <w:rsid w:val="0048522D"/>
    <w:rsid w:val="0048577C"/>
    <w:rsid w:val="00487126"/>
    <w:rsid w:val="00487B5A"/>
    <w:rsid w:val="0049004F"/>
    <w:rsid w:val="004908DA"/>
    <w:rsid w:val="00491E94"/>
    <w:rsid w:val="004962AF"/>
    <w:rsid w:val="004A2E3D"/>
    <w:rsid w:val="004A5EC3"/>
    <w:rsid w:val="004A5F03"/>
    <w:rsid w:val="004B1CBF"/>
    <w:rsid w:val="004B4219"/>
    <w:rsid w:val="004B7AC5"/>
    <w:rsid w:val="004C07CB"/>
    <w:rsid w:val="004C11A1"/>
    <w:rsid w:val="004D00E0"/>
    <w:rsid w:val="004D2087"/>
    <w:rsid w:val="004D27AB"/>
    <w:rsid w:val="004D3133"/>
    <w:rsid w:val="004D5032"/>
    <w:rsid w:val="004D5231"/>
    <w:rsid w:val="004D654E"/>
    <w:rsid w:val="004D7A27"/>
    <w:rsid w:val="004E5029"/>
    <w:rsid w:val="004E5886"/>
    <w:rsid w:val="004E7268"/>
    <w:rsid w:val="004F3672"/>
    <w:rsid w:val="00500B2E"/>
    <w:rsid w:val="00510786"/>
    <w:rsid w:val="0051095C"/>
    <w:rsid w:val="00513296"/>
    <w:rsid w:val="0051557B"/>
    <w:rsid w:val="00516B36"/>
    <w:rsid w:val="00524FB8"/>
    <w:rsid w:val="00530091"/>
    <w:rsid w:val="00535AA2"/>
    <w:rsid w:val="00545A69"/>
    <w:rsid w:val="00546C4B"/>
    <w:rsid w:val="00562C5D"/>
    <w:rsid w:val="00563D09"/>
    <w:rsid w:val="00564571"/>
    <w:rsid w:val="00565948"/>
    <w:rsid w:val="00566429"/>
    <w:rsid w:val="00570913"/>
    <w:rsid w:val="00570DF4"/>
    <w:rsid w:val="005763FA"/>
    <w:rsid w:val="00583B39"/>
    <w:rsid w:val="00585B33"/>
    <w:rsid w:val="00597816"/>
    <w:rsid w:val="005A0393"/>
    <w:rsid w:val="005A1493"/>
    <w:rsid w:val="005A3E3D"/>
    <w:rsid w:val="005B3463"/>
    <w:rsid w:val="005B45EF"/>
    <w:rsid w:val="005C14DB"/>
    <w:rsid w:val="005C30CE"/>
    <w:rsid w:val="005C3960"/>
    <w:rsid w:val="005D4012"/>
    <w:rsid w:val="005D6818"/>
    <w:rsid w:val="005E067A"/>
    <w:rsid w:val="005E25B1"/>
    <w:rsid w:val="005E5BC1"/>
    <w:rsid w:val="005F146A"/>
    <w:rsid w:val="005F3CD4"/>
    <w:rsid w:val="005F4EF5"/>
    <w:rsid w:val="005F68D5"/>
    <w:rsid w:val="005F7397"/>
    <w:rsid w:val="005F7E35"/>
    <w:rsid w:val="00604386"/>
    <w:rsid w:val="00605AD3"/>
    <w:rsid w:val="00607EF4"/>
    <w:rsid w:val="00611390"/>
    <w:rsid w:val="00612F16"/>
    <w:rsid w:val="00614C4F"/>
    <w:rsid w:val="00623706"/>
    <w:rsid w:val="00624D0C"/>
    <w:rsid w:val="006259EA"/>
    <w:rsid w:val="00631D23"/>
    <w:rsid w:val="0064577F"/>
    <w:rsid w:val="006462B9"/>
    <w:rsid w:val="00652D99"/>
    <w:rsid w:val="00657492"/>
    <w:rsid w:val="00663DF7"/>
    <w:rsid w:val="00671B70"/>
    <w:rsid w:val="00672805"/>
    <w:rsid w:val="00680B4C"/>
    <w:rsid w:val="00694781"/>
    <w:rsid w:val="00695DD0"/>
    <w:rsid w:val="006A242D"/>
    <w:rsid w:val="006A32D4"/>
    <w:rsid w:val="006A449E"/>
    <w:rsid w:val="006A5405"/>
    <w:rsid w:val="006A58A5"/>
    <w:rsid w:val="006B0DDC"/>
    <w:rsid w:val="006B3D39"/>
    <w:rsid w:val="006B498B"/>
    <w:rsid w:val="006B5421"/>
    <w:rsid w:val="006B5606"/>
    <w:rsid w:val="006C3DB0"/>
    <w:rsid w:val="006C5CE0"/>
    <w:rsid w:val="006D0B94"/>
    <w:rsid w:val="006D1FC7"/>
    <w:rsid w:val="006D7C6E"/>
    <w:rsid w:val="006E2753"/>
    <w:rsid w:val="006E27B9"/>
    <w:rsid w:val="006F16AD"/>
    <w:rsid w:val="006F1EF1"/>
    <w:rsid w:val="006F3E98"/>
    <w:rsid w:val="006F465D"/>
    <w:rsid w:val="007045BA"/>
    <w:rsid w:val="007106BD"/>
    <w:rsid w:val="0071180D"/>
    <w:rsid w:val="007156E4"/>
    <w:rsid w:val="00725573"/>
    <w:rsid w:val="00725EB4"/>
    <w:rsid w:val="00730952"/>
    <w:rsid w:val="00730C5E"/>
    <w:rsid w:val="007319FD"/>
    <w:rsid w:val="00740968"/>
    <w:rsid w:val="00742F3E"/>
    <w:rsid w:val="007464F3"/>
    <w:rsid w:val="0074690B"/>
    <w:rsid w:val="00751685"/>
    <w:rsid w:val="00766475"/>
    <w:rsid w:val="0076697B"/>
    <w:rsid w:val="00770B77"/>
    <w:rsid w:val="00772868"/>
    <w:rsid w:val="007836D2"/>
    <w:rsid w:val="00783D9F"/>
    <w:rsid w:val="00792BDA"/>
    <w:rsid w:val="0079364C"/>
    <w:rsid w:val="007A037F"/>
    <w:rsid w:val="007B1A44"/>
    <w:rsid w:val="007B1C19"/>
    <w:rsid w:val="007B20E4"/>
    <w:rsid w:val="007B6231"/>
    <w:rsid w:val="007C0445"/>
    <w:rsid w:val="007C220D"/>
    <w:rsid w:val="007C27CA"/>
    <w:rsid w:val="007C6EE1"/>
    <w:rsid w:val="007D0732"/>
    <w:rsid w:val="007D6755"/>
    <w:rsid w:val="007E4005"/>
    <w:rsid w:val="007F4461"/>
    <w:rsid w:val="008014E2"/>
    <w:rsid w:val="00805052"/>
    <w:rsid w:val="00806C37"/>
    <w:rsid w:val="0081283B"/>
    <w:rsid w:val="0081297A"/>
    <w:rsid w:val="00816526"/>
    <w:rsid w:val="00820119"/>
    <w:rsid w:val="00821670"/>
    <w:rsid w:val="00822F3C"/>
    <w:rsid w:val="008245B8"/>
    <w:rsid w:val="0082539C"/>
    <w:rsid w:val="00825671"/>
    <w:rsid w:val="008334FF"/>
    <w:rsid w:val="00836905"/>
    <w:rsid w:val="00840D4F"/>
    <w:rsid w:val="00841888"/>
    <w:rsid w:val="008425B7"/>
    <w:rsid w:val="00844460"/>
    <w:rsid w:val="00850A38"/>
    <w:rsid w:val="00852C9A"/>
    <w:rsid w:val="00852D95"/>
    <w:rsid w:val="00860801"/>
    <w:rsid w:val="00860944"/>
    <w:rsid w:val="00861C99"/>
    <w:rsid w:val="00862FB4"/>
    <w:rsid w:val="00863B45"/>
    <w:rsid w:val="00864A82"/>
    <w:rsid w:val="008650CD"/>
    <w:rsid w:val="0087132A"/>
    <w:rsid w:val="008803D6"/>
    <w:rsid w:val="00880A49"/>
    <w:rsid w:val="00883915"/>
    <w:rsid w:val="0088671B"/>
    <w:rsid w:val="00892600"/>
    <w:rsid w:val="008A0460"/>
    <w:rsid w:val="008A0CE1"/>
    <w:rsid w:val="008A5E59"/>
    <w:rsid w:val="008A64E6"/>
    <w:rsid w:val="008A7472"/>
    <w:rsid w:val="008A7FF0"/>
    <w:rsid w:val="008B01AE"/>
    <w:rsid w:val="008B4C2E"/>
    <w:rsid w:val="008B7F91"/>
    <w:rsid w:val="008C18DA"/>
    <w:rsid w:val="008D4111"/>
    <w:rsid w:val="008D4DFD"/>
    <w:rsid w:val="008E0946"/>
    <w:rsid w:val="008E2A71"/>
    <w:rsid w:val="008E4F87"/>
    <w:rsid w:val="008F54AC"/>
    <w:rsid w:val="00900121"/>
    <w:rsid w:val="00903F27"/>
    <w:rsid w:val="00904B4A"/>
    <w:rsid w:val="00904BE5"/>
    <w:rsid w:val="00911576"/>
    <w:rsid w:val="0091400E"/>
    <w:rsid w:val="00914617"/>
    <w:rsid w:val="00914DF8"/>
    <w:rsid w:val="00920960"/>
    <w:rsid w:val="009258F7"/>
    <w:rsid w:val="00930D35"/>
    <w:rsid w:val="00932ECA"/>
    <w:rsid w:val="00942734"/>
    <w:rsid w:val="00944B5E"/>
    <w:rsid w:val="00947390"/>
    <w:rsid w:val="009479DB"/>
    <w:rsid w:val="00951D7A"/>
    <w:rsid w:val="00952EC6"/>
    <w:rsid w:val="009563DB"/>
    <w:rsid w:val="00960CEC"/>
    <w:rsid w:val="009618B8"/>
    <w:rsid w:val="00967825"/>
    <w:rsid w:val="0097245D"/>
    <w:rsid w:val="00973A1B"/>
    <w:rsid w:val="00986AA5"/>
    <w:rsid w:val="0099054F"/>
    <w:rsid w:val="00994AE9"/>
    <w:rsid w:val="009961F3"/>
    <w:rsid w:val="009A78FF"/>
    <w:rsid w:val="009C5D3F"/>
    <w:rsid w:val="009D11D5"/>
    <w:rsid w:val="009D3AC3"/>
    <w:rsid w:val="009D53D5"/>
    <w:rsid w:val="009D5ECA"/>
    <w:rsid w:val="009D5FF4"/>
    <w:rsid w:val="009E2CF0"/>
    <w:rsid w:val="009E3BB5"/>
    <w:rsid w:val="009E4B71"/>
    <w:rsid w:val="009F00BA"/>
    <w:rsid w:val="009F5B20"/>
    <w:rsid w:val="009F7DDA"/>
    <w:rsid w:val="00A00A94"/>
    <w:rsid w:val="00A0120C"/>
    <w:rsid w:val="00A0181E"/>
    <w:rsid w:val="00A02A9E"/>
    <w:rsid w:val="00A02B70"/>
    <w:rsid w:val="00A1414D"/>
    <w:rsid w:val="00A14B43"/>
    <w:rsid w:val="00A17546"/>
    <w:rsid w:val="00A20A78"/>
    <w:rsid w:val="00A22398"/>
    <w:rsid w:val="00A23E0A"/>
    <w:rsid w:val="00A3162A"/>
    <w:rsid w:val="00A3176A"/>
    <w:rsid w:val="00A338EF"/>
    <w:rsid w:val="00A35A38"/>
    <w:rsid w:val="00A40B3F"/>
    <w:rsid w:val="00A427BE"/>
    <w:rsid w:val="00A5074D"/>
    <w:rsid w:val="00A55758"/>
    <w:rsid w:val="00A6652A"/>
    <w:rsid w:val="00A670E5"/>
    <w:rsid w:val="00A75A04"/>
    <w:rsid w:val="00A82DD2"/>
    <w:rsid w:val="00A831DD"/>
    <w:rsid w:val="00A852B0"/>
    <w:rsid w:val="00A86547"/>
    <w:rsid w:val="00A87063"/>
    <w:rsid w:val="00A95C33"/>
    <w:rsid w:val="00A96D80"/>
    <w:rsid w:val="00AA2443"/>
    <w:rsid w:val="00AA4364"/>
    <w:rsid w:val="00AA5584"/>
    <w:rsid w:val="00AB3833"/>
    <w:rsid w:val="00AB489C"/>
    <w:rsid w:val="00AB67D0"/>
    <w:rsid w:val="00AC033C"/>
    <w:rsid w:val="00AC3C14"/>
    <w:rsid w:val="00AC7CF1"/>
    <w:rsid w:val="00AD1493"/>
    <w:rsid w:val="00AD33DB"/>
    <w:rsid w:val="00AD75C8"/>
    <w:rsid w:val="00AE1CD7"/>
    <w:rsid w:val="00AE4A6D"/>
    <w:rsid w:val="00AE5982"/>
    <w:rsid w:val="00AE6281"/>
    <w:rsid w:val="00AF45A6"/>
    <w:rsid w:val="00AF5BF5"/>
    <w:rsid w:val="00B02D02"/>
    <w:rsid w:val="00B060C8"/>
    <w:rsid w:val="00B07417"/>
    <w:rsid w:val="00B110D8"/>
    <w:rsid w:val="00B1130D"/>
    <w:rsid w:val="00B11791"/>
    <w:rsid w:val="00B12A83"/>
    <w:rsid w:val="00B14168"/>
    <w:rsid w:val="00B1449C"/>
    <w:rsid w:val="00B151C8"/>
    <w:rsid w:val="00B178B0"/>
    <w:rsid w:val="00B2592A"/>
    <w:rsid w:val="00B315FD"/>
    <w:rsid w:val="00B31CF4"/>
    <w:rsid w:val="00B44B6F"/>
    <w:rsid w:val="00B44C40"/>
    <w:rsid w:val="00B50AE4"/>
    <w:rsid w:val="00B50C58"/>
    <w:rsid w:val="00B50E13"/>
    <w:rsid w:val="00B612E4"/>
    <w:rsid w:val="00B64DDB"/>
    <w:rsid w:val="00B6581F"/>
    <w:rsid w:val="00B71634"/>
    <w:rsid w:val="00B72112"/>
    <w:rsid w:val="00B73A0E"/>
    <w:rsid w:val="00B81F04"/>
    <w:rsid w:val="00B87370"/>
    <w:rsid w:val="00B87B64"/>
    <w:rsid w:val="00B949F6"/>
    <w:rsid w:val="00B95FA1"/>
    <w:rsid w:val="00BA1B79"/>
    <w:rsid w:val="00BA4425"/>
    <w:rsid w:val="00BA5435"/>
    <w:rsid w:val="00BB6441"/>
    <w:rsid w:val="00BC09CB"/>
    <w:rsid w:val="00BD3779"/>
    <w:rsid w:val="00BE094F"/>
    <w:rsid w:val="00BE2D2A"/>
    <w:rsid w:val="00BE3025"/>
    <w:rsid w:val="00BE65E0"/>
    <w:rsid w:val="00BF3CB2"/>
    <w:rsid w:val="00BF46CE"/>
    <w:rsid w:val="00BF6E07"/>
    <w:rsid w:val="00C03050"/>
    <w:rsid w:val="00C049AE"/>
    <w:rsid w:val="00C0545F"/>
    <w:rsid w:val="00C123D6"/>
    <w:rsid w:val="00C3010C"/>
    <w:rsid w:val="00C343DD"/>
    <w:rsid w:val="00C368AC"/>
    <w:rsid w:val="00C4468B"/>
    <w:rsid w:val="00C47B55"/>
    <w:rsid w:val="00C5041A"/>
    <w:rsid w:val="00C54C44"/>
    <w:rsid w:val="00C654A2"/>
    <w:rsid w:val="00C65F43"/>
    <w:rsid w:val="00C700AD"/>
    <w:rsid w:val="00C9089D"/>
    <w:rsid w:val="00C90903"/>
    <w:rsid w:val="00C9230D"/>
    <w:rsid w:val="00C92F12"/>
    <w:rsid w:val="00CA1BAE"/>
    <w:rsid w:val="00CA3667"/>
    <w:rsid w:val="00CA3A0E"/>
    <w:rsid w:val="00CA560A"/>
    <w:rsid w:val="00CB0456"/>
    <w:rsid w:val="00CB4153"/>
    <w:rsid w:val="00CC0BD1"/>
    <w:rsid w:val="00CC1D41"/>
    <w:rsid w:val="00CD4D7A"/>
    <w:rsid w:val="00CE4D4E"/>
    <w:rsid w:val="00CF075B"/>
    <w:rsid w:val="00CF1C02"/>
    <w:rsid w:val="00CF426B"/>
    <w:rsid w:val="00CF42AD"/>
    <w:rsid w:val="00CF6187"/>
    <w:rsid w:val="00D018E1"/>
    <w:rsid w:val="00D050D5"/>
    <w:rsid w:val="00D139B8"/>
    <w:rsid w:val="00D21B85"/>
    <w:rsid w:val="00D234B7"/>
    <w:rsid w:val="00D26B90"/>
    <w:rsid w:val="00D32997"/>
    <w:rsid w:val="00D44FC3"/>
    <w:rsid w:val="00D479AC"/>
    <w:rsid w:val="00D500F1"/>
    <w:rsid w:val="00D5207D"/>
    <w:rsid w:val="00D52B23"/>
    <w:rsid w:val="00D538A0"/>
    <w:rsid w:val="00D539A4"/>
    <w:rsid w:val="00D53CA4"/>
    <w:rsid w:val="00D5454F"/>
    <w:rsid w:val="00D57095"/>
    <w:rsid w:val="00D61CF5"/>
    <w:rsid w:val="00D70C4C"/>
    <w:rsid w:val="00D7291E"/>
    <w:rsid w:val="00D73F42"/>
    <w:rsid w:val="00D747BB"/>
    <w:rsid w:val="00D757B5"/>
    <w:rsid w:val="00D75C62"/>
    <w:rsid w:val="00D75EFA"/>
    <w:rsid w:val="00D90124"/>
    <w:rsid w:val="00D90AE5"/>
    <w:rsid w:val="00D931B7"/>
    <w:rsid w:val="00D9534A"/>
    <w:rsid w:val="00D962A3"/>
    <w:rsid w:val="00DA09B8"/>
    <w:rsid w:val="00DA0F5E"/>
    <w:rsid w:val="00DA1962"/>
    <w:rsid w:val="00DA2DDC"/>
    <w:rsid w:val="00DA2F0E"/>
    <w:rsid w:val="00DA5A63"/>
    <w:rsid w:val="00DA7D67"/>
    <w:rsid w:val="00DB0D2F"/>
    <w:rsid w:val="00DB160B"/>
    <w:rsid w:val="00DB2FC4"/>
    <w:rsid w:val="00DC4613"/>
    <w:rsid w:val="00DD2780"/>
    <w:rsid w:val="00DD490A"/>
    <w:rsid w:val="00DD4D67"/>
    <w:rsid w:val="00DE1C6B"/>
    <w:rsid w:val="00DE2239"/>
    <w:rsid w:val="00DF107D"/>
    <w:rsid w:val="00DF1CFA"/>
    <w:rsid w:val="00E0200D"/>
    <w:rsid w:val="00E10B73"/>
    <w:rsid w:val="00E11C44"/>
    <w:rsid w:val="00E1406A"/>
    <w:rsid w:val="00E14435"/>
    <w:rsid w:val="00E251BB"/>
    <w:rsid w:val="00E270CD"/>
    <w:rsid w:val="00E31C48"/>
    <w:rsid w:val="00E41FA5"/>
    <w:rsid w:val="00E4321F"/>
    <w:rsid w:val="00E434C0"/>
    <w:rsid w:val="00E52182"/>
    <w:rsid w:val="00E57EED"/>
    <w:rsid w:val="00E62D9F"/>
    <w:rsid w:val="00E62FAF"/>
    <w:rsid w:val="00E64AF4"/>
    <w:rsid w:val="00E70CE8"/>
    <w:rsid w:val="00E7358F"/>
    <w:rsid w:val="00E73B23"/>
    <w:rsid w:val="00E75399"/>
    <w:rsid w:val="00E77932"/>
    <w:rsid w:val="00E844CB"/>
    <w:rsid w:val="00E84715"/>
    <w:rsid w:val="00E91049"/>
    <w:rsid w:val="00E93D9F"/>
    <w:rsid w:val="00E96397"/>
    <w:rsid w:val="00EA24D9"/>
    <w:rsid w:val="00EA6C68"/>
    <w:rsid w:val="00EB19D9"/>
    <w:rsid w:val="00EB1C45"/>
    <w:rsid w:val="00EB3009"/>
    <w:rsid w:val="00EB680B"/>
    <w:rsid w:val="00EC0DF8"/>
    <w:rsid w:val="00EC2697"/>
    <w:rsid w:val="00EC408D"/>
    <w:rsid w:val="00EC68C4"/>
    <w:rsid w:val="00EC7943"/>
    <w:rsid w:val="00ED35C4"/>
    <w:rsid w:val="00ED3853"/>
    <w:rsid w:val="00EF0D0A"/>
    <w:rsid w:val="00EF6266"/>
    <w:rsid w:val="00EF7395"/>
    <w:rsid w:val="00F00573"/>
    <w:rsid w:val="00F02B73"/>
    <w:rsid w:val="00F10642"/>
    <w:rsid w:val="00F111E6"/>
    <w:rsid w:val="00F220F9"/>
    <w:rsid w:val="00F23AA2"/>
    <w:rsid w:val="00F24D7C"/>
    <w:rsid w:val="00F25BAD"/>
    <w:rsid w:val="00F31CFF"/>
    <w:rsid w:val="00F31D2C"/>
    <w:rsid w:val="00F32DCC"/>
    <w:rsid w:val="00F334CA"/>
    <w:rsid w:val="00F41B7F"/>
    <w:rsid w:val="00F4598A"/>
    <w:rsid w:val="00F465C0"/>
    <w:rsid w:val="00F52CA5"/>
    <w:rsid w:val="00F601B8"/>
    <w:rsid w:val="00F6239F"/>
    <w:rsid w:val="00F635D8"/>
    <w:rsid w:val="00F704BA"/>
    <w:rsid w:val="00F7438B"/>
    <w:rsid w:val="00F750D7"/>
    <w:rsid w:val="00F80958"/>
    <w:rsid w:val="00F82F76"/>
    <w:rsid w:val="00F853C1"/>
    <w:rsid w:val="00F86493"/>
    <w:rsid w:val="00F96CB0"/>
    <w:rsid w:val="00FA5680"/>
    <w:rsid w:val="00FA67E3"/>
    <w:rsid w:val="00FB1ED6"/>
    <w:rsid w:val="00FB4A23"/>
    <w:rsid w:val="00FB5536"/>
    <w:rsid w:val="00FB6875"/>
    <w:rsid w:val="00FB7EBE"/>
    <w:rsid w:val="00FC3BAA"/>
    <w:rsid w:val="00FC590B"/>
    <w:rsid w:val="00FD23B9"/>
    <w:rsid w:val="00FE02D4"/>
    <w:rsid w:val="00FE0C79"/>
    <w:rsid w:val="00FE13A4"/>
    <w:rsid w:val="00FE7267"/>
    <w:rsid w:val="00FF2DCC"/>
    <w:rsid w:val="00FF48CF"/>
    <w:rsid w:val="00FF4C5C"/>
    <w:rsid w:val="08A40CA4"/>
    <w:rsid w:val="0B2B4B1E"/>
    <w:rsid w:val="40A315C8"/>
    <w:rsid w:val="652A976F"/>
    <w:rsid w:val="7B1DE95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8C516"/>
  <w15:chartTrackingRefBased/>
  <w15:docId w15:val="{B9F3EE01-8FD4-49B6-B4B9-363CA656B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6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06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06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6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6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6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6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6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6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6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06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06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6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6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6BD"/>
    <w:rPr>
      <w:rFonts w:eastAsiaTheme="majorEastAsia" w:cstheme="majorBidi"/>
      <w:color w:val="272727" w:themeColor="text1" w:themeTint="D8"/>
    </w:rPr>
  </w:style>
  <w:style w:type="paragraph" w:styleId="Title">
    <w:name w:val="Title"/>
    <w:basedOn w:val="Normal"/>
    <w:next w:val="Normal"/>
    <w:link w:val="TitleChar"/>
    <w:uiPriority w:val="10"/>
    <w:qFormat/>
    <w:rsid w:val="007106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6BD"/>
    <w:pPr>
      <w:spacing w:before="160"/>
      <w:jc w:val="center"/>
    </w:pPr>
    <w:rPr>
      <w:i/>
      <w:iCs/>
      <w:color w:val="404040" w:themeColor="text1" w:themeTint="BF"/>
    </w:rPr>
  </w:style>
  <w:style w:type="character" w:customStyle="1" w:styleId="QuoteChar">
    <w:name w:val="Quote Char"/>
    <w:basedOn w:val="DefaultParagraphFont"/>
    <w:link w:val="Quote"/>
    <w:uiPriority w:val="29"/>
    <w:rsid w:val="007106BD"/>
    <w:rPr>
      <w:i/>
      <w:iCs/>
      <w:color w:val="404040" w:themeColor="text1" w:themeTint="BF"/>
    </w:rPr>
  </w:style>
  <w:style w:type="paragraph" w:styleId="ListParagraph">
    <w:name w:val="List Paragraph"/>
    <w:basedOn w:val="Normal"/>
    <w:uiPriority w:val="34"/>
    <w:qFormat/>
    <w:rsid w:val="007106BD"/>
    <w:pPr>
      <w:ind w:left="720"/>
      <w:contextualSpacing/>
    </w:pPr>
  </w:style>
  <w:style w:type="character" w:styleId="IntenseEmphasis">
    <w:name w:val="Intense Emphasis"/>
    <w:basedOn w:val="DefaultParagraphFont"/>
    <w:uiPriority w:val="21"/>
    <w:qFormat/>
    <w:rsid w:val="007106BD"/>
    <w:rPr>
      <w:i/>
      <w:iCs/>
      <w:color w:val="0F4761" w:themeColor="accent1" w:themeShade="BF"/>
    </w:rPr>
  </w:style>
  <w:style w:type="paragraph" w:styleId="IntenseQuote">
    <w:name w:val="Intense Quote"/>
    <w:basedOn w:val="Normal"/>
    <w:next w:val="Normal"/>
    <w:link w:val="IntenseQuoteChar"/>
    <w:uiPriority w:val="30"/>
    <w:qFormat/>
    <w:rsid w:val="007106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6BD"/>
    <w:rPr>
      <w:i/>
      <w:iCs/>
      <w:color w:val="0F4761" w:themeColor="accent1" w:themeShade="BF"/>
    </w:rPr>
  </w:style>
  <w:style w:type="character" w:styleId="IntenseReference">
    <w:name w:val="Intense Reference"/>
    <w:basedOn w:val="DefaultParagraphFont"/>
    <w:uiPriority w:val="32"/>
    <w:qFormat/>
    <w:rsid w:val="007106BD"/>
    <w:rPr>
      <w:b/>
      <w:bCs/>
      <w:smallCaps/>
      <w:color w:val="0F4761" w:themeColor="accent1" w:themeShade="BF"/>
      <w:spacing w:val="5"/>
    </w:rPr>
  </w:style>
  <w:style w:type="character" w:styleId="Strong">
    <w:name w:val="Strong"/>
    <w:basedOn w:val="DefaultParagraphFont"/>
    <w:uiPriority w:val="22"/>
    <w:qFormat/>
    <w:rsid w:val="007106BD"/>
    <w:rPr>
      <w:b/>
      <w:bCs/>
    </w:rPr>
  </w:style>
  <w:style w:type="table" w:styleId="TableGrid">
    <w:name w:val="Table Grid"/>
    <w:basedOn w:val="TableNormal"/>
    <w:uiPriority w:val="39"/>
    <w:rsid w:val="008867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AC3C14"/>
    <w:rPr>
      <w:i/>
      <w:iCs/>
      <w:color w:val="404040" w:themeColor="text1" w:themeTint="BF"/>
    </w:rPr>
  </w:style>
  <w:style w:type="character" w:styleId="SubtleReference">
    <w:name w:val="Subtle Reference"/>
    <w:basedOn w:val="DefaultParagraphFont"/>
    <w:uiPriority w:val="31"/>
    <w:qFormat/>
    <w:rsid w:val="00AC3C14"/>
    <w:rPr>
      <w:smallCaps/>
      <w:color w:val="5A5A5A" w:themeColor="text1" w:themeTint="A5"/>
    </w:rPr>
  </w:style>
  <w:style w:type="character" w:styleId="Emphasis">
    <w:name w:val="Emphasis"/>
    <w:basedOn w:val="DefaultParagraphFont"/>
    <w:uiPriority w:val="20"/>
    <w:qFormat/>
    <w:rsid w:val="009D11D5"/>
    <w:rPr>
      <w:i/>
      <w:iCs/>
    </w:rPr>
  </w:style>
  <w:style w:type="paragraph" w:styleId="Header">
    <w:name w:val="header"/>
    <w:basedOn w:val="Normal"/>
    <w:link w:val="HeaderChar"/>
    <w:uiPriority w:val="99"/>
    <w:unhideWhenUsed/>
    <w:rsid w:val="00545A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A69"/>
  </w:style>
  <w:style w:type="paragraph" w:styleId="Footer">
    <w:name w:val="footer"/>
    <w:basedOn w:val="Normal"/>
    <w:link w:val="FooterChar"/>
    <w:uiPriority w:val="99"/>
    <w:unhideWhenUsed/>
    <w:rsid w:val="00545A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A69"/>
  </w:style>
  <w:style w:type="character" w:styleId="PageNumber">
    <w:name w:val="page number"/>
    <w:basedOn w:val="DefaultParagraphFont"/>
    <w:uiPriority w:val="99"/>
    <w:semiHidden/>
    <w:unhideWhenUsed/>
    <w:rsid w:val="00545A69"/>
  </w:style>
  <w:style w:type="character" w:customStyle="1" w:styleId="whitespace-normal">
    <w:name w:val="whitespace-normal"/>
    <w:basedOn w:val="DefaultParagraphFont"/>
    <w:rsid w:val="00806C37"/>
  </w:style>
  <w:style w:type="paragraph" w:styleId="NormalWeb">
    <w:name w:val="Normal (Web)"/>
    <w:basedOn w:val="Normal"/>
    <w:uiPriority w:val="99"/>
    <w:unhideWhenUsed/>
    <w:rsid w:val="000B3844"/>
    <w:pPr>
      <w:spacing w:before="100" w:beforeAutospacing="1" w:after="100" w:afterAutospacing="1" w:line="240" w:lineRule="auto"/>
    </w:pPr>
    <w:rPr>
      <w:rFonts w:ascii="Times New Roman" w:hAnsi="Times New Roman" w:cs="Times New Roman"/>
      <w:kern w:val="0"/>
      <w14:ligatures w14:val="none"/>
    </w:rPr>
  </w:style>
  <w:style w:type="table" w:styleId="GridTable4-Accent5">
    <w:name w:val="Grid Table 4 Accent 5"/>
    <w:basedOn w:val="TableNormal"/>
    <w:uiPriority w:val="49"/>
    <w:rsid w:val="00CF6187"/>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Hyperlink">
    <w:name w:val="Hyperlink"/>
    <w:basedOn w:val="DefaultParagraphFont"/>
    <w:uiPriority w:val="99"/>
    <w:unhideWhenUsed/>
    <w:rsid w:val="002E677D"/>
    <w:rPr>
      <w:color w:val="0000FF"/>
      <w:u w:val="single"/>
    </w:rPr>
  </w:style>
  <w:style w:type="table" w:styleId="GridTable2-Accent5">
    <w:name w:val="Grid Table 2 Accent 5"/>
    <w:basedOn w:val="TableNormal"/>
    <w:uiPriority w:val="47"/>
    <w:rsid w:val="004E7268"/>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z-TopofForm">
    <w:name w:val="HTML Top of Form"/>
    <w:basedOn w:val="Normal"/>
    <w:next w:val="Normal"/>
    <w:link w:val="z-TopofFormChar"/>
    <w:hidden/>
    <w:uiPriority w:val="99"/>
    <w:semiHidden/>
    <w:unhideWhenUsed/>
    <w:rsid w:val="00CA560A"/>
    <w:pPr>
      <w:pBdr>
        <w:bottom w:val="single" w:sz="6" w:space="1" w:color="auto"/>
      </w:pBdr>
      <w:spacing w:after="0" w:line="240" w:lineRule="auto"/>
      <w:jc w:val="center"/>
    </w:pPr>
    <w:rPr>
      <w:rFonts w:ascii="Arial" w:hAnsi="Arial" w:cs="Arial"/>
      <w:vanish/>
      <w:kern w:val="0"/>
      <w:sz w:val="16"/>
      <w:szCs w:val="16"/>
      <w:lang w:eastAsia="en-US"/>
      <w14:ligatures w14:val="none"/>
    </w:rPr>
  </w:style>
  <w:style w:type="character" w:customStyle="1" w:styleId="z-TopofFormChar">
    <w:name w:val="z-Top of Form Char"/>
    <w:basedOn w:val="DefaultParagraphFont"/>
    <w:link w:val="z-TopofForm"/>
    <w:uiPriority w:val="99"/>
    <w:semiHidden/>
    <w:rsid w:val="00CA560A"/>
    <w:rPr>
      <w:rFonts w:ascii="Arial" w:hAnsi="Arial" w:cs="Arial"/>
      <w:vanish/>
      <w:kern w:val="0"/>
      <w:sz w:val="16"/>
      <w:szCs w:val="16"/>
      <w:lang w:eastAsia="en-US"/>
      <w14:ligatures w14:val="none"/>
    </w:rPr>
  </w:style>
  <w:style w:type="paragraph" w:customStyle="1" w:styleId="placeholder">
    <w:name w:val="placeholder"/>
    <w:basedOn w:val="Normal"/>
    <w:rsid w:val="00CA560A"/>
    <w:pPr>
      <w:spacing w:before="100" w:beforeAutospacing="1" w:after="100" w:afterAutospacing="1" w:line="240" w:lineRule="auto"/>
    </w:pPr>
    <w:rPr>
      <w:rFonts w:ascii="Times New Roman" w:hAnsi="Times New Roman" w:cs="Times New Roman"/>
      <w:kern w:val="0"/>
      <w:lang w:eastAsia="en-US"/>
      <w14:ligatures w14:val="none"/>
    </w:rPr>
  </w:style>
  <w:style w:type="paragraph" w:styleId="z-BottomofForm">
    <w:name w:val="HTML Bottom of Form"/>
    <w:basedOn w:val="Normal"/>
    <w:next w:val="Normal"/>
    <w:link w:val="z-BottomofFormChar"/>
    <w:hidden/>
    <w:uiPriority w:val="99"/>
    <w:unhideWhenUsed/>
    <w:rsid w:val="00CA560A"/>
    <w:pPr>
      <w:pBdr>
        <w:top w:val="single" w:sz="6" w:space="1" w:color="auto"/>
      </w:pBdr>
      <w:spacing w:after="0" w:line="240" w:lineRule="auto"/>
      <w:jc w:val="center"/>
    </w:pPr>
    <w:rPr>
      <w:rFonts w:ascii="Arial" w:hAnsi="Arial" w:cs="Arial"/>
      <w:vanish/>
      <w:kern w:val="0"/>
      <w:sz w:val="16"/>
      <w:szCs w:val="16"/>
      <w:lang w:eastAsia="en-US"/>
      <w14:ligatures w14:val="none"/>
    </w:rPr>
  </w:style>
  <w:style w:type="character" w:customStyle="1" w:styleId="z-BottomofFormChar">
    <w:name w:val="z-Bottom of Form Char"/>
    <w:basedOn w:val="DefaultParagraphFont"/>
    <w:link w:val="z-BottomofForm"/>
    <w:uiPriority w:val="99"/>
    <w:rsid w:val="00CA560A"/>
    <w:rPr>
      <w:rFonts w:ascii="Arial" w:hAnsi="Arial" w:cs="Arial"/>
      <w:vanish/>
      <w:kern w:val="0"/>
      <w:sz w:val="16"/>
      <w:szCs w:val="16"/>
      <w:lang w:eastAsia="en-US"/>
      <w14:ligatures w14:val="none"/>
    </w:rPr>
  </w:style>
  <w:style w:type="table" w:styleId="GridTable1Light-Accent1">
    <w:name w:val="Grid Table 1 Light Accent 1"/>
    <w:basedOn w:val="TableNormal"/>
    <w:uiPriority w:val="46"/>
    <w:rsid w:val="00862FB4"/>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663DF7"/>
    <w:rPr>
      <w:color w:val="96607D" w:themeColor="followedHyperlink"/>
      <w:u w:val="single"/>
    </w:rPr>
  </w:style>
  <w:style w:type="character" w:styleId="UnresolvedMention">
    <w:name w:val="Unresolved Mention"/>
    <w:basedOn w:val="DefaultParagraphFont"/>
    <w:uiPriority w:val="99"/>
    <w:semiHidden/>
    <w:unhideWhenUsed/>
    <w:rsid w:val="008418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 /><Relationship Id="rId13" Type="http://schemas.openxmlformats.org/officeDocument/2006/relationships/hyperlink" Target="https://www.england.nhs.uk/patient-safety/patient-safety-insight/incident-response-framework/" TargetMode="External" /><Relationship Id="rId18" Type="http://schemas.openxmlformats.org/officeDocument/2006/relationships/hyperlink" Target="https://www.england.nhs.uk/patient-safety/patient-safety-improvement-programmes/" TargetMode="External" /><Relationship Id="rId26" Type="http://schemas.openxmlformats.org/officeDocument/2006/relationships/hyperlink" Target="https://www.who.int/publications/i/item/9789240032705" TargetMode="External" /><Relationship Id="rId3" Type="http://schemas.openxmlformats.org/officeDocument/2006/relationships/settings" Target="settings.xml" /><Relationship Id="rId21" Type="http://schemas.openxmlformats.org/officeDocument/2006/relationships/hyperlink" Target="https://www.ncbi.nlm.nih.gov/books/NBK2637/" TargetMode="External" /><Relationship Id="rId7" Type="http://schemas.openxmlformats.org/officeDocument/2006/relationships/image" Target="media/image1.jpeg" /><Relationship Id="rId12" Type="http://schemas.openxmlformats.org/officeDocument/2006/relationships/hyperlink" Target="https://www.nice.org.uk/guidance/ng5" TargetMode="External" /><Relationship Id="rId17" Type="http://schemas.openxmlformats.org/officeDocument/2006/relationships/hyperlink" Target="https://www.england.nhs.uk/patient-safety/incident-response-framework/" TargetMode="External" /><Relationship Id="rId25" Type="http://schemas.openxmlformats.org/officeDocument/2006/relationships/hyperlink" Target="https://www.who.int/initiatives/medication-without-harm" TargetMode="External" /><Relationship Id="rId2" Type="http://schemas.openxmlformats.org/officeDocument/2006/relationships/styles" Target="styles.xml" /><Relationship Id="rId16" Type="http://schemas.openxmlformats.org/officeDocument/2006/relationships/hyperlink" Target="https://www.longtermplan.nhs.uk/" TargetMode="External" /><Relationship Id="rId20" Type="http://schemas.openxmlformats.org/officeDocument/2006/relationships/hyperlink" Target="https://northyorkshireccg.nhs.uk/wp-content/uploads/2023/09/11.07.23-NHS-NEY-INFANT-MORPHINE-OVERDOSE-CASE-STUDY.pdf" TargetMode="External" /><Relationship Id="rId29"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ihi.org/resources/Pages/HowtoImprove/default.aspx" TargetMode="External" /><Relationship Id="rId24" Type="http://schemas.openxmlformats.org/officeDocument/2006/relationships/hyperlink" Target="https://www.kingsfund.org.uk/publications/caring-change"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england.nhs.uk/patient-safety/the-nhs-patient-safety-strategy/" TargetMode="External" /><Relationship Id="rId23" Type="http://schemas.openxmlformats.org/officeDocument/2006/relationships/hyperlink" Target="https://www.kingsfund.org.uk/" TargetMode="External" /><Relationship Id="rId28" Type="http://schemas.openxmlformats.org/officeDocument/2006/relationships/hyperlink" Target="https://www.who.int/health-topics/patient-safety" TargetMode="External" /><Relationship Id="rId10" Type="http://schemas.openxmlformats.org/officeDocument/2006/relationships/hyperlink" Target="https://www.cqc.org.uk/publications/major-report/state-care" TargetMode="External" /><Relationship Id="rId19" Type="http://schemas.openxmlformats.org/officeDocument/2006/relationships/hyperlink" Target="https://www.england.nhs.uk/patient-safety/" TargetMode="External"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bmcmedicine.biomedcentral.com/articles/10.1186/s12916-018-1057-z" TargetMode="External" /><Relationship Id="rId14" Type="http://schemas.openxmlformats.org/officeDocument/2006/relationships/hyperlink" Target="https://northyorkshireccg.nhs.uk/wp-content/uploads/2023/09/11.07.23-NHS-NEY-INFANT-MORPHINE-OVERDOSE-CASE-STUDY.pdf" TargetMode="External" /><Relationship Id="rId22" Type="http://schemas.openxmlformats.org/officeDocument/2006/relationships/hyperlink" Target="https://www.health.org.uk/publications/quality-improvement-made-simple" TargetMode="External" /><Relationship Id="rId27" Type="http://schemas.openxmlformats.org/officeDocument/2006/relationships/hyperlink" Target="https://www.who.int/publications/i/item/9789240055070" TargetMode="External" /><Relationship Id="rId30"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495</TotalTime>
  <Pages>25</Pages>
  <Words>7923</Words>
  <Characters>45166</Characters>
  <Application>Microsoft Office Word</Application>
  <DocSecurity>0</DocSecurity>
  <Lines>376</Lines>
  <Paragraphs>105</Paragraphs>
  <ScaleCrop>false</ScaleCrop>
  <Company/>
  <LinksUpToDate>false</LinksUpToDate>
  <CharactersWithSpaces>52984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Nazmin Malik (2242813)</dc:creator>
  <cp:keywords/>
  <dc:description/>
  <cp:lastModifiedBy>Nazmin Malik (2242813)</cp:lastModifiedBy>
  <cp:revision>649</cp:revision>
  <dcterms:created xsi:type="dcterms:W3CDTF">2026-05-17T15:47:00Z</dcterms:created>
  <dcterms:modified xsi:type="dcterms:W3CDTF">2026-07-27T00:40:00Z</dcterms:modified>
</cp:coreProperties>
</file>