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CD4180" w14:textId="13220C88" w:rsidR="0087321F" w:rsidRPr="00CB7A3F" w:rsidRDefault="007B48C5" w:rsidP="00CB7A3F">
      <w:pPr>
        <w:spacing w:line="360" w:lineRule="auto"/>
        <w:jc w:val="both"/>
        <w:rPr>
          <w:b/>
        </w:rPr>
      </w:pPr>
      <w:r w:rsidRPr="00CB7A3F">
        <w:t>The foc</w:t>
      </w:r>
      <w:r w:rsidRPr="00CB7A3F">
        <w:t>us on delivering</w:t>
      </w:r>
      <w:r w:rsidRPr="00CB7A3F">
        <w:t xml:space="preserve"> </w:t>
      </w:r>
      <w:r w:rsidRPr="00CB7A3F">
        <w:t xml:space="preserve">quality provision in early years settings </w:t>
      </w:r>
      <w:r w:rsidRPr="00CB7A3F">
        <w:t>has become more frequent since practioners recognise that it can prepare childre</w:t>
      </w:r>
      <w:r w:rsidRPr="00CB7A3F">
        <w:t xml:space="preserve">n for education </w:t>
      </w:r>
      <w:r w:rsidR="004C1FD6" w:rsidRPr="00CB7A3F">
        <w:t>(Early</w:t>
      </w:r>
      <w:r w:rsidRPr="00CB7A3F">
        <w:t xml:space="preserve"> et al. 2018</w:t>
      </w:r>
      <w:r w:rsidR="002D25CC" w:rsidRPr="00CB7A3F">
        <w:t xml:space="preserve"> and Tayler, 2015</w:t>
      </w:r>
      <w:r w:rsidRPr="00CB7A3F">
        <w:t>).</w:t>
      </w:r>
      <w:r w:rsidRPr="00CB7A3F">
        <w:t xml:space="preserve"> </w:t>
      </w:r>
      <w:r w:rsidR="002D25CC" w:rsidRPr="00CB7A3F">
        <w:t>Sure Start (no date) claims that this is because involving children in decision making allows them to develop their emotional well-being and contributes to the aspect ‘strong’ child of the birth to three matters document (no date).</w:t>
      </w:r>
      <w:r w:rsidR="002D25CC" w:rsidRPr="00CB7A3F">
        <w:rPr>
          <w:b/>
        </w:rPr>
        <w:t xml:space="preserve"> </w:t>
      </w:r>
      <w:r w:rsidR="00ED5E0B" w:rsidRPr="00CB7A3F">
        <w:t>Howard et al.</w:t>
      </w:r>
      <w:r w:rsidR="009227DB" w:rsidRPr="00CB7A3F">
        <w:t xml:space="preserve"> </w:t>
      </w:r>
      <w:r w:rsidR="00ED5E0B" w:rsidRPr="00CB7A3F">
        <w:t>(</w:t>
      </w:r>
      <w:r w:rsidR="009227DB" w:rsidRPr="00CB7A3F">
        <w:t>2018</w:t>
      </w:r>
      <w:r w:rsidR="00ED5E0B" w:rsidRPr="00CB7A3F">
        <w:t>)</w:t>
      </w:r>
      <w:r w:rsidR="009227DB" w:rsidRPr="00CB7A3F">
        <w:t xml:space="preserve"> believe quality is when a setting improves children’s development and their </w:t>
      </w:r>
      <w:r w:rsidR="00E221B9" w:rsidRPr="00CB7A3F">
        <w:t>outcomes.</w:t>
      </w:r>
      <w:r w:rsidR="009227DB" w:rsidRPr="00CB7A3F">
        <w:t xml:space="preserve"> However, </w:t>
      </w:r>
      <w:r w:rsidR="0087321F" w:rsidRPr="00CB7A3F">
        <w:t xml:space="preserve">Reed and Canning (2012) argue that </w:t>
      </w:r>
      <w:r w:rsidR="009227DB" w:rsidRPr="00CB7A3F">
        <w:t>quality can be hard to define since</w:t>
      </w:r>
      <w:r w:rsidR="0087321F" w:rsidRPr="00CB7A3F">
        <w:t xml:space="preserve"> </w:t>
      </w:r>
      <w:r w:rsidR="00E221B9" w:rsidRPr="00CB7A3F">
        <w:t>o</w:t>
      </w:r>
      <w:r w:rsidR="0087321F" w:rsidRPr="00CB7A3F">
        <w:t xml:space="preserve">thers may have a different opinion of what quality represents. </w:t>
      </w:r>
      <w:r w:rsidRPr="00CB7A3F">
        <w:t xml:space="preserve">According to Howard et al. (2018) </w:t>
      </w:r>
      <w:r w:rsidR="0040492F" w:rsidRPr="00CB7A3F">
        <w:t xml:space="preserve">quality can be split into two processes, which are </w:t>
      </w:r>
      <w:r w:rsidRPr="00CB7A3F">
        <w:t>structural and process quality</w:t>
      </w:r>
      <w:r w:rsidR="0040492F" w:rsidRPr="00CB7A3F">
        <w:t>, and these</w:t>
      </w:r>
      <w:r w:rsidRPr="00CB7A3F">
        <w:t xml:space="preserve"> can be measured using environment rating scales.</w:t>
      </w:r>
      <w:r w:rsidR="0040492F" w:rsidRPr="00CB7A3F">
        <w:t xml:space="preserve"> Process</w:t>
      </w:r>
      <w:r w:rsidR="007A41D6" w:rsidRPr="00CB7A3F">
        <w:t xml:space="preserve"> quality</w:t>
      </w:r>
      <w:r w:rsidR="0040492F" w:rsidRPr="00CB7A3F">
        <w:t xml:space="preserve"> looks more closely to the setting’s practice such as adult-child interactions, whereas, structural quality refers to factors such as staff’s qualifications and adult-chil</w:t>
      </w:r>
      <w:r w:rsidR="00ED5E0B" w:rsidRPr="00CB7A3F">
        <w:t>d ratios (Pauker</w:t>
      </w:r>
      <w:r w:rsidR="0040492F" w:rsidRPr="00CB7A3F">
        <w:t xml:space="preserve"> et al. 2018).</w:t>
      </w:r>
      <w:r w:rsidR="00B56839" w:rsidRPr="00CB7A3F">
        <w:t xml:space="preserve"> </w:t>
      </w:r>
      <w:r w:rsidR="000E3D92" w:rsidRPr="00CB7A3F">
        <w:t xml:space="preserve">The Department of Education (no date) reveals that </w:t>
      </w:r>
      <w:r w:rsidR="007D57CC" w:rsidRPr="00CB7A3F">
        <w:t>Environment Rating S</w:t>
      </w:r>
      <w:r w:rsidR="000E3D92" w:rsidRPr="00CB7A3F">
        <w:t xml:space="preserve">cales allow settings to </w:t>
      </w:r>
      <w:r w:rsidR="0040492F" w:rsidRPr="00CB7A3F">
        <w:t>view quality consistently across different areas</w:t>
      </w:r>
      <w:r w:rsidR="007D57CC" w:rsidRPr="00CB7A3F">
        <w:t>.</w:t>
      </w:r>
      <w:r w:rsidR="0087321F" w:rsidRPr="00CB7A3F">
        <w:t xml:space="preserve"> </w:t>
      </w:r>
      <w:r w:rsidR="004C1FD6" w:rsidRPr="00CB7A3F">
        <w:t>Early</w:t>
      </w:r>
      <w:r w:rsidR="000E3D92" w:rsidRPr="00CB7A3F">
        <w:t xml:space="preserve"> et al. (2018)</w:t>
      </w:r>
      <w:r w:rsidR="007D57CC" w:rsidRPr="00CB7A3F">
        <w:t xml:space="preserve"> and The Department of Education (no date)</w:t>
      </w:r>
      <w:r w:rsidR="000E3D92" w:rsidRPr="00CB7A3F">
        <w:t xml:space="preserve"> believes this is because the </w:t>
      </w:r>
      <w:r w:rsidR="007D57CC" w:rsidRPr="00CB7A3F">
        <w:t xml:space="preserve">information collected can display </w:t>
      </w:r>
      <w:r w:rsidR="000E3D92" w:rsidRPr="00CB7A3F">
        <w:t>what areas need improving and what areas are working well</w:t>
      </w:r>
      <w:r w:rsidR="007D57CC" w:rsidRPr="00CB7A3F">
        <w:t>, and therefore, settings can make amendments to their practice in order to improve the children’s learning experience in the setting (Cottle and Alexander, 2012). Hodgman (2011) also believes these scales are useful since it may be difficult for practioners to spot</w:t>
      </w:r>
      <w:r w:rsidR="000E3D92" w:rsidRPr="00CB7A3F">
        <w:t xml:space="preserve"> areas that need improvement when working in a familiar environment. </w:t>
      </w:r>
      <w:r w:rsidR="008A4E6B" w:rsidRPr="00CB7A3F">
        <w:t>The Departme</w:t>
      </w:r>
      <w:r w:rsidR="008A4E6B" w:rsidRPr="00CB7A3F">
        <w:t>nt of Education (no date) add</w:t>
      </w:r>
      <w:r w:rsidR="008A4E6B" w:rsidRPr="00CB7A3F">
        <w:t xml:space="preserve"> that the scales are used </w:t>
      </w:r>
      <w:r w:rsidR="00ED5E0B" w:rsidRPr="00CB7A3F">
        <w:t>by observing a class</w:t>
      </w:r>
      <w:r w:rsidR="008A4E6B" w:rsidRPr="00CB7A3F">
        <w:t xml:space="preserve"> for three hours. However, Bull et al (2017) criticise this as one observation may not reflect the usual day in the setting. </w:t>
      </w:r>
      <w:r w:rsidR="004C1FD6" w:rsidRPr="00CB7A3F">
        <w:t xml:space="preserve">Early </w:t>
      </w:r>
      <w:r w:rsidR="008A4E6B" w:rsidRPr="00CB7A3F">
        <w:t>et al (2018) agree and state that requiring an accurate review of a settings quality may take longer than one day.</w:t>
      </w:r>
    </w:p>
    <w:p w14:paraId="1C476CB0" w14:textId="77777777" w:rsidR="00CB7A3F" w:rsidRPr="00CB7A3F" w:rsidRDefault="00CB7A3F" w:rsidP="00CB7A3F">
      <w:pPr>
        <w:spacing w:line="360" w:lineRule="auto"/>
        <w:jc w:val="both"/>
      </w:pPr>
    </w:p>
    <w:p w14:paraId="5E42FBD7" w14:textId="508629ED" w:rsidR="007940A8" w:rsidRPr="00CB7A3F" w:rsidRDefault="004A5FE0" w:rsidP="00CB7A3F">
      <w:pPr>
        <w:spacing w:line="360" w:lineRule="auto"/>
        <w:jc w:val="both"/>
      </w:pPr>
      <w:r w:rsidRPr="00CB7A3F">
        <w:t xml:space="preserve">A scale that an early years setting can use to measure quality provision is the Early Childhood Environment Rating Scale. </w:t>
      </w:r>
      <w:r w:rsidRPr="00CB7A3F">
        <w:t xml:space="preserve">The </w:t>
      </w:r>
      <w:r w:rsidRPr="00CB7A3F">
        <w:t xml:space="preserve">ECERS </w:t>
      </w:r>
      <w:r w:rsidRPr="00CB7A3F">
        <w:t xml:space="preserve">consists of seven subscales </w:t>
      </w:r>
      <w:r w:rsidR="0087321F" w:rsidRPr="00CB7A3F">
        <w:t>that are measured which include</w:t>
      </w:r>
      <w:r w:rsidRPr="00CB7A3F">
        <w:t xml:space="preserve"> Space and Furnishings, Personal Care Routines, Language-Reasoning, Activities, Interaction, Program </w:t>
      </w:r>
      <w:r w:rsidR="00A05D0E" w:rsidRPr="00CB7A3F">
        <w:t>Structure and Parents and Staff</w:t>
      </w:r>
      <w:r w:rsidRPr="00CB7A3F">
        <w:t xml:space="preserve"> (Department of Education, no date and Bull et al. 2017).</w:t>
      </w:r>
      <w:r w:rsidRPr="00CB7A3F">
        <w:t xml:space="preserve"> Additionally, settings can also use the Sustained Shared Thinking and Emotional Well-being scale to measure quality, and this looks at how settings work towards b</w:t>
      </w:r>
      <w:r w:rsidRPr="00CB7A3F">
        <w:t>uilding trust, confidence and independence, Social and Emotional well-being, Supporting and extending language and communication, supporting</w:t>
      </w:r>
      <w:r w:rsidRPr="00CB7A3F">
        <w:t xml:space="preserve"> learning and critical thinking, </w:t>
      </w:r>
      <w:r w:rsidRPr="00CB7A3F">
        <w:t xml:space="preserve">and </w:t>
      </w:r>
      <w:r w:rsidR="00ED5E0B" w:rsidRPr="00CB7A3F">
        <w:t>a</w:t>
      </w:r>
      <w:r w:rsidRPr="00CB7A3F">
        <w:t>ssessing learning and language</w:t>
      </w:r>
      <w:r w:rsidRPr="00CB7A3F">
        <w:t xml:space="preserve"> </w:t>
      </w:r>
      <w:r w:rsidRPr="00CB7A3F">
        <w:t>(Siraj, 2017)</w:t>
      </w:r>
      <w:r w:rsidR="00E221B9" w:rsidRPr="00CB7A3F">
        <w:t xml:space="preserve">. Such scales are useful in delivering quality as they provide staff with information of what needs improving within their setting (NDNA, no </w:t>
      </w:r>
      <w:r w:rsidR="00E221B9" w:rsidRPr="00CB7A3F">
        <w:lastRenderedPageBreak/>
        <w:t>date and Department of Education, 2017). Both scales display information with a rating scale that ranks how effective the setting is at delivering quality in different areas (</w:t>
      </w:r>
      <w:r w:rsidR="00E221B9" w:rsidRPr="00CB7A3F">
        <w:t>Department of Education, no date and Bull et al. 2017).</w:t>
      </w:r>
      <w:r w:rsidR="00E221B9" w:rsidRPr="00CB7A3F">
        <w:t xml:space="preserve"> However, Cottle and Alexander (2012) reveal that each classroom may have a different perception of the definition of quality and therefore, </w:t>
      </w:r>
      <w:r w:rsidR="00ED5E0B" w:rsidRPr="00CB7A3F">
        <w:t xml:space="preserve">Brooker (2002, </w:t>
      </w:r>
      <w:r w:rsidR="00E221B9" w:rsidRPr="00CB7A3F">
        <w:t>cit</w:t>
      </w:r>
      <w:r w:rsidR="00ED5E0B" w:rsidRPr="00CB7A3F">
        <w:t xml:space="preserve">ed in Cottle and Alexander </w:t>
      </w:r>
      <w:r w:rsidR="00E221B9" w:rsidRPr="00CB7A3F">
        <w:t>2012</w:t>
      </w:r>
      <w:r w:rsidR="00E221B9" w:rsidRPr="00CB7A3F">
        <w:t>) believe practioners should always reflect on their views with others in order to develop a s</w:t>
      </w:r>
      <w:r w:rsidR="00ED5E0B" w:rsidRPr="00CB7A3F">
        <w:t>hared understanding</w:t>
      </w:r>
      <w:r w:rsidR="00E221B9" w:rsidRPr="00CB7A3F">
        <w:t xml:space="preserve"> across the setting.</w:t>
      </w:r>
      <w:r w:rsidR="00E221B9" w:rsidRPr="00CB7A3F">
        <w:t xml:space="preserve"> Fisher and Wood (2012) believe that s</w:t>
      </w:r>
      <w:r w:rsidR="00E221B9" w:rsidRPr="00CB7A3F">
        <w:t>uch change is more likely to become successful when staff allow for their views to be critiqued in order to develop a new set of beliefs th</w:t>
      </w:r>
      <w:r w:rsidR="00ED5E0B" w:rsidRPr="00CB7A3F">
        <w:t>at</w:t>
      </w:r>
      <w:r w:rsidR="00E221B9" w:rsidRPr="00CB7A3F">
        <w:t xml:space="preserve"> fit the settings values</w:t>
      </w:r>
      <w:r w:rsidR="007940A8" w:rsidRPr="00CB7A3F">
        <w:t xml:space="preserve">. </w:t>
      </w:r>
      <w:r w:rsidR="00E221B9" w:rsidRPr="00CB7A3F">
        <w:t>Reed and Canning (2010)</w:t>
      </w:r>
      <w:r w:rsidR="00677BFA" w:rsidRPr="00CB7A3F">
        <w:t xml:space="preserve"> and Borko (2005, </w:t>
      </w:r>
      <w:r w:rsidR="00677BFA" w:rsidRPr="00CB7A3F">
        <w:t xml:space="preserve">cited in Fisher </w:t>
      </w:r>
      <w:r w:rsidR="00ED5E0B" w:rsidRPr="00CB7A3F">
        <w:t xml:space="preserve">and Wood </w:t>
      </w:r>
      <w:r w:rsidR="00677BFA" w:rsidRPr="00CB7A3F">
        <w:t xml:space="preserve">2012) </w:t>
      </w:r>
      <w:r w:rsidR="00E221B9" w:rsidRPr="00CB7A3F">
        <w:t>believe a strong leader is needed to ensure that all views are listened to</w:t>
      </w:r>
      <w:r w:rsidR="00ED5E0B" w:rsidRPr="00CB7A3F">
        <w:t xml:space="preserve"> for change to occur</w:t>
      </w:r>
      <w:r w:rsidR="00E221B9" w:rsidRPr="00CB7A3F">
        <w:t>.</w:t>
      </w:r>
      <w:r w:rsidR="00ED5E0B" w:rsidRPr="00CB7A3F">
        <w:t xml:space="preserve"> </w:t>
      </w:r>
      <w:r w:rsidR="00677BFA" w:rsidRPr="00CB7A3F">
        <w:t xml:space="preserve">The Department for Education (2017) </w:t>
      </w:r>
      <w:r w:rsidR="007940A8" w:rsidRPr="00CB7A3F">
        <w:t xml:space="preserve">agree and </w:t>
      </w:r>
      <w:r w:rsidR="00677BFA" w:rsidRPr="00CB7A3F">
        <w:t>adds that s</w:t>
      </w:r>
      <w:r w:rsidR="00677BFA" w:rsidRPr="00CB7A3F">
        <w:t xml:space="preserve">trong leadership is considered to be critical </w:t>
      </w:r>
      <w:r w:rsidR="00677BFA" w:rsidRPr="00CB7A3F">
        <w:t>in</w:t>
      </w:r>
      <w:r w:rsidR="00677BFA" w:rsidRPr="00CB7A3F">
        <w:t xml:space="preserve"> delivering high quality as th</w:t>
      </w:r>
      <w:r w:rsidR="00677BFA" w:rsidRPr="00CB7A3F">
        <w:t xml:space="preserve">e leader </w:t>
      </w:r>
      <w:r w:rsidR="00677BFA" w:rsidRPr="00CB7A3F">
        <w:t>will work with staff to listen to their ideas and put these forward into a plan in order to bring successful</w:t>
      </w:r>
      <w:r w:rsidR="00677BFA" w:rsidRPr="00CB7A3F">
        <w:t xml:space="preserve"> change. Such c</w:t>
      </w:r>
      <w:r w:rsidR="00ED5E0B" w:rsidRPr="00CB7A3F">
        <w:t>hange may require training and c</w:t>
      </w:r>
      <w:r w:rsidR="00677BFA" w:rsidRPr="00CB7A3F">
        <w:t>ontinuous professional development</w:t>
      </w:r>
      <w:r w:rsidR="007940A8" w:rsidRPr="00CB7A3F">
        <w:t xml:space="preserve"> in order to be up to date with current best practice </w:t>
      </w:r>
      <w:r w:rsidR="00ED5E0B" w:rsidRPr="00CB7A3F">
        <w:t>that will</w:t>
      </w:r>
      <w:r w:rsidR="007940A8" w:rsidRPr="00CB7A3F">
        <w:t xml:space="preserve"> provide children with high quality provision (Department for Education, 2017 and Bleach, 2013). </w:t>
      </w:r>
      <w:r w:rsidR="007940A8" w:rsidRPr="00CB7A3F">
        <w:t>How</w:t>
      </w:r>
      <w:r w:rsidR="007940A8" w:rsidRPr="00CB7A3F">
        <w:t>ever, Department for Education (</w:t>
      </w:r>
      <w:r w:rsidR="007940A8" w:rsidRPr="00CB7A3F">
        <w:t>2017</w:t>
      </w:r>
      <w:r w:rsidR="007940A8" w:rsidRPr="00CB7A3F">
        <w:t>)</w:t>
      </w:r>
      <w:r w:rsidR="007940A8" w:rsidRPr="00CB7A3F">
        <w:t xml:space="preserve"> argue</w:t>
      </w:r>
      <w:r w:rsidR="007940A8" w:rsidRPr="00CB7A3F">
        <w:t xml:space="preserve">s that funding may restrict the </w:t>
      </w:r>
      <w:r w:rsidR="00ED5E0B" w:rsidRPr="00CB7A3F">
        <w:t>process of training</w:t>
      </w:r>
      <w:r w:rsidR="007940A8" w:rsidRPr="00CB7A3F">
        <w:t xml:space="preserve"> staff</w:t>
      </w:r>
      <w:r w:rsidR="007940A8" w:rsidRPr="00CB7A3F">
        <w:t xml:space="preserve"> as schools may not have enough money in t</w:t>
      </w:r>
      <w:r w:rsidR="007940A8" w:rsidRPr="00CB7A3F">
        <w:t>heir budget to provide training</w:t>
      </w:r>
      <w:r w:rsidR="00A12357" w:rsidRPr="00CB7A3F">
        <w:t>,</w:t>
      </w:r>
      <w:r w:rsidR="007940A8" w:rsidRPr="00CB7A3F">
        <w:t xml:space="preserve"> and therefore, </w:t>
      </w:r>
      <w:r w:rsidR="00A12357" w:rsidRPr="00CB7A3F">
        <w:t>advise the use of internal training run by experienced practioners or meetings where staff can share their learning to others. Cottle and Alexander (2012) believes that this professional development can enable practioners to feel valued and found that it improves practioners confidence in their practice.</w:t>
      </w:r>
    </w:p>
    <w:p w14:paraId="7B216703" w14:textId="77777777" w:rsidR="00CB7A3F" w:rsidRPr="00CB7A3F" w:rsidRDefault="00CB7A3F" w:rsidP="00CB7A3F">
      <w:pPr>
        <w:spacing w:line="360" w:lineRule="auto"/>
        <w:jc w:val="both"/>
      </w:pPr>
    </w:p>
    <w:p w14:paraId="6BB4FB58" w14:textId="4B79DE71" w:rsidR="00A05D0E" w:rsidRPr="00CB7A3F" w:rsidRDefault="006E490F" w:rsidP="00CB7A3F">
      <w:pPr>
        <w:spacing w:line="360" w:lineRule="auto"/>
        <w:jc w:val="both"/>
      </w:pPr>
      <w:r w:rsidRPr="00CB7A3F">
        <w:t xml:space="preserve">Settings can improve their practice </w:t>
      </w:r>
      <w:r w:rsidR="0072051C" w:rsidRPr="00CB7A3F">
        <w:t xml:space="preserve">using the SSTEW scale by involving children in </w:t>
      </w:r>
      <w:r w:rsidR="00E56BC2" w:rsidRPr="00CB7A3F">
        <w:t xml:space="preserve">challenging </w:t>
      </w:r>
      <w:r w:rsidR="0072051C" w:rsidRPr="00CB7A3F">
        <w:t>activities that encourage them to extend their thinking</w:t>
      </w:r>
      <w:r w:rsidR="00E56BC2" w:rsidRPr="00CB7A3F">
        <w:t xml:space="preserve"> and problem solve</w:t>
      </w:r>
      <w:r w:rsidR="0072051C" w:rsidRPr="00CB7A3F">
        <w:t xml:space="preserve"> (Howard et al. 2018).</w:t>
      </w:r>
      <w:r w:rsidR="00E56BC2" w:rsidRPr="00CB7A3F">
        <w:t xml:space="preserve"> </w:t>
      </w:r>
      <w:r w:rsidRPr="00CB7A3F">
        <w:t>According to Gifford (2016) suc</w:t>
      </w:r>
      <w:r w:rsidR="00E56BC2" w:rsidRPr="00CB7A3F">
        <w:t>h challenging activities can deliver quality practice as they can involve</w:t>
      </w:r>
      <w:r w:rsidRPr="00CB7A3F">
        <w:t xml:space="preserve"> play </w:t>
      </w:r>
      <w:r w:rsidR="00E56BC2" w:rsidRPr="00CB7A3F">
        <w:t>with subjects such as</w:t>
      </w:r>
      <w:r w:rsidRPr="00CB7A3F">
        <w:t xml:space="preserve"> numeracy. For example, a child can problem solve when building a house as they will have to take into consideration the shape and sizes of the blocks and therefore problem solve. S</w:t>
      </w:r>
      <w:r w:rsidR="00E56BC2" w:rsidRPr="00CB7A3F">
        <w:t xml:space="preserve">ustained </w:t>
      </w:r>
      <w:r w:rsidRPr="00CB7A3F">
        <w:t>S</w:t>
      </w:r>
      <w:r w:rsidR="00E56BC2" w:rsidRPr="00CB7A3F">
        <w:t xml:space="preserve">hared </w:t>
      </w:r>
      <w:r w:rsidRPr="00CB7A3F">
        <w:t>T</w:t>
      </w:r>
      <w:r w:rsidR="00E56BC2" w:rsidRPr="00CB7A3F">
        <w:t>hinking</w:t>
      </w:r>
      <w:r w:rsidRPr="00CB7A3F">
        <w:t xml:space="preserve"> can then occur as an adult or child can begin to question why they have chosen the certain size and sh</w:t>
      </w:r>
      <w:r w:rsidR="00E56BC2" w:rsidRPr="00CB7A3F">
        <w:t>ape of the block and therefore could link to</w:t>
      </w:r>
      <w:r w:rsidR="00E56BC2" w:rsidRPr="00CB7A3F">
        <w:t xml:space="preserve"> Howard et al. </w:t>
      </w:r>
      <w:r w:rsidR="007A1374" w:rsidRPr="00CB7A3F">
        <w:t>(</w:t>
      </w:r>
      <w:r w:rsidR="00E56BC2" w:rsidRPr="00CB7A3F">
        <w:t>2018</w:t>
      </w:r>
      <w:r w:rsidR="007A1374" w:rsidRPr="00CB7A3F">
        <w:t>)</w:t>
      </w:r>
      <w:r w:rsidR="00E56BC2" w:rsidRPr="00CB7A3F">
        <w:t xml:space="preserve"> findings which</w:t>
      </w:r>
      <w:r w:rsidR="00E56BC2" w:rsidRPr="00CB7A3F">
        <w:t xml:space="preserve"> revealed</w:t>
      </w:r>
      <w:r w:rsidR="00E56BC2" w:rsidRPr="00CB7A3F">
        <w:t xml:space="preserve"> that children’s numeracy skills</w:t>
      </w:r>
      <w:r w:rsidR="00E56BC2" w:rsidRPr="00CB7A3F">
        <w:t xml:space="preserve"> are</w:t>
      </w:r>
      <w:r w:rsidR="00E56BC2" w:rsidRPr="00CB7A3F">
        <w:t xml:space="preserve"> linked more to SST</w:t>
      </w:r>
      <w:r w:rsidR="00E56BC2" w:rsidRPr="00CB7A3F">
        <w:t xml:space="preserve">EW scores than </w:t>
      </w:r>
      <w:r w:rsidR="00E56BC2" w:rsidRPr="00CB7A3F">
        <w:t>ECERS scores.</w:t>
      </w:r>
      <w:r w:rsidR="008A4E6B" w:rsidRPr="00CB7A3F">
        <w:t xml:space="preserve"> According to the Department of Education (no date) h</w:t>
      </w:r>
      <w:r w:rsidR="008A4E6B" w:rsidRPr="00CB7A3F">
        <w:t xml:space="preserve">igher scores are achievable if staff used sustained shared thinking with children by asking more questions such as ‘why do you think this’ as opposed </w:t>
      </w:r>
      <w:r w:rsidR="008A4E6B" w:rsidRPr="00CB7A3F">
        <w:t xml:space="preserve">to a closed reply such as ‘yes’ as this will extend their thinking. </w:t>
      </w:r>
      <w:r w:rsidR="00E56BC2" w:rsidRPr="00CB7A3F">
        <w:t xml:space="preserve">However, the use of questioning may distract children from their </w:t>
      </w:r>
      <w:r w:rsidR="008A4E6B" w:rsidRPr="00CB7A3F">
        <w:t>learning</w:t>
      </w:r>
      <w:r w:rsidR="00E56BC2" w:rsidRPr="00CB7A3F">
        <w:t xml:space="preserve"> since Fisher and Wood (2012) found that staff interfered with children’s play too often by asking too many questions</w:t>
      </w:r>
      <w:r w:rsidR="00ED5E0B" w:rsidRPr="00CB7A3F">
        <w:t>,</w:t>
      </w:r>
      <w:r w:rsidR="00E56BC2" w:rsidRPr="00CB7A3F">
        <w:t xml:space="preserve"> and this can agitate the child. In addition, reflecting back to Gifford (2016),</w:t>
      </w:r>
      <w:r w:rsidRPr="00CB7A3F">
        <w:t xml:space="preserve"> following the setting’s values to share fruit requires child</w:t>
      </w:r>
      <w:r w:rsidR="00ED5E0B" w:rsidRPr="00CB7A3F">
        <w:t xml:space="preserve">ren to think about the quantity, </w:t>
      </w:r>
      <w:r w:rsidRPr="00CB7A3F">
        <w:t>which not only develops their numeracy skills</w:t>
      </w:r>
      <w:r w:rsidR="00ED5E0B" w:rsidRPr="00CB7A3F">
        <w:t>,</w:t>
      </w:r>
      <w:r w:rsidRPr="00CB7A3F">
        <w:t xml:space="preserve"> but also</w:t>
      </w:r>
      <w:r w:rsidR="00ED5E0B" w:rsidRPr="00CB7A3F">
        <w:t>,</w:t>
      </w:r>
      <w:r w:rsidRPr="00CB7A3F">
        <w:t xml:space="preserve"> meets the subscale of building trust, confidence and independence since they are demonstrating good behaviour (Siraj, 2017).</w:t>
      </w:r>
      <w:r w:rsidR="00B71E55" w:rsidRPr="00CB7A3F">
        <w:t xml:space="preserve"> </w:t>
      </w:r>
      <w:r w:rsidR="008A4E6B" w:rsidRPr="00CB7A3F">
        <w:t>Sharing the fruit also c</w:t>
      </w:r>
      <w:r w:rsidR="008A4E6B" w:rsidRPr="00CB7A3F">
        <w:t>omplies with article 29 of the U</w:t>
      </w:r>
      <w:r w:rsidR="00ED5E0B" w:rsidRPr="00CB7A3F">
        <w:t xml:space="preserve">nited </w:t>
      </w:r>
      <w:r w:rsidR="008A4E6B" w:rsidRPr="00CB7A3F">
        <w:t>N</w:t>
      </w:r>
      <w:r w:rsidR="00ED5E0B" w:rsidRPr="00CB7A3F">
        <w:t xml:space="preserve">ation </w:t>
      </w:r>
      <w:r w:rsidR="008A4E6B" w:rsidRPr="00CB7A3F">
        <w:t>C</w:t>
      </w:r>
      <w:r w:rsidR="00ED5E0B" w:rsidRPr="00CB7A3F">
        <w:t xml:space="preserve">onvention on the Rights of the </w:t>
      </w:r>
      <w:r w:rsidR="008A4E6B" w:rsidRPr="00CB7A3F">
        <w:t>C</w:t>
      </w:r>
      <w:r w:rsidR="00ED5E0B" w:rsidRPr="00CB7A3F">
        <w:t>hild</w:t>
      </w:r>
      <w:r w:rsidR="008A4E6B" w:rsidRPr="00CB7A3F">
        <w:t xml:space="preserve"> as education should teach children to respect one another (unicef.org no date).</w:t>
      </w:r>
      <w:r w:rsidR="008A4E6B" w:rsidRPr="00CB7A3F">
        <w:t xml:space="preserve"> </w:t>
      </w:r>
      <w:r w:rsidR="00C962D4" w:rsidRPr="00CB7A3F">
        <w:t>This is important as Hodgman (2011) believes good behaviour can enable a child to fit into a</w:t>
      </w:r>
      <w:r w:rsidR="00C962D4" w:rsidRPr="00CB7A3F">
        <w:t xml:space="preserve"> setting and develop since they will be aware that their actions will have consequences. </w:t>
      </w:r>
      <w:r w:rsidR="00C962D4" w:rsidRPr="00CB7A3F">
        <w:t>The adult plays a role in demonstrating this positive behaviour</w:t>
      </w:r>
      <w:r w:rsidR="00C962D4" w:rsidRPr="00CB7A3F">
        <w:t xml:space="preserve"> since children learn how to behave from </w:t>
      </w:r>
      <w:r w:rsidR="00C962D4" w:rsidRPr="00CB7A3F">
        <w:t xml:space="preserve">the attention that is rewarded to them by the adult (Tayler, 2015). </w:t>
      </w:r>
      <w:r w:rsidR="00ED5E0B" w:rsidRPr="00CB7A3F">
        <w:t>Mackenzie (no date) believes that r</w:t>
      </w:r>
      <w:r w:rsidR="00C962D4" w:rsidRPr="00CB7A3F">
        <w:t xml:space="preserve">ewarding children for following </w:t>
      </w:r>
      <w:r w:rsidR="00C962D4" w:rsidRPr="00CB7A3F">
        <w:t>rules can lead them to</w:t>
      </w:r>
      <w:r w:rsidR="00C962D4" w:rsidRPr="00CB7A3F">
        <w:t xml:space="preserve"> demonstrating the behaviour more often which allows them to fit in with others and be involved in activities </w:t>
      </w:r>
      <w:r w:rsidR="00C962D4" w:rsidRPr="00CB7A3F">
        <w:t>and this links</w:t>
      </w:r>
      <w:r w:rsidR="00C962D4" w:rsidRPr="00CB7A3F">
        <w:t xml:space="preserve"> with the theory developed by Skinner (no date</w:t>
      </w:r>
      <w:r w:rsidR="00ED5E0B" w:rsidRPr="00CB7A3F">
        <w:t>,</w:t>
      </w:r>
      <w:r w:rsidR="00C962D4" w:rsidRPr="00CB7A3F">
        <w:t xml:space="preserve"> cited in glowsctland.org 2015) that positive reinforcement can encourage a child to </w:t>
      </w:r>
      <w:r w:rsidR="001A5441" w:rsidRPr="00CB7A3F">
        <w:t>behav</w:t>
      </w:r>
      <w:r w:rsidR="00ED5E0B" w:rsidRPr="00CB7A3F">
        <w:t>e in the correct manner which</w:t>
      </w:r>
      <w:r w:rsidR="001A5441" w:rsidRPr="00CB7A3F">
        <w:t xml:space="preserve"> can incr</w:t>
      </w:r>
      <w:r w:rsidR="00ED5E0B" w:rsidRPr="00CB7A3F">
        <w:t>ease positive relationships between</w:t>
      </w:r>
      <w:r w:rsidR="001A5441" w:rsidRPr="00CB7A3F">
        <w:t xml:space="preserve"> children, linking to finds of </w:t>
      </w:r>
      <w:r w:rsidR="001A5441" w:rsidRPr="00CB7A3F">
        <w:t xml:space="preserve">Loeb et al. </w:t>
      </w:r>
      <w:r w:rsidR="001A5441" w:rsidRPr="00CB7A3F">
        <w:t>(2004</w:t>
      </w:r>
      <w:r w:rsidR="00CB7A3F" w:rsidRPr="00CB7A3F">
        <w:t>,</w:t>
      </w:r>
      <w:r w:rsidR="001A5441" w:rsidRPr="00CB7A3F">
        <w:t xml:space="preserve"> </w:t>
      </w:r>
      <w:r w:rsidR="001A5441" w:rsidRPr="00CB7A3F">
        <w:t>ci</w:t>
      </w:r>
      <w:r w:rsidR="001A5441" w:rsidRPr="00CB7A3F">
        <w:t>ted in Department for Education 2015) that</w:t>
      </w:r>
      <w:r w:rsidR="001A5441" w:rsidRPr="00CB7A3F">
        <w:t xml:space="preserve"> high-quality service links to positive outcomes in behaviour. </w:t>
      </w:r>
    </w:p>
    <w:p w14:paraId="46FFD0AF" w14:textId="77777777" w:rsidR="00A05D0E" w:rsidRPr="00CB7A3F" w:rsidRDefault="00A05D0E" w:rsidP="00CB7A3F">
      <w:pPr>
        <w:spacing w:line="360" w:lineRule="auto"/>
        <w:jc w:val="both"/>
      </w:pPr>
    </w:p>
    <w:p w14:paraId="30EAFE88" w14:textId="1E120F94" w:rsidR="00285106" w:rsidRPr="00CB7A3F" w:rsidRDefault="00551E97" w:rsidP="00CB7A3F">
      <w:pPr>
        <w:spacing w:line="360" w:lineRule="auto"/>
        <w:jc w:val="both"/>
      </w:pPr>
      <w:r w:rsidRPr="00CB7A3F">
        <w:t xml:space="preserve">High quality service can be also provided through </w:t>
      </w:r>
      <w:r w:rsidR="00485487" w:rsidRPr="00CB7A3F">
        <w:t xml:space="preserve">activities that encourage </w:t>
      </w:r>
      <w:r w:rsidRPr="00CB7A3F">
        <w:t>interactions, which are tak</w:t>
      </w:r>
      <w:r w:rsidR="001A7912" w:rsidRPr="00CB7A3F">
        <w:t>ing into account when measuring</w:t>
      </w:r>
      <w:r w:rsidRPr="00CB7A3F">
        <w:t xml:space="preserve"> the</w:t>
      </w:r>
      <w:r w:rsidR="00A05D0E" w:rsidRPr="00CB7A3F">
        <w:t xml:space="preserve"> ratings of the SSTEW and ECERS (</w:t>
      </w:r>
      <w:r w:rsidR="00A05D0E" w:rsidRPr="00CB7A3F">
        <w:t xml:space="preserve">Department of Education, no date </w:t>
      </w:r>
      <w:r w:rsidR="00A05D0E" w:rsidRPr="00CB7A3F">
        <w:t>and Siraj, 2017).</w:t>
      </w:r>
      <w:r w:rsidR="00485487" w:rsidRPr="00CB7A3F">
        <w:t xml:space="preserve"> </w:t>
      </w:r>
      <w:r w:rsidR="009066F2" w:rsidRPr="00CB7A3F">
        <w:t>Following these measurements can</w:t>
      </w:r>
      <w:r w:rsidR="0020438B" w:rsidRPr="00CB7A3F">
        <w:t xml:space="preserve"> lead t</w:t>
      </w:r>
      <w:r w:rsidR="009066F2" w:rsidRPr="00CB7A3F">
        <w:t>o settings scoring high on the</w:t>
      </w:r>
      <w:r w:rsidR="0020438B" w:rsidRPr="00CB7A3F">
        <w:t xml:space="preserve"> scales since children will become engaged in the activity when it is planned around their interests (Department for Education, 2017). This may require qualified and experienced staff since they will have the </w:t>
      </w:r>
      <w:r w:rsidR="0020438B" w:rsidRPr="00CB7A3F">
        <w:t>knowledge to effective</w:t>
      </w:r>
      <w:r w:rsidR="00686B19" w:rsidRPr="00CB7A3F">
        <w:t>ly</w:t>
      </w:r>
      <w:r w:rsidR="0020438B" w:rsidRPr="00CB7A3F">
        <w:t xml:space="preserve"> plan and assess children’s</w:t>
      </w:r>
      <w:r w:rsidR="009454CF" w:rsidRPr="00CB7A3F">
        <w:t xml:space="preserve"> needs and</w:t>
      </w:r>
      <w:r w:rsidR="009066F2" w:rsidRPr="00CB7A3F">
        <w:t xml:space="preserve"> therefore,</w:t>
      </w:r>
      <w:r w:rsidR="009454CF" w:rsidRPr="00CB7A3F">
        <w:t xml:space="preserve"> Bull et al (</w:t>
      </w:r>
      <w:r w:rsidR="009454CF" w:rsidRPr="00CB7A3F">
        <w:t>2017</w:t>
      </w:r>
      <w:r w:rsidR="009454CF" w:rsidRPr="00CB7A3F">
        <w:t>)</w:t>
      </w:r>
      <w:r w:rsidR="00E7757B" w:rsidRPr="00CB7A3F">
        <w:t xml:space="preserve"> and Department for Education (2017)</w:t>
      </w:r>
      <w:r w:rsidR="009454CF" w:rsidRPr="00CB7A3F">
        <w:t xml:space="preserve"> </w:t>
      </w:r>
      <w:r w:rsidR="009066F2" w:rsidRPr="00CB7A3F">
        <w:t>support this as it they</w:t>
      </w:r>
      <w:r w:rsidR="009454CF" w:rsidRPr="00CB7A3F">
        <w:t xml:space="preserve"> found that</w:t>
      </w:r>
      <w:r w:rsidR="009454CF" w:rsidRPr="00CB7A3F">
        <w:t xml:space="preserve"> classrooms that consist of teachers with a bachelor degree show higher scores within the scale. </w:t>
      </w:r>
      <w:r w:rsidR="00285106" w:rsidRPr="00CB7A3F">
        <w:t xml:space="preserve">However, </w:t>
      </w:r>
      <w:r w:rsidR="009066F2" w:rsidRPr="00CB7A3F">
        <w:t xml:space="preserve">qualifications do </w:t>
      </w:r>
      <w:r w:rsidR="00285106" w:rsidRPr="00CB7A3F">
        <w:t xml:space="preserve">not guarantee this as </w:t>
      </w:r>
      <w:r w:rsidR="00285106" w:rsidRPr="00CB7A3F">
        <w:t>Todman (2019) found that staff with high qualifications were not planning activities to meet children’s individual needs and therefore c</w:t>
      </w:r>
      <w:r w:rsidR="009066F2" w:rsidRPr="00CB7A3F">
        <w:t>hildren were not engaged in them.</w:t>
      </w:r>
    </w:p>
    <w:p w14:paraId="4EE769D7" w14:textId="5283814D" w:rsidR="00C505FD" w:rsidRPr="00CB7A3F" w:rsidRDefault="00393E20" w:rsidP="00CB7A3F">
      <w:pPr>
        <w:pStyle w:val="NormalWeb"/>
        <w:spacing w:line="360" w:lineRule="auto"/>
        <w:jc w:val="both"/>
      </w:pPr>
      <w:r w:rsidRPr="00CB7A3F">
        <w:t>Howar</w:t>
      </w:r>
      <w:r w:rsidR="00F651CC" w:rsidRPr="00CB7A3F">
        <w:t>d et al (</w:t>
      </w:r>
      <w:r w:rsidRPr="00CB7A3F">
        <w:t>2018</w:t>
      </w:r>
      <w:r w:rsidR="00F651CC" w:rsidRPr="00CB7A3F">
        <w:t>)</w:t>
      </w:r>
      <w:r w:rsidRPr="00CB7A3F">
        <w:t xml:space="preserve"> believe these two scales are useful in reflecting quality and therefore could be effective throughout settings since an inspection from Estyn</w:t>
      </w:r>
      <w:r w:rsidR="009C1137" w:rsidRPr="00CB7A3F">
        <w:t xml:space="preserve"> (2018)</w:t>
      </w:r>
      <w:r w:rsidRPr="00CB7A3F">
        <w:t xml:space="preserve"> found that </w:t>
      </w:r>
      <w:r w:rsidR="00686B19" w:rsidRPr="00CB7A3F">
        <w:t>engagement in lessons and poor behaviour was an issue when children’s voices were not listened to, and when they were not able to contribute to t</w:t>
      </w:r>
      <w:r w:rsidR="008A4E6B" w:rsidRPr="00CB7A3F">
        <w:t xml:space="preserve">he planning of their activities </w:t>
      </w:r>
      <w:r w:rsidR="009066F2" w:rsidRPr="00CB7A3F">
        <w:t xml:space="preserve">which fails to </w:t>
      </w:r>
      <w:r w:rsidR="008A4E6B" w:rsidRPr="00CB7A3F">
        <w:t xml:space="preserve">comply </w:t>
      </w:r>
      <w:r w:rsidR="008A4E6B" w:rsidRPr="00CB7A3F">
        <w:t xml:space="preserve">with article 12 of the UNCRC </w:t>
      </w:r>
      <w:r w:rsidR="008A4E6B" w:rsidRPr="00CB7A3F">
        <w:t xml:space="preserve">which states </w:t>
      </w:r>
      <w:r w:rsidR="008A4E6B" w:rsidRPr="00CB7A3F">
        <w:t>that children should have a voice in matters that involve them (unicef.org no date).</w:t>
      </w:r>
      <w:r w:rsidR="009066F2" w:rsidRPr="00CB7A3F">
        <w:t xml:space="preserve"> </w:t>
      </w:r>
      <w:r w:rsidRPr="00CB7A3F">
        <w:t xml:space="preserve">Therefore, </w:t>
      </w:r>
      <w:r w:rsidR="009066F2" w:rsidRPr="00CB7A3F">
        <w:t xml:space="preserve">Howe (1999, cited in Walsh and Gardner </w:t>
      </w:r>
      <w:r w:rsidR="00686B19" w:rsidRPr="00CB7A3F">
        <w:t xml:space="preserve">2005) </w:t>
      </w:r>
      <w:r w:rsidR="00F651CC" w:rsidRPr="00CB7A3F">
        <w:t xml:space="preserve">and Hodgman (2011) </w:t>
      </w:r>
      <w:r w:rsidR="00686B19" w:rsidRPr="00CB7A3F">
        <w:t xml:space="preserve">believe in order to </w:t>
      </w:r>
      <w:r w:rsidR="00F651CC" w:rsidRPr="00CB7A3F">
        <w:t xml:space="preserve">combat this, the setting should </w:t>
      </w:r>
      <w:r w:rsidR="00686B19" w:rsidRPr="00CB7A3F">
        <w:t>promote independence</w:t>
      </w:r>
      <w:r w:rsidR="00F651CC" w:rsidRPr="00CB7A3F">
        <w:t xml:space="preserve"> by allowing the </w:t>
      </w:r>
      <w:r w:rsidR="00686B19" w:rsidRPr="00CB7A3F">
        <w:t xml:space="preserve">children </w:t>
      </w:r>
      <w:r w:rsidR="00F651CC" w:rsidRPr="00CB7A3F">
        <w:t xml:space="preserve">to have </w:t>
      </w:r>
      <w:r w:rsidR="00686B19" w:rsidRPr="00CB7A3F">
        <w:t xml:space="preserve">some input into the </w:t>
      </w:r>
      <w:r w:rsidR="00F651CC" w:rsidRPr="00CB7A3F">
        <w:t>planning of their activities and this will allow them to</w:t>
      </w:r>
      <w:r w:rsidR="00686B19" w:rsidRPr="00CB7A3F">
        <w:t xml:space="preserve"> become more engaged </w:t>
      </w:r>
      <w:r w:rsidR="009454CF" w:rsidRPr="00CB7A3F">
        <w:t xml:space="preserve">and feel valued </w:t>
      </w:r>
      <w:r w:rsidR="00686B19" w:rsidRPr="00CB7A3F">
        <w:t>since they will be aware that the outcome of the ac</w:t>
      </w:r>
      <w:r w:rsidR="009454CF" w:rsidRPr="00CB7A3F">
        <w:t>tivity relies on their actions (Tayler, 2015).</w:t>
      </w:r>
      <w:r w:rsidR="002D25CC" w:rsidRPr="00CB7A3F">
        <w:rPr>
          <w:b/>
        </w:rPr>
        <w:t xml:space="preserve"> </w:t>
      </w:r>
      <w:r w:rsidR="00515101" w:rsidRPr="00CB7A3F">
        <w:t>However,</w:t>
      </w:r>
      <w:r w:rsidR="003B7765" w:rsidRPr="00CB7A3F">
        <w:t xml:space="preserve"> according to the </w:t>
      </w:r>
      <w:r w:rsidR="003B7765" w:rsidRPr="00CB7A3F">
        <w:t>Department of Ed</w:t>
      </w:r>
      <w:r w:rsidR="003B7765" w:rsidRPr="00CB7A3F">
        <w:t>ucation (no date</w:t>
      </w:r>
      <w:r w:rsidR="009066F2" w:rsidRPr="00CB7A3F">
        <w:t>)</w:t>
      </w:r>
      <w:r w:rsidR="003B7765" w:rsidRPr="00CB7A3F">
        <w:t xml:space="preserve"> </w:t>
      </w:r>
      <w:r w:rsidR="00515101" w:rsidRPr="00CB7A3F">
        <w:t>high</w:t>
      </w:r>
      <w:r w:rsidR="009C1137" w:rsidRPr="00CB7A3F">
        <w:t xml:space="preserve"> scores cannot be obtained</w:t>
      </w:r>
      <w:r w:rsidR="00515101" w:rsidRPr="00CB7A3F">
        <w:t xml:space="preserve"> </w:t>
      </w:r>
      <w:r w:rsidR="009066F2" w:rsidRPr="00CB7A3F">
        <w:t xml:space="preserve">when using the ECERS </w:t>
      </w:r>
      <w:r w:rsidR="00515101" w:rsidRPr="00CB7A3F">
        <w:t xml:space="preserve">until basic indicators are met, </w:t>
      </w:r>
      <w:r w:rsidR="009C1137" w:rsidRPr="00CB7A3F">
        <w:t xml:space="preserve">as the belief is that children are not able to benefit from the high </w:t>
      </w:r>
      <w:r w:rsidR="00515101" w:rsidRPr="00CB7A3F">
        <w:t>indicators</w:t>
      </w:r>
      <w:r w:rsidR="009C1137" w:rsidRPr="00CB7A3F">
        <w:t xml:space="preserve"> when t</w:t>
      </w:r>
      <w:r w:rsidR="003B7765" w:rsidRPr="00CB7A3F">
        <w:t xml:space="preserve">he basic indicators are not met, linking </w:t>
      </w:r>
      <w:r w:rsidR="003B7765" w:rsidRPr="00CB7A3F">
        <w:t>to Maslow’s Hierachy of need’s theory</w:t>
      </w:r>
      <w:r w:rsidR="009066F2" w:rsidRPr="00CB7A3F">
        <w:t xml:space="preserve"> (no date)</w:t>
      </w:r>
      <w:r w:rsidR="003B7765" w:rsidRPr="00CB7A3F">
        <w:t xml:space="preserve"> that children can only develop if</w:t>
      </w:r>
      <w:r w:rsidR="003B7765" w:rsidRPr="00CB7A3F">
        <w:t xml:space="preserve"> the basic needs are met first (</w:t>
      </w:r>
      <w:r w:rsidR="00C505FD" w:rsidRPr="00CB7A3F">
        <w:t xml:space="preserve">Huitt, 2007). </w:t>
      </w:r>
      <w:r w:rsidR="00C458A3" w:rsidRPr="00CB7A3F">
        <w:t>Hodgman (2011) reveals that c</w:t>
      </w:r>
      <w:r w:rsidR="00AB4B04" w:rsidRPr="00CB7A3F">
        <w:t>hildren</w:t>
      </w:r>
      <w:r w:rsidR="00C458A3" w:rsidRPr="00CB7A3F">
        <w:t xml:space="preserve"> can meet these basic needs such as safety by staff educating them on how they can be safe. Encouraging children to perform </w:t>
      </w:r>
      <w:r w:rsidR="00C505FD" w:rsidRPr="00CB7A3F">
        <w:t>routines themselves such as washing their hands increases their independence</w:t>
      </w:r>
      <w:r w:rsidR="00C458A3" w:rsidRPr="00CB7A3F">
        <w:t xml:space="preserve"> and </w:t>
      </w:r>
      <w:r w:rsidR="009066F2" w:rsidRPr="00CB7A3F">
        <w:t>settings</w:t>
      </w:r>
      <w:r w:rsidR="00C458A3" w:rsidRPr="00CB7A3F">
        <w:t xml:space="preserve"> can receive the highest scores in personal care when children are able to </w:t>
      </w:r>
      <w:r w:rsidR="00BD4F18" w:rsidRPr="00CB7A3F">
        <w:t>perform</w:t>
      </w:r>
      <w:r w:rsidR="00C458A3" w:rsidRPr="00CB7A3F">
        <w:t xml:space="preserve"> hygiene routines without the help of staff (Harms et al. no date)</w:t>
      </w:r>
      <w:r w:rsidR="00C505FD" w:rsidRPr="00CB7A3F">
        <w:rPr>
          <w:b/>
        </w:rPr>
        <w:t>.</w:t>
      </w:r>
      <w:r w:rsidR="00C505FD" w:rsidRPr="00CB7A3F">
        <w:t xml:space="preserve"> </w:t>
      </w:r>
      <w:r w:rsidR="009C1137" w:rsidRPr="00CB7A3F">
        <w:t xml:space="preserve">However, Bull et al. </w:t>
      </w:r>
      <w:r w:rsidR="002D25CC" w:rsidRPr="00CB7A3F">
        <w:t>(</w:t>
      </w:r>
      <w:r w:rsidR="009C1137" w:rsidRPr="00CB7A3F">
        <w:t>2017</w:t>
      </w:r>
      <w:r w:rsidR="002D25CC" w:rsidRPr="00CB7A3F">
        <w:t>)</w:t>
      </w:r>
      <w:r w:rsidR="009C1137" w:rsidRPr="00CB7A3F">
        <w:t xml:space="preserve"> criticise this since it does not show an accurate measure of the quality of a setting as the higher indicators such as teacher-child interactions are not looked at until the basic</w:t>
      </w:r>
      <w:r w:rsidR="009066F2" w:rsidRPr="00CB7A3F">
        <w:t xml:space="preserve"> indicator</w:t>
      </w:r>
      <w:r w:rsidR="007A1374" w:rsidRPr="00CB7A3F">
        <w:t>s such as cleanliness are</w:t>
      </w:r>
      <w:r w:rsidR="009C1137" w:rsidRPr="00CB7A3F">
        <w:t xml:space="preserve"> met. </w:t>
      </w:r>
      <w:r w:rsidR="00515101" w:rsidRPr="00CB7A3F">
        <w:t>In addition, Layzer and Goodson</w:t>
      </w:r>
      <w:r w:rsidR="009066F2" w:rsidRPr="00CB7A3F">
        <w:t xml:space="preserve"> (2006, cited in Bull et al. </w:t>
      </w:r>
      <w:r w:rsidR="00515101" w:rsidRPr="00CB7A3F">
        <w:t>2017</w:t>
      </w:r>
      <w:r w:rsidR="009066F2" w:rsidRPr="00CB7A3F">
        <w:t>)</w:t>
      </w:r>
      <w:r w:rsidR="00515101" w:rsidRPr="00CB7A3F">
        <w:t xml:space="preserve"> criticise this as they reveal that there is a low amount of research linking cleanliness to children’s outcomes and therefore, stopping at the basic indicators can reduce a setting from gaining information from more important indicators of a subscale.</w:t>
      </w:r>
      <w:r w:rsidR="00515101" w:rsidRPr="00CB7A3F">
        <w:t xml:space="preserve"> </w:t>
      </w:r>
      <w:r w:rsidR="00E7757B" w:rsidRPr="00CB7A3F">
        <w:t xml:space="preserve">Therefore, Bull et al (2017) </w:t>
      </w:r>
      <w:r w:rsidR="009C1137" w:rsidRPr="00CB7A3F">
        <w:t>would recommend using the SSTEW scale as it does not follow this and allows measuring of all the indicators.</w:t>
      </w:r>
      <w:r w:rsidR="00515101" w:rsidRPr="00CB7A3F">
        <w:t xml:space="preserve"> </w:t>
      </w:r>
    </w:p>
    <w:p w14:paraId="04DDDEF9" w14:textId="6265E701" w:rsidR="00BD4F18" w:rsidRPr="00CB7A3F" w:rsidRDefault="00551E1B" w:rsidP="00CB7A3F">
      <w:pPr>
        <w:spacing w:line="360" w:lineRule="auto"/>
        <w:jc w:val="both"/>
      </w:pPr>
      <w:r w:rsidRPr="00CB7A3F">
        <w:t>Departm</w:t>
      </w:r>
      <w:r w:rsidR="009066F2" w:rsidRPr="00CB7A3F">
        <w:t xml:space="preserve">ent for Education (no date) add that the ECERS not only looks at interactions between children, but also, it looks at </w:t>
      </w:r>
      <w:r w:rsidRPr="00CB7A3F">
        <w:t>interactions between the</w:t>
      </w:r>
      <w:r w:rsidR="00074706" w:rsidRPr="00CB7A3F">
        <w:t xml:space="preserve"> parents and practioners, where-</w:t>
      </w:r>
      <w:r w:rsidRPr="00CB7A3F">
        <w:t xml:space="preserve">as Siraj (2017) found </w:t>
      </w:r>
      <w:r w:rsidR="00C868E8" w:rsidRPr="00CB7A3F">
        <w:t xml:space="preserve">that this is not evident within the SSTEW scale. Therefore, using </w:t>
      </w:r>
      <w:r w:rsidR="00074706" w:rsidRPr="00CB7A3F">
        <w:t xml:space="preserve">the ECERS can benefit a setting as Bridgemohan (2001) and Department for Education (no date) found that having a strong partnership with parents can lead to improvements in performance and attendance. </w:t>
      </w:r>
      <w:r w:rsidR="006B0C77" w:rsidRPr="00CB7A3F">
        <w:t>Families Values Schemes</w:t>
      </w:r>
      <w:r w:rsidR="006B0C77" w:rsidRPr="00CB7A3F">
        <w:t xml:space="preserve"> (2014)</w:t>
      </w:r>
      <w:r w:rsidR="006B0C77" w:rsidRPr="00CB7A3F">
        <w:t xml:space="preserve"> can be useful in engaging parents</w:t>
      </w:r>
      <w:r w:rsidR="00286CA4" w:rsidRPr="00CB7A3F">
        <w:t xml:space="preserve"> into getting involved with activities within the setting</w:t>
      </w:r>
      <w:r w:rsidR="006B0C77" w:rsidRPr="00CB7A3F">
        <w:t>. Local Authorities in Neath and Port Talbot use activities such as planning family dinners together to encourage interactions between the child and parent, and to increase the</w:t>
      </w:r>
      <w:r w:rsidR="006B0C77" w:rsidRPr="00CB7A3F">
        <w:t>ir involvement with the setting.</w:t>
      </w:r>
      <w:r w:rsidR="00286CA4" w:rsidRPr="00CB7A3F">
        <w:t xml:space="preserve"> Furthermore,</w:t>
      </w:r>
      <w:r w:rsidR="006B0C77" w:rsidRPr="00CB7A3F">
        <w:t xml:space="preserve"> Gurnos Nursery (2019) </w:t>
      </w:r>
      <w:r w:rsidR="00286CA4" w:rsidRPr="00CB7A3F">
        <w:t>invite parents</w:t>
      </w:r>
      <w:r w:rsidR="006B0C77" w:rsidRPr="00CB7A3F">
        <w:t xml:space="preserve"> to the setting to view the types of activities their child participates in and how it supports their development</w:t>
      </w:r>
      <w:r w:rsidR="00286CA4" w:rsidRPr="00CB7A3F">
        <w:t>. This can be useful when educating parents about the benefits of outdoor play since it will reduce their concerns over the safety of their child when participating in risky play as they begin to see the benefits it has towards their development (Kennedy and Mcgrath, no date and Rooijen, 2014).</w:t>
      </w:r>
      <w:r w:rsidR="00285106" w:rsidRPr="00CB7A3F">
        <w:t xml:space="preserve"> Providing children with outdoor space and risky play can score high on both the SSTEW and ECERS as Roiijen (2014) reveals that it improves children’s creative thinking as they problem solve to overcome the obstacle and can lead children becoming more confident and resilient in their abilities (Durisic and Bunijevac, 2017). Howard et al</w:t>
      </w:r>
      <w:r w:rsidR="009066F2" w:rsidRPr="00CB7A3F">
        <w:t>.</w:t>
      </w:r>
      <w:r w:rsidR="00285106" w:rsidRPr="00CB7A3F">
        <w:t xml:space="preserve"> (2018) agrees and claims that h</w:t>
      </w:r>
      <w:r w:rsidR="00285106" w:rsidRPr="00CB7A3F">
        <w:t xml:space="preserve">igh scores in the SSTEW can be achieved when risk taking and confidence is encouraged. </w:t>
      </w:r>
      <w:r w:rsidR="009066F2" w:rsidRPr="00CB7A3F">
        <w:rPr>
          <w:rFonts w:eastAsia="Times New Roman"/>
          <w:color w:val="000000"/>
          <w:shd w:val="clear" w:color="auto" w:fill="FFFFFF"/>
        </w:rPr>
        <w:t>However</w:t>
      </w:r>
      <w:r w:rsidR="009066F2" w:rsidRPr="00CB7A3F">
        <w:rPr>
          <w:rFonts w:eastAsia="Times New Roman"/>
          <w:color w:val="000000"/>
          <w:shd w:val="clear" w:color="auto" w:fill="FFFFFF"/>
        </w:rPr>
        <w:t xml:space="preserve">, </w:t>
      </w:r>
      <w:r w:rsidR="009066F2" w:rsidRPr="00CB7A3F">
        <w:t>Bull et al (2017</w:t>
      </w:r>
      <w:r w:rsidR="009066F2" w:rsidRPr="00CB7A3F">
        <w:t>) argues</w:t>
      </w:r>
      <w:r w:rsidR="009066F2" w:rsidRPr="00CB7A3F">
        <w:t xml:space="preserve"> that there are not enough reliable findings to suggest that high scores are connected to children’s outcomes.</w:t>
      </w:r>
      <w:r w:rsidR="009066F2" w:rsidRPr="00CB7A3F">
        <w:t xml:space="preserve"> </w:t>
      </w:r>
      <w:r w:rsidR="009066F2" w:rsidRPr="00CB7A3F">
        <w:rPr>
          <w:rFonts w:eastAsia="Times New Roman"/>
          <w:color w:val="000000"/>
          <w:shd w:val="clear" w:color="auto" w:fill="FFFFFF"/>
        </w:rPr>
        <w:t>Also, Todman (2019) reveals</w:t>
      </w:r>
      <w:r w:rsidR="00285106" w:rsidRPr="00CB7A3F">
        <w:rPr>
          <w:rFonts w:eastAsia="Times New Roman"/>
          <w:color w:val="000000"/>
          <w:shd w:val="clear" w:color="auto" w:fill="FFFFFF"/>
        </w:rPr>
        <w:t xml:space="preserve"> that </w:t>
      </w:r>
      <w:r w:rsidR="00285106" w:rsidRPr="00CB7A3F">
        <w:rPr>
          <w:rFonts w:eastAsia="Times New Roman"/>
          <w:color w:val="000000"/>
          <w:shd w:val="clear" w:color="auto" w:fill="FFFFFF"/>
        </w:rPr>
        <w:t>adults are still required to observe the children outdoors since staff at Shrewsbury nursery failed to recognise that a child had a toy helmet stuck over his head when</w:t>
      </w:r>
      <w:r w:rsidR="00285106" w:rsidRPr="00CB7A3F">
        <w:rPr>
          <w:rFonts w:eastAsia="Times New Roman"/>
          <w:color w:val="000000"/>
          <w:shd w:val="clear" w:color="auto" w:fill="FFFFFF"/>
        </w:rPr>
        <w:t xml:space="preserve"> attempting to</w:t>
      </w:r>
      <w:r w:rsidR="00285106" w:rsidRPr="00CB7A3F">
        <w:rPr>
          <w:rFonts w:eastAsia="Times New Roman"/>
          <w:color w:val="000000"/>
          <w:shd w:val="clear" w:color="auto" w:fill="FFFFFF"/>
        </w:rPr>
        <w:t xml:space="preserve"> cl</w:t>
      </w:r>
      <w:r w:rsidR="00285106" w:rsidRPr="00CB7A3F">
        <w:rPr>
          <w:rFonts w:eastAsia="Times New Roman"/>
          <w:color w:val="000000"/>
          <w:shd w:val="clear" w:color="auto" w:fill="FFFFFF"/>
        </w:rPr>
        <w:t>imb the slide.</w:t>
      </w:r>
      <w:r w:rsidR="00BD4F18" w:rsidRPr="00CB7A3F">
        <w:rPr>
          <w:rFonts w:eastAsia="Times New Roman"/>
          <w:color w:val="000000"/>
          <w:shd w:val="clear" w:color="auto" w:fill="FFFFFF"/>
        </w:rPr>
        <w:t xml:space="preserve"> </w:t>
      </w:r>
    </w:p>
    <w:p w14:paraId="7A5BEE7F" w14:textId="77777777" w:rsidR="009066F2" w:rsidRPr="00CB7A3F" w:rsidRDefault="009066F2" w:rsidP="00CB7A3F">
      <w:pPr>
        <w:spacing w:line="360" w:lineRule="auto"/>
        <w:jc w:val="both"/>
        <w:rPr>
          <w:rFonts w:eastAsia="Times New Roman"/>
          <w:color w:val="000000"/>
          <w:shd w:val="clear" w:color="auto" w:fill="FFFFFF"/>
        </w:rPr>
      </w:pPr>
    </w:p>
    <w:p w14:paraId="3521A275" w14:textId="1A0440E4" w:rsidR="00193647" w:rsidRPr="00CB7A3F" w:rsidRDefault="00193647" w:rsidP="00CB7A3F">
      <w:pPr>
        <w:spacing w:line="360" w:lineRule="auto"/>
        <w:jc w:val="both"/>
      </w:pPr>
      <w:r w:rsidRPr="00CB7A3F">
        <w:rPr>
          <w:rFonts w:eastAsia="Times New Roman"/>
          <w:color w:val="000000"/>
          <w:shd w:val="clear" w:color="auto" w:fill="FFFFFF"/>
        </w:rPr>
        <w:t>The i</w:t>
      </w:r>
      <w:r w:rsidR="005D4515" w:rsidRPr="00CB7A3F">
        <w:rPr>
          <w:rFonts w:eastAsia="Times New Roman"/>
          <w:color w:val="000000"/>
          <w:shd w:val="clear" w:color="auto" w:fill="FFFFFF"/>
        </w:rPr>
        <w:t>ndoor and outdoor environment are</w:t>
      </w:r>
      <w:r w:rsidRPr="00CB7A3F">
        <w:rPr>
          <w:rFonts w:eastAsia="Times New Roman"/>
          <w:color w:val="000000"/>
          <w:shd w:val="clear" w:color="auto" w:fill="FFFFFF"/>
        </w:rPr>
        <w:t xml:space="preserve"> looked more closely when using the ECERS and Hodgman (2011) advises </w:t>
      </w:r>
      <w:r w:rsidRPr="00CB7A3F">
        <w:t xml:space="preserve">settings to </w:t>
      </w:r>
      <w:r w:rsidRPr="00CB7A3F">
        <w:t xml:space="preserve">connect both </w:t>
      </w:r>
      <w:r w:rsidRPr="00CB7A3F">
        <w:t>environments together to allow children to have freedom</w:t>
      </w:r>
      <w:r w:rsidR="009066F2" w:rsidRPr="00CB7A3F">
        <w:t xml:space="preserve"> of choice with activities as t</w:t>
      </w:r>
      <w:r w:rsidRPr="00CB7A3F">
        <w:t xml:space="preserve">his </w:t>
      </w:r>
      <w:r w:rsidRPr="00CB7A3F">
        <w:t>will increas</w:t>
      </w:r>
      <w:r w:rsidR="009066F2" w:rsidRPr="00CB7A3F">
        <w:t xml:space="preserve">e their engagement since </w:t>
      </w:r>
      <w:r w:rsidRPr="00CB7A3F">
        <w:t xml:space="preserve">they are able to take charge of their environment which makes them feel valued (Reed and Canning, 2012). However, these two environments can still be measured using the SSTEW scale as </w:t>
      </w:r>
      <w:r w:rsidR="004A2BB9" w:rsidRPr="00CB7A3F">
        <w:t xml:space="preserve">the subscale supporting learning and critical thinking links with using the outdoor environment </w:t>
      </w:r>
      <w:r w:rsidR="00BD4F18" w:rsidRPr="00CB7A3F">
        <w:t xml:space="preserve">as Sure Start (no date) found children’s creativity is </w:t>
      </w:r>
      <w:r w:rsidR="009066F2" w:rsidRPr="00CB7A3F">
        <w:t>developed when</w:t>
      </w:r>
      <w:r w:rsidR="00BD4F18" w:rsidRPr="00CB7A3F">
        <w:t xml:space="preserve"> they begin to experiment with sounds, objects and movement. Furthermore, </w:t>
      </w:r>
      <w:r w:rsidR="00BD4F18" w:rsidRPr="00CB7A3F">
        <w:t xml:space="preserve">Bento and Dias (2017) </w:t>
      </w:r>
      <w:r w:rsidR="00BD4F18" w:rsidRPr="00CB7A3F">
        <w:t xml:space="preserve">add that outdoor play can encourage </w:t>
      </w:r>
      <w:r w:rsidR="00BD4F18" w:rsidRPr="00CB7A3F">
        <w:t xml:space="preserve">children </w:t>
      </w:r>
      <w:r w:rsidR="00BD4F18" w:rsidRPr="00CB7A3F">
        <w:t xml:space="preserve">to </w:t>
      </w:r>
      <w:r w:rsidR="00BD4F18" w:rsidRPr="00CB7A3F">
        <w:t>work together and problem solve</w:t>
      </w:r>
      <w:r w:rsidR="00BD4F18" w:rsidRPr="00CB7A3F">
        <w:t xml:space="preserve"> and this will allow them</w:t>
      </w:r>
      <w:r w:rsidR="00BD4F18" w:rsidRPr="00CB7A3F">
        <w:t xml:space="preserve"> to gain more knowledge of their abilities and the environment that is around them.</w:t>
      </w:r>
      <w:r w:rsidR="005D4515" w:rsidRPr="00CB7A3F">
        <w:t xml:space="preserve"> This belief is </w:t>
      </w:r>
      <w:r w:rsidR="007B1249" w:rsidRPr="00CB7A3F">
        <w:t>acknowledged</w:t>
      </w:r>
      <w:r w:rsidR="005D4515" w:rsidRPr="00CB7A3F">
        <w:t xml:space="preserve"> throughout the foundation phase curriculum which reveals that </w:t>
      </w:r>
      <w:r w:rsidR="005D4515" w:rsidRPr="00CB7A3F">
        <w:t>independence should be promoted in activities that encourage chil</w:t>
      </w:r>
      <w:r w:rsidR="005D4515" w:rsidRPr="00CB7A3F">
        <w:t>dren to investigate and explore (</w:t>
      </w:r>
      <w:r w:rsidR="005D4515" w:rsidRPr="00CB7A3F">
        <w:t>Welsh Government, 2015</w:t>
      </w:r>
      <w:r w:rsidR="005D4515" w:rsidRPr="00CB7A3F">
        <w:t>).</w:t>
      </w:r>
      <w:r w:rsidR="00BD4F18" w:rsidRPr="00CB7A3F">
        <w:t xml:space="preserve"> These interacti</w:t>
      </w:r>
      <w:bookmarkStart w:id="0" w:name="_GoBack"/>
      <w:bookmarkEnd w:id="0"/>
      <w:r w:rsidR="00BD4F18" w:rsidRPr="00CB7A3F">
        <w:t xml:space="preserve">ons are supported by </w:t>
      </w:r>
      <w:r w:rsidR="007B1249" w:rsidRPr="00CB7A3F">
        <w:t xml:space="preserve">Vygotsky (1978, </w:t>
      </w:r>
      <w:r w:rsidR="00BD4F18" w:rsidRPr="00CB7A3F">
        <w:t xml:space="preserve">cited in Topciu and Myftiu </w:t>
      </w:r>
      <w:r w:rsidR="007B1249" w:rsidRPr="00CB7A3F">
        <w:t>2015) and Howard et</w:t>
      </w:r>
      <w:r w:rsidR="00BD4F18" w:rsidRPr="00CB7A3F">
        <w:t xml:space="preserve"> al. (2018) who </w:t>
      </w:r>
      <w:r w:rsidRPr="00CB7A3F">
        <w:t>believe tha</w:t>
      </w:r>
      <w:r w:rsidR="007B1249" w:rsidRPr="00CB7A3F">
        <w:t>t it is through</w:t>
      </w:r>
      <w:r w:rsidR="00BD4F18" w:rsidRPr="00CB7A3F">
        <w:t xml:space="preserve"> interactions </w:t>
      </w:r>
      <w:r w:rsidRPr="00CB7A3F">
        <w:t>where children learn knowledge.</w:t>
      </w:r>
      <w:r w:rsidR="00BD4F18" w:rsidRPr="00CB7A3F">
        <w:t xml:space="preserve"> Therefore, such interactions and use of the outdoors supports children’s emotional well-being as Hodgman (2011) found that children at Purley Nursery were </w:t>
      </w:r>
      <w:r w:rsidRPr="00CB7A3F">
        <w:t>excited to show researchers how much they appreciated and loved the outdoors by running around in the free space with smiles on their faces</w:t>
      </w:r>
      <w:r w:rsidR="007B1249" w:rsidRPr="00CB7A3F">
        <w:t xml:space="preserve"> </w:t>
      </w:r>
      <w:r w:rsidR="007A1374" w:rsidRPr="00CB7A3F">
        <w:t xml:space="preserve">and </w:t>
      </w:r>
      <w:r w:rsidR="007B1249" w:rsidRPr="00CB7A3F">
        <w:t>this can be measured when using the SSTEW scale as it looks at how settings support children’s emotional well-being (Siraj, 2017).</w:t>
      </w:r>
    </w:p>
    <w:p w14:paraId="0EB4CC1C" w14:textId="77777777" w:rsidR="008A4E6B" w:rsidRPr="00CB7A3F" w:rsidRDefault="008A4E6B" w:rsidP="00CB7A3F">
      <w:pPr>
        <w:spacing w:line="360" w:lineRule="auto"/>
        <w:jc w:val="both"/>
      </w:pPr>
    </w:p>
    <w:p w14:paraId="2B615FCA" w14:textId="77777777" w:rsidR="008A4E6B" w:rsidRDefault="008A4E6B" w:rsidP="00286CA4"/>
    <w:p w14:paraId="51A4A06C" w14:textId="77777777" w:rsidR="008A4E6B" w:rsidRDefault="008A4E6B" w:rsidP="00286CA4"/>
    <w:p w14:paraId="1AD046D0" w14:textId="77777777" w:rsidR="00D15B3A" w:rsidRPr="00D15B3A" w:rsidRDefault="00D15B3A" w:rsidP="00D15B3A">
      <w:pPr>
        <w:shd w:val="clear" w:color="auto" w:fill="FFFFFF"/>
        <w:spacing w:after="100" w:afterAutospacing="1"/>
        <w:outlineLvl w:val="1"/>
        <w:rPr>
          <w:rFonts w:eastAsia="Times New Roman"/>
          <w:color w:val="000000"/>
          <w:sz w:val="36"/>
          <w:szCs w:val="36"/>
        </w:rPr>
      </w:pPr>
      <w:r w:rsidRPr="00D15B3A">
        <w:rPr>
          <w:rFonts w:eastAsia="Times New Roman"/>
          <w:color w:val="000000"/>
          <w:sz w:val="36"/>
          <w:szCs w:val="36"/>
        </w:rPr>
        <w:t>References</w:t>
      </w:r>
    </w:p>
    <w:p w14:paraId="5E76C4C3" w14:textId="77777777" w:rsidR="00FC17A6" w:rsidRDefault="00FC17A6" w:rsidP="00FC17A6">
      <w:pPr>
        <w:spacing w:line="360" w:lineRule="auto"/>
        <w:jc w:val="both"/>
      </w:pPr>
    </w:p>
    <w:p w14:paraId="0D6762DB"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Bento, G. and Dias, G. (2017). The importance of outdoor play for young childrenʼs healthy development.</w:t>
      </w:r>
      <w:r>
        <w:rPr>
          <w:rStyle w:val="apple-converted-space"/>
          <w:color w:val="000000"/>
        </w:rPr>
        <w:t> </w:t>
      </w:r>
      <w:r>
        <w:rPr>
          <w:i/>
          <w:iCs/>
          <w:color w:val="000000"/>
        </w:rPr>
        <w:t>Porto Biomedical Journal</w:t>
      </w:r>
      <w:r>
        <w:rPr>
          <w:color w:val="000000"/>
        </w:rPr>
        <w:t>, [online] 2(5), pp.157-160. Available at: https://www.sciencedirect.com/science/article/pii/S2444866416301234 [Accessed 17 Mar. 2019].</w:t>
      </w:r>
    </w:p>
    <w:p w14:paraId="52482241"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Bleach, J. (2013). Using action research to support quality early years practice.</w:t>
      </w:r>
      <w:r>
        <w:rPr>
          <w:rStyle w:val="apple-converted-space"/>
          <w:color w:val="000000"/>
        </w:rPr>
        <w:t> </w:t>
      </w:r>
      <w:r>
        <w:rPr>
          <w:i/>
          <w:iCs/>
          <w:color w:val="000000"/>
        </w:rPr>
        <w:t>European Early Childhood Education Research Journal</w:t>
      </w:r>
      <w:r>
        <w:rPr>
          <w:color w:val="000000"/>
        </w:rPr>
        <w:t>, [online] 21(3), pp.370-379. Available at: https://www-tandfonline-com.ezproxy.uwtsd.ac.uk/doi/abs/10.1080/1350293X.2013.814354 [Accessed 9 Mar. 2019].</w:t>
      </w:r>
    </w:p>
    <w:p w14:paraId="34570862"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Bridgemohan, R. (2001). Parental Involvement in Early Childhood Development in Kwazulu Natal.</w:t>
      </w:r>
      <w:r>
        <w:rPr>
          <w:rStyle w:val="apple-converted-space"/>
          <w:color w:val="000000"/>
        </w:rPr>
        <w:t> </w:t>
      </w:r>
      <w:r>
        <w:rPr>
          <w:i/>
          <w:iCs/>
          <w:color w:val="000000"/>
        </w:rPr>
        <w:t>University of South Africa</w:t>
      </w:r>
      <w:r>
        <w:rPr>
          <w:color w:val="000000"/>
        </w:rPr>
        <w:t>. [online] Available at: https://core.ac.uk/download/pdf/43175276.pdf [Accessed 8 Mar. 2019].</w:t>
      </w:r>
    </w:p>
    <w:p w14:paraId="09E9593E"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Bull, R., Yao, S. and Ng, E. (2017). Assessing Quality of Kindergarten Classrooms in Singapore: Psychometric Properties of the Early Childhood Environment Rating Scale—Revised. </w:t>
      </w:r>
      <w:r w:rsidRPr="00D15B3A">
        <w:rPr>
          <w:i/>
          <w:iCs/>
          <w:color w:val="000000"/>
        </w:rPr>
        <w:t>International Journal of Early Childhood</w:t>
      </w:r>
      <w:r w:rsidRPr="00D15B3A">
        <w:rPr>
          <w:color w:val="000000"/>
        </w:rPr>
        <w:t>, [online] 49(1), pp.1-20. Available at: https://search-proquest-com.ezproxy.uwtsd.ac.uk/docview/1899614281?accountid=130472&amp;rfr_id=info%3Axri%2Fsid%3Aprimo [Accessed 10 Mar. 2019].</w:t>
      </w:r>
    </w:p>
    <w:p w14:paraId="5811577E"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Cottle, M. and Alexander, E. (2012). Parent partnership and ‘quality’ early years services: practitioners' perspectives.</w:t>
      </w:r>
      <w:r>
        <w:rPr>
          <w:rStyle w:val="apple-converted-space"/>
          <w:color w:val="000000"/>
        </w:rPr>
        <w:t> </w:t>
      </w:r>
      <w:r>
        <w:rPr>
          <w:i/>
          <w:iCs/>
          <w:color w:val="000000"/>
        </w:rPr>
        <w:t>European Early Childhood Education Research Journal</w:t>
      </w:r>
      <w:r>
        <w:rPr>
          <w:color w:val="000000"/>
        </w:rPr>
        <w:t>, [online] 22(5), pp.637-659. Available at: https://www-tandfonline-com.ezproxy.uwtsd.ac.uk/doi/abs/10.1080/01411926.2011.571661 [Accessed 21 Mar. 2019].</w:t>
      </w:r>
    </w:p>
    <w:p w14:paraId="2C5670EA"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Cottle, M. and Alexander, E. (2012). Quality in early years settings: government, research and practitioners’ perspectives. </w:t>
      </w:r>
      <w:r w:rsidRPr="00D15B3A">
        <w:rPr>
          <w:i/>
          <w:iCs/>
          <w:color w:val="000000"/>
        </w:rPr>
        <w:t>British Educational Research Journal</w:t>
      </w:r>
      <w:r w:rsidRPr="00D15B3A">
        <w:rPr>
          <w:color w:val="000000"/>
        </w:rPr>
        <w:t>, [online] 38(4), pp.635-654. Available at: https://www-tandfonline-com.ezproxy.uwtsd.ac.uk/doi/abs/10.1080/01411926.2011.571661 [Accessed 17 Mar. 2019].</w:t>
      </w:r>
    </w:p>
    <w:p w14:paraId="0B368951"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Department for Education (2015).</w:t>
      </w:r>
      <w:r>
        <w:rPr>
          <w:rStyle w:val="apple-converted-space"/>
          <w:color w:val="000000"/>
        </w:rPr>
        <w:t> </w:t>
      </w:r>
      <w:r>
        <w:rPr>
          <w:i/>
          <w:iCs/>
          <w:color w:val="000000"/>
        </w:rPr>
        <w:t>Study of Early Education and Development (SEED): Study of the quality of childminder provision in England</w:t>
      </w:r>
      <w:r>
        <w:rPr>
          <w:color w:val="000000"/>
        </w:rPr>
        <w:t>. [online] Seed.natcen.ac.uk. Available at: http://www.seed.natcen.ac.uk/media/5723/RR480B_-_SEED_the_quality_of_childminder_provision_in_England.pdf [Accessed 11 Mar. 2019].</w:t>
      </w:r>
    </w:p>
    <w:p w14:paraId="463EA6C4"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Department for Education (2017). </w:t>
      </w:r>
      <w:r w:rsidRPr="00D15B3A">
        <w:rPr>
          <w:i/>
          <w:iCs/>
          <w:color w:val="000000"/>
        </w:rPr>
        <w:t>Study of Early Education and Development (SEED): Study of Quality of Early Years Provision in England (Revised)</w:t>
      </w:r>
      <w:r w:rsidRPr="00D15B3A">
        <w:rPr>
          <w:color w:val="000000"/>
        </w:rPr>
        <w:t>. [online] Assets.publishing.service.gov.uk. Available at: https://assets.publishing.service.gov.uk/government/uploads/system/uploads/attachment_data/file/723735/Study_of_quality_of_early_years_provision_in_England_brief.pdf [Accessed 18 Mar. 2019].</w:t>
      </w:r>
    </w:p>
    <w:p w14:paraId="6C908BD6"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Department for Education (2017).</w:t>
      </w:r>
      <w:r>
        <w:rPr>
          <w:rStyle w:val="apple-converted-space"/>
          <w:color w:val="000000"/>
        </w:rPr>
        <w:t> </w:t>
      </w:r>
      <w:r>
        <w:rPr>
          <w:i/>
          <w:iCs/>
          <w:color w:val="000000"/>
        </w:rPr>
        <w:t>Study of Early Education and Development: Good Practice in Early Education</w:t>
      </w:r>
      <w:r>
        <w:rPr>
          <w:color w:val="000000"/>
        </w:rPr>
        <w:t>. [online] Assets.publishing.service.gov.uk. Available at: https://assets.publishing.service.gov.uk/government/uploads/system/uploads/attachment_data/file/586242/SEED__Good_Practice_in_Early_Education_-_RR553.pdf [Accessed 22 Mar. 2019].</w:t>
      </w:r>
    </w:p>
    <w:p w14:paraId="00517A65"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Department of Education (n.d.).</w:t>
      </w:r>
      <w:r>
        <w:rPr>
          <w:rStyle w:val="apple-converted-space"/>
          <w:color w:val="000000"/>
        </w:rPr>
        <w:t> </w:t>
      </w:r>
      <w:r>
        <w:rPr>
          <w:i/>
          <w:iCs/>
          <w:color w:val="000000"/>
        </w:rPr>
        <w:t>Early Childhood Environment Rating Scale</w:t>
      </w:r>
      <w:r>
        <w:rPr>
          <w:color w:val="000000"/>
        </w:rPr>
        <w:t>. [online] Infohub.nyced.org. Available at: https://infohub.nyced.org/docs/default-source/default-document-library/ecers-r-102-space-furnishings.pdf [Accessed 17 Mar. 2019].</w:t>
      </w:r>
    </w:p>
    <w:p w14:paraId="50D12CAA"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Department of Education (n.d.). </w:t>
      </w:r>
      <w:r w:rsidRPr="00D15B3A">
        <w:rPr>
          <w:i/>
          <w:iCs/>
          <w:color w:val="000000"/>
        </w:rPr>
        <w:t>The Early Childhood Environment Rating Scale</w:t>
      </w:r>
      <w:r w:rsidRPr="00D15B3A">
        <w:rPr>
          <w:color w:val="000000"/>
        </w:rPr>
        <w:t>. [online] Infohub.nyced.org. Available at: https://infohub.nyced.org/docs/default-source/default-document-library/ecers-r-101-introduction.pdf [Accessed 23 Mar. 2019].</w:t>
      </w:r>
    </w:p>
    <w:p w14:paraId="03AB438A"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Durisic, B. and Bunijevac, M. (2017). Parental Involvement as a Important Factor for Successful Education.</w:t>
      </w:r>
      <w:r>
        <w:rPr>
          <w:rStyle w:val="apple-converted-space"/>
          <w:color w:val="000000"/>
        </w:rPr>
        <w:t> </w:t>
      </w:r>
      <w:r>
        <w:rPr>
          <w:i/>
          <w:iCs/>
          <w:color w:val="000000"/>
        </w:rPr>
        <w:t>CEPS</w:t>
      </w:r>
      <w:r>
        <w:rPr>
          <w:color w:val="000000"/>
        </w:rPr>
        <w:t>, [online] 7(3). Available at: https://web-b-ebscohost-com.ezproxy.uwtsd.ac.uk/ehost/detail/detail?vid=0&amp;sid=06f4c2f6-1cfa-49bc-aa84-1f73395d3e4b%40sessionmgr120&amp;bdata=JnNpdGU9ZWhvc3QtbGl2ZQ%3d%3d#AN=125555230&amp;db=eue [Accessed 26 Mar. 2019].</w:t>
      </w:r>
    </w:p>
    <w:p w14:paraId="5C4AB576"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Early, D., Sideris, J., Neitzel, J., LaForett, D. and Nehler, C. (2018). Factor structure and validity of the Early Childhood Environment Rating Scale – Third Edition (ECERS-3).</w:t>
      </w:r>
      <w:r>
        <w:rPr>
          <w:rStyle w:val="apple-converted-space"/>
          <w:color w:val="000000"/>
        </w:rPr>
        <w:t> </w:t>
      </w:r>
      <w:r>
        <w:rPr>
          <w:i/>
          <w:iCs/>
          <w:color w:val="000000"/>
        </w:rPr>
        <w:t>Early Childhood Research Quarterly</w:t>
      </w:r>
      <w:r>
        <w:rPr>
          <w:color w:val="000000"/>
        </w:rPr>
        <w:t>, [online] 44, pp.242-256. Available at: https://www-sciencedirect-com.ezproxy.uwtsd.ac.uk/science/article/pii/S0885200618300334 [Accessed 16 Mar. 2019].</w:t>
      </w:r>
    </w:p>
    <w:p w14:paraId="39204FC7"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Estyn (2018). </w:t>
      </w:r>
      <w:r w:rsidRPr="00D15B3A">
        <w:rPr>
          <w:i/>
          <w:iCs/>
          <w:color w:val="000000"/>
        </w:rPr>
        <w:t>A report on Pentwynmawr Primary School</w:t>
      </w:r>
      <w:r w:rsidRPr="00D15B3A">
        <w:rPr>
          <w:color w:val="000000"/>
        </w:rPr>
        <w:t>. [online] Estyn.gov.wales. Available at: https://www.estyn.gov.wales/sites/default/files/documents/Pentwynmawr%20Primary%20School_0.pdf [Accessed 24 Mar. 2019].</w:t>
      </w:r>
    </w:p>
    <w:p w14:paraId="27A14BF4"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Family Values Scheme (2014).</w:t>
      </w:r>
      <w:r>
        <w:rPr>
          <w:rStyle w:val="apple-converted-space"/>
          <w:color w:val="000000"/>
        </w:rPr>
        <w:t> </w:t>
      </w:r>
      <w:r>
        <w:rPr>
          <w:i/>
          <w:iCs/>
          <w:color w:val="000000"/>
        </w:rPr>
        <w:t>What is a Family Values Scheme and how can it help to reduce persistent absence?</w:t>
      </w:r>
      <w:r>
        <w:rPr>
          <w:color w:val="000000"/>
        </w:rPr>
        <w:t>. [online] Nsmtc.co.uk. Available at: https://www.nsmtc.co.uk/wp-content/uploads/2014/12/Nicola-Morgan-article-Attendance-Matters-Issue-3.pdf [Accessed 17 Mar. 2019].</w:t>
      </w:r>
    </w:p>
    <w:p w14:paraId="71EB8E21"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Fisher, J. and Wood, E. (2012). Changing educational practice in the early years through practitioner-led action research: an Adult-Child Interaction Project. </w:t>
      </w:r>
      <w:r w:rsidRPr="00D15B3A">
        <w:rPr>
          <w:i/>
          <w:iCs/>
          <w:color w:val="000000"/>
        </w:rPr>
        <w:t>International Journal of Early Years Education</w:t>
      </w:r>
      <w:r w:rsidRPr="00D15B3A">
        <w:rPr>
          <w:color w:val="000000"/>
        </w:rPr>
        <w:t>, [online] 20(2), pp.114-129. Available at: https://web-a-ebscohost-com.ezproxy.uwtsd.ac.uk/ehost/detail/detail?vid=0&amp;sid=5a055fe6-31af-4b43-a0b0-8a8a7334eb68%40sdc-v-sessmgr02&amp;bdata=JnNpdGU9ZWhvc3QtbGl2ZQ%3d%3d#AN=83237822&amp;db=eue [Accessed 23 Mar. 2019].</w:t>
      </w:r>
    </w:p>
    <w:p w14:paraId="74B8748E"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Gifford, S. (2016). </w:t>
      </w:r>
      <w:r w:rsidRPr="00D15B3A">
        <w:rPr>
          <w:i/>
          <w:iCs/>
          <w:color w:val="000000"/>
        </w:rPr>
        <w:t>Mathematical Problem Solving in the Early Years: Developing Opportunities, Strategies and Confidence</w:t>
      </w:r>
      <w:r w:rsidRPr="00D15B3A">
        <w:rPr>
          <w:color w:val="000000"/>
        </w:rPr>
        <w:t>. [online] Nrich.maths.org. Available at: https://nrich.maths.org/12166 [Accessed 22 Mar. 2019].</w:t>
      </w:r>
    </w:p>
    <w:p w14:paraId="635C736E"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GlowScotland.org (2015).</w:t>
      </w:r>
      <w:r>
        <w:rPr>
          <w:rStyle w:val="apple-converted-space"/>
          <w:color w:val="000000"/>
        </w:rPr>
        <w:t> </w:t>
      </w:r>
      <w:r>
        <w:rPr>
          <w:i/>
          <w:iCs/>
          <w:color w:val="000000"/>
        </w:rPr>
        <w:t>Language Acquisition – Skinner and Chomsky</w:t>
      </w:r>
      <w:r>
        <w:rPr>
          <w:color w:val="000000"/>
        </w:rPr>
        <w:t>. [online] Language Acquisition – Skinner and Chomsky. Available at: https://blogs.glowscotland.org.uk/glowblogs/uodedueportfoliosm/2015/11/05/language-acquisition-skinner-and-chomsky/ [Accessed 19 Mar. 2019].</w:t>
      </w:r>
    </w:p>
    <w:p w14:paraId="6CC528F0"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Gurnos Nursery (2019).</w:t>
      </w:r>
      <w:r>
        <w:rPr>
          <w:rStyle w:val="apple-converted-space"/>
          <w:color w:val="000000"/>
        </w:rPr>
        <w:t> </w:t>
      </w:r>
      <w:r>
        <w:rPr>
          <w:i/>
          <w:iCs/>
          <w:color w:val="000000"/>
        </w:rPr>
        <w:t>Learn with Me Days at Gurnos Nursery School</w:t>
      </w:r>
      <w:r>
        <w:rPr>
          <w:color w:val="000000"/>
        </w:rPr>
        <w:t>. [online] Gurnos Nursery School. Available at: http://www.gurnos.merthyr.sch.uk/parents/learn-with-me-days/ [Accessed 21 Mar. 2019].</w:t>
      </w:r>
    </w:p>
    <w:p w14:paraId="62C06131"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Harms, T., Clifford, R. and Cryer, D. (n.d.).</w:t>
      </w:r>
      <w:r>
        <w:rPr>
          <w:rStyle w:val="apple-converted-space"/>
          <w:color w:val="000000"/>
        </w:rPr>
        <w:t> </w:t>
      </w:r>
      <w:r>
        <w:rPr>
          <w:i/>
          <w:iCs/>
          <w:color w:val="000000"/>
        </w:rPr>
        <w:t>The ECERS-3</w:t>
      </w:r>
      <w:r>
        <w:rPr>
          <w:color w:val="000000"/>
        </w:rPr>
        <w:t>. [online] Ecersuk.org. Available at: http://www.ecersuk.org/resources/ECERS+3+JPG.pdf [Accessed 22 Mar. 2019].</w:t>
      </w:r>
    </w:p>
    <w:p w14:paraId="095D851F"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Hodgman, L. (2011). </w:t>
      </w:r>
      <w:r w:rsidRPr="00D15B3A">
        <w:rPr>
          <w:i/>
          <w:iCs/>
          <w:color w:val="000000"/>
        </w:rPr>
        <w:t>Enabling Environments in the Early Years - By Liz Hodgman.</w:t>
      </w:r>
      <w:r w:rsidRPr="00D15B3A">
        <w:rPr>
          <w:color w:val="000000"/>
        </w:rPr>
        <w:t>. [ebook] London: Andrews. Available at: https://www-dawsonera-com.ezproxy.uwtsd.ac.uk/readonline/9781907241475 [Accessed 25 Mar. 2019].</w:t>
      </w:r>
    </w:p>
    <w:p w14:paraId="63C8B473"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Howard, S., Siraj, I., Melhuish, E., Kingston, D., Neilsen-Hewett, C., de Rosnay, M., Duursma, E. and Luu, B. (2018). Measuring interactional quality in pre-school settings: introduction and validation of the Sustained Shared Thinking and Emotional Wellbeing (SSTEW) scale. </w:t>
      </w:r>
      <w:r w:rsidRPr="00D15B3A">
        <w:rPr>
          <w:i/>
          <w:iCs/>
          <w:color w:val="000000"/>
        </w:rPr>
        <w:t>Early Child Development and Care</w:t>
      </w:r>
      <w:r w:rsidRPr="00D15B3A">
        <w:rPr>
          <w:color w:val="000000"/>
        </w:rPr>
        <w:t>, [online] pp.1-14. Available at: https://www.researchgate.net/publication/327094598_Measuring_interactional_quality_in_pre-school_settings_introduction_and_validation_of_the_Sustained_Shared_Thinking_and_Emotional_Wellbeing_SSTEW_scale [Accessed 19 Mar. 2019].</w:t>
      </w:r>
    </w:p>
    <w:p w14:paraId="25BF96D7"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Howard, S., Siraj, I., Melhuish, E., Kingston, D., Neilsen-Hewett, C., de Rosnay, M., Duursma, E. and Luu, B. (2018). Measuring interactional quality in pre-school settings: introduction and validation of the Sustained Shared Thinking and Emotional Wellbeing (SSTEW) scale.</w:t>
      </w:r>
      <w:r>
        <w:rPr>
          <w:rStyle w:val="apple-converted-space"/>
          <w:color w:val="000000"/>
        </w:rPr>
        <w:t> </w:t>
      </w:r>
      <w:r>
        <w:rPr>
          <w:i/>
          <w:iCs/>
          <w:color w:val="000000"/>
        </w:rPr>
        <w:t>Early Child Development and Care</w:t>
      </w:r>
      <w:r>
        <w:rPr>
          <w:color w:val="000000"/>
        </w:rPr>
        <w:t>, [online] pp.1-14. Available at: https://www.tandfonline.com/doi/abs/10.1080/03004430.2018.1511549?journalCode=gecd20 [Accessed 24 Mar. 2019].</w:t>
      </w:r>
    </w:p>
    <w:p w14:paraId="420A81A2"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Huitt, W. (2007). Maslow's hierarchy of needs.</w:t>
      </w:r>
      <w:r>
        <w:rPr>
          <w:rStyle w:val="apple-converted-space"/>
          <w:color w:val="000000"/>
        </w:rPr>
        <w:t> </w:t>
      </w:r>
      <w:r>
        <w:rPr>
          <w:i/>
          <w:iCs/>
          <w:color w:val="000000"/>
        </w:rPr>
        <w:t>Educational Psychology Interactive</w:t>
      </w:r>
      <w:r>
        <w:rPr>
          <w:color w:val="000000"/>
        </w:rPr>
        <w:t>. [online] Available at: https://www.iccb.org/iccb/wp-content/pdfs/adulted/healthcare_curriculum/curriculum&amp;resources/context_social_studies/F.%20HC%20Context%20Social%20Studies%20Resource%20File/Maslow%27s%20Heirarchy%20of%20Needs.pdf [Accessed 19 Mar. 2019].</w:t>
      </w:r>
    </w:p>
    <w:p w14:paraId="281C014A"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Kennedy, C. and McGrath, D. (n.d.).</w:t>
      </w:r>
      <w:r>
        <w:rPr>
          <w:rStyle w:val="apple-converted-space"/>
          <w:color w:val="000000"/>
        </w:rPr>
        <w:t> </w:t>
      </w:r>
      <w:r>
        <w:rPr>
          <w:i/>
          <w:iCs/>
          <w:color w:val="000000"/>
        </w:rPr>
        <w:t>Outdoor Risky Play in Preschools in Ireland: Practitioners Perspectives</w:t>
      </w:r>
      <w:r>
        <w:rPr>
          <w:color w:val="000000"/>
        </w:rPr>
        <w:t>. [online] Earlychildhoodireland.ie. Available at: https://www.earlychildhoodireland.ie/wp-content/uploads/2015/04/Deirdre-McGrath-and-Catherine-Kennedy-Risky-Play.pdf [Accessed 25 Mar. 2019].</w:t>
      </w:r>
    </w:p>
    <w:p w14:paraId="556A3AC4"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Mackenzie, M. (n.d.).</w:t>
      </w:r>
      <w:r>
        <w:rPr>
          <w:rStyle w:val="apple-converted-space"/>
          <w:color w:val="000000"/>
        </w:rPr>
        <w:t> </w:t>
      </w:r>
      <w:r>
        <w:rPr>
          <w:i/>
          <w:iCs/>
          <w:color w:val="000000"/>
        </w:rPr>
        <w:t>Sustained Shared Thinking and Emotional Well-being</w:t>
      </w:r>
      <w:r>
        <w:rPr>
          <w:color w:val="000000"/>
        </w:rPr>
        <w:t>. [online] Instituteforchildsuccess.org. Available at: https://www.instituteforchildsuccess.org/wp-content/uploads/2016/11/MACKENZIE-SSTEW-workshop-2016.pdf [Accessed 18 Mar. 2019].</w:t>
      </w:r>
    </w:p>
    <w:p w14:paraId="675D4499"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NDNA (n.d.). </w:t>
      </w:r>
      <w:r w:rsidRPr="00D15B3A">
        <w:rPr>
          <w:i/>
          <w:iCs/>
          <w:color w:val="000000"/>
        </w:rPr>
        <w:t>SSTEW | myNDNA Mini Guides</w:t>
      </w:r>
      <w:r w:rsidRPr="00D15B3A">
        <w:rPr>
          <w:color w:val="000000"/>
        </w:rPr>
        <w:t>. [online] Ndna.org.uk. Available at: http://www.ndna.org.uk/NDNA/Community/myNDNA/Mini_Guides/SSTEW_myNDNA_Mini_Guide.aspx [Accessed 13 Mar. 2019].</w:t>
      </w:r>
    </w:p>
    <w:p w14:paraId="001D81CB"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Pauker, S., Perlman, M., Prime, H. and Jenkins, J. (2018). Caregiver cognitive sensitivity: Measure development and validation in Early Childhood Education and Care (ECEC) settings. </w:t>
      </w:r>
      <w:r w:rsidRPr="00D15B3A">
        <w:rPr>
          <w:i/>
          <w:iCs/>
          <w:color w:val="000000"/>
        </w:rPr>
        <w:t>Early Childhood Research Quarterly</w:t>
      </w:r>
      <w:r w:rsidRPr="00D15B3A">
        <w:rPr>
          <w:color w:val="000000"/>
        </w:rPr>
        <w:t>, [online] 45, pp.45-57. Available at: https://www-sciencedirect-com.ezproxy.uwtsd.ac.uk/science/article/pii/S0885200617300455 [Accessed 12 Mar. 2019].</w:t>
      </w:r>
    </w:p>
    <w:p w14:paraId="070904EB"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Reed, M. and Canning, N. (2010). </w:t>
      </w:r>
      <w:r w:rsidRPr="00D15B3A">
        <w:rPr>
          <w:i/>
          <w:iCs/>
          <w:color w:val="000000"/>
        </w:rPr>
        <w:t>Reflective Practice in the Early Years</w:t>
      </w:r>
      <w:r w:rsidRPr="00D15B3A">
        <w:rPr>
          <w:color w:val="000000"/>
        </w:rPr>
        <w:t>. [ebook] London: SAGE. Available at: https://www-dawsonera-com.ezproxy.uwtsd.ac.uk/abstract/9781446203569 [Accessed 12 Mar. 2019].</w:t>
      </w:r>
    </w:p>
    <w:p w14:paraId="000E5962"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Reed, M. and Canning, N. (2012). </w:t>
      </w:r>
      <w:r w:rsidRPr="00D15B3A">
        <w:rPr>
          <w:i/>
          <w:iCs/>
          <w:color w:val="000000"/>
        </w:rPr>
        <w:t>Implementing Quality Improvement &amp; Change in the Early Years -</w:t>
      </w:r>
      <w:r w:rsidRPr="00D15B3A">
        <w:rPr>
          <w:color w:val="000000"/>
        </w:rPr>
        <w:t>. [ebook] London: SAGE. Available at: https://www-dawsonera-com.ezproxy.uwtsd.ac.uk/readonline/9781446253779 [Accessed 25 Mar. 2019].</w:t>
      </w:r>
    </w:p>
    <w:p w14:paraId="4187B452"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Rooijen, M. (2014). Parents and Risky Play, Experiences and Dilemmas.</w:t>
      </w:r>
      <w:r>
        <w:rPr>
          <w:rStyle w:val="apple-converted-space"/>
          <w:color w:val="000000"/>
        </w:rPr>
        <w:t> </w:t>
      </w:r>
      <w:r>
        <w:rPr>
          <w:i/>
          <w:iCs/>
          <w:color w:val="000000"/>
        </w:rPr>
        <w:t>International Play Association</w:t>
      </w:r>
      <w:r>
        <w:rPr>
          <w:color w:val="000000"/>
        </w:rPr>
        <w:t>. [online] Available at: https://www.researchgate.net/publication/271842215_Parents_and_Risky_Play_Experiences_and_Dilemmas [Accessed 19 Mar. 2019].</w:t>
      </w:r>
    </w:p>
    <w:p w14:paraId="0E1D936D"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Siraj, I. (2017). </w:t>
      </w:r>
      <w:r w:rsidRPr="00D15B3A">
        <w:rPr>
          <w:i/>
          <w:iCs/>
          <w:color w:val="000000"/>
        </w:rPr>
        <w:t>Quality pedagogy and play matters...</w:t>
      </w:r>
      <w:r w:rsidRPr="00D15B3A">
        <w:rPr>
          <w:color w:val="000000"/>
        </w:rPr>
        <w:t>. [online] Early-education.org.uk. Available at: https://www.early-education.org.uk/sites/default/files/Iram%20Siraj%20EEannual%20conf06.05.17.pdf [Accessed 12 Mar. 2019].</w:t>
      </w:r>
    </w:p>
    <w:p w14:paraId="1FAD6A75" w14:textId="77777777" w:rsidR="00FC17A6" w:rsidRPr="00D15B3A" w:rsidRDefault="00FC17A6" w:rsidP="00FC17A6">
      <w:pPr>
        <w:shd w:val="clear" w:color="auto" w:fill="FFFFFF"/>
        <w:spacing w:after="180" w:line="360" w:lineRule="auto"/>
        <w:ind w:left="450" w:hanging="450"/>
        <w:jc w:val="both"/>
        <w:rPr>
          <w:color w:val="000000"/>
        </w:rPr>
      </w:pPr>
      <w:r w:rsidRPr="00D15B3A">
        <w:rPr>
          <w:color w:val="000000"/>
        </w:rPr>
        <w:t>Sure Start (n.d.). </w:t>
      </w:r>
      <w:r w:rsidRPr="00D15B3A">
        <w:rPr>
          <w:i/>
          <w:iCs/>
          <w:color w:val="000000"/>
        </w:rPr>
        <w:t>Birth to Three Matters</w:t>
      </w:r>
      <w:r w:rsidRPr="00D15B3A">
        <w:rPr>
          <w:color w:val="000000"/>
        </w:rPr>
        <w:t>. [online] Foundationyears.org.uk. Available at: https://www.foundationyears.org.uk/wp-content/uploads/2012/04/Birth-to-Three-Matters-Booklet.pdf [Accessed 12 Mar. 2019].</w:t>
      </w:r>
    </w:p>
    <w:p w14:paraId="5AD9C446"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Tayler, C. (2015). Learning in Early Childhood: experiences, relationships and ‘Learning to Be’.</w:t>
      </w:r>
      <w:r>
        <w:rPr>
          <w:rStyle w:val="apple-converted-space"/>
          <w:color w:val="000000"/>
        </w:rPr>
        <w:t> </w:t>
      </w:r>
      <w:r>
        <w:rPr>
          <w:i/>
          <w:iCs/>
          <w:color w:val="000000"/>
        </w:rPr>
        <w:t>European Journal of Education</w:t>
      </w:r>
      <w:r>
        <w:rPr>
          <w:color w:val="000000"/>
        </w:rPr>
        <w:t>, [online] 50(2), pp.160-174. Available at: https://web-b-ebscohost-com.ezproxy.uwtsd.ac.uk/ehost/detail/detail?vid=0&amp;sid=f90feded-3cfa-4bf7-b818-03cfe840dbc7%40sessionmgr103&amp;bdata=JnNpdGU9ZWhvc3QtbGl2ZQ%3d%3d#AN=103386172&amp;db=eue [Accessed 29 Mar. 2019].</w:t>
      </w:r>
    </w:p>
    <w:p w14:paraId="6F4B8CFD"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Todman, L. (2019).</w:t>
      </w:r>
      <w:r>
        <w:rPr>
          <w:rStyle w:val="apple-converted-space"/>
          <w:color w:val="000000"/>
        </w:rPr>
        <w:t> </w:t>
      </w:r>
      <w:r>
        <w:rPr>
          <w:i/>
          <w:iCs/>
          <w:color w:val="000000"/>
        </w:rPr>
        <w:t>Shrewsbury nursery is inadequate, says inspector</w:t>
      </w:r>
      <w:r>
        <w:rPr>
          <w:color w:val="000000"/>
        </w:rPr>
        <w:t>. [online] Shropshirestar.com. Available at: https://www.shropshirestar.com/news/education/ofsted-reports/2019/02/07/shrewsbury-nursery-is-inadequate-says-inspector/ [Accessed 8 Mar. 2019].</w:t>
      </w:r>
    </w:p>
    <w:p w14:paraId="406CC4C4"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Topçiu, M. and Myftiu, J. (2015). Vygotsky Theory on Social Interaction and its Influence on the Development of Pre-School Children.</w:t>
      </w:r>
      <w:r>
        <w:rPr>
          <w:rStyle w:val="apple-converted-space"/>
          <w:color w:val="000000"/>
        </w:rPr>
        <w:t> </w:t>
      </w:r>
      <w:r>
        <w:rPr>
          <w:i/>
          <w:iCs/>
          <w:color w:val="000000"/>
        </w:rPr>
        <w:t>European Journal of Social Sciences Education and Research</w:t>
      </w:r>
      <w:r>
        <w:rPr>
          <w:color w:val="000000"/>
        </w:rPr>
        <w:t>, [online] 4(1), p.172. Available at: http://journals.euser.org/files/articles/ejser_may_aug_15/Marta.pdf [Accessed 7 Mar. 2019].</w:t>
      </w:r>
    </w:p>
    <w:p w14:paraId="27C55A9D" w14:textId="77777777" w:rsidR="00FC17A6" w:rsidRPr="00E03BAE" w:rsidRDefault="00FC17A6" w:rsidP="00FC17A6">
      <w:pPr>
        <w:shd w:val="clear" w:color="auto" w:fill="FFFFFF"/>
        <w:spacing w:after="180" w:line="360" w:lineRule="auto"/>
        <w:ind w:left="450" w:hanging="450"/>
        <w:jc w:val="both"/>
        <w:rPr>
          <w:color w:val="000000" w:themeColor="text1"/>
        </w:rPr>
      </w:pPr>
      <w:r w:rsidRPr="00E03BAE">
        <w:rPr>
          <w:color w:val="000000" w:themeColor="text1"/>
        </w:rPr>
        <w:t>Unicef.org (n.d.).</w:t>
      </w:r>
      <w:r w:rsidRPr="006E129B">
        <w:rPr>
          <w:color w:val="000000" w:themeColor="text1"/>
        </w:rPr>
        <w:t> </w:t>
      </w:r>
      <w:r w:rsidRPr="00E03BAE">
        <w:rPr>
          <w:i/>
          <w:iCs/>
          <w:color w:val="000000" w:themeColor="text1"/>
        </w:rPr>
        <w:t>A summary of the un convention</w:t>
      </w:r>
      <w:r w:rsidRPr="00E03BAE">
        <w:rPr>
          <w:color w:val="000000" w:themeColor="text1"/>
        </w:rPr>
        <w:t>. [online] Unicef.org.uk. Available at: https://www.unicef.org.uk/wp-content/uploads/2010/05/UNC</w:t>
      </w:r>
      <w:r>
        <w:rPr>
          <w:color w:val="000000" w:themeColor="text1"/>
        </w:rPr>
        <w:t>RC_summary-1.pdf [Accessed 7 Mar</w:t>
      </w:r>
      <w:r w:rsidRPr="00E03BAE">
        <w:rPr>
          <w:color w:val="000000" w:themeColor="text1"/>
        </w:rPr>
        <w:t>. 2019].</w:t>
      </w:r>
    </w:p>
    <w:p w14:paraId="5931F07B"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Walsh, G. and Gardner, J. (2005). Assessing the Quality of Early Years Learning Environments.</w:t>
      </w:r>
      <w:r>
        <w:rPr>
          <w:rStyle w:val="apple-converted-space"/>
          <w:color w:val="000000"/>
        </w:rPr>
        <w:t> </w:t>
      </w:r>
      <w:r>
        <w:rPr>
          <w:i/>
          <w:iCs/>
          <w:color w:val="000000"/>
        </w:rPr>
        <w:t>Early Childhood Research and Practice</w:t>
      </w:r>
      <w:r>
        <w:rPr>
          <w:color w:val="000000"/>
        </w:rPr>
        <w:t>, [online] 7(1). Available at: https://www.researchgate.net/publication/26444562_Assessing_the_Quality_of_Early_Years_Learning_Environments [Accessed 21 Mar. 2019].</w:t>
      </w:r>
    </w:p>
    <w:p w14:paraId="6BE38868" w14:textId="77777777" w:rsidR="00FC17A6" w:rsidRDefault="00FC17A6" w:rsidP="00FC17A6">
      <w:pPr>
        <w:pStyle w:val="NormalWeb"/>
        <w:shd w:val="clear" w:color="auto" w:fill="FFFFFF"/>
        <w:spacing w:before="0" w:beforeAutospacing="0" w:after="180" w:afterAutospacing="0" w:line="360" w:lineRule="auto"/>
        <w:ind w:left="450" w:hanging="450"/>
        <w:jc w:val="both"/>
        <w:rPr>
          <w:color w:val="000000"/>
        </w:rPr>
      </w:pPr>
      <w:r>
        <w:rPr>
          <w:color w:val="000000"/>
        </w:rPr>
        <w:t>Welsh Government (2015).</w:t>
      </w:r>
      <w:r>
        <w:rPr>
          <w:rStyle w:val="apple-converted-space"/>
          <w:color w:val="000000"/>
        </w:rPr>
        <w:t> </w:t>
      </w:r>
      <w:r>
        <w:rPr>
          <w:i/>
          <w:iCs/>
          <w:color w:val="000000"/>
        </w:rPr>
        <w:t>Foundation Phase Framework</w:t>
      </w:r>
      <w:r>
        <w:rPr>
          <w:color w:val="000000"/>
        </w:rPr>
        <w:t>. [online] Gov.wales. Available at: https://gov.wales/sites/default/files/publications/2018-02/foundation-phase-framework-revised-2015.pdf [Accessed 11 Mar. 2019].</w:t>
      </w:r>
    </w:p>
    <w:p w14:paraId="07DA2DD7" w14:textId="77777777" w:rsidR="00170624" w:rsidRDefault="00170624"/>
    <w:sectPr w:rsidR="00170624" w:rsidSect="006D2828">
      <w:headerReference w:type="default" r:id="rId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C750D5" w14:textId="77777777" w:rsidR="00D40EDD" w:rsidRDefault="00D40EDD" w:rsidP="007A1374">
      <w:r>
        <w:separator/>
      </w:r>
    </w:p>
  </w:endnote>
  <w:endnote w:type="continuationSeparator" w:id="0">
    <w:p w14:paraId="78EB451C" w14:textId="77777777" w:rsidR="00D40EDD" w:rsidRDefault="00D40EDD" w:rsidP="007A13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F3F76F" w14:textId="77777777" w:rsidR="007A1374" w:rsidRDefault="007A1374" w:rsidP="008C3AD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8F707D4" w14:textId="77777777" w:rsidR="007A1374" w:rsidRDefault="007A1374" w:rsidP="007A137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874C6A" w14:textId="77777777" w:rsidR="007A1374" w:rsidRDefault="007A1374" w:rsidP="008C3AD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40EDD">
      <w:rPr>
        <w:rStyle w:val="PageNumber"/>
        <w:noProof/>
      </w:rPr>
      <w:t>1</w:t>
    </w:r>
    <w:r>
      <w:rPr>
        <w:rStyle w:val="PageNumber"/>
      </w:rPr>
      <w:fldChar w:fldCharType="end"/>
    </w:r>
  </w:p>
  <w:p w14:paraId="71B8B867" w14:textId="77777777" w:rsidR="007A1374" w:rsidRDefault="007A1374" w:rsidP="007A137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3CA88F" w14:textId="77777777" w:rsidR="00D40EDD" w:rsidRDefault="00D40EDD" w:rsidP="007A1374">
      <w:r>
        <w:separator/>
      </w:r>
    </w:p>
  </w:footnote>
  <w:footnote w:type="continuationSeparator" w:id="0">
    <w:p w14:paraId="3D29E60C" w14:textId="77777777" w:rsidR="00D40EDD" w:rsidRDefault="00D40EDD" w:rsidP="007A137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6582C4" w14:textId="38960072" w:rsidR="007A1374" w:rsidRDefault="007A1374">
    <w:pPr>
      <w:pStyle w:val="Header"/>
    </w:pPr>
    <w:r>
      <w:t>1707818</w:t>
    </w:r>
  </w:p>
  <w:p w14:paraId="1D2892D7" w14:textId="77777777" w:rsidR="007A1374" w:rsidRDefault="007A137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3089"/>
    <w:rsid w:val="00074706"/>
    <w:rsid w:val="000E3D92"/>
    <w:rsid w:val="00170624"/>
    <w:rsid w:val="00193647"/>
    <w:rsid w:val="001A5441"/>
    <w:rsid w:val="001A7912"/>
    <w:rsid w:val="0020438B"/>
    <w:rsid w:val="0027681D"/>
    <w:rsid w:val="00285106"/>
    <w:rsid w:val="00286CA4"/>
    <w:rsid w:val="002A654D"/>
    <w:rsid w:val="002D25CC"/>
    <w:rsid w:val="00375817"/>
    <w:rsid w:val="00393E20"/>
    <w:rsid w:val="003B7765"/>
    <w:rsid w:val="003C0EE2"/>
    <w:rsid w:val="003C3669"/>
    <w:rsid w:val="0040492F"/>
    <w:rsid w:val="00485487"/>
    <w:rsid w:val="004A2BB9"/>
    <w:rsid w:val="004A5FE0"/>
    <w:rsid w:val="004C1FD6"/>
    <w:rsid w:val="00515101"/>
    <w:rsid w:val="00551E1B"/>
    <w:rsid w:val="00551E97"/>
    <w:rsid w:val="00593496"/>
    <w:rsid w:val="005D4515"/>
    <w:rsid w:val="00677BFA"/>
    <w:rsid w:val="00686B19"/>
    <w:rsid w:val="006B0C77"/>
    <w:rsid w:val="006D2828"/>
    <w:rsid w:val="006E490F"/>
    <w:rsid w:val="0072051C"/>
    <w:rsid w:val="007940A8"/>
    <w:rsid w:val="007A1374"/>
    <w:rsid w:val="007A41D6"/>
    <w:rsid w:val="007B1249"/>
    <w:rsid w:val="007B48C5"/>
    <w:rsid w:val="007D57CC"/>
    <w:rsid w:val="008232D1"/>
    <w:rsid w:val="0087321F"/>
    <w:rsid w:val="008A4E6B"/>
    <w:rsid w:val="008A5093"/>
    <w:rsid w:val="009066F2"/>
    <w:rsid w:val="009227DB"/>
    <w:rsid w:val="009454CF"/>
    <w:rsid w:val="009C1137"/>
    <w:rsid w:val="00A05D0E"/>
    <w:rsid w:val="00A12357"/>
    <w:rsid w:val="00AB4B04"/>
    <w:rsid w:val="00AD0244"/>
    <w:rsid w:val="00AE45BD"/>
    <w:rsid w:val="00B0409B"/>
    <w:rsid w:val="00B56839"/>
    <w:rsid w:val="00B71E55"/>
    <w:rsid w:val="00BD4F18"/>
    <w:rsid w:val="00C458A3"/>
    <w:rsid w:val="00C505FD"/>
    <w:rsid w:val="00C868E8"/>
    <w:rsid w:val="00C962D4"/>
    <w:rsid w:val="00CB3089"/>
    <w:rsid w:val="00CB7A3F"/>
    <w:rsid w:val="00CF334C"/>
    <w:rsid w:val="00D02694"/>
    <w:rsid w:val="00D15B3A"/>
    <w:rsid w:val="00D40EDD"/>
    <w:rsid w:val="00DD4F0F"/>
    <w:rsid w:val="00E221B9"/>
    <w:rsid w:val="00E30FEC"/>
    <w:rsid w:val="00E56BC2"/>
    <w:rsid w:val="00E7757B"/>
    <w:rsid w:val="00E84DDB"/>
    <w:rsid w:val="00EA1E09"/>
    <w:rsid w:val="00ED5E0B"/>
    <w:rsid w:val="00F50B93"/>
    <w:rsid w:val="00F56D3F"/>
    <w:rsid w:val="00F651CC"/>
    <w:rsid w:val="00FC1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0E893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B3089"/>
    <w:rPr>
      <w:rFonts w:ascii="Times New Roman" w:hAnsi="Times New Roman" w:cs="Times New Roman"/>
      <w:lang w:eastAsia="en-GB"/>
    </w:rPr>
  </w:style>
  <w:style w:type="paragraph" w:styleId="Heading2">
    <w:name w:val="heading 2"/>
    <w:basedOn w:val="Normal"/>
    <w:link w:val="Heading2Char"/>
    <w:uiPriority w:val="9"/>
    <w:qFormat/>
    <w:rsid w:val="00D15B3A"/>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75817"/>
    <w:pPr>
      <w:spacing w:before="100" w:beforeAutospacing="1" w:after="100" w:afterAutospacing="1"/>
    </w:pPr>
  </w:style>
  <w:style w:type="paragraph" w:styleId="Header">
    <w:name w:val="header"/>
    <w:basedOn w:val="Normal"/>
    <w:link w:val="HeaderChar"/>
    <w:uiPriority w:val="99"/>
    <w:unhideWhenUsed/>
    <w:rsid w:val="007A1374"/>
    <w:pPr>
      <w:tabs>
        <w:tab w:val="center" w:pos="4513"/>
        <w:tab w:val="right" w:pos="9026"/>
      </w:tabs>
    </w:pPr>
  </w:style>
  <w:style w:type="character" w:customStyle="1" w:styleId="HeaderChar">
    <w:name w:val="Header Char"/>
    <w:basedOn w:val="DefaultParagraphFont"/>
    <w:link w:val="Header"/>
    <w:uiPriority w:val="99"/>
    <w:rsid w:val="007A1374"/>
    <w:rPr>
      <w:rFonts w:ascii="Times New Roman" w:hAnsi="Times New Roman" w:cs="Times New Roman"/>
      <w:lang w:eastAsia="en-GB"/>
    </w:rPr>
  </w:style>
  <w:style w:type="paragraph" w:styleId="Footer">
    <w:name w:val="footer"/>
    <w:basedOn w:val="Normal"/>
    <w:link w:val="FooterChar"/>
    <w:uiPriority w:val="99"/>
    <w:unhideWhenUsed/>
    <w:rsid w:val="007A1374"/>
    <w:pPr>
      <w:tabs>
        <w:tab w:val="center" w:pos="4513"/>
        <w:tab w:val="right" w:pos="9026"/>
      </w:tabs>
    </w:pPr>
  </w:style>
  <w:style w:type="character" w:customStyle="1" w:styleId="FooterChar">
    <w:name w:val="Footer Char"/>
    <w:basedOn w:val="DefaultParagraphFont"/>
    <w:link w:val="Footer"/>
    <w:uiPriority w:val="99"/>
    <w:rsid w:val="007A1374"/>
    <w:rPr>
      <w:rFonts w:ascii="Times New Roman" w:hAnsi="Times New Roman" w:cs="Times New Roman"/>
      <w:lang w:eastAsia="en-GB"/>
    </w:rPr>
  </w:style>
  <w:style w:type="character" w:styleId="PageNumber">
    <w:name w:val="page number"/>
    <w:basedOn w:val="DefaultParagraphFont"/>
    <w:uiPriority w:val="99"/>
    <w:semiHidden/>
    <w:unhideWhenUsed/>
    <w:rsid w:val="007A1374"/>
  </w:style>
  <w:style w:type="character" w:customStyle="1" w:styleId="Heading2Char">
    <w:name w:val="Heading 2 Char"/>
    <w:basedOn w:val="DefaultParagraphFont"/>
    <w:link w:val="Heading2"/>
    <w:uiPriority w:val="9"/>
    <w:rsid w:val="00D15B3A"/>
    <w:rPr>
      <w:rFonts w:ascii="Times New Roman" w:hAnsi="Times New Roman" w:cs="Times New Roman"/>
      <w:b/>
      <w:bCs/>
      <w:sz w:val="36"/>
      <w:szCs w:val="36"/>
      <w:lang w:eastAsia="en-GB"/>
    </w:rPr>
  </w:style>
  <w:style w:type="character" w:customStyle="1" w:styleId="apple-converted-space">
    <w:name w:val="apple-converted-space"/>
    <w:basedOn w:val="DefaultParagraphFont"/>
    <w:rsid w:val="00D15B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552056">
      <w:bodyDiv w:val="1"/>
      <w:marLeft w:val="0"/>
      <w:marRight w:val="0"/>
      <w:marTop w:val="0"/>
      <w:marBottom w:val="0"/>
      <w:divBdr>
        <w:top w:val="none" w:sz="0" w:space="0" w:color="auto"/>
        <w:left w:val="none" w:sz="0" w:space="0" w:color="auto"/>
        <w:bottom w:val="none" w:sz="0" w:space="0" w:color="auto"/>
        <w:right w:val="none" w:sz="0" w:space="0" w:color="auto"/>
      </w:divBdr>
    </w:div>
    <w:div w:id="229509477">
      <w:bodyDiv w:val="1"/>
      <w:marLeft w:val="0"/>
      <w:marRight w:val="0"/>
      <w:marTop w:val="0"/>
      <w:marBottom w:val="0"/>
      <w:divBdr>
        <w:top w:val="none" w:sz="0" w:space="0" w:color="auto"/>
        <w:left w:val="none" w:sz="0" w:space="0" w:color="auto"/>
        <w:bottom w:val="none" w:sz="0" w:space="0" w:color="auto"/>
        <w:right w:val="none" w:sz="0" w:space="0" w:color="auto"/>
      </w:divBdr>
      <w:divsChild>
        <w:div w:id="114829918">
          <w:marLeft w:val="0"/>
          <w:marRight w:val="0"/>
          <w:marTop w:val="0"/>
          <w:marBottom w:val="0"/>
          <w:divBdr>
            <w:top w:val="none" w:sz="0" w:space="0" w:color="auto"/>
            <w:left w:val="none" w:sz="0" w:space="0" w:color="auto"/>
            <w:bottom w:val="none" w:sz="0" w:space="0" w:color="auto"/>
            <w:right w:val="none" w:sz="0" w:space="0" w:color="auto"/>
          </w:divBdr>
          <w:divsChild>
            <w:div w:id="827600379">
              <w:marLeft w:val="0"/>
              <w:marRight w:val="0"/>
              <w:marTop w:val="0"/>
              <w:marBottom w:val="0"/>
              <w:divBdr>
                <w:top w:val="none" w:sz="0" w:space="0" w:color="auto"/>
                <w:left w:val="none" w:sz="0" w:space="0" w:color="auto"/>
                <w:bottom w:val="none" w:sz="0" w:space="0" w:color="auto"/>
                <w:right w:val="none" w:sz="0" w:space="0" w:color="auto"/>
              </w:divBdr>
              <w:divsChild>
                <w:div w:id="309945244">
                  <w:marLeft w:val="0"/>
                  <w:marRight w:val="0"/>
                  <w:marTop w:val="0"/>
                  <w:marBottom w:val="0"/>
                  <w:divBdr>
                    <w:top w:val="none" w:sz="0" w:space="0" w:color="auto"/>
                    <w:left w:val="none" w:sz="0" w:space="0" w:color="auto"/>
                    <w:bottom w:val="none" w:sz="0" w:space="0" w:color="auto"/>
                    <w:right w:val="none" w:sz="0" w:space="0" w:color="auto"/>
                  </w:divBdr>
                  <w:divsChild>
                    <w:div w:id="1736394731">
                      <w:marLeft w:val="0"/>
                      <w:marRight w:val="0"/>
                      <w:marTop w:val="0"/>
                      <w:marBottom w:val="0"/>
                      <w:divBdr>
                        <w:top w:val="none" w:sz="0" w:space="0" w:color="auto"/>
                        <w:left w:val="none" w:sz="0" w:space="0" w:color="auto"/>
                        <w:bottom w:val="none" w:sz="0" w:space="0" w:color="auto"/>
                        <w:right w:val="none" w:sz="0" w:space="0" w:color="auto"/>
                      </w:divBdr>
                    </w:div>
                  </w:divsChild>
                </w:div>
                <w:div w:id="1014499510">
                  <w:marLeft w:val="0"/>
                  <w:marRight w:val="0"/>
                  <w:marTop w:val="0"/>
                  <w:marBottom w:val="0"/>
                  <w:divBdr>
                    <w:top w:val="none" w:sz="0" w:space="0" w:color="auto"/>
                    <w:left w:val="none" w:sz="0" w:space="0" w:color="auto"/>
                    <w:bottom w:val="none" w:sz="0" w:space="0" w:color="auto"/>
                    <w:right w:val="none" w:sz="0" w:space="0" w:color="auto"/>
                  </w:divBdr>
                  <w:divsChild>
                    <w:div w:id="125321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449930">
          <w:marLeft w:val="0"/>
          <w:marRight w:val="0"/>
          <w:marTop w:val="0"/>
          <w:marBottom w:val="0"/>
          <w:divBdr>
            <w:top w:val="none" w:sz="0" w:space="0" w:color="auto"/>
            <w:left w:val="none" w:sz="0" w:space="0" w:color="auto"/>
            <w:bottom w:val="none" w:sz="0" w:space="0" w:color="auto"/>
            <w:right w:val="none" w:sz="0" w:space="0" w:color="auto"/>
          </w:divBdr>
          <w:divsChild>
            <w:div w:id="765267125">
              <w:marLeft w:val="0"/>
              <w:marRight w:val="0"/>
              <w:marTop w:val="0"/>
              <w:marBottom w:val="0"/>
              <w:divBdr>
                <w:top w:val="none" w:sz="0" w:space="0" w:color="auto"/>
                <w:left w:val="none" w:sz="0" w:space="0" w:color="auto"/>
                <w:bottom w:val="none" w:sz="0" w:space="0" w:color="auto"/>
                <w:right w:val="none" w:sz="0" w:space="0" w:color="auto"/>
              </w:divBdr>
              <w:divsChild>
                <w:div w:id="475269358">
                  <w:marLeft w:val="0"/>
                  <w:marRight w:val="0"/>
                  <w:marTop w:val="0"/>
                  <w:marBottom w:val="0"/>
                  <w:divBdr>
                    <w:top w:val="none" w:sz="0" w:space="0" w:color="auto"/>
                    <w:left w:val="none" w:sz="0" w:space="0" w:color="auto"/>
                    <w:bottom w:val="none" w:sz="0" w:space="0" w:color="auto"/>
                    <w:right w:val="none" w:sz="0" w:space="0" w:color="auto"/>
                  </w:divBdr>
                  <w:divsChild>
                    <w:div w:id="185692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5555768">
      <w:bodyDiv w:val="1"/>
      <w:marLeft w:val="0"/>
      <w:marRight w:val="0"/>
      <w:marTop w:val="0"/>
      <w:marBottom w:val="0"/>
      <w:divBdr>
        <w:top w:val="none" w:sz="0" w:space="0" w:color="auto"/>
        <w:left w:val="none" w:sz="0" w:space="0" w:color="auto"/>
        <w:bottom w:val="none" w:sz="0" w:space="0" w:color="auto"/>
        <w:right w:val="none" w:sz="0" w:space="0" w:color="auto"/>
      </w:divBdr>
    </w:div>
    <w:div w:id="125304855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11</Pages>
  <Words>4569</Words>
  <Characters>21616</Characters>
  <Application>Microsoft Macintosh Word</Application>
  <DocSecurity>0</DocSecurity>
  <Lines>337</Lines>
  <Paragraphs>26</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References</vt:lpstr>
    </vt:vector>
  </TitlesOfParts>
  <LinksUpToDate>false</LinksUpToDate>
  <CharactersWithSpaces>26159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O'leary (1707818)</dc:creator>
  <cp:keywords/>
  <dc:description/>
  <cp:lastModifiedBy>Luke O'leary (1707818)</cp:lastModifiedBy>
  <cp:revision>2</cp:revision>
  <dcterms:created xsi:type="dcterms:W3CDTF">2019-04-01T11:49:00Z</dcterms:created>
  <dcterms:modified xsi:type="dcterms:W3CDTF">2019-04-01T11:49:00Z</dcterms:modified>
</cp:coreProperties>
</file>