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1EDFD" w14:textId="77777777" w:rsidR="006203B1" w:rsidRDefault="00ED6351">
      <w:pPr>
        <w:pStyle w:val="Normal1"/>
        <w:spacing w:before="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BA Hospitality and Hotel Management </w:t>
      </w:r>
    </w:p>
    <w:p w14:paraId="5F444338" w14:textId="77777777" w:rsidR="006203B1" w:rsidRDefault="00ED6351">
      <w:pPr>
        <w:pStyle w:val="Normal1"/>
        <w:spacing w:before="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BMIH4008 - D </w:t>
      </w:r>
    </w:p>
    <w:p w14:paraId="49708DD7" w14:textId="4BE495FA" w:rsidR="006203B1" w:rsidRDefault="00ED6351" w:rsidP="00714441">
      <w:pPr>
        <w:pStyle w:val="Normal1"/>
        <w:spacing w:before="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Management and Organisational Behaviour</w:t>
      </w:r>
    </w:p>
    <w:p w14:paraId="1E436676" w14:textId="74B8E6D4" w:rsidR="006203B1" w:rsidRDefault="00ED6351" w:rsidP="00714441">
      <w:pPr>
        <w:pStyle w:val="Normal1"/>
        <w:spacing w:before="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Module Lead: Lola Villard-Coles </w:t>
      </w:r>
    </w:p>
    <w:p w14:paraId="6040E0B6" w14:textId="3B013478" w:rsidR="00714441" w:rsidRDefault="00714441" w:rsidP="00714441">
      <w:pPr>
        <w:pStyle w:val="Normal1"/>
        <w:spacing w:before="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Name: Lavinia Branescu</w:t>
      </w:r>
    </w:p>
    <w:p w14:paraId="0DF99558" w14:textId="11331BD5" w:rsidR="00714441" w:rsidRDefault="00714441" w:rsidP="00714441">
      <w:pPr>
        <w:pStyle w:val="Normal1"/>
        <w:spacing w:before="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ID: 2408946</w:t>
      </w:r>
    </w:p>
    <w:p w14:paraId="485C86B9" w14:textId="77777777" w:rsidR="006203B1" w:rsidRDefault="00ED6351">
      <w:pPr>
        <w:pStyle w:val="Normal1"/>
        <w:spacing w:before="200" w:line="360" w:lineRule="auto"/>
        <w:jc w:val="center"/>
        <w:rPr>
          <w:rFonts w:ascii="Times New Roman" w:eastAsia="Times New Roman" w:hAnsi="Times New Roman" w:cs="Times New Roman"/>
          <w:sz w:val="36"/>
          <w:szCs w:val="36"/>
        </w:rPr>
      </w:pPr>
      <w:r>
        <w:br w:type="page"/>
      </w:r>
    </w:p>
    <w:p w14:paraId="20A95102" w14:textId="77777777" w:rsidR="006203B1" w:rsidRDefault="00ED635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Executive Summary</w:t>
      </w:r>
    </w:p>
    <w:p w14:paraId="1A957F7D" w14:textId="77777777" w:rsidR="006203B1" w:rsidRDefault="00ED6351">
      <w:pPr>
        <w:pStyle w:val="Normal1"/>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Accor’s organizational structure combines a centralized and decentralized model, which supports both global capabilities and regional adaptability, allowing the company to achieve global efficiency on the one hand, while also creating flexibility to meet local market needs on the other. In 2024, the company achieved revenues of €5.606 billion, mainly driven by growth in the luxury and lifestyle segments, and Accor has entered a new era of development and growth for its organization (Blottière, 2025). Accor’s commitment to sustainable development, digital transformation, and customer satisfaction is clearly reflected in its “Digital Factory” and ESG goals, which are creating a strong foundation for the company’s future growth. Although the UK market has faced some challenges, Accor’s diversification strategy and global expansion have helped position the company in a strong position in the competitive hospitality sector.</w:t>
      </w:r>
    </w:p>
    <w:p w14:paraId="74489601" w14:textId="77777777" w:rsidR="006203B1" w:rsidRDefault="00ED6351">
      <w:pPr>
        <w:pStyle w:val="Normal1"/>
        <w:spacing w:before="200" w:line="360" w:lineRule="auto"/>
        <w:jc w:val="both"/>
        <w:rPr>
          <w:rFonts w:ascii="Times New Roman" w:eastAsia="Times New Roman" w:hAnsi="Times New Roman" w:cs="Times New Roman"/>
          <w:b/>
          <w:sz w:val="24"/>
          <w:szCs w:val="24"/>
        </w:rPr>
      </w:pPr>
      <w:r>
        <w:br w:type="page"/>
      </w:r>
    </w:p>
    <w:sdt>
      <w:sdtPr>
        <w:rPr>
          <w:rFonts w:ascii="Arial" w:eastAsia="Arial" w:hAnsi="Arial" w:cs="Arial"/>
          <w:b w:val="0"/>
          <w:bCs w:val="0"/>
          <w:color w:val="auto"/>
          <w:sz w:val="22"/>
          <w:szCs w:val="22"/>
        </w:rPr>
        <w:id w:val="14736063"/>
        <w:docPartObj>
          <w:docPartGallery w:val="Table of Contents"/>
          <w:docPartUnique/>
        </w:docPartObj>
      </w:sdtPr>
      <w:sdtContent>
        <w:p w14:paraId="1FAF9C07" w14:textId="77777777" w:rsidR="007076A4" w:rsidRPr="007076A4" w:rsidRDefault="007076A4" w:rsidP="007076A4">
          <w:pPr>
            <w:pStyle w:val="TOCHeading"/>
            <w:spacing w:line="360" w:lineRule="auto"/>
            <w:jc w:val="center"/>
            <w:rPr>
              <w:rFonts w:ascii="Times New Roman" w:hAnsi="Times New Roman" w:cs="Times New Roman"/>
              <w:color w:val="000000" w:themeColor="text1"/>
            </w:rPr>
          </w:pPr>
          <w:r w:rsidRPr="007076A4">
            <w:rPr>
              <w:rFonts w:ascii="Times New Roman" w:hAnsi="Times New Roman" w:cs="Times New Roman"/>
              <w:color w:val="000000" w:themeColor="text1"/>
            </w:rPr>
            <w:t>Table of Contents</w:t>
          </w:r>
        </w:p>
        <w:p w14:paraId="2F016F2B" w14:textId="77777777" w:rsidR="007076A4" w:rsidRPr="007076A4" w:rsidRDefault="007076A4" w:rsidP="007076A4">
          <w:pPr>
            <w:pStyle w:val="TOC1"/>
            <w:tabs>
              <w:tab w:val="right" w:leader="dot" w:pos="9019"/>
            </w:tabs>
            <w:spacing w:line="360" w:lineRule="auto"/>
            <w:jc w:val="both"/>
            <w:rPr>
              <w:rFonts w:ascii="Times New Roman" w:hAnsi="Times New Roman" w:cs="Times New Roman"/>
              <w:b/>
              <w:noProof/>
              <w:color w:val="000000" w:themeColor="text1"/>
            </w:rPr>
          </w:pPr>
          <w:r w:rsidRPr="007076A4">
            <w:rPr>
              <w:rFonts w:ascii="Times New Roman" w:hAnsi="Times New Roman" w:cs="Times New Roman"/>
              <w:b/>
              <w:color w:val="000000" w:themeColor="text1"/>
            </w:rPr>
            <w:fldChar w:fldCharType="begin"/>
          </w:r>
          <w:r w:rsidRPr="007076A4">
            <w:rPr>
              <w:rFonts w:ascii="Times New Roman" w:hAnsi="Times New Roman" w:cs="Times New Roman"/>
              <w:b/>
              <w:color w:val="000000" w:themeColor="text1"/>
            </w:rPr>
            <w:instrText xml:space="preserve"> TOC \o "1-3" \h \z \u </w:instrText>
          </w:r>
          <w:r w:rsidRPr="007076A4">
            <w:rPr>
              <w:rFonts w:ascii="Times New Roman" w:hAnsi="Times New Roman" w:cs="Times New Roman"/>
              <w:b/>
              <w:color w:val="000000" w:themeColor="text1"/>
            </w:rPr>
            <w:fldChar w:fldCharType="separate"/>
          </w:r>
          <w:hyperlink w:anchor="_Toc197704417" w:history="1">
            <w:r w:rsidRPr="007076A4">
              <w:rPr>
                <w:rStyle w:val="Hyperlink"/>
                <w:rFonts w:ascii="Times New Roman" w:hAnsi="Times New Roman" w:cs="Times New Roman"/>
                <w:b/>
                <w:noProof/>
                <w:color w:val="000000" w:themeColor="text1"/>
              </w:rPr>
              <w:t>1. Introduction</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_Toc197704417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3</w:t>
            </w:r>
            <w:r w:rsidRPr="007076A4">
              <w:rPr>
                <w:rFonts w:ascii="Times New Roman" w:hAnsi="Times New Roman" w:cs="Times New Roman"/>
                <w:b/>
                <w:noProof/>
                <w:webHidden/>
                <w:color w:val="000000" w:themeColor="text1"/>
              </w:rPr>
              <w:fldChar w:fldCharType="end"/>
            </w:r>
          </w:hyperlink>
        </w:p>
        <w:p w14:paraId="6512880E" w14:textId="77777777" w:rsidR="007076A4" w:rsidRPr="007076A4" w:rsidRDefault="007076A4" w:rsidP="007076A4">
          <w:pPr>
            <w:pStyle w:val="TOC1"/>
            <w:tabs>
              <w:tab w:val="right" w:leader="dot" w:pos="9019"/>
            </w:tabs>
            <w:spacing w:line="360" w:lineRule="auto"/>
            <w:jc w:val="both"/>
            <w:rPr>
              <w:rFonts w:ascii="Times New Roman" w:hAnsi="Times New Roman" w:cs="Times New Roman"/>
              <w:b/>
              <w:noProof/>
              <w:color w:val="000000" w:themeColor="text1"/>
            </w:rPr>
          </w:pPr>
          <w:hyperlink w:anchor="_Toc197704418" w:history="1">
            <w:r w:rsidRPr="007076A4">
              <w:rPr>
                <w:rStyle w:val="Hyperlink"/>
                <w:rFonts w:ascii="Times New Roman" w:hAnsi="Times New Roman" w:cs="Times New Roman"/>
                <w:b/>
                <w:noProof/>
                <w:color w:val="000000" w:themeColor="text1"/>
              </w:rPr>
              <w:t>2. Main Body</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_Toc197704418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3</w:t>
            </w:r>
            <w:r w:rsidRPr="007076A4">
              <w:rPr>
                <w:rFonts w:ascii="Times New Roman" w:hAnsi="Times New Roman" w:cs="Times New Roman"/>
                <w:b/>
                <w:noProof/>
                <w:webHidden/>
                <w:color w:val="000000" w:themeColor="text1"/>
              </w:rPr>
              <w:fldChar w:fldCharType="end"/>
            </w:r>
          </w:hyperlink>
        </w:p>
        <w:p w14:paraId="12FA6D36"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19" w:history="1">
            <w:r w:rsidRPr="007076A4">
              <w:rPr>
                <w:rStyle w:val="Hyperlink"/>
                <w:rFonts w:ascii="Times New Roman" w:hAnsi="Times New Roman" w:cs="Times New Roman"/>
                <w:b/>
                <w:noProof/>
                <w:color w:val="000000" w:themeColor="text1"/>
              </w:rPr>
              <w:t>a. Organisational Structure, Culture, and Goals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_Toc197704419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3</w:t>
            </w:r>
            <w:r w:rsidRPr="007076A4">
              <w:rPr>
                <w:rFonts w:ascii="Times New Roman" w:hAnsi="Times New Roman" w:cs="Times New Roman"/>
                <w:b/>
                <w:noProof/>
                <w:webHidden/>
                <w:color w:val="000000" w:themeColor="text1"/>
              </w:rPr>
              <w:fldChar w:fldCharType="end"/>
            </w:r>
          </w:hyperlink>
        </w:p>
        <w:p w14:paraId="2C3C6837" w14:textId="77777777" w:rsidR="007076A4" w:rsidRPr="007076A4" w:rsidRDefault="007076A4" w:rsidP="007076A4">
          <w:pPr>
            <w:pStyle w:val="TOC3"/>
            <w:tabs>
              <w:tab w:val="right" w:leader="dot" w:pos="9019"/>
            </w:tabs>
            <w:spacing w:line="360" w:lineRule="auto"/>
            <w:jc w:val="both"/>
            <w:rPr>
              <w:rFonts w:ascii="Times New Roman" w:hAnsi="Times New Roman" w:cs="Times New Roman"/>
              <w:b/>
              <w:noProof/>
              <w:color w:val="000000" w:themeColor="text1"/>
            </w:rPr>
          </w:pPr>
          <w:hyperlink w:anchor="_Toc197704420" w:history="1">
            <w:r w:rsidRPr="007076A4">
              <w:rPr>
                <w:rStyle w:val="Hyperlink"/>
                <w:rFonts w:ascii="Times New Roman" w:hAnsi="Times New Roman" w:cs="Times New Roman"/>
                <w:b/>
                <w:noProof/>
                <w:color w:val="000000" w:themeColor="text1"/>
              </w:rPr>
              <w:t>Evaluate Accor’s Organisational Structure and Its Alignment with Corporate Culture and Goals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_Toc197704420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3</w:t>
            </w:r>
            <w:r w:rsidRPr="007076A4">
              <w:rPr>
                <w:rFonts w:ascii="Times New Roman" w:hAnsi="Times New Roman" w:cs="Times New Roman"/>
                <w:b/>
                <w:noProof/>
                <w:webHidden/>
                <w:color w:val="000000" w:themeColor="text1"/>
              </w:rPr>
              <w:fldChar w:fldCharType="end"/>
            </w:r>
          </w:hyperlink>
        </w:p>
        <w:p w14:paraId="2476D748" w14:textId="77777777" w:rsidR="007076A4" w:rsidRPr="007076A4" w:rsidRDefault="007076A4" w:rsidP="007076A4">
          <w:pPr>
            <w:pStyle w:val="TOC3"/>
            <w:tabs>
              <w:tab w:val="right" w:leader="dot" w:pos="9019"/>
            </w:tabs>
            <w:spacing w:line="360" w:lineRule="auto"/>
            <w:jc w:val="both"/>
            <w:rPr>
              <w:rFonts w:ascii="Times New Roman" w:hAnsi="Times New Roman" w:cs="Times New Roman"/>
              <w:b/>
              <w:noProof/>
              <w:color w:val="000000" w:themeColor="text1"/>
            </w:rPr>
          </w:pPr>
          <w:hyperlink w:anchor="_Toc197704421" w:history="1">
            <w:r w:rsidRPr="007076A4">
              <w:rPr>
                <w:rStyle w:val="Hyperlink"/>
                <w:rFonts w:ascii="Times New Roman" w:hAnsi="Times New Roman" w:cs="Times New Roman"/>
                <w:b/>
                <w:noProof/>
                <w:color w:val="000000" w:themeColor="text1"/>
              </w:rPr>
              <w:t>Highlight Any Notable Strengths or Weaknesses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_Toc197704421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4</w:t>
            </w:r>
            <w:r w:rsidRPr="007076A4">
              <w:rPr>
                <w:rFonts w:ascii="Times New Roman" w:hAnsi="Times New Roman" w:cs="Times New Roman"/>
                <w:b/>
                <w:noProof/>
                <w:webHidden/>
                <w:color w:val="000000" w:themeColor="text1"/>
              </w:rPr>
              <w:fldChar w:fldCharType="end"/>
            </w:r>
          </w:hyperlink>
        </w:p>
        <w:p w14:paraId="7E2D9BB3"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22" w:history="1">
            <w:r w:rsidRPr="007076A4">
              <w:rPr>
                <w:rStyle w:val="Hyperlink"/>
                <w:rFonts w:ascii="Times New Roman" w:hAnsi="Times New Roman" w:cs="Times New Roman"/>
                <w:b/>
                <w:noProof/>
                <w:color w:val="000000" w:themeColor="text1"/>
              </w:rPr>
              <w:t>Compare with Competitors to Contextualise Findings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_Toc197704422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4</w:t>
            </w:r>
            <w:r w:rsidRPr="007076A4">
              <w:rPr>
                <w:rFonts w:ascii="Times New Roman" w:hAnsi="Times New Roman" w:cs="Times New Roman"/>
                <w:b/>
                <w:noProof/>
                <w:webHidden/>
                <w:color w:val="000000" w:themeColor="text1"/>
              </w:rPr>
              <w:fldChar w:fldCharType="end"/>
            </w:r>
          </w:hyperlink>
        </w:p>
        <w:p w14:paraId="36BB2B39"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23" w:history="1">
            <w:r w:rsidRPr="007076A4">
              <w:rPr>
                <w:rStyle w:val="Hyperlink"/>
                <w:rFonts w:ascii="Times New Roman" w:hAnsi="Times New Roman" w:cs="Times New Roman"/>
                <w:b/>
                <w:noProof/>
                <w:color w:val="000000" w:themeColor="text1"/>
              </w:rPr>
              <w:t>b. Recent Change Initiatives: Impact and Management</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_Toc197704423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6</w:t>
            </w:r>
            <w:r w:rsidRPr="007076A4">
              <w:rPr>
                <w:rFonts w:ascii="Times New Roman" w:hAnsi="Times New Roman" w:cs="Times New Roman"/>
                <w:b/>
                <w:noProof/>
                <w:webHidden/>
                <w:color w:val="000000" w:themeColor="text1"/>
              </w:rPr>
              <w:fldChar w:fldCharType="end"/>
            </w:r>
          </w:hyperlink>
        </w:p>
        <w:p w14:paraId="4575F3A9" w14:textId="77777777" w:rsidR="007076A4" w:rsidRPr="007076A4" w:rsidRDefault="007076A4" w:rsidP="007076A4">
          <w:pPr>
            <w:pStyle w:val="TOC3"/>
            <w:tabs>
              <w:tab w:val="right" w:leader="dot" w:pos="9019"/>
            </w:tabs>
            <w:spacing w:line="360" w:lineRule="auto"/>
            <w:jc w:val="both"/>
            <w:rPr>
              <w:rFonts w:ascii="Times New Roman" w:hAnsi="Times New Roman" w:cs="Times New Roman"/>
              <w:b/>
              <w:noProof/>
              <w:color w:val="000000" w:themeColor="text1"/>
            </w:rPr>
          </w:pPr>
          <w:hyperlink w:anchor="_Toc197704424" w:history="1">
            <w:r w:rsidRPr="007076A4">
              <w:rPr>
                <w:rStyle w:val="Hyperlink"/>
                <w:rFonts w:ascii="Times New Roman" w:hAnsi="Times New Roman" w:cs="Times New Roman"/>
                <w:b/>
                <w:noProof/>
                <w:color w:val="000000" w:themeColor="text1"/>
              </w:rPr>
              <w:t>Examine Recent Change Initiatives at Accor, Their Rationale, and Outcomes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_Toc197704424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6</w:t>
            </w:r>
            <w:r w:rsidRPr="007076A4">
              <w:rPr>
                <w:rFonts w:ascii="Times New Roman" w:hAnsi="Times New Roman" w:cs="Times New Roman"/>
                <w:b/>
                <w:noProof/>
                <w:webHidden/>
                <w:color w:val="000000" w:themeColor="text1"/>
              </w:rPr>
              <w:fldChar w:fldCharType="end"/>
            </w:r>
          </w:hyperlink>
        </w:p>
        <w:p w14:paraId="59117EF2" w14:textId="77777777" w:rsidR="007076A4" w:rsidRPr="007076A4" w:rsidRDefault="007076A4" w:rsidP="007076A4">
          <w:pPr>
            <w:pStyle w:val="TOC3"/>
            <w:tabs>
              <w:tab w:val="right" w:leader="dot" w:pos="9019"/>
            </w:tabs>
            <w:spacing w:line="360" w:lineRule="auto"/>
            <w:jc w:val="both"/>
            <w:rPr>
              <w:rFonts w:ascii="Times New Roman" w:hAnsi="Times New Roman" w:cs="Times New Roman"/>
              <w:b/>
              <w:noProof/>
              <w:color w:val="000000" w:themeColor="text1"/>
            </w:rPr>
          </w:pPr>
          <w:hyperlink w:anchor="_Toc197704425" w:history="1">
            <w:r w:rsidRPr="007076A4">
              <w:rPr>
                <w:rStyle w:val="Hyperlink"/>
                <w:rFonts w:ascii="Times New Roman" w:hAnsi="Times New Roman" w:cs="Times New Roman"/>
                <w:b/>
                <w:noProof/>
                <w:color w:val="000000" w:themeColor="text1"/>
              </w:rPr>
              <w:t>‌Analyse How Effectively These Changes Were Managed, Referencing Change Management Theories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_Toc197704425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7</w:t>
            </w:r>
            <w:r w:rsidRPr="007076A4">
              <w:rPr>
                <w:rFonts w:ascii="Times New Roman" w:hAnsi="Times New Roman" w:cs="Times New Roman"/>
                <w:b/>
                <w:noProof/>
                <w:webHidden/>
                <w:color w:val="000000" w:themeColor="text1"/>
              </w:rPr>
              <w:fldChar w:fldCharType="end"/>
            </w:r>
          </w:hyperlink>
        </w:p>
        <w:p w14:paraId="0F4000FA" w14:textId="77777777" w:rsidR="007076A4" w:rsidRPr="007076A4" w:rsidRDefault="007076A4" w:rsidP="007076A4">
          <w:pPr>
            <w:pStyle w:val="TOC3"/>
            <w:tabs>
              <w:tab w:val="right" w:leader="dot" w:pos="9019"/>
            </w:tabs>
            <w:spacing w:line="360" w:lineRule="auto"/>
            <w:jc w:val="both"/>
            <w:rPr>
              <w:rFonts w:ascii="Times New Roman" w:hAnsi="Times New Roman" w:cs="Times New Roman"/>
              <w:b/>
              <w:noProof/>
              <w:color w:val="000000" w:themeColor="text1"/>
            </w:rPr>
          </w:pPr>
          <w:hyperlink w:anchor="_Toc197704426" w:history="1">
            <w:r w:rsidRPr="007076A4">
              <w:rPr>
                <w:rStyle w:val="Hyperlink"/>
                <w:rFonts w:ascii="Times New Roman" w:hAnsi="Times New Roman" w:cs="Times New Roman"/>
                <w:b/>
                <w:noProof/>
                <w:color w:val="000000" w:themeColor="text1"/>
              </w:rPr>
              <w:t>Provide Examples to Illustrate the Impact on Operations or Strategy</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_Toc197704426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7</w:t>
            </w:r>
            <w:r w:rsidRPr="007076A4">
              <w:rPr>
                <w:rFonts w:ascii="Times New Roman" w:hAnsi="Times New Roman" w:cs="Times New Roman"/>
                <w:b/>
                <w:noProof/>
                <w:webHidden/>
                <w:color w:val="000000" w:themeColor="text1"/>
              </w:rPr>
              <w:fldChar w:fldCharType="end"/>
            </w:r>
          </w:hyperlink>
        </w:p>
        <w:p w14:paraId="2572425A"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27" w:history="1">
            <w:r w:rsidRPr="007076A4">
              <w:rPr>
                <w:rStyle w:val="Hyperlink"/>
                <w:rFonts w:ascii="Times New Roman" w:hAnsi="Times New Roman" w:cs="Times New Roman"/>
                <w:b/>
                <w:noProof/>
                <w:color w:val="000000" w:themeColor="text1"/>
              </w:rPr>
              <w:t>c. Strategic Direction and Current Business Performance</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_Toc197704427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8</w:t>
            </w:r>
            <w:r w:rsidRPr="007076A4">
              <w:rPr>
                <w:rFonts w:ascii="Times New Roman" w:hAnsi="Times New Roman" w:cs="Times New Roman"/>
                <w:b/>
                <w:noProof/>
                <w:webHidden/>
                <w:color w:val="000000" w:themeColor="text1"/>
              </w:rPr>
              <w:fldChar w:fldCharType="end"/>
            </w:r>
          </w:hyperlink>
        </w:p>
        <w:p w14:paraId="2B682DC5" w14:textId="77777777" w:rsidR="007076A4" w:rsidRPr="007076A4" w:rsidRDefault="007076A4" w:rsidP="007076A4">
          <w:pPr>
            <w:pStyle w:val="TOC3"/>
            <w:tabs>
              <w:tab w:val="right" w:leader="dot" w:pos="9019"/>
            </w:tabs>
            <w:spacing w:line="360" w:lineRule="auto"/>
            <w:jc w:val="both"/>
            <w:rPr>
              <w:rFonts w:ascii="Times New Roman" w:hAnsi="Times New Roman" w:cs="Times New Roman"/>
              <w:b/>
              <w:noProof/>
              <w:color w:val="000000" w:themeColor="text1"/>
            </w:rPr>
          </w:pPr>
          <w:hyperlink w:anchor="_Toc197704428" w:history="1">
            <w:r w:rsidRPr="007076A4">
              <w:rPr>
                <w:rStyle w:val="Hyperlink"/>
                <w:rFonts w:ascii="Times New Roman" w:hAnsi="Times New Roman" w:cs="Times New Roman"/>
                <w:b/>
                <w:noProof/>
                <w:color w:val="000000" w:themeColor="text1"/>
              </w:rPr>
              <w:t>Accor’s Strategic Goals and Alignment with Business Performance</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_Toc197704428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8</w:t>
            </w:r>
            <w:r w:rsidRPr="007076A4">
              <w:rPr>
                <w:rFonts w:ascii="Times New Roman" w:hAnsi="Times New Roman" w:cs="Times New Roman"/>
                <w:b/>
                <w:noProof/>
                <w:webHidden/>
                <w:color w:val="000000" w:themeColor="text1"/>
              </w:rPr>
              <w:fldChar w:fldCharType="end"/>
            </w:r>
          </w:hyperlink>
        </w:p>
        <w:p w14:paraId="56B0A573" w14:textId="77777777" w:rsidR="007076A4" w:rsidRPr="007076A4" w:rsidRDefault="007076A4" w:rsidP="007076A4">
          <w:pPr>
            <w:pStyle w:val="TOC3"/>
            <w:tabs>
              <w:tab w:val="right" w:leader="dot" w:pos="9019"/>
            </w:tabs>
            <w:spacing w:line="360" w:lineRule="auto"/>
            <w:jc w:val="both"/>
            <w:rPr>
              <w:rFonts w:ascii="Times New Roman" w:hAnsi="Times New Roman" w:cs="Times New Roman"/>
              <w:b/>
              <w:noProof/>
              <w:color w:val="000000" w:themeColor="text1"/>
            </w:rPr>
          </w:pPr>
          <w:hyperlink w:anchor="_Toc197704429" w:history="1">
            <w:r w:rsidRPr="007076A4">
              <w:rPr>
                <w:rStyle w:val="Hyperlink"/>
                <w:rFonts w:ascii="Times New Roman" w:hAnsi="Times New Roman" w:cs="Times New Roman"/>
                <w:b/>
                <w:noProof/>
                <w:color w:val="000000" w:themeColor="text1"/>
              </w:rPr>
              <w:t>Key Performance Metrics and Market Positioning</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_Toc197704429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9</w:t>
            </w:r>
            <w:r w:rsidRPr="007076A4">
              <w:rPr>
                <w:rFonts w:ascii="Times New Roman" w:hAnsi="Times New Roman" w:cs="Times New Roman"/>
                <w:b/>
                <w:noProof/>
                <w:webHidden/>
                <w:color w:val="000000" w:themeColor="text1"/>
              </w:rPr>
              <w:fldChar w:fldCharType="end"/>
            </w:r>
          </w:hyperlink>
        </w:p>
        <w:p w14:paraId="51C8002C" w14:textId="77777777" w:rsidR="007076A4" w:rsidRPr="007076A4" w:rsidRDefault="007076A4" w:rsidP="007076A4">
          <w:pPr>
            <w:pStyle w:val="TOC3"/>
            <w:tabs>
              <w:tab w:val="right" w:leader="dot" w:pos="9019"/>
            </w:tabs>
            <w:spacing w:line="360" w:lineRule="auto"/>
            <w:jc w:val="both"/>
            <w:rPr>
              <w:rFonts w:ascii="Times New Roman" w:hAnsi="Times New Roman" w:cs="Times New Roman"/>
              <w:b/>
              <w:noProof/>
              <w:color w:val="000000" w:themeColor="text1"/>
            </w:rPr>
          </w:pPr>
          <w:hyperlink w:anchor="_Toc197704430" w:history="1">
            <w:r w:rsidRPr="007076A4">
              <w:rPr>
                <w:rStyle w:val="Hyperlink"/>
                <w:rFonts w:ascii="Times New Roman" w:hAnsi="Times New Roman" w:cs="Times New Roman"/>
                <w:b/>
                <w:noProof/>
                <w:color w:val="000000" w:themeColor="text1"/>
              </w:rPr>
              <w:t>Response to External Factors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_Toc197704430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10</w:t>
            </w:r>
            <w:r w:rsidRPr="007076A4">
              <w:rPr>
                <w:rFonts w:ascii="Times New Roman" w:hAnsi="Times New Roman" w:cs="Times New Roman"/>
                <w:b/>
                <w:noProof/>
                <w:webHidden/>
                <w:color w:val="000000" w:themeColor="text1"/>
              </w:rPr>
              <w:fldChar w:fldCharType="end"/>
            </w:r>
          </w:hyperlink>
        </w:p>
        <w:p w14:paraId="00BB7832" w14:textId="77777777" w:rsidR="007076A4" w:rsidRPr="007076A4" w:rsidRDefault="007076A4" w:rsidP="007076A4">
          <w:pPr>
            <w:pStyle w:val="TOC1"/>
            <w:tabs>
              <w:tab w:val="right" w:leader="dot" w:pos="9019"/>
            </w:tabs>
            <w:spacing w:line="360" w:lineRule="auto"/>
            <w:jc w:val="both"/>
            <w:rPr>
              <w:rFonts w:ascii="Times New Roman" w:hAnsi="Times New Roman" w:cs="Times New Roman"/>
              <w:b/>
              <w:noProof/>
              <w:color w:val="000000" w:themeColor="text1"/>
            </w:rPr>
          </w:pPr>
          <w:hyperlink w:anchor="_Toc197704431" w:history="1">
            <w:r w:rsidRPr="007076A4">
              <w:rPr>
                <w:rStyle w:val="Hyperlink"/>
                <w:rFonts w:ascii="Times New Roman" w:hAnsi="Times New Roman" w:cs="Times New Roman"/>
                <w:b/>
                <w:noProof/>
                <w:color w:val="000000" w:themeColor="text1"/>
              </w:rPr>
              <w:t>3. Conclusion</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_Toc197704431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10</w:t>
            </w:r>
            <w:r w:rsidRPr="007076A4">
              <w:rPr>
                <w:rFonts w:ascii="Times New Roman" w:hAnsi="Times New Roman" w:cs="Times New Roman"/>
                <w:b/>
                <w:noProof/>
                <w:webHidden/>
                <w:color w:val="000000" w:themeColor="text1"/>
              </w:rPr>
              <w:fldChar w:fldCharType="end"/>
            </w:r>
          </w:hyperlink>
        </w:p>
        <w:p w14:paraId="32FED255" w14:textId="77777777" w:rsidR="007076A4" w:rsidRPr="007076A4" w:rsidRDefault="007076A4" w:rsidP="007076A4">
          <w:pPr>
            <w:pStyle w:val="TOC1"/>
            <w:tabs>
              <w:tab w:val="right" w:leader="dot" w:pos="9019"/>
            </w:tabs>
            <w:spacing w:line="360" w:lineRule="auto"/>
            <w:jc w:val="both"/>
            <w:rPr>
              <w:rFonts w:ascii="Times New Roman" w:hAnsi="Times New Roman" w:cs="Times New Roman"/>
              <w:b/>
              <w:noProof/>
              <w:color w:val="000000" w:themeColor="text1"/>
            </w:rPr>
          </w:pPr>
          <w:hyperlink w:anchor="_Toc197704432" w:history="1">
            <w:r w:rsidRPr="007076A4">
              <w:rPr>
                <w:rStyle w:val="Hyperlink"/>
                <w:rFonts w:ascii="Times New Roman" w:hAnsi="Times New Roman" w:cs="Times New Roman"/>
                <w:b/>
                <w:noProof/>
                <w:color w:val="000000" w:themeColor="text1"/>
              </w:rPr>
              <w:t>4. Recommendations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_Toc197704432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11</w:t>
            </w:r>
            <w:r w:rsidRPr="007076A4">
              <w:rPr>
                <w:rFonts w:ascii="Times New Roman" w:hAnsi="Times New Roman" w:cs="Times New Roman"/>
                <w:b/>
                <w:noProof/>
                <w:webHidden/>
                <w:color w:val="000000" w:themeColor="text1"/>
              </w:rPr>
              <w:fldChar w:fldCharType="end"/>
            </w:r>
          </w:hyperlink>
        </w:p>
        <w:p w14:paraId="74D7DB3F"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33" w:history="1">
            <w:r w:rsidRPr="007076A4">
              <w:rPr>
                <w:rStyle w:val="Hyperlink"/>
                <w:rFonts w:ascii="Times New Roman" w:hAnsi="Times New Roman" w:cs="Times New Roman"/>
                <w:b/>
                <w:noProof/>
                <w:color w:val="000000" w:themeColor="text1"/>
              </w:rPr>
              <w:t>Enhance Crisis Management and Decision-Making Clarity</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_Toc197704433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11</w:t>
            </w:r>
            <w:r w:rsidRPr="007076A4">
              <w:rPr>
                <w:rFonts w:ascii="Times New Roman" w:hAnsi="Times New Roman" w:cs="Times New Roman"/>
                <w:b/>
                <w:noProof/>
                <w:webHidden/>
                <w:color w:val="000000" w:themeColor="text1"/>
              </w:rPr>
              <w:fldChar w:fldCharType="end"/>
            </w:r>
          </w:hyperlink>
        </w:p>
        <w:p w14:paraId="1802F976"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34" w:history="1">
            <w:r w:rsidRPr="007076A4">
              <w:rPr>
                <w:rStyle w:val="Hyperlink"/>
                <w:rFonts w:ascii="Times New Roman" w:hAnsi="Times New Roman" w:cs="Times New Roman"/>
                <w:b/>
                <w:noProof/>
                <w:color w:val="000000" w:themeColor="text1"/>
              </w:rPr>
              <w:t>Optimize Brand Portfolio and Internal Processes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_Toc197704434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11</w:t>
            </w:r>
            <w:r w:rsidRPr="007076A4">
              <w:rPr>
                <w:rFonts w:ascii="Times New Roman" w:hAnsi="Times New Roman" w:cs="Times New Roman"/>
                <w:b/>
                <w:noProof/>
                <w:webHidden/>
                <w:color w:val="000000" w:themeColor="text1"/>
              </w:rPr>
              <w:fldChar w:fldCharType="end"/>
            </w:r>
          </w:hyperlink>
        </w:p>
        <w:p w14:paraId="4528DF96"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35" w:history="1">
            <w:r w:rsidRPr="007076A4">
              <w:rPr>
                <w:rStyle w:val="Hyperlink"/>
                <w:rFonts w:ascii="Times New Roman" w:hAnsi="Times New Roman" w:cs="Times New Roman"/>
                <w:b/>
                <w:noProof/>
                <w:color w:val="000000" w:themeColor="text1"/>
              </w:rPr>
              <w:t>Leverage Digital Transformation to Drive Efficiency</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_Toc197704435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12</w:t>
            </w:r>
            <w:r w:rsidRPr="007076A4">
              <w:rPr>
                <w:rFonts w:ascii="Times New Roman" w:hAnsi="Times New Roman" w:cs="Times New Roman"/>
                <w:b/>
                <w:noProof/>
                <w:webHidden/>
                <w:color w:val="000000" w:themeColor="text1"/>
              </w:rPr>
              <w:fldChar w:fldCharType="end"/>
            </w:r>
          </w:hyperlink>
        </w:p>
        <w:p w14:paraId="4C164E6A"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36" w:history="1">
            <w:r w:rsidRPr="007076A4">
              <w:rPr>
                <w:rStyle w:val="Hyperlink"/>
                <w:rFonts w:ascii="Times New Roman" w:hAnsi="Times New Roman" w:cs="Times New Roman"/>
                <w:b/>
                <w:noProof/>
                <w:color w:val="000000" w:themeColor="text1"/>
              </w:rPr>
              <w:t>Strengthen Sustainability Initiatives and Reporting</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_Toc197704436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12</w:t>
            </w:r>
            <w:r w:rsidRPr="007076A4">
              <w:rPr>
                <w:rFonts w:ascii="Times New Roman" w:hAnsi="Times New Roman" w:cs="Times New Roman"/>
                <w:b/>
                <w:noProof/>
                <w:webHidden/>
                <w:color w:val="000000" w:themeColor="text1"/>
              </w:rPr>
              <w:fldChar w:fldCharType="end"/>
            </w:r>
          </w:hyperlink>
        </w:p>
        <w:p w14:paraId="0ECB18F2" w14:textId="77777777" w:rsidR="007076A4" w:rsidRPr="007076A4" w:rsidRDefault="007076A4" w:rsidP="007076A4">
          <w:pPr>
            <w:pStyle w:val="TOC2"/>
            <w:tabs>
              <w:tab w:val="right" w:leader="dot" w:pos="9019"/>
            </w:tabs>
            <w:spacing w:line="360" w:lineRule="auto"/>
            <w:jc w:val="both"/>
            <w:rPr>
              <w:rFonts w:ascii="Times New Roman" w:hAnsi="Times New Roman" w:cs="Times New Roman"/>
              <w:b/>
              <w:noProof/>
              <w:color w:val="000000" w:themeColor="text1"/>
            </w:rPr>
          </w:pPr>
          <w:hyperlink w:anchor="_Toc197704437" w:history="1">
            <w:r w:rsidRPr="007076A4">
              <w:rPr>
                <w:rStyle w:val="Hyperlink"/>
                <w:rFonts w:ascii="Times New Roman" w:hAnsi="Times New Roman" w:cs="Times New Roman"/>
                <w:b/>
                <w:noProof/>
                <w:color w:val="000000" w:themeColor="text1"/>
              </w:rPr>
              <w:t>Expand the Luxury and Lifestyle Segments</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_Toc197704437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12</w:t>
            </w:r>
            <w:r w:rsidRPr="007076A4">
              <w:rPr>
                <w:rFonts w:ascii="Times New Roman" w:hAnsi="Times New Roman" w:cs="Times New Roman"/>
                <w:b/>
                <w:noProof/>
                <w:webHidden/>
                <w:color w:val="000000" w:themeColor="text1"/>
              </w:rPr>
              <w:fldChar w:fldCharType="end"/>
            </w:r>
          </w:hyperlink>
        </w:p>
        <w:p w14:paraId="2088A6A0" w14:textId="77777777" w:rsidR="007076A4" w:rsidRPr="007076A4" w:rsidRDefault="007076A4" w:rsidP="007076A4">
          <w:pPr>
            <w:pStyle w:val="TOC1"/>
            <w:tabs>
              <w:tab w:val="right" w:leader="dot" w:pos="9019"/>
            </w:tabs>
            <w:spacing w:line="360" w:lineRule="auto"/>
            <w:jc w:val="both"/>
            <w:rPr>
              <w:rFonts w:ascii="Times New Roman" w:hAnsi="Times New Roman" w:cs="Times New Roman"/>
              <w:b/>
              <w:noProof/>
              <w:color w:val="000000" w:themeColor="text1"/>
            </w:rPr>
          </w:pPr>
          <w:hyperlink w:anchor="_Toc197704438" w:history="1">
            <w:r w:rsidRPr="007076A4">
              <w:rPr>
                <w:rStyle w:val="Hyperlink"/>
                <w:rFonts w:ascii="Times New Roman" w:hAnsi="Times New Roman" w:cs="Times New Roman"/>
                <w:b/>
                <w:noProof/>
                <w:color w:val="000000" w:themeColor="text1"/>
              </w:rPr>
              <w:t>5. Reference List</w:t>
            </w:r>
            <w:r w:rsidRPr="007076A4">
              <w:rPr>
                <w:rFonts w:ascii="Times New Roman" w:hAnsi="Times New Roman" w:cs="Times New Roman"/>
                <w:b/>
                <w:noProof/>
                <w:webHidden/>
                <w:color w:val="000000" w:themeColor="text1"/>
              </w:rPr>
              <w:tab/>
            </w:r>
            <w:r w:rsidRPr="007076A4">
              <w:rPr>
                <w:rFonts w:ascii="Times New Roman" w:hAnsi="Times New Roman" w:cs="Times New Roman"/>
                <w:b/>
                <w:noProof/>
                <w:webHidden/>
                <w:color w:val="000000" w:themeColor="text1"/>
              </w:rPr>
              <w:fldChar w:fldCharType="begin"/>
            </w:r>
            <w:r w:rsidRPr="007076A4">
              <w:rPr>
                <w:rFonts w:ascii="Times New Roman" w:hAnsi="Times New Roman" w:cs="Times New Roman"/>
                <w:b/>
                <w:noProof/>
                <w:webHidden/>
                <w:color w:val="000000" w:themeColor="text1"/>
              </w:rPr>
              <w:instrText xml:space="preserve"> PAGEREF _Toc197704438 \h </w:instrText>
            </w:r>
            <w:r w:rsidRPr="007076A4">
              <w:rPr>
                <w:rFonts w:ascii="Times New Roman" w:hAnsi="Times New Roman" w:cs="Times New Roman"/>
                <w:b/>
                <w:noProof/>
                <w:webHidden/>
                <w:color w:val="000000" w:themeColor="text1"/>
              </w:rPr>
            </w:r>
            <w:r w:rsidRPr="007076A4">
              <w:rPr>
                <w:rFonts w:ascii="Times New Roman" w:hAnsi="Times New Roman" w:cs="Times New Roman"/>
                <w:b/>
                <w:noProof/>
                <w:webHidden/>
                <w:color w:val="000000" w:themeColor="text1"/>
              </w:rPr>
              <w:fldChar w:fldCharType="separate"/>
            </w:r>
            <w:r w:rsidRPr="007076A4">
              <w:rPr>
                <w:rFonts w:ascii="Times New Roman" w:hAnsi="Times New Roman" w:cs="Times New Roman"/>
                <w:b/>
                <w:noProof/>
                <w:webHidden/>
                <w:color w:val="000000" w:themeColor="text1"/>
              </w:rPr>
              <w:t>13</w:t>
            </w:r>
            <w:r w:rsidRPr="007076A4">
              <w:rPr>
                <w:rFonts w:ascii="Times New Roman" w:hAnsi="Times New Roman" w:cs="Times New Roman"/>
                <w:b/>
                <w:noProof/>
                <w:webHidden/>
                <w:color w:val="000000" w:themeColor="text1"/>
              </w:rPr>
              <w:fldChar w:fldCharType="end"/>
            </w:r>
          </w:hyperlink>
        </w:p>
        <w:p w14:paraId="356D1022" w14:textId="77777777" w:rsidR="007076A4" w:rsidRDefault="007076A4" w:rsidP="007076A4">
          <w:pPr>
            <w:spacing w:line="360" w:lineRule="auto"/>
            <w:jc w:val="both"/>
          </w:pPr>
          <w:r w:rsidRPr="007076A4">
            <w:rPr>
              <w:rFonts w:ascii="Times New Roman" w:hAnsi="Times New Roman" w:cs="Times New Roman"/>
              <w:b/>
              <w:color w:val="000000" w:themeColor="text1"/>
            </w:rPr>
            <w:fldChar w:fldCharType="end"/>
          </w:r>
        </w:p>
      </w:sdtContent>
    </w:sdt>
    <w:p w14:paraId="3410B12F" w14:textId="77777777" w:rsidR="007076A4" w:rsidRDefault="007076A4">
      <w:pPr>
        <w:rPr>
          <w:rFonts w:ascii="Times New Roman" w:hAnsi="Times New Roman"/>
          <w:b/>
          <w:color w:val="000000" w:themeColor="text1"/>
          <w:sz w:val="24"/>
          <w:szCs w:val="40"/>
        </w:rPr>
      </w:pPr>
      <w:bookmarkStart w:id="0" w:name="_Toc197704417"/>
      <w:r>
        <w:br w:type="page"/>
      </w:r>
    </w:p>
    <w:p w14:paraId="7F6A20D3" w14:textId="77777777" w:rsidR="006203B1" w:rsidRDefault="00ED6351" w:rsidP="007076A4">
      <w:pPr>
        <w:pStyle w:val="Heading1"/>
      </w:pPr>
      <w:r>
        <w:lastRenderedPageBreak/>
        <w:t xml:space="preserve">1. </w:t>
      </w:r>
      <w:r w:rsidRPr="007076A4">
        <w:rPr>
          <w:szCs w:val="24"/>
        </w:rPr>
        <w:t>Introduction</w:t>
      </w:r>
      <w:bookmarkEnd w:id="0"/>
      <w:r>
        <w:t xml:space="preserve"> </w:t>
      </w:r>
    </w:p>
    <w:p w14:paraId="257A4D2B"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assesses the organizational structure of Accor Hotels Group, analyzing its alignment with the company's corporate culture and strategic goals, trying to demonstrate that Accor, which operates as a global leading hotel group, operates more than 55 hotel brands in different parts of the world, and these brands operate in different segments to meet different customer needs, while at the same time, despite the company's strong commitment to sustainability, digital innovation and regional customization, it has been able to achieve significant growth in revenue and its market presence. The report will review Accor’s organizational structure in detail, identify its strengths and weaknesses, and compare it with competitors such as Marriott and Hilton, taking into account their strategic vision and market position. In addition, the company will analyze the transformation initiatives it has recently undertaken, such as the implementation of sustainability and digital transformation, and measure the effectiveness of these initiatives in light of change management theories. Finally, the report will discuss in detail Accor’s strategic goals, key performance indicators, and the company’s response to external market conditions, thereby providing a complete picture of the company’s business operations and overall performance in 2024.</w:t>
      </w:r>
    </w:p>
    <w:p w14:paraId="5FEF30AD" w14:textId="77777777" w:rsidR="006203B1" w:rsidRDefault="00ED6351" w:rsidP="007076A4">
      <w:pPr>
        <w:pStyle w:val="Heading1"/>
      </w:pPr>
      <w:bookmarkStart w:id="1" w:name="_Toc197704418"/>
      <w:r>
        <w:t>2. Main Body</w:t>
      </w:r>
      <w:bookmarkEnd w:id="1"/>
      <w:r>
        <w:t xml:space="preserve">   </w:t>
      </w:r>
    </w:p>
    <w:p w14:paraId="762B56AE" w14:textId="77777777" w:rsidR="006203B1" w:rsidRDefault="00ED6351">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Subheadings for Key Topics: </w:t>
      </w:r>
    </w:p>
    <w:p w14:paraId="77A93862" w14:textId="77777777" w:rsidR="006203B1" w:rsidRDefault="00ED6351" w:rsidP="007076A4">
      <w:pPr>
        <w:pStyle w:val="Heading2"/>
      </w:pPr>
      <w:bookmarkStart w:id="2" w:name="_Toc197704419"/>
      <w:r>
        <w:t>a. Organisational Structure, Culture, and Goals</w:t>
      </w:r>
      <w:bookmarkEnd w:id="2"/>
      <w:r>
        <w:t xml:space="preserve"> </w:t>
      </w:r>
    </w:p>
    <w:p w14:paraId="31E50C73" w14:textId="77777777" w:rsidR="006203B1" w:rsidRDefault="00ED6351" w:rsidP="007076A4">
      <w:pPr>
        <w:pStyle w:val="Heading3"/>
      </w:pPr>
      <w:bookmarkStart w:id="3" w:name="_Toc197704420"/>
      <w:r>
        <w:t>Evaluate Accor’s Organisational Structure and Its Alignment with Corporate Culture and Goals</w:t>
      </w:r>
      <w:bookmarkEnd w:id="3"/>
    </w:p>
    <w:p w14:paraId="3B1B7391"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Accor's organizational structure is a combination of a complex hierarchical and matrix model, which, on the one hand, ensures integrated efficiency in global operations, while maintaining adaptability and resilience at the regional level (Blottière, 2025). In fiscal year 2024, the company achieved revenues of €5.606 billion, representing an 11 percent increase compared to the previous year; of which, PM&amp;E grew by 5 percent and Luxury &amp; Lifestyle by 19 percent, reflecting consumer demand and strategic expansion in these segments. While decision-making is effectively centralized at the central corporate level, regional brand leaders and managers are able to make decisions quickly in light of local realities through the decentralization of specific responsibilities and powers. RevPAR (Revenue per Available Room) was relatively weak in the UK in 2024—a 79% decline in London and 60% in other cities; however, Europe and North </w:t>
      </w:r>
      <w:r>
        <w:rPr>
          <w:rFonts w:ascii="Times New Roman" w:eastAsia="Times New Roman" w:hAnsi="Times New Roman" w:cs="Times New Roman"/>
          <w:sz w:val="24"/>
          <w:szCs w:val="24"/>
        </w:rPr>
        <w:lastRenderedPageBreak/>
        <w:t>Africa as a whole grew by 5.7 percent, indicating a recovery in diversification and demand in regional markets (Luoma et.al, 2025). Accor considers environmental, social and governance (ESG) indicators as part of its strategic decision-making under its “Hospitality for the Good” strategic philosophy; as a result, it has achieved a score of 16.1 (Low Risk) from Sustainalytics, an A- rating from CDP, and Gold Level recognition from Ecovadis in 2021—reflecting its responsible business practices (Accor, 2024).</w:t>
      </w:r>
    </w:p>
    <w:p w14:paraId="272D48B6" w14:textId="77777777" w:rsidR="006203B1" w:rsidRDefault="00ED6351" w:rsidP="007076A4">
      <w:pPr>
        <w:pStyle w:val="Heading3"/>
      </w:pPr>
      <w:bookmarkStart w:id="4" w:name="_Toc197704421"/>
      <w:r>
        <w:t>Highlight Any Notable Strengths or Weaknesses</w:t>
      </w:r>
      <w:bookmarkEnd w:id="4"/>
    </w:p>
    <w:p w14:paraId="0F4B2917"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key strength of Accor's organisational structure is its adaptability, which is crucial in an industry where hospitality is paramount, and this adaptability allows Accor's 57 different brands to maintain their own distinct identities, marketing strategies and customer experiences through a decentralized governance structure, resulting in a customer satisfaction rate of around 79% and an employee satisfaction rate of around 87% in the UK; in addition, the number of members of the ALL loyalty programme is set to double to 100 million between 2019 and 2024, with 11 million new members added in 2024 alone, and Accor's technology-focused innovation initiative called 'Digital Factory' is playing an effective role in staying ahead in the competitive digital landscape (Harden-England, 2024).</w:t>
      </w:r>
    </w:p>
    <w:p w14:paraId="517408F5"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structure of the Accor Hotel Group has its weaknesses, where the coexistence of centralized and decentralized elements can create ambiguity regarding decision-making rights, especially in crisis situations, which require a quick and unified response (Staff, 2024). Managing more than 40 brands around the world can create inefficiencies and challenges in internal processes, such as HR practices or sustainability reporting, but 87% of their employees say it is a great place to work, and they are taking strong steps towards sustainability, net zero and the use of plastic.</w:t>
      </w:r>
    </w:p>
    <w:p w14:paraId="6B888248" w14:textId="77777777" w:rsidR="006203B1" w:rsidRDefault="00ED6351" w:rsidP="007076A4">
      <w:pPr>
        <w:pStyle w:val="Heading2"/>
      </w:pPr>
      <w:bookmarkStart w:id="5" w:name="_Toc197704422"/>
      <w:r>
        <w:t>Compare with Competitors to Contextualise Findings</w:t>
      </w:r>
      <w:bookmarkEnd w:id="5"/>
    </w:p>
    <w:p w14:paraId="6EFAF7D8"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 Hotels Group is more diversified than Marriott International and Hilton, as it operates around 55 different hotel brands in different regions of the world. While Marriott's structure is centralized and more tightly controlled, Accor's decentralized approach is conducive to regional diversity and innovation, especially in Asia-Pacific, where cultural sensitivity and customization are important (Blottière, 2025). In the UK, where Accor contributes 13% of room revenue, RevPAR in the MEAA region grew by 4.6% in the first quarter of 2024, but </w:t>
      </w:r>
      <w:r>
        <w:rPr>
          <w:rFonts w:ascii="Times New Roman" w:eastAsia="Times New Roman" w:hAnsi="Times New Roman" w:cs="Times New Roman"/>
          <w:sz w:val="24"/>
          <w:szCs w:val="24"/>
        </w:rPr>
        <w:lastRenderedPageBreak/>
        <w:t>Marriott's model offers advantages in economies of scale and cost management, which creates a competitive advantage in financial performance.</w:t>
      </w:r>
    </w:p>
    <w:p w14:paraId="2D0304B1" w14:textId="77777777" w:rsidR="006203B1" w:rsidRDefault="00ED6351">
      <w:pPr>
        <w:pStyle w:val="Normal1"/>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805606A" wp14:editId="1150A318">
            <wp:extent cx="4106903" cy="2722017"/>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106903" cy="2722017"/>
                    </a:xfrm>
                    <a:prstGeom prst="rect">
                      <a:avLst/>
                    </a:prstGeom>
                    <a:ln w="25400">
                      <a:solidFill>
                        <a:srgbClr val="000000"/>
                      </a:solidFill>
                      <a:prstDash val="solid"/>
                    </a:ln>
                  </pic:spPr>
                </pic:pic>
              </a:graphicData>
            </a:graphic>
          </wp:inline>
        </w:drawing>
      </w:r>
    </w:p>
    <w:p w14:paraId="67D7D171" w14:textId="77777777" w:rsidR="006203B1" w:rsidRDefault="00ED635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Number of Accor hotels worldwide 2015-2023</w:t>
      </w:r>
    </w:p>
    <w:p w14:paraId="5D8ABF67" w14:textId="77777777" w:rsidR="006203B1" w:rsidRDefault="00ED635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Statista, 2023)</w:t>
      </w:r>
    </w:p>
    <w:p w14:paraId="2EDDCD14"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graph, December 2023, Accor Hotels had a total of 5,584 hotels, up from 5,445 hotels in 2022; operating more than 55 hotel brands around the world, Accor's decentralized approach is conducive to regional diversity and increased cultural sensitivity and customization in the Asia-Pacific region, resulting in a 4.6% RevPAR increase in the MEAA region (Statista, 2023).</w:t>
      </w:r>
    </w:p>
    <w:p w14:paraId="0E113902"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Hotel Group's cultural identity is aligned with modern consumer expectations and responsible tourism demands, with an emphasis on diversity, inclusion and sustainability, and has helped to enhance the brand's reputation by empowering its employees and promoting well-being, while also enhancing the guest experience (Faragher, 2024). With the "Heartiest" concept, they place a higher emphasis on the guest experience as well as employee love and compassion than Hilton, resulting in an employee inclusion score of 8.6/10, with 87% of employees identifying it as a good place to work. Their SGS risk rating is 16.1, which is classified as "Low".</w:t>
      </w:r>
    </w:p>
    <w:p w14:paraId="45C4B2CE"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 Hotel Group's global revenue in 2024 was €5.606 billion, up 11% compared to 2023, driven by growth in RevPAR (Revenue Per Available Room) across regions, with RevPAR growth in the Middle East-Africa and Southeast Asia being solid, while growth in the Pacific </w:t>
      </w:r>
      <w:r>
        <w:rPr>
          <w:rFonts w:ascii="Times New Roman" w:eastAsia="Times New Roman" w:hAnsi="Times New Roman" w:cs="Times New Roman"/>
          <w:sz w:val="24"/>
          <w:szCs w:val="24"/>
        </w:rPr>
        <w:lastRenderedPageBreak/>
        <w:t>region was subdued; in addition, RevPAR in the Americas grew by 13.1% in the first quarter of 2025, as Accor adopts an advanced, locally integrated and decentralized structure that is supportive of the company's strategic direction and organizational culture (Accor, 2024).</w:t>
      </w:r>
    </w:p>
    <w:p w14:paraId="260C61B4" w14:textId="77777777" w:rsidR="006203B1" w:rsidRDefault="00ED6351" w:rsidP="007076A4">
      <w:pPr>
        <w:pStyle w:val="Heading2"/>
      </w:pPr>
      <w:bookmarkStart w:id="6" w:name="_Toc197704423"/>
      <w:r>
        <w:t>b. Recent Change Initiatives: Impact and Management</w:t>
      </w:r>
      <w:bookmarkEnd w:id="6"/>
      <w:r>
        <w:t xml:space="preserve"> </w:t>
      </w:r>
    </w:p>
    <w:p w14:paraId="440CFA33" w14:textId="77777777" w:rsidR="006203B1" w:rsidRDefault="00ED6351" w:rsidP="007076A4">
      <w:pPr>
        <w:pStyle w:val="Heading3"/>
      </w:pPr>
      <w:bookmarkStart w:id="7" w:name="_Toc197704424"/>
      <w:r>
        <w:t>Examine Recent Change Initiatives at Accor, Their Rationale, and Outcomes</w:t>
      </w:r>
      <w:bookmarkEnd w:id="7"/>
    </w:p>
    <w:p w14:paraId="40E75F21"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Acre has focused on sustainability and digital transformation in recent years, helping it to remain competitive in the rapidly changing hospitality sector, and this success was achieved by saving 12% of water between 2006 and 2010, as a result of various initiatives, such as installing flow regulators and increasing employee awareness (On, 2021). In addition, the goal is to achieve net zero carbon emissions by 2050 and 46% by 2030. Under the Planet 21 program, Mövenpick Petra has managed to save 25% of water by 2023 by changing 90% of bathtubs to showers (Accor, 2024).</w:t>
      </w:r>
    </w:p>
    <w:p w14:paraId="07393E59" w14:textId="77777777" w:rsidR="006203B1" w:rsidRDefault="00ED6351">
      <w:pPr>
        <w:pStyle w:val="Normal1"/>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D8D885D" wp14:editId="19B53DEA">
            <wp:extent cx="4420095" cy="223941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20095" cy="2239417"/>
                    </a:xfrm>
                    <a:prstGeom prst="rect">
                      <a:avLst/>
                    </a:prstGeom>
                    <a:ln w="25400">
                      <a:solidFill>
                        <a:srgbClr val="000000"/>
                      </a:solidFill>
                      <a:prstDash val="solid"/>
                    </a:ln>
                  </pic:spPr>
                </pic:pic>
              </a:graphicData>
            </a:graphic>
          </wp:inline>
        </w:drawing>
      </w:r>
    </w:p>
    <w:p w14:paraId="3A198924" w14:textId="77777777" w:rsidR="006203B1" w:rsidRDefault="00ED635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Hotel Toiletries Market Size &amp; Trends</w:t>
      </w:r>
    </w:p>
    <w:p w14:paraId="00AEF563" w14:textId="77777777" w:rsidR="006203B1" w:rsidRDefault="00ED635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Grand View Research, 2023)</w:t>
      </w:r>
    </w:p>
    <w:p w14:paraId="53087922" w14:textId="77777777" w:rsidR="006203B1" w:rsidRDefault="00ED6351">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As per the graph, Akkor, which is strongly committed to achieving sustainability, has set a target of reducing carbon emissions by 46% by 2030, and through this initiative, is trying to align with consumers' interest in eco-friendly brands; on the other hand, the global hotel toiletries market was valued at USD 22.19 billion in 2023, growing at a CAGR of 10.9%, as global travel is increasing and consumers are now interested in using premium and eco-friendly products (Grand View Research, 2023).</w:t>
      </w:r>
    </w:p>
    <w:p w14:paraId="071BE09A"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Akkor has taken important steps to enhance customer experience and operational efficiency by embracing technological advancements, including extensive investments in digital technologies, such as the "Digital Factory" and "Digital Factory China", where a team of 800 experts are working (Hollander, 2023). To meet the needs of a safe and convenient customer experience post-pandemic, the company has launched a global digital strategy, including mobile check-in, contactless services and AI-powered assistive tools, which has resulted in a 45% increase in the All L loyalty program app compared to 2023 (SemiColonWeb, 2025). In addition, the global cloud telephony system jointly developed with Deloitte is helping to improve real-time service, and the Astore platform is playing a supporting role in making the purchasing process easier and more environmentally friendly.</w:t>
      </w:r>
    </w:p>
    <w:p w14:paraId="53842B51" w14:textId="77777777" w:rsidR="006203B1" w:rsidRDefault="00ED6351" w:rsidP="007076A4">
      <w:pPr>
        <w:pStyle w:val="Heading3"/>
      </w:pPr>
      <w:bookmarkStart w:id="8" w:name="_Toc197704425"/>
      <w:r>
        <w:t>‌Analyse How Effectively These Changes Were Managed, Referencing Change Management Theories</w:t>
      </w:r>
      <w:bookmarkEnd w:id="8"/>
    </w:p>
    <w:p w14:paraId="107EA52F"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Group's management transformation can be successfully explained through Kotter's 8-Step Change Model, where the company has created an emergency by focusing on the world's environmental threats and changing customer needs, especially sustainability and digital engagement, and as a result, the Mövenpick Petra hotel reduced water consumption by 2 million liters from 2020 to 2022 by converting 90% of rooms from bathtubs to walk-in showers, resulting in a reduction of 2 million liters in water consumption from 45 million liters in 2019 to 43 million liters in 2022, and Accor has committed to reducing carbon emissions by 46% by 2030 by investing €700 million in sustainability bonds (Accor, 2024).</w:t>
      </w:r>
    </w:p>
    <w:p w14:paraId="6593BEFC"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Accor's change management model follows the Lewin framework, where data is used to raise awareness of mismanagement and the need for permanent reform in the initial stage (Unfreezing), followed by the use of the Astore platform and IoT technology to implement the change (Change), followed by (Refreezing) where new changes are incorporated into KPIs, training and operational criteria (Accor, 2024). The target is to reduce greenhouse gas emissions by 25.2% for Scope 1 and 2 and 15% for Scope 3 by 2025, but challenges are influenced by local leadership and culture, and the group's revenue in 2024 was €5,606 million (Ray, 2021).</w:t>
      </w:r>
    </w:p>
    <w:p w14:paraId="7012AB40" w14:textId="77777777" w:rsidR="006203B1" w:rsidRDefault="00ED6351" w:rsidP="007076A4">
      <w:pPr>
        <w:pStyle w:val="Heading3"/>
      </w:pPr>
      <w:bookmarkStart w:id="9" w:name="_Toc197704426"/>
      <w:r>
        <w:t>Provide Examples to Illustrate the Impact on Operations or Strategy</w:t>
      </w:r>
      <w:bookmarkEnd w:id="9"/>
    </w:p>
    <w:p w14:paraId="1740B10F"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Accor’s recent strategic initiatives, which reinforce its commitment to sustainability and efficiency, have delivered operational benefits. In the UK, Accor Hotels Group has </w:t>
      </w:r>
      <w:r>
        <w:rPr>
          <w:rFonts w:ascii="Times New Roman" w:eastAsia="Times New Roman" w:hAnsi="Times New Roman" w:cs="Times New Roman"/>
          <w:sz w:val="24"/>
          <w:szCs w:val="24"/>
        </w:rPr>
        <w:lastRenderedPageBreak/>
        <w:t>implemented a number of sustainability initiatives to reduce its utility costs, although specific percentage reductions are not disclosed, the group says that overall energy and water consumption has been significantly reduced. Between 2006 and 2010, energy consumption per available room decreased by 5.5% and water consumption per rented room by 12% (Accor, 2024). At Sofitel Noosa Pacific Resort, a rainwater capture system has enabled 16,800 litres of water to be reused, helping to reduce utility costs. Accor Hotels is able to measure their energy, water, waste and carbon footprint using the Gaia online reporting tool. Currently, 71% of hotels have adopted the platform, and the company plans to roll it out to all its hotels by 2025 (accorgroup, 2023). On the digital side, call handling speed has increased and guest satisfaction has improved through an AI-powered cloud telephony system, resulting in much improved overall efficiency and guest experience.</w:t>
      </w:r>
    </w:p>
    <w:p w14:paraId="27D55B33"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Hotels Group's changes are not limited to operational advantages, but are also reflected in its strategic direction and brand concept, as the Astor Procurement Platform enables hotel managers to choose sustainable suppliers that are cost-effective, while Accor has adopted a strategy to increase its moderate segment and number of owned hotels by acquiring 13 UK hotels from Tritax for €89 million in 2014 (Accor, 2024). Similarly, the €4.4 billion investment in AccorInvest, which valued the company at €6.25 billion, has reinforced its commitment to social initiatives and SGS performance, with the ALL program increasing customer loyalty and revenue growth by 45% and 9% respectively compared to 2023 (Morris, 2018).</w:t>
      </w:r>
    </w:p>
    <w:p w14:paraId="3F1889B2" w14:textId="77777777" w:rsidR="006203B1" w:rsidRDefault="00ED6351" w:rsidP="007076A4">
      <w:pPr>
        <w:pStyle w:val="Heading2"/>
      </w:pPr>
      <w:bookmarkStart w:id="10" w:name="_Toc197704427"/>
      <w:r>
        <w:t>c. Strategic Direction and Current Business Performance</w:t>
      </w:r>
      <w:bookmarkEnd w:id="10"/>
      <w:r>
        <w:t xml:space="preserve"> </w:t>
      </w:r>
    </w:p>
    <w:p w14:paraId="2B674729" w14:textId="77777777" w:rsidR="006203B1" w:rsidRDefault="00ED6351" w:rsidP="007076A4">
      <w:pPr>
        <w:pStyle w:val="Heading3"/>
      </w:pPr>
      <w:bookmarkStart w:id="11" w:name="_Toc197704428"/>
      <w:r>
        <w:t>Accor’s Strategic Goals and Alignment with Business Performance</w:t>
      </w:r>
      <w:bookmarkEnd w:id="11"/>
    </w:p>
    <w:p w14:paraId="3421AD09"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Accor’s strategic direction in 2024 demonstrated a strong focus on sustainable growth, brand diversification and global expansion, which helped the company achieve record revenues of €5.6 billion, an 11% increase compared to 2023, and annual EBITDA increased by 12% to €1.12 billion (Blottière, 2025). The UK saw significant revenue growth, although specific numbers were not provided, but overall revenue increased by 11% compared to 2023, with a 5% increase in the Premium, Midscale and Economy (PM&amp;E) segment and a 19% increase in the Luxury and Lifestyle segment, as well as an 11% increase in the M&amp;F segment.</w:t>
      </w:r>
    </w:p>
    <w:p w14:paraId="0AF81481"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Accor's commitment to geographic expansion is evident in its strong development plan, which includes 233,000 rooms across 1,381 hotels, showing a 3.8% year-on-year increase, and the company's expansion is particularly strong in high-growth regions such as the Middle East, </w:t>
      </w:r>
      <w:r>
        <w:rPr>
          <w:rFonts w:ascii="Times New Roman" w:eastAsia="Times New Roman" w:hAnsi="Times New Roman" w:cs="Times New Roman"/>
          <w:sz w:val="24"/>
          <w:szCs w:val="24"/>
        </w:rPr>
        <w:lastRenderedPageBreak/>
        <w:t>Africa and Asia-Pacific, where tourism and economic growth are on the rise (Fieloux, 2025). Accor operates 5,680 hotels and 850,000 rooms worldwide, headquartered in France, and in the UK it is present in various segments, such as luxury, premium, midscale and economy, through which Accor is creating a competitive advantage globally (Accor, 2023).</w:t>
      </w:r>
    </w:p>
    <w:p w14:paraId="6A37515B" w14:textId="77777777" w:rsidR="006203B1" w:rsidRDefault="00ED635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9150396" wp14:editId="16377992">
            <wp:extent cx="3581400" cy="22098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581400" cy="2209800"/>
                    </a:xfrm>
                    <a:prstGeom prst="rect">
                      <a:avLst/>
                    </a:prstGeom>
                    <a:ln w="25400">
                      <a:solidFill>
                        <a:srgbClr val="000000"/>
                      </a:solidFill>
                      <a:prstDash val="solid"/>
                    </a:ln>
                  </pic:spPr>
                </pic:pic>
              </a:graphicData>
            </a:graphic>
          </wp:inline>
        </w:drawing>
      </w:r>
    </w:p>
    <w:p w14:paraId="67390E9C" w14:textId="77777777" w:rsidR="006203B1" w:rsidRDefault="00ED635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Greenhouse Gas Emissions of the Hotels</w:t>
      </w:r>
    </w:p>
    <w:p w14:paraId="12F26EDC" w14:textId="77777777" w:rsidR="006203B1" w:rsidRDefault="00ED635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Udara Willhelm Abeydeera et.al, 2019)</w:t>
      </w:r>
    </w:p>
    <w:p w14:paraId="7993AEE2"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graph, Since the annual carbon emissions of the five Sri Lankan hotels were recorded between 7,164 and 8,495 tonnes, and even after normalization, Hotel E had the highest emissions, it proves that hotels have a significant impact on climate change (Udara Willhelm Abeydeera et.al, 2019). On the other hand, although Accor operates 5,680 hotels and 850,000 rooms worldwide, they continue to expand in high-growth regions at a rate of 3.8% per year.</w:t>
      </w:r>
    </w:p>
    <w:p w14:paraId="31A90073" w14:textId="77777777" w:rsidR="006203B1" w:rsidRDefault="00ED6351" w:rsidP="007076A4">
      <w:pPr>
        <w:pStyle w:val="Heading3"/>
      </w:pPr>
      <w:bookmarkStart w:id="12" w:name="_Toc197704429"/>
      <w:r>
        <w:t>Key Performance Metrics and Market Positioning</w:t>
      </w:r>
      <w:bookmarkEnd w:id="12"/>
    </w:p>
    <w:p w14:paraId="3B83086E"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Accor’s 2024 performance metrics reflect its strong market position and effective strategy execution, with the company achieving 5.7% growth in Revenue per Available Room (RevPAR), well above its medium-term target of 3–4% annual growth. This outperformance is particularly testament to the strength of its operations in the luxury segment, which showed 18% annual revenue growth, with luxury brands such as Raffles and Fairmont benefiting from strong global demand (Blottière, 2025). However, the UK saw weak RevPAR growth, largely due to the uncertainty of the country’s economic situation, which represents 13% of the region’s hotel room revenue.</w:t>
      </w:r>
    </w:p>
    <w:p w14:paraId="2CE736D5" w14:textId="77777777" w:rsidR="006203B1" w:rsidRDefault="00ED6351">
      <w:pPr>
        <w:pStyle w:val="Normal1"/>
        <w:shd w:val="clear" w:color="auto" w:fill="FFFFFF"/>
        <w:spacing w:line="391" w:lineRule="auto"/>
        <w:jc w:val="both"/>
        <w:rPr>
          <w:color w:val="EEF0FF"/>
          <w:sz w:val="27"/>
          <w:szCs w:val="27"/>
          <w:shd w:val="clear" w:color="auto" w:fill="101218"/>
        </w:rPr>
      </w:pPr>
      <w:r>
        <w:rPr>
          <w:rFonts w:ascii="Times New Roman" w:eastAsia="Times New Roman" w:hAnsi="Times New Roman" w:cs="Times New Roman"/>
          <w:sz w:val="24"/>
          <w:szCs w:val="24"/>
        </w:rPr>
        <w:t xml:space="preserve">In the first quarter of 2025, Ekko’s performance was mixed across regions, with strong results in the Middle East, Africa and Asia-Pacific regions, with 5% RevPAR growth, reflecting </w:t>
      </w:r>
      <w:r>
        <w:rPr>
          <w:rFonts w:ascii="Times New Roman" w:eastAsia="Times New Roman" w:hAnsi="Times New Roman" w:cs="Times New Roman"/>
          <w:sz w:val="24"/>
          <w:szCs w:val="24"/>
        </w:rPr>
        <w:lastRenderedPageBreak/>
        <w:t>growth in tourism and investment; however, China saw a 9% RevPAR decline due to weak domestic tourism demand (Blottière, 2025). At the same time, the UK saw weakness in RevPAR, driven by economic uncertainty and lack of consumer confidence. Ekko opened 45 hotels in the first quarter of 2025, adding 5,900 rooms, representing a net growth of 2.7% over the past year.</w:t>
      </w:r>
    </w:p>
    <w:p w14:paraId="3D2F5F2C" w14:textId="77777777" w:rsidR="006203B1" w:rsidRDefault="00ED6351" w:rsidP="007076A4">
      <w:pPr>
        <w:pStyle w:val="Heading3"/>
      </w:pPr>
      <w:bookmarkStart w:id="13" w:name="_Toc197704430"/>
      <w:r>
        <w:t>Response to External Factors</w:t>
      </w:r>
      <w:bookmarkEnd w:id="13"/>
    </w:p>
    <w:p w14:paraId="5D62F3FF" w14:textId="77777777" w:rsidR="006203B1" w:rsidRDefault="00ED6351">
      <w:pPr>
        <w:pStyle w:val="Normal1"/>
        <w:spacing w:before="200" w:line="360" w:lineRule="auto"/>
        <w:jc w:val="both"/>
        <w:rPr>
          <w:color w:val="EEF0FF"/>
          <w:sz w:val="27"/>
          <w:szCs w:val="27"/>
          <w:shd w:val="clear" w:color="auto" w:fill="101218"/>
        </w:rPr>
      </w:pPr>
      <w:r>
        <w:rPr>
          <w:rFonts w:ascii="Times New Roman" w:eastAsia="Times New Roman" w:hAnsi="Times New Roman" w:cs="Times New Roman"/>
          <w:sz w:val="24"/>
          <w:szCs w:val="24"/>
        </w:rPr>
        <w:t>Accor Group, which has launched more than 380 extended stay hotels worldwide, including multiple brands including Adagio, is responding to the growing demand for remote working and long-term travel (Travelocity, 2025). As of March 2025, Accor's network had 847,290 rooms across 5,695 hotels, with over 235,000 rooms (1,388 hotels) under development. While the exact number of extended stay hotels in the UK is not specified, Accor maintains a strong presence there.</w:t>
      </w:r>
    </w:p>
    <w:p w14:paraId="383775BF"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Hotels Group has placed sustainable development at the heart of its strategy, responding to environmental concerns and the expectations of its customers and investors, and the company has committed to achieving a net zero carbon footprint by 2050, in line with the Paris Agreement and its comprehensive sustainability strategy, as well as working to reduce greenhouse gas emissions and promote a "nature positive" approach (Accor, 2024). Accor Hotels Group aims to reduce emissions by 46% by 2030 compared to 2019, as evidenced by the Science Based Targets Initiative, and the company is aligned with the Paris Agreement and the 1.5°C ambition of the business (Accor, 2024). Furthermore, Accor Hotels Group is strengthening its position in sustainable leadership by integrating environmental, social and governance (ESG) principles into its business model, where environmental awareness has become increasingly important.</w:t>
      </w:r>
    </w:p>
    <w:p w14:paraId="42AD00BF" w14:textId="77777777" w:rsidR="006203B1" w:rsidRDefault="00ED6351" w:rsidP="007076A4">
      <w:pPr>
        <w:pStyle w:val="Heading1"/>
      </w:pPr>
      <w:bookmarkStart w:id="14" w:name="_Toc197704431"/>
      <w:r>
        <w:t>3. Conclusion</w:t>
      </w:r>
      <w:bookmarkEnd w:id="14"/>
      <w:r>
        <w:t xml:space="preserve"> </w:t>
      </w:r>
    </w:p>
    <w:p w14:paraId="0202697F"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Ultimately, Ekkor's organizational structure seamlessly combines a traditional and decentralized model, which helps ensure global efficiency while maintaining regional adaptability and cultural sensitivity, while enabling it to achieve remarkable growth through its strategic focus on sustainability and digital transformation, resulting in 11% revenue growth in 2024. However, some challenges remain, particularly the ambiguity of decision-making during a crisis and the potential for inefficiencies resulting from managing a large portfolio of brands. </w:t>
      </w:r>
      <w:r>
        <w:rPr>
          <w:rFonts w:ascii="Times New Roman" w:eastAsia="Times New Roman" w:hAnsi="Times New Roman" w:cs="Times New Roman"/>
          <w:sz w:val="24"/>
          <w:szCs w:val="24"/>
        </w:rPr>
        <w:lastRenderedPageBreak/>
        <w:t>Accor’s strength lies in its ability to innovate and diversify in global markets, making a strong impact in particular in the luxury and lifestyle segments. The company’s commitment to sustainability and environmental policies, which are fully aligned with changing customer expectations, not only contribute to employee satisfaction and loyalty, but also play a key role in the company’s long-term success. While competitors such as Marriott are able to scale their operations by benefiting from economies of scale, Accor’s decentralized approach, which supports regional diversity and customer-centric innovation, has helped the company to create a unique position in its local markets. Going forward, Accor’s continued focus on ESG policies and its commitment to digital engagement, which help it maintain its competitive advantage while meeting its sustainability goals, will be crucial to the company’s development.</w:t>
      </w:r>
    </w:p>
    <w:p w14:paraId="3195D2E7" w14:textId="77777777" w:rsidR="006203B1" w:rsidRDefault="00ED6351" w:rsidP="007076A4">
      <w:pPr>
        <w:pStyle w:val="Heading1"/>
      </w:pPr>
      <w:bookmarkStart w:id="15" w:name="_Toc197704432"/>
      <w:r>
        <w:t>4. Recommendations</w:t>
      </w:r>
      <w:bookmarkEnd w:id="15"/>
      <w:r>
        <w:t xml:space="preserve"> </w:t>
      </w:r>
    </w:p>
    <w:p w14:paraId="5BC8B060" w14:textId="77777777" w:rsidR="006203B1" w:rsidRDefault="00ED6351" w:rsidP="007076A4">
      <w:pPr>
        <w:pStyle w:val="Heading2"/>
      </w:pPr>
      <w:bookmarkStart w:id="16" w:name="_Toc197704433"/>
      <w:r>
        <w:t>Enhance Crisis Management and Decision-Making Clarity</w:t>
      </w:r>
      <w:bookmarkEnd w:id="16"/>
    </w:p>
    <w:p w14:paraId="3D233628"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combination of centralized and decentralized elements in Accor's structure has created an ambiguity, it is recommended to simplify the decision-making process in order to make decision-making more effective during times of crisis, in order to formulate a clear framework that enables a rapid and unified response to emergencies, which in turn increases operational efficiency and allows the company to survive more dynamically in uncertain situations such as the decline in RevPAR in the UK (Udara Willhelm Abeydeera et.al, 2019).</w:t>
      </w:r>
    </w:p>
    <w:p w14:paraId="0AE169DC" w14:textId="77777777" w:rsidR="006203B1" w:rsidRDefault="00ED6351" w:rsidP="007076A4">
      <w:pPr>
        <w:pStyle w:val="Heading2"/>
      </w:pPr>
      <w:bookmarkStart w:id="17" w:name="_Toc197704434"/>
      <w:r>
        <w:t>Optimize Brand Portfolio and Internal Processes</w:t>
      </w:r>
      <w:bookmarkEnd w:id="17"/>
    </w:p>
    <w:p w14:paraId="04A6E1C9"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Accor has more than 57 different brands, it faces operational inefficiencies in areas including human resource practices and sustainability reporting, which it should address by consolidating brands or focusing on a narrower portfolio that makes asset management and internal processes more efficient and can increase profitability while ensuring consistency in customer experience while reducing administrative burden (Accor, 2024).</w:t>
      </w:r>
    </w:p>
    <w:p w14:paraId="11308CBA" w14:textId="77777777" w:rsidR="006203B1" w:rsidRDefault="00ED6351" w:rsidP="007076A4">
      <w:pPr>
        <w:pStyle w:val="Heading2"/>
      </w:pPr>
      <w:bookmarkStart w:id="18" w:name="_Toc197704435"/>
      <w:r>
        <w:t>Leverage Digital Transformation to Drive Efficiency</w:t>
      </w:r>
      <w:bookmarkEnd w:id="18"/>
    </w:p>
    <w:p w14:paraId="0E937199"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Accor has invested significantly in digital technologies, such as the “Digital Factory” and AI-powered tools, to further advance this effort, they should expand the use of these technologies across all regions, especially in underperforming markets like the UK. If the use of mobile check-in, contactless service, and AI-powered guest management can be increased, </w:t>
      </w:r>
      <w:r>
        <w:rPr>
          <w:rFonts w:ascii="Times New Roman" w:eastAsia="Times New Roman" w:hAnsi="Times New Roman" w:cs="Times New Roman"/>
          <w:sz w:val="24"/>
          <w:szCs w:val="24"/>
        </w:rPr>
        <w:lastRenderedPageBreak/>
        <w:t>the guest experience will improve, which will help increase revenue as well as improve customer satisfaction rates (e.g., 79%) (Accor, 2024).</w:t>
      </w:r>
    </w:p>
    <w:p w14:paraId="4979ACA2" w14:textId="77777777" w:rsidR="006203B1" w:rsidRDefault="00ED6351" w:rsidP="007076A4">
      <w:pPr>
        <w:pStyle w:val="Heading2"/>
      </w:pPr>
      <w:bookmarkStart w:id="19" w:name="_Toc197704436"/>
      <w:r>
        <w:t>Strengthen Sustainability Initiatives and Reporting</w:t>
      </w:r>
      <w:bookmarkEnd w:id="19"/>
    </w:p>
    <w:p w14:paraId="5BE0A994"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Accor is committed to net-zero carbon emissions by 2050, one key differentiator for the company is its continued focus on sustainability. To achieve its ambitious goal of reducing emissions by 46% by 2030, Accor should not only reduce its environmental impact, but also invest in technologies that enable more comprehensive sustainability reporting and real-time monitoring of energy and water consumption (Blottière, 2025). </w:t>
      </w:r>
    </w:p>
    <w:p w14:paraId="54D66DBA" w14:textId="77777777" w:rsidR="006203B1" w:rsidRDefault="00ED6351" w:rsidP="007076A4">
      <w:pPr>
        <w:pStyle w:val="Heading2"/>
      </w:pPr>
      <w:bookmarkStart w:id="20" w:name="_Toc197704437"/>
      <w:r>
        <w:t>Expand the Luxury and Lifestyle Segments</w:t>
      </w:r>
      <w:bookmarkEnd w:id="20"/>
    </w:p>
    <w:p w14:paraId="413C660A"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luxury and lifestyle segment set to grow by 19% in 2024, it is crucial for Accor to continue investing in this high-performing sector, as it can play a key role in increasing the company’s overall profitability. In particular, as demand continues to grow in regions such as the Middle East and Asia-Pacific, expanding its presence in these regions will enable Accor to further expand its business growth opportunities (Accor, 2024).</w:t>
      </w:r>
    </w:p>
    <w:p w14:paraId="452375EF" w14:textId="77777777" w:rsidR="006203B1" w:rsidRDefault="00ED6351">
      <w:pPr>
        <w:pStyle w:val="Normal1"/>
        <w:spacing w:before="200" w:line="360" w:lineRule="auto"/>
        <w:jc w:val="both"/>
        <w:rPr>
          <w:rFonts w:ascii="Times New Roman" w:eastAsia="Times New Roman" w:hAnsi="Times New Roman" w:cs="Times New Roman"/>
          <w:b/>
          <w:sz w:val="24"/>
          <w:szCs w:val="24"/>
        </w:rPr>
      </w:pPr>
      <w:r>
        <w:br w:type="page"/>
      </w:r>
    </w:p>
    <w:p w14:paraId="7C7025AA" w14:textId="77777777" w:rsidR="006203B1" w:rsidRDefault="00ED6351" w:rsidP="007076A4">
      <w:pPr>
        <w:pStyle w:val="Heading1"/>
      </w:pPr>
      <w:bookmarkStart w:id="21" w:name="_Toc197704438"/>
      <w:r>
        <w:lastRenderedPageBreak/>
        <w:t>5. Reference List</w:t>
      </w:r>
      <w:bookmarkEnd w:id="21"/>
    </w:p>
    <w:p w14:paraId="7561F4C6"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(2024). Accor - Sustainability Strategy. [online] Accor.com. Available at: https://group.accor.com/en/commitment/approach/sustainability-strategy.‌</w:t>
      </w:r>
    </w:p>
    <w:p w14:paraId="49F8403F"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(2024). Accor Reinforces Commitment to Lower Carbon Emissions and Greater Energy Sufficiency. [online] Accor.com. Available at: https://group.accor.com/en/Actualites/2022/12/commitment-energy-sufficiency-net-zero.</w:t>
      </w:r>
    </w:p>
    <w:p w14:paraId="53C59584"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(2024). Accor spearheads global Water Stewardship Initiatives and joins CEO Water Mandate. [online] Hospitality Net. Available at: https://www.hospitalitynet.org/news/4121136.html.</w:t>
      </w:r>
    </w:p>
    <w:p w14:paraId="5E05C09E"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Accor.com. (2023). Accor’s List of Top 2023 Hotel Openings. [online] Available at: https://group.accor.com/en/Actualites/2023/01/top-2023-hotel-openings [Accessed 9 May 2025].</w:t>
      </w:r>
    </w:p>
    <w:p w14:paraId="1DBB5B2C"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Accor.com. (2024). Accor - Financing Strategy. [online] Available at: https://group.accor.com/en/finance/debt-financing/financing-strategy.</w:t>
      </w:r>
    </w:p>
    <w:p w14:paraId="37A55E6F"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Accor.com. (2024). Accor - Stay. [online] Available at: https://group.accor.com/en/commitment/areas-focus/stay.</w:t>
      </w:r>
    </w:p>
    <w:p w14:paraId="5E248BAF"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Accor.com. (2024). Accor’s Loyalty Program ALL Reaches 100 Million Global Members. [online] Available at: https://group.accor.com/en/Actualites/2025/03/ALL-loyalty-program-100-million-global-members.</w:t>
      </w:r>
    </w:p>
    <w:p w14:paraId="3B0F9DBA"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Accor.com. (2024). Another Record Year: Full-Year 2024 Results in Key Figures. [online] Available at: https://group.accor.com/en/Actualites/2025/02/2024-full-year-results.</w:t>
      </w:r>
    </w:p>
    <w:p w14:paraId="6122CAA6"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Accor.com. (2024). Reinforcing Sustainable Hotel Operations: 3 Innovative Water Management Strategies Come to Life Across the Globe. [online] Available at: https://group.accor.com/en/Actualites/2024/04/stories-of-change-water.</w:t>
      </w:r>
    </w:p>
    <w:p w14:paraId="0EC53998"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accorgroup (2023). Food waste: AI supporting Accor hotels - Accor – Newsroom. [online] Accor – Newsroom. Available at: https://press.accor.com/food-waste-ai-supporting-accor-hotels/?lang=eng.</w:t>
      </w:r>
    </w:p>
    <w:p w14:paraId="3F3F364A"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Blottière, A. (2025). First-Quarter 2025  - Accor – Newsroom. [online] Accor – Newsroom. Available at: https://press.accor.com/first-quarter-2025-revenue-sustained-dynamic-growth/?lang=eng.‌</w:t>
      </w:r>
    </w:p>
    <w:p w14:paraId="771285F4"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Blottière, A. (2025). Full-Year 2024 Results Another record year - Accor – Newsroom. [online] Accor – Newsroom. Available at: https://press.accor.com/full-year-2024-results-another-record-year/?lang=eng.</w:t>
      </w:r>
    </w:p>
    <w:p w14:paraId="1CA9D003"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Faragher, J. (2024). Engagement at work is on the rise, says global survey. [online] Personnel Today. Available at: https://www.personneltoday.com/hr/employee-engagement-is-on-the-rise-says-global-survey/ [Accessed 9 May 2025].</w:t>
      </w:r>
    </w:p>
    <w:p w14:paraId="399DCBFF"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Fieloux, J. (2025). Accor Drives Unprecedented Growth and Record Performance in New Signings  - Accor – Newsroom. [online] Accor – Newsroom. Available at: https://press.accor.com/accor-drives-unprecedented-growth-and-record-performance-in-new-signings/?lang=eng.</w:t>
      </w:r>
    </w:p>
    <w:p w14:paraId="75A7C55C"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Grand View Research (2023). Hotel Toiletries Market Size, Share &amp; Growth Report, 2030. [online] Grandviewresearch.com. Available at: https://www.grandviewresearch.com/industry-analysis/hotel-toiletries-market-report.‌</w:t>
      </w:r>
    </w:p>
    <w:p w14:paraId="404B3E74"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Harden-England, K. (2024). Accor research reveals ‘almost every hotel or resort customer reads guest reviews’. [online] Travolution. Available at: https://www.travolution.com/news/accor-research-reveals-almost-every-hotel-or-resort-customer-reads-guest-reviews/.</w:t>
      </w:r>
    </w:p>
    <w:p w14:paraId="21A7AE80"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Hollander, J. (2023). Accor’s Innovative Tech Strategy is the Key to Digital Transformation in Hospitality. [online] Hotel Tech Report. Available at: https://hoteltechreport.com/news/accors-innovative-tech-strategy.</w:t>
      </w:r>
    </w:p>
    <w:p w14:paraId="38DE2D7B"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Luoma, E. and Calero, J. (2025). Accor’s 2024 room revenue growth slightly beats estimates. Reuters. [online] 20 Feb. Available at: https://www.reuters.com/business/retail-consumer/accors-room-revenue-growth-slightly-beats-estimates-2024-2025-02-20/.</w:t>
      </w:r>
    </w:p>
    <w:p w14:paraId="3E839E60"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Morris, M. (2018). AccorInvest: Major investors check into €4.4bn deal. [online] PERE. Available at: https://www.perenews.com/major-investors-check-e4-4bn-deal/ [Accessed 9 May 2025].</w:t>
      </w:r>
    </w:p>
    <w:p w14:paraId="5A5FA8C8"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 H. (2021). Accor Shares its Environmental Impact Assessment Findings. [online] Hospitality ON. Available at: https://hospitality-on.com/en/csr/accor-shares-its-environmental-impact-assessment-findings [Accessed 9 May 2025].</w:t>
      </w:r>
    </w:p>
    <w:p w14:paraId="22DAEDAE"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Ray, B. and ET HospitalityWorld (2021). We are planning to open 17 hotels across India over the next four years: Puneet Dhawan. [online] ETHospitalityWorld.com. Available at: https://hospitality.economictimes.indiatimes.com/news/hotels/we-are-planning-to-open-17-hotels-across-india-over-the-next-four-years-puneet-dhawan/87198310 [Accessed 9 May 2025].‌</w:t>
      </w:r>
    </w:p>
    <w:p w14:paraId="43DCEAB4"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SemiColonWeb and Dogra, B. (2025). Hotel Tech Trends 2025: The Future of Guest Satisfaction and Revenue Growth - mycloud Hospitality. [online] mycloud Hospitality. Available at: https://www.mycloudhospitality.com/blog/hotel-tech-trends-2025-the-future-of-guest-satisfaction-and-revenue-growth.</w:t>
      </w:r>
    </w:p>
    <w:p w14:paraId="0D24C19A"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S. (2024). Accor database exposed by IntelBroker. [online] SC Media. Available at: https://www.scworld.com/brief/accor-database-exposed-by-intelbroker.</w:t>
      </w:r>
    </w:p>
    <w:p w14:paraId="5623EBFD"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(2023). Number of Accor hotels worldwide 2023| Statista. [online] Available at: https://www.statista.com/statistics/247288/number-of-accor-hotels-worldwide/https://www.statista.com/statistics/247288/number-of-accor-hotels-worldwide/ [Accessed 9 May 2025].</w:t>
      </w:r>
    </w:p>
    <w:p w14:paraId="3B2127D8"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Travelocity.com. (2025). Aparthotel Adagio Glasgow Central. [online] Available at: https://www.travelocity.com/United-Kingdom-Extended-Stay-Hotels.d190-aaExtendedStayHotels.Travel-Guide-Accommodation [Accessed 9 May 2025].</w:t>
      </w:r>
    </w:p>
    <w:p w14:paraId="020268A2" w14:textId="77777777" w:rsidR="007076A4" w:rsidRDefault="007076A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Udara Willhelm Abeydeera and Karunasena (2019). Carbon Emissions of Hotels: The Case of the Sri Lankan Hotel Industry. Buildings, 9(11), p.227. doi:https://doi.org/10.3390/buildings9110227.</w:t>
      </w:r>
    </w:p>
    <w:p w14:paraId="3174B631" w14:textId="77777777" w:rsidR="006203B1" w:rsidRDefault="00ED6351">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57E3723"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3616398B"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0DAA5EB1"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5BFF73EE"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748E0F9E" w14:textId="77777777" w:rsidR="00B62058" w:rsidRPr="00B62058" w:rsidRDefault="00B62058" w:rsidP="00B62058">
      <w:pPr>
        <w:pStyle w:val="Normal1"/>
        <w:spacing w:before="200" w:line="360" w:lineRule="auto"/>
        <w:rPr>
          <w:rFonts w:ascii="Times New Roman" w:eastAsia="Times New Roman" w:hAnsi="Times New Roman" w:cs="Times New Roman"/>
          <w:sz w:val="24"/>
          <w:szCs w:val="24"/>
          <w:lang w:val="en-GB"/>
        </w:rPr>
      </w:pPr>
      <w:r w:rsidRPr="00B62058">
        <w:rPr>
          <w:rFonts w:ascii="Times New Roman" w:eastAsia="Times New Roman" w:hAnsi="Times New Roman" w:cs="Times New Roman"/>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20F642C"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5382EFB5"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6132D92E"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76C29F29"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2360E5DA"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575E9CB5"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63AEB4A7"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40554FE5"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23E6ED3E"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6D283053"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39D2C0F6"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65416AEB"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19AF9323"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7FAC706A"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15619662" w14:textId="77777777" w:rsidR="006203B1" w:rsidRDefault="006203B1">
      <w:pPr>
        <w:pStyle w:val="Normal1"/>
        <w:spacing w:before="200" w:line="360" w:lineRule="auto"/>
        <w:jc w:val="both"/>
        <w:rPr>
          <w:rFonts w:ascii="Times New Roman" w:eastAsia="Times New Roman" w:hAnsi="Times New Roman" w:cs="Times New Roman"/>
          <w:sz w:val="24"/>
          <w:szCs w:val="24"/>
        </w:rPr>
      </w:pPr>
    </w:p>
    <w:p w14:paraId="5BD2FB73" w14:textId="77777777" w:rsidR="006203B1" w:rsidRDefault="006203B1">
      <w:pPr>
        <w:pStyle w:val="Normal1"/>
        <w:spacing w:before="200" w:line="360" w:lineRule="auto"/>
        <w:jc w:val="both"/>
        <w:rPr>
          <w:rFonts w:ascii="Times New Roman" w:eastAsia="Times New Roman" w:hAnsi="Times New Roman" w:cs="Times New Roman"/>
          <w:sz w:val="24"/>
          <w:szCs w:val="24"/>
        </w:rPr>
      </w:pPr>
    </w:p>
    <w:sectPr w:rsidR="006203B1" w:rsidSect="001F7661">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63FCF" w14:textId="77777777" w:rsidR="007E56FC" w:rsidRDefault="007E56FC" w:rsidP="001F7661">
      <w:pPr>
        <w:spacing w:line="240" w:lineRule="auto"/>
      </w:pPr>
      <w:r>
        <w:separator/>
      </w:r>
    </w:p>
  </w:endnote>
  <w:endnote w:type="continuationSeparator" w:id="0">
    <w:p w14:paraId="280D15F8" w14:textId="77777777" w:rsidR="007E56FC" w:rsidRDefault="007E56FC" w:rsidP="001F76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6070"/>
      <w:docPartObj>
        <w:docPartGallery w:val="Page Numbers (Bottom of Page)"/>
        <w:docPartUnique/>
      </w:docPartObj>
    </w:sdtPr>
    <w:sdtContent>
      <w:p w14:paraId="723A51C5" w14:textId="77777777" w:rsidR="001F7661" w:rsidRDefault="001F76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5FF012" w14:textId="77777777" w:rsidR="001F7661" w:rsidRDefault="001F7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E46DD" w14:textId="77777777" w:rsidR="007E56FC" w:rsidRDefault="007E56FC" w:rsidP="001F7661">
      <w:pPr>
        <w:spacing w:line="240" w:lineRule="auto"/>
      </w:pPr>
      <w:r>
        <w:separator/>
      </w:r>
    </w:p>
  </w:footnote>
  <w:footnote w:type="continuationSeparator" w:id="0">
    <w:p w14:paraId="2BD8BAC3" w14:textId="77777777" w:rsidR="007E56FC" w:rsidRDefault="007E56FC" w:rsidP="001F766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3B1"/>
    <w:rsid w:val="001A184C"/>
    <w:rsid w:val="001F7661"/>
    <w:rsid w:val="006203B1"/>
    <w:rsid w:val="007076A4"/>
    <w:rsid w:val="00714441"/>
    <w:rsid w:val="007E56FC"/>
    <w:rsid w:val="008B2742"/>
    <w:rsid w:val="008C69DE"/>
    <w:rsid w:val="00B62058"/>
    <w:rsid w:val="00ED6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A8B31"/>
  <w15:docId w15:val="{EC37998B-F652-4D8C-8BDC-6B209291A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076A4"/>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1"/>
    <w:next w:val="Normal1"/>
    <w:rsid w:val="007076A4"/>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1"/>
    <w:next w:val="Normal1"/>
    <w:rsid w:val="007076A4"/>
    <w:pPr>
      <w:keepNext/>
      <w:keepLines/>
      <w:spacing w:before="320" w:after="80"/>
      <w:jc w:val="both"/>
      <w:outlineLvl w:val="2"/>
    </w:pPr>
    <w:rPr>
      <w:rFonts w:ascii="Times New Roman" w:hAnsi="Times New Roman"/>
      <w:b/>
      <w:color w:val="000000" w:themeColor="text1"/>
      <w:sz w:val="24"/>
      <w:szCs w:val="28"/>
    </w:rPr>
  </w:style>
  <w:style w:type="paragraph" w:styleId="Heading4">
    <w:name w:val="heading 4"/>
    <w:basedOn w:val="Normal1"/>
    <w:next w:val="Normal1"/>
    <w:rsid w:val="006203B1"/>
    <w:pPr>
      <w:keepNext/>
      <w:keepLines/>
      <w:spacing w:before="280" w:after="80"/>
      <w:outlineLvl w:val="3"/>
    </w:pPr>
    <w:rPr>
      <w:color w:val="666666"/>
      <w:sz w:val="24"/>
      <w:szCs w:val="24"/>
    </w:rPr>
  </w:style>
  <w:style w:type="paragraph" w:styleId="Heading5">
    <w:name w:val="heading 5"/>
    <w:basedOn w:val="Normal1"/>
    <w:next w:val="Normal1"/>
    <w:rsid w:val="006203B1"/>
    <w:pPr>
      <w:keepNext/>
      <w:keepLines/>
      <w:spacing w:before="240" w:after="80"/>
      <w:outlineLvl w:val="4"/>
    </w:pPr>
    <w:rPr>
      <w:color w:val="666666"/>
    </w:rPr>
  </w:style>
  <w:style w:type="paragraph" w:styleId="Heading6">
    <w:name w:val="heading 6"/>
    <w:basedOn w:val="Normal1"/>
    <w:next w:val="Normal1"/>
    <w:rsid w:val="006203B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203B1"/>
  </w:style>
  <w:style w:type="paragraph" w:styleId="Title">
    <w:name w:val="Title"/>
    <w:basedOn w:val="Normal1"/>
    <w:next w:val="Normal1"/>
    <w:rsid w:val="006203B1"/>
    <w:pPr>
      <w:keepNext/>
      <w:keepLines/>
      <w:spacing w:after="60"/>
    </w:pPr>
    <w:rPr>
      <w:sz w:val="52"/>
      <w:szCs w:val="52"/>
    </w:rPr>
  </w:style>
  <w:style w:type="paragraph" w:styleId="Subtitle">
    <w:name w:val="Subtitle"/>
    <w:basedOn w:val="Normal1"/>
    <w:next w:val="Normal1"/>
    <w:rsid w:val="006203B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076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6A4"/>
    <w:rPr>
      <w:rFonts w:ascii="Tahoma" w:hAnsi="Tahoma" w:cs="Tahoma"/>
      <w:sz w:val="16"/>
      <w:szCs w:val="16"/>
    </w:rPr>
  </w:style>
  <w:style w:type="paragraph" w:styleId="TOCHeading">
    <w:name w:val="TOC Heading"/>
    <w:basedOn w:val="Heading1"/>
    <w:next w:val="Normal"/>
    <w:uiPriority w:val="39"/>
    <w:semiHidden/>
    <w:unhideWhenUsed/>
    <w:qFormat/>
    <w:rsid w:val="007076A4"/>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076A4"/>
    <w:pPr>
      <w:spacing w:after="100"/>
    </w:pPr>
  </w:style>
  <w:style w:type="paragraph" w:styleId="TOC2">
    <w:name w:val="toc 2"/>
    <w:basedOn w:val="Normal"/>
    <w:next w:val="Normal"/>
    <w:autoRedefine/>
    <w:uiPriority w:val="39"/>
    <w:unhideWhenUsed/>
    <w:rsid w:val="007076A4"/>
    <w:pPr>
      <w:spacing w:after="100"/>
      <w:ind w:left="220"/>
    </w:pPr>
  </w:style>
  <w:style w:type="paragraph" w:styleId="TOC3">
    <w:name w:val="toc 3"/>
    <w:basedOn w:val="Normal"/>
    <w:next w:val="Normal"/>
    <w:autoRedefine/>
    <w:uiPriority w:val="39"/>
    <w:unhideWhenUsed/>
    <w:rsid w:val="007076A4"/>
    <w:pPr>
      <w:spacing w:after="100"/>
      <w:ind w:left="440"/>
    </w:pPr>
  </w:style>
  <w:style w:type="character" w:styleId="Hyperlink">
    <w:name w:val="Hyperlink"/>
    <w:basedOn w:val="DefaultParagraphFont"/>
    <w:uiPriority w:val="99"/>
    <w:unhideWhenUsed/>
    <w:rsid w:val="007076A4"/>
    <w:rPr>
      <w:color w:val="0000FF" w:themeColor="hyperlink"/>
      <w:u w:val="single"/>
    </w:rPr>
  </w:style>
  <w:style w:type="paragraph" w:styleId="Header">
    <w:name w:val="header"/>
    <w:basedOn w:val="Normal"/>
    <w:link w:val="HeaderChar"/>
    <w:uiPriority w:val="99"/>
    <w:semiHidden/>
    <w:unhideWhenUsed/>
    <w:rsid w:val="001F766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F7661"/>
  </w:style>
  <w:style w:type="paragraph" w:styleId="Footer">
    <w:name w:val="footer"/>
    <w:basedOn w:val="Normal"/>
    <w:link w:val="FooterChar"/>
    <w:uiPriority w:val="99"/>
    <w:unhideWhenUsed/>
    <w:rsid w:val="001F7661"/>
    <w:pPr>
      <w:tabs>
        <w:tab w:val="center" w:pos="4680"/>
        <w:tab w:val="right" w:pos="9360"/>
      </w:tabs>
      <w:spacing w:line="240" w:lineRule="auto"/>
    </w:pPr>
  </w:style>
  <w:style w:type="character" w:customStyle="1" w:styleId="FooterChar">
    <w:name w:val="Footer Char"/>
    <w:basedOn w:val="DefaultParagraphFont"/>
    <w:link w:val="Footer"/>
    <w:uiPriority w:val="99"/>
    <w:rsid w:val="001F7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9116">
      <w:bodyDiv w:val="1"/>
      <w:marLeft w:val="0"/>
      <w:marRight w:val="0"/>
      <w:marTop w:val="0"/>
      <w:marBottom w:val="0"/>
      <w:divBdr>
        <w:top w:val="none" w:sz="0" w:space="0" w:color="auto"/>
        <w:left w:val="none" w:sz="0" w:space="0" w:color="auto"/>
        <w:bottom w:val="none" w:sz="0" w:space="0" w:color="auto"/>
        <w:right w:val="none" w:sz="0" w:space="0" w:color="auto"/>
      </w:divBdr>
    </w:div>
    <w:div w:id="1874264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20C67-EFDC-4FD7-A9C9-CAACA14C1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3987</Words>
  <Characters>25098</Characters>
  <Application>Microsoft Office Word</Application>
  <DocSecurity>0</DocSecurity>
  <Lines>413</Lines>
  <Paragraphs>115</Paragraphs>
  <ScaleCrop>false</ScaleCrop>
  <Company/>
  <LinksUpToDate>false</LinksUpToDate>
  <CharactersWithSpaces>28992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MihaiE</dc:creator>
  <cp:lastModifiedBy>Lavinia Branescu (2408946)</cp:lastModifiedBy>
  <cp:revision>4</cp:revision>
  <dcterms:created xsi:type="dcterms:W3CDTF">2025-05-13T10:38:00Z</dcterms:created>
  <dcterms:modified xsi:type="dcterms:W3CDTF">2025-05-13T10:41:00Z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674d9f60-67db-4475-b85b-f4ca606a7c1f</vt:lpwstr>
  </property>
</Properties>
</file>