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7A07516A"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C2230B">
              <w:rPr>
                <w:rFonts w:ascii="Times New Roman" w:hAnsi="Times New Roman" w:cs="Times New Roman"/>
                <w:b/>
                <w:color w:val="auto"/>
                <w:sz w:val="48"/>
              </w:rPr>
              <w:t>Dylan Wyn Owen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C355CB6"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FC6489">
              <w:rPr>
                <w:rFonts w:ascii="Times New Roman" w:hAnsi="Times New Roman" w:cs="Times New Roman"/>
                <w:b/>
                <w:color w:val="auto"/>
                <w:sz w:val="48"/>
              </w:rPr>
              <w:t xml:space="preserve"> </w:t>
            </w:r>
            <w:r w:rsidR="00FC6489" w:rsidRPr="00FC6489">
              <w:rPr>
                <w:rFonts w:ascii="Times New Roman" w:hAnsi="Times New Roman" w:cs="Times New Roman"/>
                <w:b/>
                <w:color w:val="auto"/>
                <w:sz w:val="48"/>
              </w:rPr>
              <w:t>2236137@student.uwtsd.ac.uk / dylanowen@email.com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1733DAB0" w:rsidR="0085230E" w:rsidRDefault="00FC6489" w:rsidP="005D3F07">
            <w:pPr>
              <w:overflowPunct/>
              <w:autoSpaceDE/>
              <w:autoSpaceDN/>
              <w:adjustRightInd/>
              <w:ind w:right="-957"/>
              <w:textAlignment w:val="auto"/>
              <w:rPr>
                <w:rFonts w:ascii="Times New Roman" w:hAnsi="Times New Roman" w:cs="Times New Roman"/>
                <w:b/>
                <w:color w:val="auto"/>
                <w:sz w:val="48"/>
              </w:rPr>
            </w:pPr>
            <w:r w:rsidRPr="00FC6489">
              <w:rPr>
                <w:rFonts w:ascii="Times New Roman" w:hAnsi="Times New Roman" w:cs="Times New Roman"/>
                <w:b/>
                <w:color w:val="auto"/>
                <w:sz w:val="48"/>
              </w:rPr>
              <w:t>2236137</w:t>
            </w:r>
          </w:p>
          <w:p w14:paraId="6E973956" w14:textId="77777777" w:rsidR="00FC6489" w:rsidRPr="005D3F07" w:rsidRDefault="00FC6489"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621AF8BA" w14:textId="1860D254" w:rsidR="00F927A1" w:rsidRPr="00F927A1" w:rsidRDefault="008420E1" w:rsidP="00FC6489">
      <w:pPr>
        <w:overflowPunct/>
        <w:autoSpaceDE/>
        <w:autoSpaceDN/>
        <w:adjustRightInd/>
        <w:ind w:right="-957"/>
        <w:textAlignment w:val="auto"/>
        <w:rPr>
          <w:rFonts w:ascii="Times New Roman" w:hAnsi="Times New Roman" w:cs="Times New Roman"/>
          <w:color w:val="auto"/>
          <w:sz w:val="24"/>
        </w:rPr>
      </w:pPr>
      <w:r>
        <w:rPr>
          <w:rFonts w:ascii="Times New Roman" w:hAnsi="Times New Roman" w:cs="Times New Roman"/>
          <w:b/>
          <w:color w:val="auto"/>
          <w:sz w:val="48"/>
        </w:rPr>
        <w:t xml:space="preserve"> </w:t>
      </w: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1119A59C" w14:textId="77777777" w:rsidR="006160EF" w:rsidRPr="006160EF" w:rsidRDefault="006160EF" w:rsidP="006160EF">
            <w:pPr>
              <w:spacing w:before="240"/>
              <w:jc w:val="both"/>
              <w:rPr>
                <w:iCs/>
                <w:sz w:val="24"/>
                <w:szCs w:val="24"/>
              </w:rPr>
            </w:pPr>
            <w:r w:rsidRPr="006160EF">
              <w:rPr>
                <w:iCs/>
                <w:sz w:val="24"/>
                <w:szCs w:val="24"/>
              </w:rPr>
              <w:t>I will critically reflect on the case study of 2 whom I’ve been the social worker for within the local authority’s statutory children’s team. 2 is an adolescent male who describes himself as white Welsh. 2 ‘s known to children’s services since infancy, and became a looked-after child defined under section 22 of the Children Act 1989 (CA 1989) in early childhood. 2 has a diagnosed neurological disorder which contribute to increased needs in his care planning and provision.</w:t>
            </w:r>
          </w:p>
          <w:p w14:paraId="1FF3169C" w14:textId="77777777" w:rsidR="006160EF" w:rsidRPr="006160EF" w:rsidRDefault="006160EF" w:rsidP="006160EF">
            <w:pPr>
              <w:spacing w:before="240"/>
              <w:jc w:val="both"/>
              <w:rPr>
                <w:iCs/>
                <w:sz w:val="24"/>
                <w:szCs w:val="24"/>
              </w:rPr>
            </w:pPr>
            <w:r w:rsidRPr="006160EF">
              <w:rPr>
                <w:iCs/>
                <w:sz w:val="24"/>
                <w:szCs w:val="24"/>
              </w:rPr>
              <w:t>Communication with 2 was completed through the medium of Welsh as this was his chosen language. As I am also a Welsh speaker, I was able to interact and support 2 within the ‘Active Offer’ principles of the ‘More Than Just Words’ strategic framework (Welsh Government, 2022). This was important to 2 as being able to communicate in his chosen language meant that 2’s needs would be effectively identified, understood, and respected, with focusing proactively on dignity and respect for him as an individual (Social Care Wales, 2025a).</w:t>
            </w:r>
          </w:p>
          <w:p w14:paraId="4BB71658" w14:textId="77777777" w:rsidR="006160EF" w:rsidRPr="006160EF" w:rsidRDefault="006160EF" w:rsidP="006160EF">
            <w:pPr>
              <w:spacing w:before="240"/>
              <w:jc w:val="both"/>
              <w:rPr>
                <w:iCs/>
                <w:sz w:val="24"/>
                <w:szCs w:val="24"/>
              </w:rPr>
            </w:pPr>
            <w:r w:rsidRPr="006160EF">
              <w:rPr>
                <w:iCs/>
                <w:sz w:val="24"/>
                <w:szCs w:val="24"/>
              </w:rPr>
              <w:t>Using John’s (1995) model of reflecting on my role of safeguarding 2 an important element within my approach was knowledge of law and how legislation underpins my practice. Reflection is crucial in health and social care because it improves care quality by learning from past experiences, offers deeper understanding of actions and feelings, and promotes continuous learning and personal growth (Koshy et al., 2017).</w:t>
            </w:r>
          </w:p>
          <w:p w14:paraId="49E1063C" w14:textId="77777777" w:rsidR="006160EF" w:rsidRPr="006160EF" w:rsidRDefault="006160EF" w:rsidP="006160EF">
            <w:pPr>
              <w:spacing w:before="240"/>
              <w:jc w:val="both"/>
              <w:rPr>
                <w:iCs/>
                <w:sz w:val="24"/>
                <w:szCs w:val="24"/>
              </w:rPr>
            </w:pPr>
            <w:r w:rsidRPr="006160EF">
              <w:rPr>
                <w:iCs/>
                <w:sz w:val="24"/>
                <w:szCs w:val="24"/>
              </w:rPr>
              <w:lastRenderedPageBreak/>
              <w:t>John’s (1995) model has distinct steps which begin with a description and reflection of the experience, followed by consideration of internal and external factors that influenced outcomes, and summarising in learning from evaluation of the experience. Considering this prior to, during, and safeguarding concerns, the key piece of legislation that I was operating to was the Social Services &amp; Well-being (Wales) Act 2014 (SSW(W)A 2014) and it’s guidance.</w:t>
            </w:r>
          </w:p>
          <w:p w14:paraId="58B90496" w14:textId="77777777" w:rsidR="006160EF" w:rsidRPr="006160EF" w:rsidRDefault="006160EF" w:rsidP="006160EF">
            <w:pPr>
              <w:spacing w:before="240"/>
              <w:jc w:val="both"/>
              <w:rPr>
                <w:iCs/>
                <w:sz w:val="24"/>
                <w:szCs w:val="24"/>
              </w:rPr>
            </w:pPr>
            <w:r w:rsidRPr="006160EF">
              <w:rPr>
                <w:iCs/>
                <w:sz w:val="24"/>
                <w:szCs w:val="24"/>
              </w:rPr>
              <w:t>As a devolved nation, Welsh social work legislation experienced changes from the rest of the UK. Key pieces of UK legislation such as section 31 of the CA 1989 continue to be integral to safeguarding children through defining significant harm, applying to courts for a care order, and placing duties to investigate harm through section 47 of the act (CA 1989). Following the white paper ‘Sustainable Social Services for Wales: A Framework for action’ (Welsh Assembly Government, 2011) the SSW(W)A 2014 repealed previous laws within CA 1989 and the wider UK context to form social care legislation and policy specific to practice in Wales. The SSW(W)A 2014 also enabled social workers to imbed other Welsh legislation including the Rights of Children and Young Persons (Wales) Measure 2011, UK wide legislation like the Equality Act 2010, as well as European legislation including the United Nations Convention on the Rights of the Child (1989) (UNCRC 1989) into their practice.</w:t>
            </w:r>
          </w:p>
          <w:p w14:paraId="4CF1D1B2" w14:textId="77777777" w:rsidR="006160EF" w:rsidRPr="006160EF" w:rsidRDefault="006160EF" w:rsidP="006160EF">
            <w:pPr>
              <w:spacing w:before="240"/>
              <w:jc w:val="both"/>
              <w:rPr>
                <w:iCs/>
                <w:sz w:val="24"/>
                <w:szCs w:val="24"/>
              </w:rPr>
            </w:pPr>
            <w:r w:rsidRPr="006160EF">
              <w:rPr>
                <w:iCs/>
                <w:sz w:val="24"/>
                <w:szCs w:val="24"/>
              </w:rPr>
              <w:t>So, through use of John’s (1995) model I reflet that even before safeguarding concerns arose in respect of 2, my practice and contact with him was underpinned in legislation under Part 6 of SSW(W)A 2014 which sets out the legal framework for a child in care, alongside The Care Planning, Placement and Case Review (Wales) Regulations 2015. This legislation would set out duties, by law, surrounding how often I should see 2, what aspects of need I should consider such as 2’s health, education, accommodation, contact with 2’s parents, and reviewing and monitoring 2’s care plan among others.</w:t>
            </w:r>
          </w:p>
          <w:p w14:paraId="74068662" w14:textId="77777777" w:rsidR="006160EF" w:rsidRPr="006160EF" w:rsidRDefault="006160EF" w:rsidP="006160EF">
            <w:pPr>
              <w:spacing w:before="240"/>
              <w:jc w:val="both"/>
              <w:rPr>
                <w:iCs/>
                <w:sz w:val="24"/>
                <w:szCs w:val="24"/>
              </w:rPr>
            </w:pPr>
            <w:r w:rsidRPr="006160EF">
              <w:rPr>
                <w:iCs/>
                <w:sz w:val="24"/>
                <w:szCs w:val="24"/>
              </w:rPr>
              <w:t>Additionally, more than just using legislation to guide what functions I should follow, the SSW(W)A (2014) embeds the principles of empowerment and focusing on voice, choice and control to individuals. Understanding the responsibilities of my role and the legislation that governs it supports me to undertake all functions in a local, national and wider social policy context, as well as maintaining the focus that 2 would be at the heart of services.</w:t>
            </w:r>
          </w:p>
          <w:p w14:paraId="395E4CF2" w14:textId="77777777" w:rsidR="006160EF" w:rsidRPr="006160EF" w:rsidRDefault="006160EF" w:rsidP="006160EF">
            <w:pPr>
              <w:spacing w:before="240"/>
              <w:jc w:val="both"/>
              <w:rPr>
                <w:iCs/>
                <w:sz w:val="24"/>
                <w:szCs w:val="24"/>
              </w:rPr>
            </w:pPr>
            <w:r w:rsidRPr="006160EF">
              <w:rPr>
                <w:iCs/>
                <w:sz w:val="24"/>
                <w:szCs w:val="24"/>
              </w:rPr>
              <w:t xml:space="preserve">Ruch, Turney, and Ward, (2018, pp. 23) state that the essence of social work involves emotionally charged situations, often with limited resources. As a result, the professional relationship of a practitioner and individual becomes a crucial asset. So, over the period of two months since 2’s case was transferred to me I regularly visited 2 at his placement to build up a relationship, understand his needs in his own words and to collect information in preparation for his looked-after review. </w:t>
            </w:r>
          </w:p>
          <w:p w14:paraId="71BAB6C1" w14:textId="77777777" w:rsidR="006160EF" w:rsidRPr="006160EF" w:rsidRDefault="006160EF" w:rsidP="006160EF">
            <w:pPr>
              <w:spacing w:before="240"/>
              <w:jc w:val="both"/>
              <w:rPr>
                <w:iCs/>
                <w:sz w:val="24"/>
                <w:szCs w:val="24"/>
              </w:rPr>
            </w:pPr>
            <w:r w:rsidRPr="006160EF">
              <w:rPr>
                <w:iCs/>
                <w:sz w:val="24"/>
                <w:szCs w:val="24"/>
              </w:rPr>
              <w:t>Safeguarding concerns arose when 2 absconded from the placement on three separate episodes over the course of a week. The first being missing overnight before returning, then absconding again twice for two consecutive nights. As a result of this I needed to observe guidance in respect of safeguarding and its legislative framework.</w:t>
            </w:r>
          </w:p>
          <w:p w14:paraId="2301F7F6" w14:textId="77777777" w:rsidR="006160EF" w:rsidRPr="006160EF" w:rsidRDefault="006160EF" w:rsidP="006160EF">
            <w:pPr>
              <w:spacing w:before="240"/>
              <w:jc w:val="both"/>
              <w:rPr>
                <w:iCs/>
                <w:sz w:val="24"/>
                <w:szCs w:val="24"/>
              </w:rPr>
            </w:pPr>
            <w:r w:rsidRPr="006160EF">
              <w:rPr>
                <w:iCs/>
                <w:sz w:val="24"/>
                <w:szCs w:val="24"/>
              </w:rPr>
              <w:t xml:space="preserve">The Wales Safeguarding Procedures (Social Care Wales, 2025b) (WSP) and its guidance became operational in 2008 taking over from previous procedures. The WSP have been </w:t>
            </w:r>
            <w:r w:rsidRPr="006160EF">
              <w:rPr>
                <w:iCs/>
                <w:sz w:val="24"/>
                <w:szCs w:val="24"/>
              </w:rPr>
              <w:lastRenderedPageBreak/>
              <w:t xml:space="preserve">designed to assist practitioners providing a practical framework on how to implement safeguarding measures as set out in Part 7 of the SSW(W)A 2014 and pertinent sections of the statutory guidance document ‘Working Together to Safeguard People – Volume 5’ (Welsh Government, 2018a). </w:t>
            </w:r>
          </w:p>
          <w:p w14:paraId="1D9256EF" w14:textId="77777777" w:rsidR="006160EF" w:rsidRPr="006160EF" w:rsidRDefault="006160EF" w:rsidP="006160EF">
            <w:pPr>
              <w:spacing w:before="240"/>
              <w:jc w:val="both"/>
              <w:rPr>
                <w:iCs/>
                <w:sz w:val="24"/>
                <w:szCs w:val="24"/>
              </w:rPr>
            </w:pPr>
            <w:r w:rsidRPr="006160EF">
              <w:rPr>
                <w:iCs/>
                <w:sz w:val="24"/>
                <w:szCs w:val="24"/>
              </w:rPr>
              <w:t>As 2 was a LAC child reported missing to the police I was required to follow safeguarding protocol, specifically the All Wales Practice Guide ‘Safeguarding children who go missing from home or care’ in Section 6 of the WSP. This guidance dictated my approach to this incident, and the initial steps under section 6 (WSP) were followed by both me and the placement which were undertaking reasonable steps to find out where 2 was.</w:t>
            </w:r>
          </w:p>
          <w:p w14:paraId="121DDC01" w14:textId="77777777" w:rsidR="006160EF" w:rsidRPr="006160EF" w:rsidRDefault="006160EF" w:rsidP="006160EF">
            <w:pPr>
              <w:spacing w:before="240"/>
              <w:jc w:val="both"/>
              <w:rPr>
                <w:iCs/>
                <w:sz w:val="24"/>
                <w:szCs w:val="24"/>
              </w:rPr>
            </w:pPr>
            <w:r w:rsidRPr="006160EF">
              <w:rPr>
                <w:iCs/>
                <w:sz w:val="24"/>
                <w:szCs w:val="24"/>
              </w:rPr>
              <w:t>Placement staff called his mobile, checked with family members if he had been seen or contacted, and made links with known peers such as 3. When all checks did not yield any results, it was agreed in his care plan that, the action for the placement was to contact the police after thirty minutes of making enquiries without any results and notify the local authority. There were historical missing from home episodes in both his previous placements, so this protocol was agreed in 2’s initial risk assessment, in line with the WSP guidance in section 6.</w:t>
            </w:r>
          </w:p>
          <w:p w14:paraId="1E8DC94A" w14:textId="77777777" w:rsidR="006160EF" w:rsidRPr="006160EF" w:rsidRDefault="006160EF" w:rsidP="006160EF">
            <w:pPr>
              <w:spacing w:before="240"/>
              <w:jc w:val="both"/>
              <w:rPr>
                <w:iCs/>
                <w:sz w:val="24"/>
                <w:szCs w:val="24"/>
              </w:rPr>
            </w:pPr>
            <w:r w:rsidRPr="006160EF">
              <w:rPr>
                <w:iCs/>
                <w:sz w:val="24"/>
                <w:szCs w:val="24"/>
              </w:rPr>
              <w:t>During the first missing episode 2 returned to the placement of his own volition after being missing for 9 hours. As per the WSP guidance the police attended the placement to undertake a Safe and Well Check when he returned, and I arranged to complete a Return Home Interview (RHI) for the next day. The RHI is a detailed and structured discussion between me and the person who has been missing, so in this case 2. It is usually undertaken directly by, or commissioned by the local authority and should be completed within 72 of the individuals’ return (National Police Chief’s Council, 2023).</w:t>
            </w:r>
          </w:p>
          <w:p w14:paraId="406FD4D4" w14:textId="77777777" w:rsidR="006160EF" w:rsidRPr="006160EF" w:rsidRDefault="006160EF" w:rsidP="006160EF">
            <w:pPr>
              <w:spacing w:before="240"/>
              <w:jc w:val="both"/>
              <w:rPr>
                <w:iCs/>
                <w:sz w:val="24"/>
                <w:szCs w:val="24"/>
              </w:rPr>
            </w:pPr>
            <w:r w:rsidRPr="006160EF">
              <w:rPr>
                <w:iCs/>
                <w:sz w:val="24"/>
                <w:szCs w:val="24"/>
              </w:rPr>
              <w:t>The main aims of an RHI are to identify any harm the young person may have experienced while missing; understand the triggers or motivators behind the event, identify future risks of repeat episodes, gather information to help find them safely, and assess what support needs need addressing including further safeguarding steps (National Police Chief’s Council, 2023).</w:t>
            </w:r>
          </w:p>
          <w:p w14:paraId="1D44A4A8" w14:textId="77777777" w:rsidR="006160EF" w:rsidRPr="006160EF" w:rsidRDefault="006160EF" w:rsidP="006160EF">
            <w:pPr>
              <w:spacing w:before="240"/>
              <w:jc w:val="both"/>
              <w:rPr>
                <w:iCs/>
                <w:sz w:val="24"/>
                <w:szCs w:val="24"/>
              </w:rPr>
            </w:pPr>
            <w:r w:rsidRPr="006160EF">
              <w:rPr>
                <w:iCs/>
                <w:sz w:val="24"/>
                <w:szCs w:val="24"/>
              </w:rPr>
              <w:t>Reflecting critically, it is important to note here that the requirement of two separate interviews could have the potential of causing confusion and resistance in young people such as 2. Taylor et al. (2014) explains that when looked after children go missing, they are at increased risk of serious harm such as exposure to substances, exploitation and involvement in criminality, as well as being more likely to go missing than other cohorts. Taylor et al. (2014) goes on to outline that one of the reasons for this, is how young people view power and authority.</w:t>
            </w:r>
          </w:p>
          <w:p w14:paraId="6D6D7A20" w14:textId="77777777" w:rsidR="006160EF" w:rsidRPr="006160EF" w:rsidRDefault="006160EF" w:rsidP="006160EF">
            <w:pPr>
              <w:spacing w:before="240"/>
              <w:jc w:val="both"/>
              <w:rPr>
                <w:iCs/>
                <w:sz w:val="24"/>
                <w:szCs w:val="24"/>
              </w:rPr>
            </w:pPr>
            <w:r w:rsidRPr="006160EF">
              <w:rPr>
                <w:iCs/>
                <w:sz w:val="24"/>
                <w:szCs w:val="24"/>
              </w:rPr>
              <w:t xml:space="preserve">Often in literature social workers and the police are often seen as overbearing institutions that impose their will on disenfranchised individuals or those most in need (Dominelli, 2002, pp. 28-29). I could see how two separate interviews by people in positions of power and authority would make 2 less likely to engage. It is within these circumstances I would need to be aware of power dynamics by explaining clearly to 2 the purpose of both interviews and what information would be discussed. This could be clarified beforehand by sharing information with the police and other agencies so that accounts are focused, not duplicated, and that all </w:t>
            </w:r>
            <w:r w:rsidRPr="006160EF">
              <w:rPr>
                <w:iCs/>
                <w:sz w:val="24"/>
                <w:szCs w:val="24"/>
              </w:rPr>
              <w:lastRenderedPageBreak/>
              <w:t>relative information can be collected without the need for 2 to repeat himself or become distressed.</w:t>
            </w:r>
          </w:p>
          <w:p w14:paraId="1BF30734" w14:textId="77777777" w:rsidR="006160EF" w:rsidRPr="006160EF" w:rsidRDefault="006160EF" w:rsidP="006160EF">
            <w:pPr>
              <w:spacing w:before="240"/>
              <w:jc w:val="both"/>
              <w:rPr>
                <w:iCs/>
                <w:sz w:val="24"/>
                <w:szCs w:val="24"/>
              </w:rPr>
            </w:pPr>
            <w:r w:rsidRPr="006160EF">
              <w:rPr>
                <w:iCs/>
                <w:sz w:val="24"/>
                <w:szCs w:val="24"/>
              </w:rPr>
              <w:t>By following these principals, I would not only satisfy the statutory requirement of undertaking safeguarding steps, but also follow WSP guidance on making young people feel safe and heard, collaborating with the police, and uphold the principles of inclusion and anti-oppressive practice within the Code of Professional Practice for Social Care (2017).</w:t>
            </w:r>
          </w:p>
          <w:p w14:paraId="556806D1" w14:textId="77777777" w:rsidR="006160EF" w:rsidRPr="006160EF" w:rsidRDefault="006160EF" w:rsidP="006160EF">
            <w:pPr>
              <w:spacing w:before="240"/>
              <w:jc w:val="both"/>
              <w:rPr>
                <w:iCs/>
                <w:sz w:val="24"/>
                <w:szCs w:val="24"/>
              </w:rPr>
            </w:pPr>
            <w:r w:rsidRPr="006160EF">
              <w:rPr>
                <w:iCs/>
                <w:sz w:val="24"/>
                <w:szCs w:val="24"/>
              </w:rPr>
              <w:t>Despite my observance of the required statutory steps in reaction to this event, 2 left the placement again the next day before I was scheduled to meet with him. 2 failed to return to the placement for the next 48 hours, before returning shortly for a period, then absconding again for a further almost 48 hours. Throughout these episodes the placement followed the missing from home protocol and reported 2 missing 30 minutes following his curfew with no contact. 2 did make contact during these episodes, but only to state that he was OK. After checking in quickly 2 would switch off his phone and cut contact until his return. Following the WSP guidance with liaising with the Police, family members and parents yielded no results until again, 2 returned to the placement of his own volition.</w:t>
            </w:r>
          </w:p>
          <w:p w14:paraId="12DA7138" w14:textId="77777777" w:rsidR="006160EF" w:rsidRPr="006160EF" w:rsidRDefault="006160EF" w:rsidP="006160EF">
            <w:pPr>
              <w:spacing w:before="240"/>
              <w:jc w:val="both"/>
              <w:rPr>
                <w:iCs/>
                <w:sz w:val="24"/>
                <w:szCs w:val="24"/>
              </w:rPr>
            </w:pPr>
            <w:r w:rsidRPr="006160EF">
              <w:rPr>
                <w:iCs/>
                <w:sz w:val="24"/>
                <w:szCs w:val="24"/>
              </w:rPr>
              <w:t>During my learning I developed a use of Kolb’s (2015) experiential learning model as a way of learning from experiences, a tool and model which had helped me in difficult situations previously. Kolb’s (2015. Pp.20-25) model is based on a four-stage cycle, explaining the different experiences of learning, the first two being the concrete experience stage and reflective observation. These are followed by making links with other experiences and knowledge through the abstract conceptualisation stage, and finally testing out theories in the expert experimentation stage. Kolb (2015, pp. 49-50) explains that the experiential learning model is a framework that clarifies how people learn, and encourages me as the learner to reflect on my personal experiences and achieve autonomy in complex situations.</w:t>
            </w:r>
          </w:p>
          <w:p w14:paraId="61363D65" w14:textId="77777777" w:rsidR="006160EF" w:rsidRPr="006160EF" w:rsidRDefault="006160EF" w:rsidP="006160EF">
            <w:pPr>
              <w:spacing w:before="240"/>
              <w:jc w:val="both"/>
              <w:rPr>
                <w:iCs/>
                <w:sz w:val="24"/>
                <w:szCs w:val="24"/>
              </w:rPr>
            </w:pPr>
            <w:r w:rsidRPr="006160EF">
              <w:rPr>
                <w:iCs/>
                <w:sz w:val="24"/>
                <w:szCs w:val="24"/>
              </w:rPr>
              <w:t>Previously I had applied this in a wider context, on other cases over a longer period to reflect on what I had learned and what would be applicable for the future. Whilst the model is useful in a wider context, I found it useful as well in a more specific way in this situation. Using the first two stages of the model (Kolb, 2015) I had the concrete experience of 2’s history of absconding alongside the knowledge that there have been three separate missing episodes in a short space of time. In the third stage I began to form conclusions that there continued to be a risk of 2 absconding, no information on where he was going or doing, and no real information whether he was OK or at risk of harm. This process led me to the conclusion that that I needed to see 2 as soon as possible.</w:t>
            </w:r>
          </w:p>
          <w:p w14:paraId="78DE338A" w14:textId="77777777" w:rsidR="006160EF" w:rsidRPr="006160EF" w:rsidRDefault="006160EF" w:rsidP="006160EF">
            <w:pPr>
              <w:spacing w:before="240"/>
              <w:jc w:val="both"/>
              <w:rPr>
                <w:iCs/>
                <w:sz w:val="24"/>
                <w:szCs w:val="24"/>
              </w:rPr>
            </w:pPr>
            <w:r w:rsidRPr="006160EF">
              <w:rPr>
                <w:iCs/>
                <w:sz w:val="24"/>
                <w:szCs w:val="24"/>
              </w:rPr>
              <w:t>I also considered the practice guide ‘Safeguarding children who go missing from home or care’ in Section 6 of the WSP, notifying the parents and informing them that I was on the way to see 2. Section 6 (WSP) also sets out the requirement to understand nuances that consideration should be given to 2’s needs in terms of being comfortable and timing my approach, as well as 2’s potential fear of reprimand for the events. This was a professional judgement following the use of Kolb’s (2015) model where concerns that 2 has been missing, and the need to potentially safeguard him were the main driver that I planned with the placement to visit immediately when they informed me of his return. At that point I left the office to visit 2 to undertake the return home interview.</w:t>
            </w:r>
          </w:p>
          <w:p w14:paraId="7F6C2BE4" w14:textId="77777777" w:rsidR="006160EF" w:rsidRPr="006160EF" w:rsidRDefault="006160EF" w:rsidP="006160EF">
            <w:pPr>
              <w:spacing w:before="240"/>
              <w:jc w:val="both"/>
              <w:rPr>
                <w:iCs/>
                <w:sz w:val="24"/>
                <w:szCs w:val="24"/>
              </w:rPr>
            </w:pPr>
            <w:r w:rsidRPr="006160EF">
              <w:rPr>
                <w:iCs/>
                <w:sz w:val="24"/>
                <w:szCs w:val="24"/>
              </w:rPr>
              <w:lastRenderedPageBreak/>
              <w:t>Within these arrangements I was aware of the potential power imbalance and the barriers it could create. Dunhill, Elliott and Shaw (2009, pp. 66-67) highlights the feelings of disempowerment 2 could face. In 2’s history triggers for absconding were usually fuelled by the want to see family members as he felt he lived too far away, and that whilst his previous placement appeared suitable, he shared it never felt like home. Dunhill, Elliott and Shaw (2009, pp. 66-67) explain that communication and engagement strategies can be improved by recognising power dynamics caused by 2’s sense of his environment, and the ownership of this. So, to satisfy the required standards of anti-discriminatory practice (Social Care Wales, 2017), I could not be disrespectful, walking into his placement and demanding that my own outcomes are met immediately. I needed to approach the interview balancing the need to establish his safety and risks, and include him into this process by capturing his voice so that his well-being is central to the outcomes.</w:t>
            </w:r>
          </w:p>
          <w:p w14:paraId="73DCC648" w14:textId="77777777" w:rsidR="006160EF" w:rsidRPr="006160EF" w:rsidRDefault="006160EF" w:rsidP="006160EF">
            <w:pPr>
              <w:spacing w:before="240"/>
              <w:jc w:val="both"/>
              <w:rPr>
                <w:iCs/>
                <w:sz w:val="24"/>
                <w:szCs w:val="24"/>
              </w:rPr>
            </w:pPr>
            <w:r w:rsidRPr="006160EF">
              <w:rPr>
                <w:iCs/>
                <w:sz w:val="24"/>
                <w:szCs w:val="24"/>
              </w:rPr>
              <w:t>When I arrived at the placement, I greeted 2 and began by establishing his well-being and immediate medical and health needs. In this way I began the interaction with the focus on him. 2 reported that he was fine, reported no injuries or immediate concerns that his safety or well-being was compromised. Taking the discussion along I began to work through the RHI outlined by National Police Chief’s Council (2023) and WSP to establish if there were any safeguarding concerns. I observed quite quickly that 2 responded with monosyllabic answers or shrugged at specific questions around where he had been, who he was with or what the triggers were for the episode.</w:t>
            </w:r>
          </w:p>
          <w:p w14:paraId="77AFAD1E" w14:textId="77777777" w:rsidR="006160EF" w:rsidRPr="006160EF" w:rsidRDefault="006160EF" w:rsidP="006160EF">
            <w:pPr>
              <w:spacing w:before="240"/>
              <w:jc w:val="both"/>
              <w:rPr>
                <w:iCs/>
                <w:sz w:val="24"/>
                <w:szCs w:val="24"/>
              </w:rPr>
            </w:pPr>
            <w:r w:rsidRPr="006160EF">
              <w:rPr>
                <w:iCs/>
                <w:sz w:val="24"/>
                <w:szCs w:val="24"/>
              </w:rPr>
              <w:t>It was at this point I reflected that my approach was too narrow and focused on a questioning and procedural model of assessment. Smale et al. (1993) explain that these two approaches to assessment highlight the disparity in power dynamics that take place in these approaches. By questioning I would take the lead to establish facts, but this would put a preference on my agenda. By using a procedural model this would also reflect the agenda of services, rigid in its focus on what information I need over including 2 into the process. By reflecting on this approach, I was open with 2 and felt that I was taking over, and began switching over to open ended questions focused on him through an exchange model.</w:t>
            </w:r>
          </w:p>
          <w:p w14:paraId="29914692" w14:textId="77777777" w:rsidR="006160EF" w:rsidRPr="006160EF" w:rsidRDefault="006160EF" w:rsidP="006160EF">
            <w:pPr>
              <w:spacing w:before="240"/>
              <w:jc w:val="both"/>
              <w:rPr>
                <w:iCs/>
                <w:sz w:val="24"/>
                <w:szCs w:val="24"/>
              </w:rPr>
            </w:pPr>
            <w:r w:rsidRPr="006160EF">
              <w:rPr>
                <w:iCs/>
                <w:sz w:val="24"/>
                <w:szCs w:val="24"/>
              </w:rPr>
              <w:t>Smale et al. (1993) explains that the exchange model is a more effective approach to assessment. Adapting this model, I would be able to include 2 immediately by being honest on why I was collecting the information, and asking him what his needs are in relation to all parties keeping himself safe without the need for absconding. Changing to this approach enabled me to satisfy the need of putting 2 at the centre of my assessment, capturing his voice in line with the requirements of my role under Social Care Wales (2017), the SSW(W)A 2014 and completing safeguarding enquiries under WSP.</w:t>
            </w:r>
          </w:p>
          <w:p w14:paraId="454D0D74" w14:textId="77777777" w:rsidR="006160EF" w:rsidRPr="006160EF" w:rsidRDefault="006160EF" w:rsidP="006160EF">
            <w:pPr>
              <w:spacing w:before="240"/>
              <w:jc w:val="both"/>
              <w:rPr>
                <w:iCs/>
                <w:sz w:val="24"/>
                <w:szCs w:val="24"/>
              </w:rPr>
            </w:pPr>
            <w:r w:rsidRPr="006160EF">
              <w:rPr>
                <w:iCs/>
                <w:sz w:val="24"/>
                <w:szCs w:val="24"/>
              </w:rPr>
              <w:t xml:space="preserve">By adapting this change, taking time and being inquisitive 2’s responses changed. In conclusion he shared that he initially absconded to see family, however he knew that the police would look for him there. Whilst out he met up with other young people, namely other adolescents who invited him to take class B drugs and alcohol. 2 admitted that he’d been taking drugs whilst missing, would not share specifically from who, but did allude to “doing things” to avoid paying for drugs. After he returned the first time these other friends contacted </w:t>
            </w:r>
            <w:r w:rsidRPr="006160EF">
              <w:rPr>
                <w:iCs/>
                <w:sz w:val="24"/>
                <w:szCs w:val="24"/>
              </w:rPr>
              <w:lastRenderedPageBreak/>
              <w:t>him again, and 2 left as he liked a female that was part of this group to meet with her and drink in a local town as “it was fun”.</w:t>
            </w:r>
          </w:p>
          <w:p w14:paraId="380A00BF" w14:textId="77777777" w:rsidR="006160EF" w:rsidRPr="006160EF" w:rsidRDefault="006160EF" w:rsidP="006160EF">
            <w:pPr>
              <w:spacing w:before="240"/>
              <w:jc w:val="both"/>
              <w:rPr>
                <w:iCs/>
                <w:sz w:val="24"/>
                <w:szCs w:val="24"/>
              </w:rPr>
            </w:pPr>
            <w:r w:rsidRPr="006160EF">
              <w:rPr>
                <w:iCs/>
                <w:sz w:val="24"/>
                <w:szCs w:val="24"/>
              </w:rPr>
              <w:t>In conclusion 2 wanted to see his family and friends more often, but was open in saying that he wanted to see friends and consume Cannabis and drink as it gave him something to do and connect with friends. From the information 2 shared I felt that there was an indication that 2 was at risk of harm under Section 31(9) of the CA 1989 and Section 130(4) of SSW(W)A 2014, specifically the possible ill treatment from 2’s allusion to completing tasks for drugs, the effect of alcohol and drugs on 2’s well-being and other risks that could arise from these. I reflected these concerns to 2 and advised him I would have to discuss them further with partners due to his allusions of how he accessed drugs and his intentions of doing this again. 2 Argued this point, insisting that he was fine and there were no issues, however I reflected that from an alternative point of view this needed to be considered further.</w:t>
            </w:r>
          </w:p>
          <w:p w14:paraId="72CB5E8C" w14:textId="77777777" w:rsidR="006160EF" w:rsidRPr="006160EF" w:rsidRDefault="006160EF" w:rsidP="006160EF">
            <w:pPr>
              <w:spacing w:before="240"/>
              <w:jc w:val="both"/>
              <w:rPr>
                <w:iCs/>
                <w:sz w:val="24"/>
                <w:szCs w:val="24"/>
              </w:rPr>
            </w:pPr>
            <w:r w:rsidRPr="006160EF">
              <w:rPr>
                <w:iCs/>
                <w:sz w:val="24"/>
                <w:szCs w:val="24"/>
              </w:rPr>
              <w:t>It is at this point sections 126-130 of the Welsh Government (2018a) safeguarding guidance and also the WSP practice guide ‘Safeguarding children from Child Criminal Exploitation (CCE)’ are clear that when a child such as 2 in these circumstances are considered at risk of harm, a Multi-agency Strategy Meeting (MASM) needs to be convened to consider these risks.</w:t>
            </w:r>
          </w:p>
          <w:p w14:paraId="7EF725C7" w14:textId="77777777" w:rsidR="006160EF" w:rsidRPr="006160EF" w:rsidRDefault="006160EF" w:rsidP="006160EF">
            <w:pPr>
              <w:spacing w:before="240"/>
              <w:jc w:val="both"/>
              <w:rPr>
                <w:iCs/>
                <w:sz w:val="24"/>
                <w:szCs w:val="24"/>
              </w:rPr>
            </w:pPr>
            <w:r w:rsidRPr="006160EF">
              <w:rPr>
                <w:iCs/>
                <w:sz w:val="24"/>
                <w:szCs w:val="24"/>
              </w:rPr>
              <w:t xml:space="preserve">Following the protocols I informed my manager of the outcome of the RHI and advised I would be requesting a MASM due to the concerns of significant harm 2 was at risk of through his associations and actions whilst missing. The Welsh Government (2018a) guidance outlines the requirement for me to complete this action, and a decision must be reached within 24 hours. My manager agreed that this information needed to be discussed further under consideration of Section 47 of the CA 1989 and arranged a MASM. </w:t>
            </w:r>
          </w:p>
          <w:p w14:paraId="6A714C7C" w14:textId="77777777" w:rsidR="006160EF" w:rsidRPr="006160EF" w:rsidRDefault="006160EF" w:rsidP="006160EF">
            <w:pPr>
              <w:spacing w:before="240"/>
              <w:jc w:val="both"/>
              <w:rPr>
                <w:iCs/>
                <w:sz w:val="24"/>
                <w:szCs w:val="24"/>
              </w:rPr>
            </w:pPr>
            <w:r w:rsidRPr="006160EF">
              <w:rPr>
                <w:iCs/>
                <w:sz w:val="24"/>
                <w:szCs w:val="24"/>
              </w:rPr>
              <w:t>To elaborate, a MASM is a meeting consisting of partner agencies including social care, the police, health, and in 2’s case, his placement and other third sector support services that were working with him at the time. In this forum all professionals are expected to share information held by agencies, consider all possible safeguarding issues from the information and evidence, agree whether further inquiries should be undertaken through section 47 of CA 1989, and agree on changes that need to be considered to 2’s plan if any.</w:t>
            </w:r>
          </w:p>
          <w:p w14:paraId="1790215E" w14:textId="77777777" w:rsidR="006160EF" w:rsidRPr="006160EF" w:rsidRDefault="006160EF" w:rsidP="006160EF">
            <w:pPr>
              <w:spacing w:before="240"/>
              <w:jc w:val="both"/>
              <w:rPr>
                <w:iCs/>
                <w:sz w:val="24"/>
                <w:szCs w:val="24"/>
              </w:rPr>
            </w:pPr>
            <w:r w:rsidRPr="006160EF">
              <w:rPr>
                <w:iCs/>
                <w:sz w:val="24"/>
                <w:szCs w:val="24"/>
              </w:rPr>
              <w:t xml:space="preserve">The MASM would also need to agree on outcome actions for each agency, have regard for establishing evidence of whether significant harm can be substantiated, and the next steps with a consideration of the chair leading a child-focused approach that all discussions and decisions are documented clearly and shared with invested parties in a set timescale (WSP).  </w:t>
            </w:r>
          </w:p>
          <w:p w14:paraId="0F5CD158" w14:textId="77777777" w:rsidR="006160EF" w:rsidRPr="006160EF" w:rsidRDefault="006160EF" w:rsidP="006160EF">
            <w:pPr>
              <w:spacing w:before="240"/>
              <w:jc w:val="both"/>
              <w:rPr>
                <w:iCs/>
                <w:sz w:val="24"/>
                <w:szCs w:val="24"/>
              </w:rPr>
            </w:pPr>
            <w:r w:rsidRPr="006160EF">
              <w:rPr>
                <w:iCs/>
                <w:sz w:val="24"/>
                <w:szCs w:val="24"/>
              </w:rPr>
              <w:t>It is important that all agencies attend a MASM as under both The Welsh Government (2018a) guidance and the WSP there are clear responsibilities for agencies, such as the police to consider if any crime has been committed and how it will be dealt with. 2’s placement is just as important as they see 2 day-to-day and could potentially have pieces of information that on their own would not specifically cause concern, but pulled together might frame a clearer picture of risk.</w:t>
            </w:r>
          </w:p>
          <w:p w14:paraId="76D7C74D" w14:textId="77777777" w:rsidR="006160EF" w:rsidRPr="006160EF" w:rsidRDefault="006160EF" w:rsidP="006160EF">
            <w:pPr>
              <w:spacing w:before="240"/>
              <w:jc w:val="both"/>
              <w:rPr>
                <w:iCs/>
                <w:sz w:val="24"/>
                <w:szCs w:val="24"/>
              </w:rPr>
            </w:pPr>
            <w:r w:rsidRPr="006160EF">
              <w:rPr>
                <w:iCs/>
                <w:sz w:val="24"/>
                <w:szCs w:val="24"/>
              </w:rPr>
              <w:t xml:space="preserve">Ofstead et al. (2018) argue that young people are at significant risk of harm through exploitation, and social services in isolation are not well equipped to address these issues </w:t>
            </w:r>
            <w:r w:rsidRPr="006160EF">
              <w:rPr>
                <w:iCs/>
                <w:sz w:val="24"/>
                <w:szCs w:val="24"/>
              </w:rPr>
              <w:lastRenderedPageBreak/>
              <w:t>without the support of other agencies being adaptable and responsive. Recognising this Ofstead et al. (2018) and NSPCC (2025) both agree that efficient and conscientious multi-agency working is integral to protecting young people. In effect, bringing 2 to MASM would consider his needs, current circumstances, and risks holistically, and be agreed in a forum of interlinked services in an effort to keep him safe.</w:t>
            </w:r>
          </w:p>
          <w:p w14:paraId="4F05C6DD" w14:textId="77777777" w:rsidR="006160EF" w:rsidRPr="006160EF" w:rsidRDefault="006160EF" w:rsidP="006160EF">
            <w:pPr>
              <w:spacing w:before="240"/>
              <w:jc w:val="both"/>
              <w:rPr>
                <w:iCs/>
                <w:sz w:val="24"/>
                <w:szCs w:val="24"/>
              </w:rPr>
            </w:pPr>
            <w:r w:rsidRPr="006160EF">
              <w:rPr>
                <w:iCs/>
                <w:sz w:val="24"/>
                <w:szCs w:val="24"/>
              </w:rPr>
              <w:t>During the MASM my manager led the discussion and invited all agencies to share information and a clearer picture of the concerns was identified. Information was shared that 2 had been seen during the missing episodes with 3. There was intelligence shared that 3 is linked with drug dealing and was recognised to be at risk of exploitation themselves. Other associates were also highlighted that staff from the placement identified 2 having contact with, and were believed to be the friends that 2 had mentioned. This information was brought together with all factual information that agencies had collected to paint a sequence of events that was likely to have happened.</w:t>
            </w:r>
          </w:p>
          <w:p w14:paraId="2BAAE9B9" w14:textId="77777777" w:rsidR="006160EF" w:rsidRPr="006160EF" w:rsidRDefault="006160EF" w:rsidP="006160EF">
            <w:pPr>
              <w:spacing w:before="240"/>
              <w:jc w:val="both"/>
              <w:rPr>
                <w:iCs/>
                <w:sz w:val="24"/>
                <w:szCs w:val="24"/>
              </w:rPr>
            </w:pPr>
            <w:r w:rsidRPr="006160EF">
              <w:rPr>
                <w:iCs/>
                <w:sz w:val="24"/>
                <w:szCs w:val="24"/>
              </w:rPr>
              <w:t>Following consideration of all information it was concluded that there was no need to undertake a further investigation under section 47 CA 1989. 2 had shared all information he was going to at that point with staff and me as the social worker, and refused to speak to the police. Following the Welsh Government (2018a) safeguarding guidance, from the evidence presented it was decided the concerns raised with 2 were substantiated by his associations, missing episodes and drug taking, however, all professionals agreed the harm during this episode was not significant due to the evidence. Therefore, the conclusion and follow-on within the safeguarding guidance (Welsh Government, 2018a) was for 2’s looked-after plan to be updated to minimise risk and safeguard him from further harm as a proportionate response.</w:t>
            </w:r>
          </w:p>
          <w:p w14:paraId="56D52517" w14:textId="77777777" w:rsidR="006160EF" w:rsidRPr="006160EF" w:rsidRDefault="006160EF" w:rsidP="006160EF">
            <w:pPr>
              <w:spacing w:before="240"/>
              <w:jc w:val="both"/>
              <w:rPr>
                <w:iCs/>
                <w:sz w:val="24"/>
                <w:szCs w:val="24"/>
              </w:rPr>
            </w:pPr>
            <w:r w:rsidRPr="006160EF">
              <w:rPr>
                <w:iCs/>
                <w:sz w:val="24"/>
                <w:szCs w:val="24"/>
              </w:rPr>
              <w:t xml:space="preserve">Another recommendation was for 2’s case to be reviewed in on-going MASMs and that he’s referred to the local CCE panel and I was tasked to complete a CCE assessment to identify the current level of risk to 2. To do this I used Maxwell’s (2022) Child Criminal Exploitation Assessment Tool, part of Maxwell et al. (2022) toolkit for child criminal exploitation. These tools and assessment were chosen as they closely reflect the holistic model of risk assessment (Maclean, 2017). The holistic model takes the strengths of other models whilst addressing the drawbacks of such as one type of information collected or not being specific enough for the person at the centre (Maclean, 2017). </w:t>
            </w:r>
          </w:p>
          <w:p w14:paraId="49FCB6C0" w14:textId="77777777" w:rsidR="006160EF" w:rsidRPr="006160EF" w:rsidRDefault="006160EF" w:rsidP="006160EF">
            <w:pPr>
              <w:spacing w:before="240"/>
              <w:jc w:val="both"/>
              <w:rPr>
                <w:iCs/>
                <w:sz w:val="24"/>
                <w:szCs w:val="24"/>
              </w:rPr>
            </w:pPr>
            <w:r w:rsidRPr="006160EF">
              <w:rPr>
                <w:iCs/>
                <w:sz w:val="24"/>
                <w:szCs w:val="24"/>
              </w:rPr>
              <w:t>The Maxwell et al. (2022) toolkit and assessment tool is designed to assist practitioners in documenting concerns related to suspected CCE. They are used a continuous process of risk assessment and monitoring for young people. Developed with insights from research, this tool aligns with Welsh policy and practice, emphasizing a person-centred, rights-based approach and integrates the WSP and All Wales Practice Guidance principles. By using this tool I was able to have a framework that could pull together complex information which was in isolation previously, from different agencies to identify risks that could inform future risk management plans for 2 within a multi-disciplinary forum the CCE panel would provide.</w:t>
            </w:r>
          </w:p>
          <w:p w14:paraId="7EFBC3F4" w14:textId="77777777" w:rsidR="006160EF" w:rsidRPr="006160EF" w:rsidRDefault="006160EF" w:rsidP="006160EF">
            <w:pPr>
              <w:spacing w:before="240"/>
              <w:jc w:val="both"/>
              <w:rPr>
                <w:iCs/>
                <w:sz w:val="24"/>
                <w:szCs w:val="24"/>
              </w:rPr>
            </w:pPr>
            <w:r w:rsidRPr="006160EF">
              <w:rPr>
                <w:iCs/>
                <w:sz w:val="24"/>
                <w:szCs w:val="24"/>
              </w:rPr>
              <w:t xml:space="preserve">Moving on from this the final step I shared the outcomes of the MASM and CCE tool with 2, to complete interventions so that he is included in risk managements plans. When completing this I had specific focus on the Mental Capacity Act (2005) (MCA 2005) and its principles. I </w:t>
            </w:r>
            <w:r w:rsidRPr="006160EF">
              <w:rPr>
                <w:iCs/>
                <w:sz w:val="24"/>
                <w:szCs w:val="24"/>
              </w:rPr>
              <w:lastRenderedPageBreak/>
              <w:t>focused the intervention on the principles that 2 has the capacity to understand risks toward him, all efforts are made to help him understand the risks and how to keep safe, that 2 has the right to make unwise decisions, and that any decision is made in the least restrictive way, in 2’s best interests.</w:t>
            </w:r>
          </w:p>
          <w:p w14:paraId="1B99708A" w14:textId="77777777" w:rsidR="006160EF" w:rsidRPr="006160EF" w:rsidRDefault="006160EF" w:rsidP="006160EF">
            <w:pPr>
              <w:spacing w:before="240"/>
              <w:jc w:val="both"/>
              <w:rPr>
                <w:iCs/>
                <w:sz w:val="24"/>
                <w:szCs w:val="24"/>
              </w:rPr>
            </w:pPr>
            <w:r w:rsidRPr="006160EF">
              <w:rPr>
                <w:iCs/>
                <w:sz w:val="24"/>
                <w:szCs w:val="24"/>
              </w:rPr>
              <w:t>I found this step difficult as following the principles of the MCA 2005 and recognising 2 as being ‘Gillick competent’ as described in ‘Gillick v West Norfolk and Wisbech Area Health Authority’ (1985) meant that he was recognised as being maturely competent to make his own decisions and the consequences of any actions from those. Even though 2 presented to have capacity following numerous sessions and could recall the risks clearly, he continued to report thoughts of absconding. To address on-going intervention was focused on meeting his needs through increasing family contact, alongside decreasing risk indicators and information sharing with agencies through MASM to decrease episodes of absconding over time.</w:t>
            </w:r>
          </w:p>
          <w:p w14:paraId="687F0C36" w14:textId="77777777" w:rsidR="006160EF" w:rsidRPr="006160EF" w:rsidRDefault="006160EF" w:rsidP="006160EF">
            <w:pPr>
              <w:spacing w:before="240"/>
              <w:jc w:val="both"/>
              <w:rPr>
                <w:iCs/>
                <w:sz w:val="24"/>
                <w:szCs w:val="24"/>
              </w:rPr>
            </w:pPr>
            <w:r w:rsidRPr="006160EF">
              <w:rPr>
                <w:iCs/>
                <w:sz w:val="24"/>
                <w:szCs w:val="24"/>
              </w:rPr>
              <w:t>In conclusion my work through safeguarding 2 and the actions taken were quite specific due to the nature of concerns, and 2’s status as a looked-after child. Although this was the case the same legislation and guidance is relevant to safeguarding all children and young people. For example, should 2 have been a child who was not care experienced, agencies with concerns of harm have a duty to report suspected harm to a child under Section 130 of the SSW(W)A 2014. A referral would be sent to children’s services for the information to be considered further using the WSP and safeguarding guidance (Welsh Government, 2018a) as previously discussed in 2’s case through a strategy discussion to explore risks. Should professionals agree that the individual is not in immediate danger, but needs are identified the duty to assess needs under section 21 of SSW(W)A 2014 should be actioned.</w:t>
            </w:r>
          </w:p>
          <w:p w14:paraId="6D0468A7" w14:textId="77777777" w:rsidR="006160EF" w:rsidRPr="006160EF" w:rsidRDefault="006160EF" w:rsidP="006160EF">
            <w:pPr>
              <w:spacing w:before="240"/>
              <w:jc w:val="both"/>
              <w:rPr>
                <w:iCs/>
                <w:sz w:val="24"/>
                <w:szCs w:val="24"/>
              </w:rPr>
            </w:pPr>
            <w:r w:rsidRPr="006160EF">
              <w:rPr>
                <w:iCs/>
                <w:sz w:val="24"/>
                <w:szCs w:val="24"/>
              </w:rPr>
              <w:t xml:space="preserve">Alternatively, if risks or immediate dangers are identified the duty of investigating under Section 47 of the CA 1989 is placed on the local authority. This investigation would need to be completed within 10 working days, be a specific assessment of the concerns shared to substantiate potential significant harm, and the likelihood of that harm continuing placing the child at risk. The outcome of this would then determine the next steps (WSP). If concerns were substantiated, but with no risk of on-going harm the child and family would be assessed under section 21 of SSW(W)A 2014. This is a person-centred assessment with the potential for any needs identified to be met through section 37 and potentially a care &amp; support plan agreed under section 54 (SSW(W)A 2014. </w:t>
            </w:r>
          </w:p>
          <w:p w14:paraId="5D2FC43B" w14:textId="77777777" w:rsidR="006160EF" w:rsidRPr="006160EF" w:rsidRDefault="006160EF" w:rsidP="006160EF">
            <w:pPr>
              <w:spacing w:before="240"/>
              <w:jc w:val="both"/>
              <w:rPr>
                <w:iCs/>
                <w:sz w:val="24"/>
                <w:szCs w:val="24"/>
              </w:rPr>
            </w:pPr>
            <w:r w:rsidRPr="006160EF">
              <w:rPr>
                <w:iCs/>
                <w:sz w:val="24"/>
                <w:szCs w:val="24"/>
              </w:rPr>
              <w:t xml:space="preserve">Alternatively, if concerns from an investigation are substantiated, and are likely to continue, practitioners follow Part 7 of SSW(W)A 2014, expanded on within the safeguarding guidance (Welsh Government, 2018a) and WSP to safeguard individuals. Concerns of significant harm would escalate into the child protection area, the first part of which would be the case conference. These conferences are essential for child protection, where multiple professionals along with parents, and if appropriate, young people assess risks, plan safety measures, and register at-risk children within 15 working days of the section 47 investigation. </w:t>
            </w:r>
          </w:p>
          <w:p w14:paraId="0C87E520" w14:textId="77777777" w:rsidR="006160EF" w:rsidRPr="006160EF" w:rsidRDefault="006160EF" w:rsidP="006160EF">
            <w:pPr>
              <w:spacing w:before="240"/>
              <w:jc w:val="both"/>
              <w:rPr>
                <w:iCs/>
                <w:sz w:val="24"/>
                <w:szCs w:val="24"/>
              </w:rPr>
            </w:pPr>
            <w:r w:rsidRPr="006160EF">
              <w:rPr>
                <w:iCs/>
                <w:sz w:val="24"/>
                <w:szCs w:val="24"/>
              </w:rPr>
              <w:t xml:space="preserve">If a child is placed on the child protection register, processes under the guidance (Welsh Government, 2018a, WSP) are followed with statutory visits to the children and regular core groups meetings of individuals to discuss and monitor the on-going risk management plan with clearly set timescales to adhere to. Dependent on any positive or negative changes, </w:t>
            </w:r>
            <w:r w:rsidRPr="006160EF">
              <w:rPr>
                <w:iCs/>
                <w:sz w:val="24"/>
                <w:szCs w:val="24"/>
              </w:rPr>
              <w:lastRenderedPageBreak/>
              <w:t xml:space="preserve">review case conferences are held to consider the risks again, and dependent on the findings children can be de-registered from the child protection process, or alternatively the local authority would seek legal advice on safeguarding any children through applying for a care order via section 31 of CA 1989. Should this be the result then any child subject to a care order would become a looked after child, as 2 is recognised as to safeguard from further harm. </w:t>
            </w:r>
          </w:p>
          <w:p w14:paraId="546DC05C" w14:textId="77777777" w:rsidR="006160EF" w:rsidRPr="006160EF" w:rsidRDefault="006160EF" w:rsidP="006160EF">
            <w:pPr>
              <w:spacing w:before="240"/>
              <w:jc w:val="both"/>
              <w:rPr>
                <w:iCs/>
                <w:sz w:val="24"/>
                <w:szCs w:val="24"/>
              </w:rPr>
            </w:pPr>
          </w:p>
          <w:p w14:paraId="5C222972" w14:textId="23B3568B" w:rsidR="00D3203C" w:rsidRDefault="006160EF" w:rsidP="006160EF">
            <w:pPr>
              <w:spacing w:before="240"/>
              <w:jc w:val="both"/>
              <w:rPr>
                <w:i/>
                <w:sz w:val="24"/>
                <w:szCs w:val="24"/>
              </w:rPr>
            </w:pPr>
            <w:r w:rsidRPr="006160EF">
              <w:rPr>
                <w:iCs/>
                <w:sz w:val="24"/>
                <w:szCs w:val="24"/>
              </w:rPr>
              <w:t>Word count: 4400.</w:t>
            </w: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F26565" w14:textId="77777777" w:rsidR="002D0AA6" w:rsidRDefault="002D0AA6">
      <w:r>
        <w:separator/>
      </w:r>
    </w:p>
  </w:endnote>
  <w:endnote w:type="continuationSeparator" w:id="0">
    <w:p w14:paraId="33AB04B9" w14:textId="77777777" w:rsidR="002D0AA6" w:rsidRDefault="002D0A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868674" w14:textId="77777777" w:rsidR="002D0AA6" w:rsidRDefault="002D0AA6">
      <w:r>
        <w:separator/>
      </w:r>
    </w:p>
  </w:footnote>
  <w:footnote w:type="continuationSeparator" w:id="0">
    <w:p w14:paraId="2E2A9128" w14:textId="77777777" w:rsidR="002D0AA6" w:rsidRDefault="002D0A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0AA6"/>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14D11"/>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60EF"/>
    <w:rsid w:val="006179BB"/>
    <w:rsid w:val="0062158D"/>
    <w:rsid w:val="00621AEE"/>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A6E21"/>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230B"/>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049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C6489"/>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4204</Words>
  <Characters>23969</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28117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Dylan Wyn Owen (PLANT)</cp:lastModifiedBy>
  <cp:revision>5</cp:revision>
  <cp:lastPrinted>2020-02-11T19:20:00Z</cp:lastPrinted>
  <dcterms:created xsi:type="dcterms:W3CDTF">2025-02-13T02:21:00Z</dcterms:created>
  <dcterms:modified xsi:type="dcterms:W3CDTF">2025-02-13T02:23:00Z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