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1C91A0" w14:textId="2C59B7FA" w:rsidR="00161A22" w:rsidRPr="00CC7A63" w:rsidRDefault="00CC7A63" w:rsidP="00545BA6">
      <w:pPr>
        <w:spacing w:line="360" w:lineRule="auto"/>
        <w:jc w:val="center"/>
        <w:rPr>
          <w:b/>
          <w:sz w:val="24"/>
          <w:szCs w:val="24"/>
          <w:u w:val="single"/>
        </w:rPr>
      </w:pPr>
      <w:r w:rsidRPr="00CC7A63">
        <w:rPr>
          <w:b/>
          <w:sz w:val="24"/>
          <w:szCs w:val="24"/>
          <w:u w:val="single"/>
        </w:rPr>
        <w:t>Aseiniad ECAD4001C</w:t>
      </w:r>
    </w:p>
    <w:p w14:paraId="08F3B064" w14:textId="3A2249FC" w:rsidR="00CC7A63" w:rsidRPr="00CC7A63" w:rsidRDefault="00CC7A63" w:rsidP="00545BA6">
      <w:pPr>
        <w:spacing w:line="360" w:lineRule="auto"/>
        <w:jc w:val="center"/>
        <w:rPr>
          <w:sz w:val="24"/>
          <w:szCs w:val="24"/>
        </w:rPr>
      </w:pPr>
      <w:r w:rsidRPr="00CC7A63">
        <w:rPr>
          <w:b/>
          <w:sz w:val="24"/>
          <w:szCs w:val="24"/>
          <w:u w:val="single"/>
        </w:rPr>
        <w:t>Teitl yr Aseiniad:</w:t>
      </w:r>
      <w:r w:rsidRPr="00CC7A63">
        <w:rPr>
          <w:sz w:val="24"/>
          <w:szCs w:val="24"/>
        </w:rPr>
        <w:t xml:space="preserve"> Ymateb adfyfyriol unigol i’r Profiad Addsygu Proffesiynol</w:t>
      </w:r>
    </w:p>
    <w:p w14:paraId="507D1160" w14:textId="665F8117" w:rsidR="00CC7A63" w:rsidRPr="00CC7A63" w:rsidRDefault="00CC7A63" w:rsidP="00545BA6">
      <w:pPr>
        <w:spacing w:line="360" w:lineRule="auto"/>
        <w:jc w:val="center"/>
        <w:rPr>
          <w:sz w:val="24"/>
          <w:szCs w:val="24"/>
        </w:rPr>
      </w:pPr>
      <w:r w:rsidRPr="00CC7A63">
        <w:rPr>
          <w:b/>
          <w:sz w:val="24"/>
          <w:szCs w:val="24"/>
          <w:u w:val="single"/>
        </w:rPr>
        <w:t>Cydlynydd Modiwl:</w:t>
      </w:r>
      <w:r w:rsidRPr="00CC7A63">
        <w:rPr>
          <w:sz w:val="24"/>
          <w:szCs w:val="24"/>
        </w:rPr>
        <w:t xml:space="preserve"> Rachel Bendall </w:t>
      </w:r>
    </w:p>
    <w:p w14:paraId="78E847B0" w14:textId="4941017C" w:rsidR="00CC7A63" w:rsidRPr="00CC7A63" w:rsidRDefault="00CC7A63" w:rsidP="00545BA6">
      <w:pPr>
        <w:spacing w:line="360" w:lineRule="auto"/>
        <w:jc w:val="center"/>
        <w:rPr>
          <w:sz w:val="24"/>
          <w:szCs w:val="24"/>
        </w:rPr>
      </w:pPr>
      <w:r w:rsidRPr="00CC7A63">
        <w:rPr>
          <w:b/>
          <w:sz w:val="24"/>
          <w:szCs w:val="24"/>
          <w:u w:val="single"/>
        </w:rPr>
        <w:t>Rhif Myfyriwr:</w:t>
      </w:r>
      <w:r w:rsidRPr="00CC7A63">
        <w:rPr>
          <w:sz w:val="24"/>
          <w:szCs w:val="24"/>
        </w:rPr>
        <w:t xml:space="preserve"> 1505026</w:t>
      </w:r>
    </w:p>
    <w:p w14:paraId="5DE2C3CB" w14:textId="4737A295" w:rsidR="00CC7A63" w:rsidRDefault="00CC7A63" w:rsidP="00545BA6">
      <w:pPr>
        <w:spacing w:line="360" w:lineRule="auto"/>
        <w:jc w:val="center"/>
        <w:rPr>
          <w:sz w:val="24"/>
          <w:szCs w:val="24"/>
        </w:rPr>
      </w:pPr>
      <w:r w:rsidRPr="00CC7A63">
        <w:rPr>
          <w:b/>
          <w:sz w:val="24"/>
          <w:szCs w:val="24"/>
          <w:u w:val="single"/>
        </w:rPr>
        <w:t>Enw:</w:t>
      </w:r>
      <w:r w:rsidRPr="00CC7A63">
        <w:rPr>
          <w:sz w:val="24"/>
          <w:szCs w:val="24"/>
        </w:rPr>
        <w:t xml:space="preserve"> Mared Wyn Powell</w:t>
      </w:r>
    </w:p>
    <w:p w14:paraId="71913251" w14:textId="408E5D08" w:rsidR="00233509" w:rsidRDefault="004A435E" w:rsidP="009A2AA4">
      <w:pPr>
        <w:spacing w:line="360" w:lineRule="auto"/>
        <w:rPr>
          <w:sz w:val="24"/>
          <w:szCs w:val="24"/>
        </w:rPr>
      </w:pPr>
      <w:r>
        <w:rPr>
          <w:rFonts w:ascii="Calibri" w:hAnsi="Calibri" w:cs="Calibri"/>
          <w:sz w:val="24"/>
          <w:szCs w:val="24"/>
        </w:rPr>
        <w:t>Credaf fod adfyfyrio yn hanfodol er mwyn caniatáu gwelliant ar gyfer y dyfodol ac ymestyn fy sgiliau sy’n gysylltiedig â’r byd addysg fel athrawes. Yn ystod fy mhrofiad addysgu proffesiynol cyntaf rwyf wedi medru datblygu fel unigolyn wrth i mi adfyfyrio ar fy ngwersi, a nodi’r hyn roedd yn llwyddiannus a sut roeddwn am ganolbwyntio ar y gwendidau, sef y ffordd ymlaen. Caniatâ hyn i mi roi ffocws ar agweddau penodol wrth gynllunio ar gyfer y dyfodol, yn ogystal â chael effaith gwell ar yr ystafell ddosbarth a’r addysg y byddwn yn trosglwyddo i’r disgyblion. Gall adfyfyrio fod yn fuddiol dros ben i athrawon a noda McAlpine and Weston (2000) fod y defnydd o adfyfyrio yn cynyddu eich datblygiad fel athro. Mae’r broses o adfyfyrio yn gylched wrth i chi werthuso eich profiad, gweithredu ar y camau nesaf gan mai dyna yw’r ffordd ymlaen, ac yna phwyso a mesur pa mor effeithiol oedd y newidiadau hynny. Os na wneir hynny gall adfyfyrio fod yn ddibwrpas. Nid yw adfyfyrio yn broses er mwyn fod yn negyddol am eich gwaith, ond yn hytrach yn broses i wella eich gwaith ac ymestyn eich syniadau ymhellach. Ffocysa Dewey (1993) ar nod adfyfyrio, sef anelu i drawsnewid sefyllfa lle mae ansicrwydd i sefyllfa sy’n fwy clir o ran y ffordd ymlaen. Creda Dewey (1993) mae cyfrifoldeb yr athro yw adfyfyrio ar waith eich hun er mwyn ei ddiwygio a’i wella. O fewn yr aseiniad hwn trafodir targedau a dderbyniwyd yn ystod yr wythnosau cyntaf o addysgu, a sut aethpwyd ati i bwyso a mesur er mwyn gwneud newidiadau addas a chyraeddadwy.</w:t>
      </w:r>
    </w:p>
    <w:p w14:paraId="7E674983" w14:textId="50DAFC1B" w:rsidR="00D71405" w:rsidRDefault="00DC06ED" w:rsidP="009A2AA4">
      <w:pPr>
        <w:spacing w:line="360" w:lineRule="auto"/>
        <w:rPr>
          <w:sz w:val="24"/>
          <w:szCs w:val="24"/>
        </w:rPr>
      </w:pPr>
      <w:r>
        <w:rPr>
          <w:rFonts w:ascii="Calibri" w:hAnsi="Calibri" w:cs="Calibri"/>
          <w:sz w:val="24"/>
          <w:szCs w:val="24"/>
        </w:rPr>
        <w:t xml:space="preserve">Yn ystod yr wythnos gyntaf fe wnes i ddod i adnabod y plant a chodi ymwybyddiaeth o strategaethau’r dosbarth er mwyn rheoli’r dosbarth mewn ffordd effeithiol. Er enghraifft, llaw dawel i ateb cwestiynau, system gwobrwyo gwaith da o’r enw seren ddisglair, wyneb trist ar gyfer disgyblion oedd yn herio, defnyddio tambwrin i gael sylw disgyblion ac sy’n golygu ei fod yn amser tacluso. Nid oeddwn wedi defnyddio strategaeth newydd fy hun ar gyfer rheoli’r dosbarth gan fy mod yn hapus gydag ymateb y plant wrth i mi ddefnyddio’r un </w:t>
      </w:r>
      <w:r>
        <w:rPr>
          <w:rFonts w:ascii="Calibri" w:hAnsi="Calibri" w:cs="Calibri"/>
          <w:sz w:val="24"/>
          <w:szCs w:val="24"/>
        </w:rPr>
        <w:lastRenderedPageBreak/>
        <w:t>strategaethau a’r athrawes ddosbarth. Roedd cyd-weithio yn agos a thrafod yn gyson gyda’r athrawes ddosbarth wedi bod yn fuddiol iawn. O ganlyniad, fe wnaeth ganiatáu i mi gael amryw o brofiadau a chyfleoedd i arwain tasgau ffocws, rhoi cymorth i grwpiau, ac arwain y dosbarth cyfan.</w:t>
      </w:r>
    </w:p>
    <w:p w14:paraId="7FF5721A" w14:textId="42F64A78" w:rsidR="00E94B22" w:rsidRDefault="004A435E" w:rsidP="009A2AA4">
      <w:pPr>
        <w:spacing w:line="360" w:lineRule="auto"/>
        <w:rPr>
          <w:rFonts w:cstheme="minorHAnsi"/>
          <w:sz w:val="24"/>
          <w:szCs w:val="24"/>
        </w:rPr>
      </w:pPr>
      <w:r>
        <w:rPr>
          <w:rFonts w:ascii="Calibri" w:hAnsi="Calibri" w:cs="Calibri"/>
          <w:sz w:val="24"/>
          <w:szCs w:val="24"/>
        </w:rPr>
        <w:t>Gan fod fy mentor dosbarth yn gyffredinol hapus gyda fy ngweithredoedd sy’n cyfateb gyda’r safonau SAC (2009), fe wnaethom drafod a phenderfynu ar darged yn ôl rhywbeth roeddem yn credu byddai’n werth ffocysu arno, yn enwedig gyda phlant y cyfnod sylfaen. Fy nharged am yr wythnos gyntaf o addysgu oedd S2.2 a S2.5 wedi cyfuno, sef “Eu bod yn gwybod ac yn deall amcanion a chanllawiau’r Cwricwlwm Cenedlaethol” ac “Eu bod yn gwybod sut i ddefnyddio TGCh yn effeithiol, i ddysgu eu pwnc ac i gefnogi eu rôl broffesiynol yn ehangach.” (Addysg, Cymru, 2009, pp.6-7) Caniatâ’r targedau yma i mi wella ac ymarfer fy sgiliau TGCh yn bersonol trwy gynllunio, ymgyfarwyddo’n fwy gyda’r FfCD ac arbrofi gyda gwahanol adnoddau a rhaglenni. Datblyga’r targed hwn fy sgiliau TGCh personol a galluoga i mi gynnig profiadau gwahanol a newydd i’r disgyblion yn y gwersi drwy ymarfer a datblygu eu sgiliau TGCh. Cafodd y plant gyfle i arbrofi drwy ddefnyddio Jit i greu darn o waith celf a chreadigol yn seiliedig ar thema’r gwersi sef Hugan fach goch. Roedd ymateb y plant yn bositif ac yn frwdfrydig i weithio ar yr ipads a chreu llun gan ddefnyddio gwahanol liwiau a thrafod eu llun. Ar y llaw arall roeddent yn cael trafferth i ddefnyddio’r allweddell, felly cafodd y dasg eu goruchwylio gan oedolyn er mwyn modeli frawddegau, rhoi cymorth a mewngofnodi i HWB. Caniatâ’r dasg hon iddynt feddwl yn greadigol a defnyddio’r allweddell i ysgrifennu brawddeg i ddisgrifio’r llun, sy’n gysylltiedig â’r fframwaith Llythrennedd. Yn ogystal â chreu darn o waith roedd y disgyblion yn cael eu dysgu sut i arbed eu gwaith a deall pwrpas gwneud hynny, sy’n cyfateb i sgil plant oed Derbyn ar y FfCD.</w:t>
      </w:r>
    </w:p>
    <w:p w14:paraId="1571B4A9" w14:textId="0BCE2828" w:rsidR="00D05317" w:rsidRDefault="004A435E" w:rsidP="009A2AA4">
      <w:pPr>
        <w:spacing w:line="360" w:lineRule="auto"/>
        <w:rPr>
          <w:rFonts w:cstheme="minorHAnsi"/>
          <w:sz w:val="24"/>
          <w:szCs w:val="24"/>
        </w:rPr>
      </w:pPr>
      <w:r>
        <w:rPr>
          <w:rFonts w:ascii="Calibri" w:hAnsi="Calibri" w:cs="Calibri"/>
          <w:sz w:val="24"/>
          <w:szCs w:val="24"/>
        </w:rPr>
        <w:t xml:space="preserve">Mewn gwers arall defnyddiwyd Beebot gyda grŵp o ddisgyblion er mwyn iddynt gyfarwyddo gyda’r ddyfais a dysgu sut i roi cyfarwyddiadau iddo. Doeddwn i ddim yn hyderus iawn am y wers hon gan fod defnyddio’r Beebot yn brofiad newydd i mi hefyd. Ond fel dyweda Estyn (2017) “The best teachers have high expectations, challenge their pupils and think critically about their own practice.” Wrth gynllunio o flaen llaw ac ymarfer defnyddio’r Beebot roeddwn yn medru bod yn sgaffald a chefnogi dysgu’r plant sy’n cyd-fynd â theory Bruner. Cysylltais hyn gydag elfen o ddaearyddiaeth wrth ddefnyddio lleoliadau o’r stori Hugan fach goch, a phwysleisio ar sut oedd y Beebot yn mynd i symud o un lleoliad i’r llall. Cysyllta hyn </w:t>
      </w:r>
      <w:r>
        <w:rPr>
          <w:rFonts w:ascii="Calibri" w:hAnsi="Calibri" w:cs="Calibri"/>
          <w:sz w:val="24"/>
          <w:szCs w:val="24"/>
        </w:rPr>
        <w:lastRenderedPageBreak/>
        <w:t>gyda’r maes dysgu datblygiad mathemategol wrth iddynt ddysgu am gyfeiriad a ffyrdd o symud, er enghraifft, ymlaen, yn ôl a throi. Gweler elfen o ddysgu’n drawsgwricwlaidd wrth ddefnyddio’r thema Hugan fach goch i gysylltu gyda mwy nag un maes dysgu. Ymateba’r plant yn bositif iawn wrth iddynt wrando ar gyfarwyddiadau a chymhelli ei gilydd wrth ddatrys problem i symud y Beebot o un lleoliad i’r llall. Bu’n rhaid iddynt gyd-weithio a thrafod ar y dechrau wrth roi cyfarwyddiadau i’r Beebot, ond erbyn diwedd y wers gellir gweld eu bod yn magu hyder wrth ddefnyddio’r Beebot. Gallwn weld felly fod y plant yn ddysgwyr gweithredol fel y creda Bruner y dylai’r plant fod, a ddim yn dibynnu arna i fel athrawes i’w sgaffald. Cafodd y dasg hon ei wneud allan yn yr awyr agored er mwyn amrywio’r amgylchedd roedd y plant yn dysgu ynddo. Yn ôl theori Mathland Papert (1993) dywed fod yr amgylchedd dysgu yn bwysig er mwyn caniatáu’r plant i gael y profiad gorau posib ar gyfer yr hyn maent yn dysgu. Noda fod yr adnoddau ac offer a ddefnyddiwyd yn ystod y profiad yn bwysig hefyd, a chredaf fy mod wedi llwyddo i wneud hyn yn yr achos yma.</w:t>
      </w:r>
    </w:p>
    <w:p w14:paraId="40B93E95" w14:textId="5E4B000B" w:rsidR="008D6FE9" w:rsidRDefault="00DC06ED" w:rsidP="009A2AA4">
      <w:pPr>
        <w:spacing w:line="360" w:lineRule="auto"/>
        <w:rPr>
          <w:rFonts w:ascii="Calibri" w:hAnsi="Calibri" w:cs="Calibri"/>
          <w:sz w:val="24"/>
          <w:szCs w:val="24"/>
        </w:rPr>
      </w:pPr>
      <w:r>
        <w:rPr>
          <w:rFonts w:ascii="Calibri" w:hAnsi="Calibri" w:cs="Calibri"/>
          <w:sz w:val="24"/>
          <w:szCs w:val="24"/>
        </w:rPr>
        <w:t>Wrth weld y plant yn mwynhau datrys problem a’n defnyddio’r Beebot fe benderfynais ddefnyddio’r Beebot fel darpariaeth barhaus</w:t>
      </w:r>
      <w:r w:rsidR="00275ADC">
        <w:rPr>
          <w:rFonts w:ascii="Calibri" w:hAnsi="Calibri" w:cs="Calibri"/>
          <w:sz w:val="24"/>
          <w:szCs w:val="24"/>
        </w:rPr>
        <w:t xml:space="preserve"> ar gyfer gweddill fy mhrofiad dysgu</w:t>
      </w:r>
      <w:r>
        <w:rPr>
          <w:rFonts w:ascii="Calibri" w:hAnsi="Calibri" w:cs="Calibri"/>
          <w:sz w:val="24"/>
          <w:szCs w:val="24"/>
        </w:rPr>
        <w:t xml:space="preserve">. </w:t>
      </w:r>
      <w:r w:rsidR="00126056">
        <w:rPr>
          <w:rFonts w:ascii="Calibri" w:hAnsi="Calibri" w:cs="Calibri"/>
          <w:sz w:val="24"/>
          <w:szCs w:val="24"/>
        </w:rPr>
        <w:t xml:space="preserve">Golyga hyn fod disgyblion gallu uwch yn </w:t>
      </w:r>
      <w:r w:rsidR="00072FAC">
        <w:rPr>
          <w:rFonts w:ascii="Calibri" w:hAnsi="Calibri" w:cs="Calibri"/>
          <w:sz w:val="24"/>
          <w:szCs w:val="24"/>
        </w:rPr>
        <w:t>medru arwain disgyblion eraill ar sut i ddefnyddio’r Beebot heb arweiniad oedolyn.</w:t>
      </w:r>
      <w:r>
        <w:rPr>
          <w:rFonts w:ascii="Calibri" w:hAnsi="Calibri" w:cs="Calibri"/>
          <w:sz w:val="24"/>
          <w:szCs w:val="24"/>
        </w:rPr>
        <w:t xml:space="preserve"> Dyweda theori Maslow unwaith i ni lwyddo ar y lefel isaf y byddwn yn ddigon hyderus i symud ymlaen i’r lefel uwch. Wrth weld y plant yn gweithio’n annibynnol heb sgaffald athrawes i arbrofi, mwynhau a datrys problem, teimlais fy mod wedi rhoi cyfle iddynt werthfawrogi’r offer technolegol ac ymestyn eu sgiliau codio TGCh. Teimlais falchder hefyd wrth eu clywed yn defnyddio ieithwedd fathemategol a Chymraeg i drafod a llwyddo yn eu gwaith</w:t>
      </w:r>
      <w:r w:rsidR="00A26468">
        <w:rPr>
          <w:rFonts w:ascii="Calibri" w:hAnsi="Calibri" w:cs="Calibri"/>
          <w:sz w:val="24"/>
          <w:szCs w:val="24"/>
        </w:rPr>
        <w:t xml:space="preserve">, sy’n cyfateb â sgil a nodir yn y cwricwlwm. </w:t>
      </w:r>
    </w:p>
    <w:p w14:paraId="64A8F1CE" w14:textId="60F5E9B8" w:rsidR="009E0070" w:rsidRDefault="004A435E" w:rsidP="009A2AA4">
      <w:pPr>
        <w:spacing w:line="360" w:lineRule="auto"/>
        <w:rPr>
          <w:rFonts w:cstheme="minorHAnsi"/>
          <w:color w:val="000000"/>
          <w:sz w:val="24"/>
          <w:szCs w:val="24"/>
        </w:rPr>
      </w:pPr>
      <w:r>
        <w:rPr>
          <w:rFonts w:ascii="Calibri" w:hAnsi="Calibri" w:cs="Calibri"/>
          <w:sz w:val="24"/>
          <w:szCs w:val="24"/>
        </w:rPr>
        <w:t xml:space="preserve">Fy ail darged oedd cyfoethogi iaith lafar y Gymraeg i ddisgyblion y Meithrin gan nad oeddent yn deall nac yn medru siarad y Gymraeg. Cyfateba hyn gyda’r safon SAC S3.3.5, “Eu bod yn gallu cefnogi’r rheini sy’n dysgu Cymraeg neu Saesneg os mai dyna’r iaith y maent yn cael eu dysgu ynddi a’i bod yn wahanol i iaith, </w:t>
      </w:r>
      <w:r>
        <w:rPr>
          <w:rFonts w:ascii="Calibri" w:hAnsi="Calibri" w:cs="Calibri"/>
          <w:color w:val="000000"/>
          <w:sz w:val="24"/>
          <w:szCs w:val="24"/>
        </w:rPr>
        <w:t xml:space="preserve">neu i ffurf iaith, eu cartref, gyda chymorth athro profiadol pan fo hynny'n briodol.” (Addysg, Cymru, 2009, p11) Ymchwiliais a chynlluniais ar gyfer y dulliau gorau o wneud hyn, a sylwais fod y dull frechdan yn boblogaidd iawn, canu rhigymau yn ddyddiol a phatrymau ail adrodd cyson. Defnyddia’r ysgol becynnau llythrennau/synau wythnosol yn ogystal ag ambell adnodd tric a chlic. Yn ddyddiol roeddwn </w:t>
      </w:r>
      <w:r>
        <w:rPr>
          <w:rFonts w:ascii="Calibri" w:hAnsi="Calibri" w:cs="Calibri"/>
          <w:color w:val="000000"/>
          <w:sz w:val="24"/>
          <w:szCs w:val="24"/>
        </w:rPr>
        <w:lastRenderedPageBreak/>
        <w:t>yn cyd-weithio â phedwar disgybl ac yn ffocysu ar bedwar llythyren. Gwelais sut roedd lefel canolbwyntio’r plant yn wych wrth weithio mewn grŵp bychan ac roeddwn yn medru rhoi sylw i bob un ohonynt a’u gwobrwyo am eu hymdrechion wrth synnu ac adrodd llythrennau a geiriau. Wrth asesu disgybl mae’n hanfodol fod yr athrawes yn medru ei asesu yn glir ac yn weithredol. Dyweda Vygotsky yn ei theori Parth Datblygiad Personol (1924-1934), fod yr athro yn medru bod yn sgaffald a modeli syniadau a phatrymau drwy arwain y plant cam wrth gam a sicrhau eu bod yn deall bob cam. Bu hyn yn llwyddiannus wrth arwain y disgyblion a symleiddio problemau er mwyn adeiladu ar wybodaeth oedd ganddynt yn barod. Defnyddir geiriau oedd yn cysylltu’r Gymraeg â’r Saesneg a bu hyn yn ddefnyddiol dros ben wrth iddynt ddwyn i gof y geiriau hynny’n gyflymach a dechrau adeiladu ar eu dealltwriaeth o eirfa. Erbyn diwedd yr wythnos roedd y mwyafrif yn medru adnabod y llythyren a’u synnu gan roi enghraifft o air oedd yn dechrau â’r llythyren hwnnw. Gallwn weld fod y ffocws dyddiol wedi talu ffordd. Llwyddodd gweithred megis syniad Bruner o’r cwricwlwm troellog, sef system o ddysgu lle rydych yn dychwelyd at yr un pwynt dro ar ôl tro, er mwyn rhoi cyfle i’r plentyn ddyfnhau’r dysgu a’r deall. Pletha’r theori cwricwlwm troellog gyda damcaniaeth Vygotsky o’r theori PDP a gallwn weld fod y ddau wedi llwyddo i gyrraedd y nod yn ôl y canlyniad ar ddiwedd yr wythnos.</w:t>
      </w:r>
    </w:p>
    <w:p w14:paraId="04504EE8" w14:textId="77777777" w:rsidR="004A435E" w:rsidRDefault="004A435E" w:rsidP="00111F8B">
      <w:pPr>
        <w:spacing w:line="360" w:lineRule="auto"/>
        <w:rPr>
          <w:rFonts w:cstheme="minorHAnsi"/>
          <w:color w:val="000000"/>
          <w:sz w:val="24"/>
          <w:szCs w:val="24"/>
        </w:rPr>
      </w:pPr>
      <w:r>
        <w:rPr>
          <w:rFonts w:ascii="Calibri" w:hAnsi="Calibri" w:cs="Calibri"/>
          <w:color w:val="000000"/>
          <w:sz w:val="24"/>
          <w:szCs w:val="24"/>
        </w:rPr>
        <w:t>I grynhoi credaf fod adfyfyrio yn rhan hanfodol o swydd athrawes. Caniatâ’r athro i wella’r addysg a gaiff ei ddarparu yn yr ystafell ddosbarth, a’r ddarpariaeth sydd ar gael i gefnogi’r addysg. Gellir defnyddio sawl dull gwahanol o adfyfyrio megis Tacsonomeg Blooms, ond dylid defnyddio’r dull adfyfyrio gorau ar gyfer y sefyllfa. Galluoga adfyfyrio i athrawon fod yn fwy effeithiol yn eu gwaith a datblygu sgiliau er mwyn medru addasu ar gyfer gwahanol ddigwyddiadau o fewn yr ystafell ddosbarth. Gall ddatblygu perthynas gwell rhwng yr athro a’r disgyblion neu rhwng staff y dosbarth wrth drafod pa ddulliau neu strategaethau sy’n well ar gyfer y disgyblion wrth wneud tasgau. Mae adfyfyrio wedi bod o fudd mawr i mi yn ystod PAP ac wedi helpu mi i dyfu a gwella fy nysgu wrth werthuso fy ngwersi ar gyfer y dyfodol.</w:t>
      </w:r>
    </w:p>
    <w:p w14:paraId="656200E6" w14:textId="77777777" w:rsidR="004A435E" w:rsidRDefault="004A435E" w:rsidP="00111F8B">
      <w:pPr>
        <w:spacing w:line="360" w:lineRule="auto"/>
        <w:rPr>
          <w:rFonts w:cstheme="minorHAnsi"/>
          <w:color w:val="000000"/>
          <w:sz w:val="24"/>
          <w:szCs w:val="24"/>
        </w:rPr>
      </w:pPr>
    </w:p>
    <w:p w14:paraId="75DCBA82" w14:textId="77777777" w:rsidR="004A435E" w:rsidRDefault="004A435E" w:rsidP="00111F8B">
      <w:pPr>
        <w:spacing w:line="360" w:lineRule="auto"/>
        <w:rPr>
          <w:rFonts w:cstheme="minorHAnsi"/>
          <w:color w:val="000000"/>
          <w:sz w:val="24"/>
          <w:szCs w:val="24"/>
        </w:rPr>
      </w:pPr>
    </w:p>
    <w:p w14:paraId="141BC0C9" w14:textId="640D8CBE" w:rsidR="00164540" w:rsidRPr="004A435E" w:rsidRDefault="004A435E" w:rsidP="009A2AA4">
      <w:pPr>
        <w:spacing w:line="360" w:lineRule="auto"/>
        <w:rPr>
          <w:rFonts w:cstheme="minorHAnsi"/>
          <w:color w:val="000000"/>
          <w:sz w:val="24"/>
          <w:szCs w:val="24"/>
        </w:rPr>
      </w:pPr>
      <w:r>
        <w:rPr>
          <w:sz w:val="24"/>
          <w:szCs w:val="24"/>
        </w:rPr>
        <w:t>1</w:t>
      </w:r>
      <w:r w:rsidR="00383BEB">
        <w:rPr>
          <w:sz w:val="24"/>
          <w:szCs w:val="24"/>
        </w:rPr>
        <w:t>,</w:t>
      </w:r>
      <w:bookmarkStart w:id="0" w:name="_GoBack"/>
      <w:bookmarkEnd w:id="0"/>
      <w:r>
        <w:rPr>
          <w:sz w:val="24"/>
          <w:szCs w:val="24"/>
        </w:rPr>
        <w:t>639</w:t>
      </w:r>
      <w:r w:rsidR="00111F8B">
        <w:rPr>
          <w:sz w:val="24"/>
          <w:szCs w:val="24"/>
        </w:rPr>
        <w:t xml:space="preserve"> o eiria</w:t>
      </w:r>
      <w:r>
        <w:rPr>
          <w:sz w:val="24"/>
          <w:szCs w:val="24"/>
        </w:rPr>
        <w:t>u</w:t>
      </w:r>
    </w:p>
    <w:p w14:paraId="319F30A0" w14:textId="67EB0A19" w:rsidR="002D7088" w:rsidRDefault="002D7088" w:rsidP="009A2AA4">
      <w:pPr>
        <w:spacing w:line="360" w:lineRule="auto"/>
        <w:rPr>
          <w:b/>
          <w:sz w:val="24"/>
          <w:szCs w:val="24"/>
          <w:u w:val="single"/>
        </w:rPr>
      </w:pPr>
      <w:r w:rsidRPr="002D7088">
        <w:rPr>
          <w:b/>
          <w:sz w:val="24"/>
          <w:szCs w:val="24"/>
          <w:u w:val="single"/>
        </w:rPr>
        <w:lastRenderedPageBreak/>
        <w:t>Rhestr Cyfeirnodi</w:t>
      </w:r>
    </w:p>
    <w:p w14:paraId="738233B5" w14:textId="202CF656" w:rsidR="001D0224" w:rsidRPr="001C6EAB" w:rsidRDefault="004A435E" w:rsidP="001D0224">
      <w:pPr>
        <w:spacing w:line="360" w:lineRule="auto"/>
        <w:rPr>
          <w:sz w:val="24"/>
          <w:szCs w:val="24"/>
        </w:rPr>
      </w:pPr>
      <w:r>
        <w:rPr>
          <w:rFonts w:ascii="Calibri" w:hAnsi="Calibri" w:cs="Calibri"/>
          <w:sz w:val="24"/>
          <w:szCs w:val="24"/>
        </w:rPr>
        <w:t xml:space="preserve">Addysg, Cymru (2009) </w:t>
      </w:r>
      <w:r>
        <w:rPr>
          <w:rFonts w:ascii="Calibri" w:hAnsi="Calibri" w:cs="Calibri"/>
          <w:i/>
          <w:iCs/>
          <w:sz w:val="24"/>
          <w:szCs w:val="24"/>
        </w:rPr>
        <w:t>Safonau Statws Athro Cymwysedig Cymru 2009 Rhif 25</w:t>
      </w:r>
      <w:r>
        <w:rPr>
          <w:rFonts w:ascii="Calibri" w:hAnsi="Calibri" w:cs="Calibri"/>
          <w:sz w:val="24"/>
          <w:szCs w:val="24"/>
        </w:rPr>
        <w:t>. Caerdydd: Llywodraeth Cynulliad Cymru.</w:t>
      </w:r>
    </w:p>
    <w:p w14:paraId="320E2822" w14:textId="77777777" w:rsidR="001D0224" w:rsidRPr="00A81FD2" w:rsidRDefault="001D0224" w:rsidP="001D0224">
      <w:pPr>
        <w:spacing w:line="360" w:lineRule="auto"/>
        <w:rPr>
          <w:i/>
          <w:sz w:val="24"/>
          <w:szCs w:val="24"/>
        </w:rPr>
      </w:pPr>
      <w:r>
        <w:rPr>
          <w:sz w:val="24"/>
          <w:szCs w:val="24"/>
        </w:rPr>
        <w:t xml:space="preserve">Estyn. (2017) </w:t>
      </w:r>
      <w:r>
        <w:rPr>
          <w:i/>
          <w:sz w:val="24"/>
          <w:szCs w:val="24"/>
        </w:rPr>
        <w:t xml:space="preserve">Teaching ‘weakest aspect’ of Education in Wales – Estyn. </w:t>
      </w:r>
      <w:r w:rsidRPr="003844CE">
        <w:rPr>
          <w:sz w:val="24"/>
          <w:szCs w:val="24"/>
        </w:rPr>
        <w:t>Ar gael</w:t>
      </w:r>
      <w:r>
        <w:rPr>
          <w:sz w:val="24"/>
          <w:szCs w:val="24"/>
        </w:rPr>
        <w:t xml:space="preserve"> ar:</w:t>
      </w:r>
      <w:r>
        <w:rPr>
          <w:i/>
          <w:sz w:val="24"/>
          <w:szCs w:val="24"/>
        </w:rPr>
        <w:t xml:space="preserve"> </w:t>
      </w:r>
      <w:hyperlink r:id="rId7" w:history="1">
        <w:r w:rsidRPr="0017399B">
          <w:rPr>
            <w:rStyle w:val="Hyperlink"/>
            <w:sz w:val="24"/>
            <w:szCs w:val="24"/>
          </w:rPr>
          <w:t>https://www.bbc.co.uk/news/uk-wales-38718661</w:t>
        </w:r>
      </w:hyperlink>
      <w:r w:rsidRPr="0017399B">
        <w:rPr>
          <w:sz w:val="24"/>
          <w:szCs w:val="24"/>
        </w:rPr>
        <w:t xml:space="preserve"> </w:t>
      </w:r>
      <w:r>
        <w:rPr>
          <w:sz w:val="24"/>
          <w:szCs w:val="24"/>
        </w:rPr>
        <w:t xml:space="preserve">(Darllenwyd 2il o Fawrth 2019) </w:t>
      </w:r>
    </w:p>
    <w:p w14:paraId="40BFEFEA" w14:textId="2F05A4B2" w:rsidR="001D0224" w:rsidRDefault="001D0224" w:rsidP="009A2AA4">
      <w:pPr>
        <w:spacing w:line="360" w:lineRule="auto"/>
        <w:rPr>
          <w:b/>
          <w:sz w:val="24"/>
          <w:szCs w:val="24"/>
          <w:u w:val="single"/>
        </w:rPr>
      </w:pPr>
      <w:r>
        <w:rPr>
          <w:b/>
          <w:sz w:val="24"/>
          <w:szCs w:val="24"/>
          <w:u w:val="single"/>
        </w:rPr>
        <w:t>Llyfryddiaeth</w:t>
      </w:r>
    </w:p>
    <w:p w14:paraId="6ED790D2" w14:textId="77777777" w:rsidR="001C6EAB" w:rsidRPr="00313213" w:rsidRDefault="001C6EAB" w:rsidP="009A2AA4">
      <w:pPr>
        <w:spacing w:line="360" w:lineRule="auto"/>
        <w:rPr>
          <w:sz w:val="24"/>
          <w:szCs w:val="24"/>
        </w:rPr>
      </w:pPr>
      <w:r w:rsidRPr="00B21F38">
        <w:rPr>
          <w:sz w:val="24"/>
          <w:szCs w:val="24"/>
        </w:rPr>
        <w:t xml:space="preserve">Bloom, B. (1956) </w:t>
      </w:r>
      <w:r w:rsidRPr="00B21F38">
        <w:rPr>
          <w:i/>
          <w:sz w:val="24"/>
          <w:szCs w:val="24"/>
        </w:rPr>
        <w:t>Taxonomy</w:t>
      </w:r>
      <w:r>
        <w:rPr>
          <w:i/>
          <w:sz w:val="24"/>
          <w:szCs w:val="24"/>
        </w:rPr>
        <w:t xml:space="preserve"> of educational objectives. </w:t>
      </w:r>
      <w:r w:rsidRPr="00313213">
        <w:rPr>
          <w:sz w:val="24"/>
          <w:szCs w:val="24"/>
        </w:rPr>
        <w:t>N.Y</w:t>
      </w:r>
      <w:r>
        <w:rPr>
          <w:sz w:val="24"/>
          <w:szCs w:val="24"/>
        </w:rPr>
        <w:t>. : Longmans, Green.</w:t>
      </w:r>
    </w:p>
    <w:p w14:paraId="5EDBB562" w14:textId="77777777" w:rsidR="001C6EAB" w:rsidRDefault="001C6EAB" w:rsidP="009A2AA4">
      <w:pPr>
        <w:spacing w:line="360" w:lineRule="auto"/>
        <w:rPr>
          <w:sz w:val="24"/>
          <w:szCs w:val="24"/>
        </w:rPr>
      </w:pPr>
      <w:r>
        <w:rPr>
          <w:sz w:val="24"/>
          <w:szCs w:val="24"/>
        </w:rPr>
        <w:t xml:space="preserve">Bruce, T. (2004) </w:t>
      </w:r>
      <w:r>
        <w:rPr>
          <w:i/>
          <w:sz w:val="24"/>
          <w:szCs w:val="24"/>
        </w:rPr>
        <w:t xml:space="preserve">Developing Learning in Early Childhood. </w:t>
      </w:r>
      <w:r>
        <w:rPr>
          <w:sz w:val="24"/>
          <w:szCs w:val="24"/>
        </w:rPr>
        <w:t>London: Routledge.</w:t>
      </w:r>
    </w:p>
    <w:p w14:paraId="2DCA5C6D" w14:textId="77777777" w:rsidR="001C6EAB" w:rsidRDefault="001C6EAB" w:rsidP="009A2AA4">
      <w:pPr>
        <w:spacing w:line="360" w:lineRule="auto"/>
        <w:rPr>
          <w:sz w:val="24"/>
          <w:szCs w:val="24"/>
        </w:rPr>
      </w:pPr>
      <w:r>
        <w:rPr>
          <w:sz w:val="24"/>
          <w:szCs w:val="24"/>
        </w:rPr>
        <w:t xml:space="preserve">Cohen, D. (2006) </w:t>
      </w:r>
      <w:r>
        <w:rPr>
          <w:i/>
          <w:sz w:val="24"/>
          <w:szCs w:val="24"/>
        </w:rPr>
        <w:t xml:space="preserve">The Development of Play. </w:t>
      </w:r>
      <w:r>
        <w:rPr>
          <w:sz w:val="24"/>
          <w:szCs w:val="24"/>
        </w:rPr>
        <w:t>3</w:t>
      </w:r>
      <w:r w:rsidRPr="008E286E">
        <w:rPr>
          <w:sz w:val="24"/>
          <w:szCs w:val="24"/>
          <w:vertAlign w:val="superscript"/>
        </w:rPr>
        <w:t>rd</w:t>
      </w:r>
      <w:r>
        <w:rPr>
          <w:sz w:val="24"/>
          <w:szCs w:val="24"/>
        </w:rPr>
        <w:t xml:space="preserve"> edn. London: Routledge.</w:t>
      </w:r>
    </w:p>
    <w:p w14:paraId="474883AF" w14:textId="77777777" w:rsidR="001C6EAB" w:rsidRDefault="001C6EAB" w:rsidP="009A2AA4">
      <w:pPr>
        <w:spacing w:line="360" w:lineRule="auto"/>
        <w:rPr>
          <w:sz w:val="24"/>
          <w:szCs w:val="24"/>
        </w:rPr>
      </w:pPr>
      <w:r>
        <w:rPr>
          <w:sz w:val="24"/>
          <w:szCs w:val="24"/>
        </w:rPr>
        <w:t xml:space="preserve">DCELLS. (2008) </w:t>
      </w:r>
      <w:r>
        <w:rPr>
          <w:i/>
          <w:sz w:val="24"/>
          <w:szCs w:val="24"/>
        </w:rPr>
        <w:t xml:space="preserve">Addysgeg Dysgu ac Addysgu. </w:t>
      </w:r>
      <w:r>
        <w:rPr>
          <w:sz w:val="24"/>
          <w:szCs w:val="24"/>
        </w:rPr>
        <w:t xml:space="preserve">Caerdydd: DCELLS. </w:t>
      </w:r>
    </w:p>
    <w:p w14:paraId="43F0B25B" w14:textId="77777777" w:rsidR="001C6EAB" w:rsidRDefault="001C6EAB" w:rsidP="009A2AA4">
      <w:pPr>
        <w:spacing w:line="360" w:lineRule="auto"/>
        <w:rPr>
          <w:sz w:val="24"/>
          <w:szCs w:val="24"/>
        </w:rPr>
      </w:pPr>
      <w:r>
        <w:rPr>
          <w:sz w:val="24"/>
          <w:szCs w:val="24"/>
        </w:rPr>
        <w:t xml:space="preserve">DCELLS. (2008) </w:t>
      </w:r>
      <w:r>
        <w:rPr>
          <w:i/>
          <w:sz w:val="24"/>
          <w:szCs w:val="24"/>
        </w:rPr>
        <w:t xml:space="preserve">Arsylwi ar Blant. </w:t>
      </w:r>
      <w:r>
        <w:rPr>
          <w:sz w:val="24"/>
          <w:szCs w:val="24"/>
        </w:rPr>
        <w:t>Caerdydd: DCELLS.</w:t>
      </w:r>
    </w:p>
    <w:p w14:paraId="03F7287A" w14:textId="0EFA5A2C" w:rsidR="001C6EAB" w:rsidRDefault="001C6EAB" w:rsidP="009A2AA4">
      <w:pPr>
        <w:spacing w:line="360" w:lineRule="auto"/>
        <w:rPr>
          <w:sz w:val="24"/>
          <w:szCs w:val="24"/>
        </w:rPr>
      </w:pPr>
      <w:r>
        <w:rPr>
          <w:sz w:val="24"/>
          <w:szCs w:val="24"/>
        </w:rPr>
        <w:t xml:space="preserve">DCELLS. (2008) </w:t>
      </w:r>
      <w:r>
        <w:rPr>
          <w:i/>
          <w:sz w:val="24"/>
          <w:szCs w:val="24"/>
        </w:rPr>
        <w:t xml:space="preserve">Chwarae/Dysgu Gweithredol – Trosolwg ar gyfer plant 3 i 7 oed. </w:t>
      </w:r>
      <w:r>
        <w:rPr>
          <w:sz w:val="24"/>
          <w:szCs w:val="24"/>
        </w:rPr>
        <w:t>Caerdydd: DCELLS.</w:t>
      </w:r>
    </w:p>
    <w:p w14:paraId="3561F66B" w14:textId="30744642" w:rsidR="00750F5D" w:rsidRPr="00750F5D" w:rsidRDefault="00750F5D" w:rsidP="009A2AA4">
      <w:pPr>
        <w:spacing w:line="360" w:lineRule="auto"/>
        <w:rPr>
          <w:rFonts w:cstheme="minorHAnsi"/>
          <w:sz w:val="24"/>
          <w:szCs w:val="24"/>
        </w:rPr>
      </w:pPr>
      <w:r w:rsidRPr="00750F5D">
        <w:rPr>
          <w:rFonts w:cstheme="minorHAnsi"/>
          <w:color w:val="000000"/>
          <w:sz w:val="24"/>
          <w:szCs w:val="24"/>
        </w:rPr>
        <w:t xml:space="preserve">Dewey, J. (1933) </w:t>
      </w:r>
      <w:r w:rsidRPr="00750F5D">
        <w:rPr>
          <w:rFonts w:cstheme="minorHAnsi"/>
          <w:i/>
          <w:color w:val="000000"/>
          <w:sz w:val="24"/>
          <w:szCs w:val="24"/>
        </w:rPr>
        <w:t>How We Think: A Restatement of the Relation of Reflective Thinking to the Educative Process.</w:t>
      </w:r>
      <w:r w:rsidRPr="00750F5D">
        <w:rPr>
          <w:rFonts w:cstheme="minorHAnsi"/>
          <w:color w:val="000000"/>
          <w:sz w:val="24"/>
          <w:szCs w:val="24"/>
        </w:rPr>
        <w:t xml:space="preserve"> Boston, MA: D.C. Heath &amp; Co Publishers.</w:t>
      </w:r>
    </w:p>
    <w:p w14:paraId="3BD87483" w14:textId="77777777" w:rsidR="001C6EAB" w:rsidRDefault="001C6EAB" w:rsidP="009A2AA4">
      <w:pPr>
        <w:spacing w:line="360" w:lineRule="auto"/>
        <w:rPr>
          <w:sz w:val="24"/>
          <w:szCs w:val="24"/>
        </w:rPr>
      </w:pPr>
      <w:r>
        <w:rPr>
          <w:sz w:val="24"/>
          <w:szCs w:val="24"/>
        </w:rPr>
        <w:t xml:space="preserve">Docking, J. (2002) </w:t>
      </w:r>
      <w:r>
        <w:rPr>
          <w:i/>
          <w:sz w:val="24"/>
          <w:szCs w:val="24"/>
        </w:rPr>
        <w:t xml:space="preserve">Managing Behaviour in the Primary School. </w:t>
      </w:r>
      <w:r>
        <w:rPr>
          <w:sz w:val="24"/>
          <w:szCs w:val="24"/>
        </w:rPr>
        <w:t>London: David Fulton.</w:t>
      </w:r>
    </w:p>
    <w:p w14:paraId="79FA9529" w14:textId="77777777" w:rsidR="001C6EAB" w:rsidRDefault="001C6EAB" w:rsidP="009A2AA4">
      <w:pPr>
        <w:spacing w:line="360" w:lineRule="auto"/>
        <w:rPr>
          <w:sz w:val="24"/>
          <w:szCs w:val="24"/>
        </w:rPr>
      </w:pPr>
      <w:r w:rsidRPr="00477995">
        <w:rPr>
          <w:sz w:val="24"/>
          <w:szCs w:val="24"/>
        </w:rPr>
        <w:t>D</w:t>
      </w:r>
      <w:r>
        <w:rPr>
          <w:sz w:val="24"/>
          <w:szCs w:val="24"/>
        </w:rPr>
        <w:t xml:space="preserve">onaldson, G. (2015) </w:t>
      </w:r>
      <w:r>
        <w:rPr>
          <w:i/>
          <w:sz w:val="24"/>
          <w:szCs w:val="24"/>
        </w:rPr>
        <w:t xml:space="preserve">Dyfodol Llwyddiannus. </w:t>
      </w:r>
      <w:r>
        <w:rPr>
          <w:sz w:val="24"/>
          <w:szCs w:val="24"/>
        </w:rPr>
        <w:t>Caerdydd: Llywodraeth Cymru.</w:t>
      </w:r>
    </w:p>
    <w:p w14:paraId="38B3454C" w14:textId="77777777" w:rsidR="001C6EAB" w:rsidRPr="00617D83" w:rsidRDefault="001C6EAB" w:rsidP="009A2AA4">
      <w:pPr>
        <w:spacing w:line="360" w:lineRule="auto"/>
        <w:rPr>
          <w:sz w:val="24"/>
          <w:szCs w:val="24"/>
        </w:rPr>
      </w:pPr>
      <w:r>
        <w:rPr>
          <w:sz w:val="24"/>
          <w:szCs w:val="24"/>
        </w:rPr>
        <w:t xml:space="preserve">Francis, D. (1995) </w:t>
      </w:r>
      <w:r>
        <w:rPr>
          <w:i/>
          <w:sz w:val="24"/>
          <w:szCs w:val="24"/>
        </w:rPr>
        <w:t xml:space="preserve">The Reflective Journal: a window to preservice teachers’ practical knowledge. </w:t>
      </w:r>
      <w:r>
        <w:rPr>
          <w:sz w:val="24"/>
          <w:szCs w:val="24"/>
        </w:rPr>
        <w:t xml:space="preserve">Teaching and Teacher Education. </w:t>
      </w:r>
    </w:p>
    <w:p w14:paraId="50763CD7" w14:textId="77777777" w:rsidR="001C6EAB" w:rsidRPr="00B21F38" w:rsidRDefault="001C6EAB" w:rsidP="009A2AA4">
      <w:pPr>
        <w:spacing w:line="360" w:lineRule="auto"/>
        <w:rPr>
          <w:sz w:val="24"/>
          <w:szCs w:val="24"/>
        </w:rPr>
      </w:pPr>
      <w:r>
        <w:rPr>
          <w:sz w:val="24"/>
          <w:szCs w:val="24"/>
        </w:rPr>
        <w:t xml:space="preserve">Gibbs, C.J. (1988) </w:t>
      </w:r>
      <w:r>
        <w:rPr>
          <w:i/>
          <w:sz w:val="24"/>
          <w:szCs w:val="24"/>
        </w:rPr>
        <w:t xml:space="preserve">Learning by Doing: A Guide to Teaching and Learning Methods. </w:t>
      </w:r>
      <w:r>
        <w:rPr>
          <w:sz w:val="24"/>
          <w:szCs w:val="24"/>
        </w:rPr>
        <w:t xml:space="preserve">Oxford: Further Educational Unit, Oxford Polytechnic. </w:t>
      </w:r>
    </w:p>
    <w:p w14:paraId="6308E1D7" w14:textId="77777777" w:rsidR="001C6EAB" w:rsidRDefault="001C6EAB" w:rsidP="009A2AA4">
      <w:pPr>
        <w:spacing w:line="360" w:lineRule="auto"/>
        <w:rPr>
          <w:sz w:val="24"/>
          <w:szCs w:val="24"/>
        </w:rPr>
      </w:pPr>
      <w:r>
        <w:rPr>
          <w:sz w:val="24"/>
          <w:szCs w:val="24"/>
        </w:rPr>
        <w:t xml:space="preserve">Griff, R. (2014) </w:t>
      </w:r>
      <w:r>
        <w:rPr>
          <w:i/>
          <w:sz w:val="24"/>
          <w:szCs w:val="24"/>
        </w:rPr>
        <w:t>Becoming an Outstanding Primary School Teacher (2</w:t>
      </w:r>
      <w:r w:rsidRPr="00DD25AB">
        <w:rPr>
          <w:i/>
          <w:sz w:val="24"/>
          <w:szCs w:val="24"/>
          <w:vertAlign w:val="superscript"/>
        </w:rPr>
        <w:t>nd</w:t>
      </w:r>
      <w:r>
        <w:rPr>
          <w:i/>
          <w:sz w:val="24"/>
          <w:szCs w:val="24"/>
        </w:rPr>
        <w:t xml:space="preserve"> edn). </w:t>
      </w:r>
      <w:r>
        <w:rPr>
          <w:sz w:val="24"/>
          <w:szCs w:val="24"/>
        </w:rPr>
        <w:t>London: Routledge.</w:t>
      </w:r>
    </w:p>
    <w:p w14:paraId="66CCD7DC" w14:textId="77777777" w:rsidR="001C6EAB" w:rsidRDefault="001C6EAB" w:rsidP="009A2AA4">
      <w:pPr>
        <w:spacing w:line="360" w:lineRule="auto"/>
        <w:rPr>
          <w:sz w:val="24"/>
          <w:szCs w:val="24"/>
        </w:rPr>
      </w:pPr>
      <w:r>
        <w:rPr>
          <w:sz w:val="24"/>
          <w:szCs w:val="24"/>
        </w:rPr>
        <w:t xml:space="preserve">Hayes, D. (2002) </w:t>
      </w:r>
      <w:r>
        <w:rPr>
          <w:i/>
          <w:sz w:val="24"/>
          <w:szCs w:val="24"/>
        </w:rPr>
        <w:t xml:space="preserve">Foundations of Primary Teaching. </w:t>
      </w:r>
      <w:r>
        <w:rPr>
          <w:sz w:val="24"/>
          <w:szCs w:val="24"/>
        </w:rPr>
        <w:t>4</w:t>
      </w:r>
      <w:r w:rsidRPr="002020A5">
        <w:rPr>
          <w:sz w:val="24"/>
          <w:szCs w:val="24"/>
          <w:vertAlign w:val="superscript"/>
        </w:rPr>
        <w:t>th</w:t>
      </w:r>
      <w:r>
        <w:rPr>
          <w:sz w:val="24"/>
          <w:szCs w:val="24"/>
        </w:rPr>
        <w:t xml:space="preserve"> edn. London: David Fulton.</w:t>
      </w:r>
    </w:p>
    <w:p w14:paraId="5B81FC32" w14:textId="77777777" w:rsidR="001C6EAB" w:rsidRDefault="001C6EAB" w:rsidP="009A2AA4">
      <w:pPr>
        <w:spacing w:line="360" w:lineRule="auto"/>
        <w:rPr>
          <w:sz w:val="24"/>
          <w:szCs w:val="24"/>
        </w:rPr>
      </w:pPr>
      <w:r>
        <w:rPr>
          <w:sz w:val="24"/>
          <w:szCs w:val="24"/>
        </w:rPr>
        <w:lastRenderedPageBreak/>
        <w:t xml:space="preserve">Llywodraeth Cynulliad Cymru. (2003) </w:t>
      </w:r>
      <w:r>
        <w:rPr>
          <w:i/>
          <w:sz w:val="24"/>
          <w:szCs w:val="24"/>
        </w:rPr>
        <w:t xml:space="preserve">Y Wlad sy’n Dysgu: Cyfnod Sylfaen 3-7 oed. </w:t>
      </w:r>
      <w:r>
        <w:rPr>
          <w:sz w:val="24"/>
          <w:szCs w:val="24"/>
        </w:rPr>
        <w:t>Caerdydd: LlCC.</w:t>
      </w:r>
    </w:p>
    <w:p w14:paraId="24B4EBDF" w14:textId="4DC0867F" w:rsidR="001C6EAB" w:rsidRDefault="001C6EAB" w:rsidP="009A2AA4">
      <w:pPr>
        <w:spacing w:line="360" w:lineRule="auto"/>
        <w:rPr>
          <w:sz w:val="24"/>
          <w:szCs w:val="24"/>
        </w:rPr>
      </w:pPr>
      <w:r>
        <w:rPr>
          <w:sz w:val="24"/>
          <w:szCs w:val="24"/>
        </w:rPr>
        <w:t xml:space="preserve">Llywodraeth Cynulliad Cymru. (2010) </w:t>
      </w:r>
      <w:r>
        <w:rPr>
          <w:i/>
          <w:sz w:val="24"/>
          <w:szCs w:val="24"/>
        </w:rPr>
        <w:t xml:space="preserve">Sut i ddatblygu meddwl ac asesu ar gyfer dysgu yn yr ystafell ddosbarth. </w:t>
      </w:r>
      <w:r>
        <w:rPr>
          <w:sz w:val="24"/>
          <w:szCs w:val="24"/>
        </w:rPr>
        <w:t xml:space="preserve">Caerdydd: LlCC. </w:t>
      </w:r>
    </w:p>
    <w:p w14:paraId="6DF494EB" w14:textId="42AB5FE1" w:rsidR="00BE6354" w:rsidRPr="00750F5D" w:rsidRDefault="00BE6354" w:rsidP="009A2AA4">
      <w:pPr>
        <w:spacing w:line="360" w:lineRule="auto"/>
        <w:rPr>
          <w:rFonts w:cstheme="minorHAnsi"/>
          <w:sz w:val="24"/>
          <w:szCs w:val="24"/>
        </w:rPr>
      </w:pPr>
      <w:r w:rsidRPr="00750F5D">
        <w:rPr>
          <w:rFonts w:cstheme="minorHAnsi"/>
          <w:color w:val="000000"/>
          <w:sz w:val="24"/>
          <w:szCs w:val="24"/>
        </w:rPr>
        <w:t xml:space="preserve">Mcalpine, L. &amp; Weston, C. (2000) </w:t>
      </w:r>
      <w:r w:rsidRPr="00750F5D">
        <w:rPr>
          <w:rFonts w:cstheme="minorHAnsi"/>
          <w:i/>
          <w:color w:val="000000"/>
          <w:sz w:val="24"/>
          <w:szCs w:val="24"/>
        </w:rPr>
        <w:t xml:space="preserve">Reflection: Issues Related to Improving Professors’ Teaching and Students’ Learning. </w:t>
      </w:r>
      <w:r w:rsidRPr="00750F5D">
        <w:rPr>
          <w:rFonts w:cstheme="minorHAnsi"/>
          <w:color w:val="000000"/>
          <w:sz w:val="24"/>
          <w:szCs w:val="24"/>
        </w:rPr>
        <w:t>Instructional Science.</w:t>
      </w:r>
    </w:p>
    <w:p w14:paraId="4BC99E75" w14:textId="77777777" w:rsidR="001C6EAB" w:rsidRPr="00A05AFA" w:rsidRDefault="001C6EAB" w:rsidP="009A2AA4">
      <w:pPr>
        <w:spacing w:line="360" w:lineRule="auto"/>
        <w:rPr>
          <w:sz w:val="24"/>
          <w:szCs w:val="24"/>
        </w:rPr>
      </w:pPr>
      <w:r>
        <w:rPr>
          <w:sz w:val="24"/>
          <w:szCs w:val="24"/>
        </w:rPr>
        <w:t xml:space="preserve">Papert, S. (1993) </w:t>
      </w:r>
      <w:r>
        <w:rPr>
          <w:i/>
          <w:sz w:val="24"/>
          <w:szCs w:val="24"/>
        </w:rPr>
        <w:t xml:space="preserve">Mindstorms: Children, Computers and Powerful Ideas. </w:t>
      </w:r>
      <w:r>
        <w:rPr>
          <w:sz w:val="24"/>
          <w:szCs w:val="24"/>
        </w:rPr>
        <w:t>New Yorks: Basic Books.</w:t>
      </w:r>
    </w:p>
    <w:p w14:paraId="10D0BD2F" w14:textId="77777777" w:rsidR="001C6EAB" w:rsidRDefault="001C6EAB" w:rsidP="009A2AA4">
      <w:pPr>
        <w:spacing w:line="360" w:lineRule="auto"/>
        <w:rPr>
          <w:sz w:val="24"/>
          <w:szCs w:val="24"/>
        </w:rPr>
      </w:pPr>
      <w:r>
        <w:rPr>
          <w:sz w:val="24"/>
          <w:szCs w:val="24"/>
        </w:rPr>
        <w:t xml:space="preserve">Petty, G. (2009) </w:t>
      </w:r>
      <w:r>
        <w:rPr>
          <w:i/>
          <w:sz w:val="24"/>
          <w:szCs w:val="24"/>
        </w:rPr>
        <w:t xml:space="preserve">Evidence Based Teaching. </w:t>
      </w:r>
      <w:r>
        <w:rPr>
          <w:sz w:val="24"/>
          <w:szCs w:val="24"/>
        </w:rPr>
        <w:t>2</w:t>
      </w:r>
      <w:r w:rsidRPr="001C5EB0">
        <w:rPr>
          <w:sz w:val="24"/>
          <w:szCs w:val="24"/>
          <w:vertAlign w:val="superscript"/>
        </w:rPr>
        <w:t>nd</w:t>
      </w:r>
      <w:r>
        <w:rPr>
          <w:sz w:val="24"/>
          <w:szCs w:val="24"/>
        </w:rPr>
        <w:t xml:space="preserve"> edn. Cheltenham: Nelson Thornes.</w:t>
      </w:r>
    </w:p>
    <w:p w14:paraId="32F65CE9" w14:textId="77777777" w:rsidR="001C6EAB" w:rsidRDefault="001C6EAB" w:rsidP="009A2AA4">
      <w:pPr>
        <w:spacing w:line="360" w:lineRule="auto"/>
        <w:rPr>
          <w:sz w:val="24"/>
          <w:szCs w:val="24"/>
        </w:rPr>
      </w:pPr>
      <w:r>
        <w:rPr>
          <w:sz w:val="24"/>
          <w:szCs w:val="24"/>
        </w:rPr>
        <w:t xml:space="preserve">Pound, L. (2009) </w:t>
      </w:r>
      <w:r>
        <w:rPr>
          <w:i/>
          <w:sz w:val="24"/>
          <w:szCs w:val="24"/>
        </w:rPr>
        <w:t xml:space="preserve">How Children learn 3: Contemporary thinking and theorists. </w:t>
      </w:r>
      <w:r>
        <w:rPr>
          <w:sz w:val="24"/>
          <w:szCs w:val="24"/>
        </w:rPr>
        <w:t>London: Step Forward Publishing.</w:t>
      </w:r>
    </w:p>
    <w:p w14:paraId="30573043" w14:textId="77777777" w:rsidR="001C6EAB" w:rsidRDefault="001C6EAB" w:rsidP="009A2AA4">
      <w:pPr>
        <w:spacing w:line="360" w:lineRule="auto"/>
        <w:rPr>
          <w:sz w:val="24"/>
          <w:szCs w:val="24"/>
        </w:rPr>
      </w:pPr>
      <w:r>
        <w:rPr>
          <w:sz w:val="24"/>
          <w:szCs w:val="24"/>
        </w:rPr>
        <w:t xml:space="preserve">Riley, J. (2007) </w:t>
      </w:r>
      <w:r>
        <w:rPr>
          <w:i/>
          <w:sz w:val="24"/>
          <w:szCs w:val="24"/>
        </w:rPr>
        <w:t xml:space="preserve">Learning in the Early Years 3-7. </w:t>
      </w:r>
      <w:r>
        <w:rPr>
          <w:sz w:val="24"/>
          <w:szCs w:val="24"/>
        </w:rPr>
        <w:t>2</w:t>
      </w:r>
      <w:r w:rsidRPr="00A23B01">
        <w:rPr>
          <w:sz w:val="24"/>
          <w:szCs w:val="24"/>
          <w:vertAlign w:val="superscript"/>
        </w:rPr>
        <w:t>nd</w:t>
      </w:r>
      <w:r>
        <w:rPr>
          <w:sz w:val="24"/>
          <w:szCs w:val="24"/>
        </w:rPr>
        <w:t xml:space="preserve"> edn. London: Sage Publications.</w:t>
      </w:r>
    </w:p>
    <w:p w14:paraId="1BE3371C" w14:textId="77777777" w:rsidR="001C6EAB" w:rsidRDefault="001C6EAB" w:rsidP="009A2AA4">
      <w:pPr>
        <w:spacing w:line="360" w:lineRule="auto"/>
        <w:rPr>
          <w:sz w:val="24"/>
          <w:szCs w:val="24"/>
        </w:rPr>
      </w:pPr>
      <w:r>
        <w:rPr>
          <w:sz w:val="24"/>
          <w:szCs w:val="24"/>
        </w:rPr>
        <w:t xml:space="preserve">Slee, P. and Shute, R. (2003) </w:t>
      </w:r>
      <w:r>
        <w:rPr>
          <w:i/>
          <w:sz w:val="24"/>
          <w:szCs w:val="24"/>
        </w:rPr>
        <w:t xml:space="preserve">Child Development: thinking about theories. </w:t>
      </w:r>
      <w:r>
        <w:rPr>
          <w:sz w:val="24"/>
          <w:szCs w:val="24"/>
        </w:rPr>
        <w:t xml:space="preserve">London: Arnold. </w:t>
      </w:r>
    </w:p>
    <w:p w14:paraId="76C5EC8F" w14:textId="77777777" w:rsidR="001C6EAB" w:rsidRPr="00EB2DC7" w:rsidRDefault="001C6EAB" w:rsidP="009A2AA4">
      <w:pPr>
        <w:spacing w:line="360" w:lineRule="auto"/>
        <w:rPr>
          <w:sz w:val="24"/>
          <w:szCs w:val="24"/>
        </w:rPr>
      </w:pPr>
      <w:r>
        <w:rPr>
          <w:sz w:val="24"/>
          <w:szCs w:val="24"/>
        </w:rPr>
        <w:t xml:space="preserve">Whitebread, D. (ed) (1998) </w:t>
      </w:r>
      <w:r>
        <w:rPr>
          <w:i/>
          <w:sz w:val="24"/>
          <w:szCs w:val="24"/>
        </w:rPr>
        <w:t xml:space="preserve">Teaching and Learning in the Early Years. </w:t>
      </w:r>
      <w:r>
        <w:rPr>
          <w:sz w:val="24"/>
          <w:szCs w:val="24"/>
        </w:rPr>
        <w:t xml:space="preserve">London: Routledge. </w:t>
      </w:r>
    </w:p>
    <w:sectPr w:rsidR="001C6EAB" w:rsidRPr="00EB2DC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95AFE5" w14:textId="77777777" w:rsidR="00A61508" w:rsidRDefault="00A61508" w:rsidP="00BB1213">
      <w:pPr>
        <w:spacing w:after="0" w:line="240" w:lineRule="auto"/>
      </w:pPr>
      <w:r>
        <w:separator/>
      </w:r>
    </w:p>
  </w:endnote>
  <w:endnote w:type="continuationSeparator" w:id="0">
    <w:p w14:paraId="2D17AD54" w14:textId="77777777" w:rsidR="00A61508" w:rsidRDefault="00A61508" w:rsidP="00BB12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3458405"/>
      <w:docPartObj>
        <w:docPartGallery w:val="Page Numbers (Bottom of Page)"/>
        <w:docPartUnique/>
      </w:docPartObj>
    </w:sdtPr>
    <w:sdtEndPr>
      <w:rPr>
        <w:noProof/>
      </w:rPr>
    </w:sdtEndPr>
    <w:sdtContent>
      <w:p w14:paraId="74C4E745" w14:textId="4BCECEC9" w:rsidR="00BB1213" w:rsidRDefault="00BB12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2F013C" w14:textId="77777777" w:rsidR="00BB1213" w:rsidRDefault="00BB12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635002" w14:textId="77777777" w:rsidR="00A61508" w:rsidRDefault="00A61508" w:rsidP="00BB1213">
      <w:pPr>
        <w:spacing w:after="0" w:line="240" w:lineRule="auto"/>
      </w:pPr>
      <w:r>
        <w:separator/>
      </w:r>
    </w:p>
  </w:footnote>
  <w:footnote w:type="continuationSeparator" w:id="0">
    <w:p w14:paraId="3FCB960F" w14:textId="77777777" w:rsidR="00A61508" w:rsidRDefault="00A61508" w:rsidP="00BB12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5D9462" w14:textId="15D981DB" w:rsidR="009A2AA4" w:rsidRDefault="009A2AA4">
    <w:pPr>
      <w:pStyle w:val="Header"/>
      <w:jc w:val="right"/>
      <w:rPr>
        <w:color w:val="4472C4" w:themeColor="accent1"/>
      </w:rPr>
    </w:pPr>
    <w:r>
      <w:rPr>
        <w:color w:val="4472C4" w:themeColor="accent1"/>
      </w:rPr>
      <w:t xml:space="preserve"> </w:t>
    </w:r>
    <w:sdt>
      <w:sdtPr>
        <w:rPr>
          <w:color w:val="4472C4" w:themeColor="accent1"/>
        </w:rPr>
        <w:alias w:val="Author"/>
        <w:tag w:val=""/>
        <w:id w:val="-1677181147"/>
        <w:placeholder>
          <w:docPart w:val="CEEC0C2F96D042BEB855F0823C1922DA"/>
        </w:placeholder>
        <w:dataBinding w:prefixMappings="xmlns:ns0='http://purl.org/dc/elements/1.1/' xmlns:ns1='http://schemas.openxmlformats.org/package/2006/metadata/core-properties' " w:xpath="/ns1:coreProperties[1]/ns0:creator[1]" w:storeItemID="{6C3C8BC8-F283-45AE-878A-BAB7291924A1}"/>
        <w:text/>
      </w:sdtPr>
      <w:sdtEndPr/>
      <w:sdtContent>
        <w:r>
          <w:rPr>
            <w:color w:val="4472C4" w:themeColor="accent1"/>
          </w:rPr>
          <w:t>1505026</w:t>
        </w:r>
      </w:sdtContent>
    </w:sdt>
  </w:p>
  <w:p w14:paraId="57EF95BF" w14:textId="77777777" w:rsidR="009A2AA4" w:rsidRDefault="009A2A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7D6972"/>
    <w:multiLevelType w:val="hybridMultilevel"/>
    <w:tmpl w:val="2D8A6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FB1749"/>
    <w:multiLevelType w:val="hybridMultilevel"/>
    <w:tmpl w:val="06647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A63"/>
    <w:rsid w:val="00000B0A"/>
    <w:rsid w:val="000023D7"/>
    <w:rsid w:val="000430BD"/>
    <w:rsid w:val="00043DEB"/>
    <w:rsid w:val="000501F1"/>
    <w:rsid w:val="000600D3"/>
    <w:rsid w:val="00063289"/>
    <w:rsid w:val="00072FAC"/>
    <w:rsid w:val="00080172"/>
    <w:rsid w:val="00080C5C"/>
    <w:rsid w:val="00084029"/>
    <w:rsid w:val="0009449F"/>
    <w:rsid w:val="000C7A68"/>
    <w:rsid w:val="000F66A7"/>
    <w:rsid w:val="00111F8B"/>
    <w:rsid w:val="001140EE"/>
    <w:rsid w:val="00114E39"/>
    <w:rsid w:val="0012153F"/>
    <w:rsid w:val="00126056"/>
    <w:rsid w:val="00137903"/>
    <w:rsid w:val="001456AA"/>
    <w:rsid w:val="00146798"/>
    <w:rsid w:val="0015147D"/>
    <w:rsid w:val="00161A22"/>
    <w:rsid w:val="00164540"/>
    <w:rsid w:val="0016621B"/>
    <w:rsid w:val="00170C4D"/>
    <w:rsid w:val="0017399B"/>
    <w:rsid w:val="00181F3C"/>
    <w:rsid w:val="00182A67"/>
    <w:rsid w:val="00192723"/>
    <w:rsid w:val="001A1422"/>
    <w:rsid w:val="001A66C5"/>
    <w:rsid w:val="001B3BB2"/>
    <w:rsid w:val="001C5EB0"/>
    <w:rsid w:val="001C6EAB"/>
    <w:rsid w:val="001D0224"/>
    <w:rsid w:val="001D71E5"/>
    <w:rsid w:val="001E0AFF"/>
    <w:rsid w:val="001F0301"/>
    <w:rsid w:val="001F622E"/>
    <w:rsid w:val="002020A5"/>
    <w:rsid w:val="00222EFD"/>
    <w:rsid w:val="00233509"/>
    <w:rsid w:val="002371A3"/>
    <w:rsid w:val="00266368"/>
    <w:rsid w:val="00275ADC"/>
    <w:rsid w:val="00277435"/>
    <w:rsid w:val="0028112D"/>
    <w:rsid w:val="00292EE9"/>
    <w:rsid w:val="00295179"/>
    <w:rsid w:val="0029687D"/>
    <w:rsid w:val="00297F1F"/>
    <w:rsid w:val="002A472A"/>
    <w:rsid w:val="002C3CF7"/>
    <w:rsid w:val="002D43CD"/>
    <w:rsid w:val="002D7088"/>
    <w:rsid w:val="002E19ED"/>
    <w:rsid w:val="002E471E"/>
    <w:rsid w:val="002F24D8"/>
    <w:rsid w:val="00313213"/>
    <w:rsid w:val="00321C6D"/>
    <w:rsid w:val="0033387C"/>
    <w:rsid w:val="00354A5C"/>
    <w:rsid w:val="00355F19"/>
    <w:rsid w:val="00373594"/>
    <w:rsid w:val="0037558A"/>
    <w:rsid w:val="003758C4"/>
    <w:rsid w:val="00383BEB"/>
    <w:rsid w:val="00384282"/>
    <w:rsid w:val="003844CE"/>
    <w:rsid w:val="003A6A49"/>
    <w:rsid w:val="003C3075"/>
    <w:rsid w:val="003C40DE"/>
    <w:rsid w:val="003D6741"/>
    <w:rsid w:val="003D7AE2"/>
    <w:rsid w:val="003E35F7"/>
    <w:rsid w:val="003E61DB"/>
    <w:rsid w:val="003F0EB4"/>
    <w:rsid w:val="003F115B"/>
    <w:rsid w:val="00400FE6"/>
    <w:rsid w:val="004245B7"/>
    <w:rsid w:val="00431936"/>
    <w:rsid w:val="004406A6"/>
    <w:rsid w:val="004443FF"/>
    <w:rsid w:val="00454B0C"/>
    <w:rsid w:val="004635AC"/>
    <w:rsid w:val="00463FCE"/>
    <w:rsid w:val="0046556A"/>
    <w:rsid w:val="00467CFB"/>
    <w:rsid w:val="00477995"/>
    <w:rsid w:val="004824DB"/>
    <w:rsid w:val="00487155"/>
    <w:rsid w:val="00487EA4"/>
    <w:rsid w:val="00495A67"/>
    <w:rsid w:val="00497466"/>
    <w:rsid w:val="004A435E"/>
    <w:rsid w:val="004D1C63"/>
    <w:rsid w:val="005038AE"/>
    <w:rsid w:val="0050686F"/>
    <w:rsid w:val="00514F4E"/>
    <w:rsid w:val="005413BE"/>
    <w:rsid w:val="00545BA6"/>
    <w:rsid w:val="005474DE"/>
    <w:rsid w:val="00555BF3"/>
    <w:rsid w:val="00567945"/>
    <w:rsid w:val="00570B15"/>
    <w:rsid w:val="005946B1"/>
    <w:rsid w:val="005956CB"/>
    <w:rsid w:val="00597F4B"/>
    <w:rsid w:val="005B2B0D"/>
    <w:rsid w:val="005C1AD2"/>
    <w:rsid w:val="005D3ACD"/>
    <w:rsid w:val="005F1661"/>
    <w:rsid w:val="00601861"/>
    <w:rsid w:val="0061740E"/>
    <w:rsid w:val="00617D83"/>
    <w:rsid w:val="00627E82"/>
    <w:rsid w:val="0063012E"/>
    <w:rsid w:val="006311F4"/>
    <w:rsid w:val="00637EA5"/>
    <w:rsid w:val="00645CD3"/>
    <w:rsid w:val="00647569"/>
    <w:rsid w:val="00671B4F"/>
    <w:rsid w:val="006754C1"/>
    <w:rsid w:val="00680565"/>
    <w:rsid w:val="00690A83"/>
    <w:rsid w:val="00691A9B"/>
    <w:rsid w:val="006A7172"/>
    <w:rsid w:val="006B57AF"/>
    <w:rsid w:val="006B61EC"/>
    <w:rsid w:val="006C0BA1"/>
    <w:rsid w:val="006C5B75"/>
    <w:rsid w:val="006D77E6"/>
    <w:rsid w:val="006E4ABB"/>
    <w:rsid w:val="006E5FAA"/>
    <w:rsid w:val="006E663B"/>
    <w:rsid w:val="006F1F4B"/>
    <w:rsid w:val="006F3C25"/>
    <w:rsid w:val="00703859"/>
    <w:rsid w:val="0070475F"/>
    <w:rsid w:val="007148FB"/>
    <w:rsid w:val="00721360"/>
    <w:rsid w:val="00734FAC"/>
    <w:rsid w:val="00745677"/>
    <w:rsid w:val="00750F5D"/>
    <w:rsid w:val="00757480"/>
    <w:rsid w:val="007714B0"/>
    <w:rsid w:val="00774BA4"/>
    <w:rsid w:val="007869DE"/>
    <w:rsid w:val="00794B91"/>
    <w:rsid w:val="007A12C6"/>
    <w:rsid w:val="007A417D"/>
    <w:rsid w:val="007B4D5F"/>
    <w:rsid w:val="007C45E1"/>
    <w:rsid w:val="007D6EA3"/>
    <w:rsid w:val="007F2505"/>
    <w:rsid w:val="008034F8"/>
    <w:rsid w:val="008142DC"/>
    <w:rsid w:val="00815D3C"/>
    <w:rsid w:val="00827160"/>
    <w:rsid w:val="00841728"/>
    <w:rsid w:val="0084426A"/>
    <w:rsid w:val="00846549"/>
    <w:rsid w:val="008469D1"/>
    <w:rsid w:val="008672CB"/>
    <w:rsid w:val="00887013"/>
    <w:rsid w:val="008A1E2B"/>
    <w:rsid w:val="008A39DB"/>
    <w:rsid w:val="008A48B9"/>
    <w:rsid w:val="008A7C3B"/>
    <w:rsid w:val="008B4C41"/>
    <w:rsid w:val="008C4CDE"/>
    <w:rsid w:val="008C68AA"/>
    <w:rsid w:val="008D390D"/>
    <w:rsid w:val="008D6FE9"/>
    <w:rsid w:val="008E286E"/>
    <w:rsid w:val="008E4A2A"/>
    <w:rsid w:val="008F388D"/>
    <w:rsid w:val="008F392D"/>
    <w:rsid w:val="00902AF9"/>
    <w:rsid w:val="0091181A"/>
    <w:rsid w:val="00913002"/>
    <w:rsid w:val="0091746C"/>
    <w:rsid w:val="00921224"/>
    <w:rsid w:val="00930E76"/>
    <w:rsid w:val="00931041"/>
    <w:rsid w:val="00934492"/>
    <w:rsid w:val="00951501"/>
    <w:rsid w:val="009520EA"/>
    <w:rsid w:val="0095265E"/>
    <w:rsid w:val="00960D43"/>
    <w:rsid w:val="00962975"/>
    <w:rsid w:val="009633DC"/>
    <w:rsid w:val="009673C2"/>
    <w:rsid w:val="00974938"/>
    <w:rsid w:val="00987BB5"/>
    <w:rsid w:val="009A2AA4"/>
    <w:rsid w:val="009A6DFB"/>
    <w:rsid w:val="009B18DC"/>
    <w:rsid w:val="009B5329"/>
    <w:rsid w:val="009C6888"/>
    <w:rsid w:val="009D5DF3"/>
    <w:rsid w:val="009E0070"/>
    <w:rsid w:val="009E2952"/>
    <w:rsid w:val="009F15A2"/>
    <w:rsid w:val="009F42B2"/>
    <w:rsid w:val="009F5090"/>
    <w:rsid w:val="00A03DF9"/>
    <w:rsid w:val="00A05AFA"/>
    <w:rsid w:val="00A23B01"/>
    <w:rsid w:val="00A26468"/>
    <w:rsid w:val="00A31B90"/>
    <w:rsid w:val="00A42F85"/>
    <w:rsid w:val="00A47D5E"/>
    <w:rsid w:val="00A61508"/>
    <w:rsid w:val="00A7652C"/>
    <w:rsid w:val="00A81FD2"/>
    <w:rsid w:val="00A912E7"/>
    <w:rsid w:val="00A93FD5"/>
    <w:rsid w:val="00AA13F9"/>
    <w:rsid w:val="00AB157B"/>
    <w:rsid w:val="00AD2EC7"/>
    <w:rsid w:val="00AE2437"/>
    <w:rsid w:val="00AF3E8C"/>
    <w:rsid w:val="00AF7048"/>
    <w:rsid w:val="00B0614A"/>
    <w:rsid w:val="00B143F5"/>
    <w:rsid w:val="00B21F38"/>
    <w:rsid w:val="00B23D5B"/>
    <w:rsid w:val="00B24488"/>
    <w:rsid w:val="00B335AC"/>
    <w:rsid w:val="00B425FC"/>
    <w:rsid w:val="00B4320F"/>
    <w:rsid w:val="00B45A42"/>
    <w:rsid w:val="00B467B5"/>
    <w:rsid w:val="00B50BC1"/>
    <w:rsid w:val="00B518DB"/>
    <w:rsid w:val="00B8061B"/>
    <w:rsid w:val="00B8391A"/>
    <w:rsid w:val="00B8451A"/>
    <w:rsid w:val="00B94F09"/>
    <w:rsid w:val="00BA1D28"/>
    <w:rsid w:val="00BB1213"/>
    <w:rsid w:val="00BD1C9D"/>
    <w:rsid w:val="00BE021F"/>
    <w:rsid w:val="00BE2307"/>
    <w:rsid w:val="00BE6354"/>
    <w:rsid w:val="00C12119"/>
    <w:rsid w:val="00C467F4"/>
    <w:rsid w:val="00C5350A"/>
    <w:rsid w:val="00C57D78"/>
    <w:rsid w:val="00C77E2C"/>
    <w:rsid w:val="00C80A85"/>
    <w:rsid w:val="00C87E48"/>
    <w:rsid w:val="00C92263"/>
    <w:rsid w:val="00C9455B"/>
    <w:rsid w:val="00CB3442"/>
    <w:rsid w:val="00CC3BC8"/>
    <w:rsid w:val="00CC7A63"/>
    <w:rsid w:val="00CF4F5F"/>
    <w:rsid w:val="00D03B3A"/>
    <w:rsid w:val="00D043EA"/>
    <w:rsid w:val="00D05317"/>
    <w:rsid w:val="00D17911"/>
    <w:rsid w:val="00D24ABA"/>
    <w:rsid w:val="00D27950"/>
    <w:rsid w:val="00D27D78"/>
    <w:rsid w:val="00D31B36"/>
    <w:rsid w:val="00D34542"/>
    <w:rsid w:val="00D3517B"/>
    <w:rsid w:val="00D435AA"/>
    <w:rsid w:val="00D448DA"/>
    <w:rsid w:val="00D65E9B"/>
    <w:rsid w:val="00D677D7"/>
    <w:rsid w:val="00D704CD"/>
    <w:rsid w:val="00D71405"/>
    <w:rsid w:val="00D77A5C"/>
    <w:rsid w:val="00D87B73"/>
    <w:rsid w:val="00D92CEA"/>
    <w:rsid w:val="00DA272B"/>
    <w:rsid w:val="00DA4505"/>
    <w:rsid w:val="00DB43DA"/>
    <w:rsid w:val="00DB5922"/>
    <w:rsid w:val="00DB6524"/>
    <w:rsid w:val="00DB7464"/>
    <w:rsid w:val="00DC06ED"/>
    <w:rsid w:val="00DD25AB"/>
    <w:rsid w:val="00DD2966"/>
    <w:rsid w:val="00DE1954"/>
    <w:rsid w:val="00DE5152"/>
    <w:rsid w:val="00DE760B"/>
    <w:rsid w:val="00DF3720"/>
    <w:rsid w:val="00DF6218"/>
    <w:rsid w:val="00E215D6"/>
    <w:rsid w:val="00E21F75"/>
    <w:rsid w:val="00E35632"/>
    <w:rsid w:val="00E3602A"/>
    <w:rsid w:val="00E46E58"/>
    <w:rsid w:val="00E52137"/>
    <w:rsid w:val="00E53E82"/>
    <w:rsid w:val="00E6695E"/>
    <w:rsid w:val="00E73E67"/>
    <w:rsid w:val="00E74ADB"/>
    <w:rsid w:val="00E94B22"/>
    <w:rsid w:val="00E970AF"/>
    <w:rsid w:val="00EA2113"/>
    <w:rsid w:val="00EB2DC7"/>
    <w:rsid w:val="00EB2EDB"/>
    <w:rsid w:val="00EB6492"/>
    <w:rsid w:val="00EE0F02"/>
    <w:rsid w:val="00EE110D"/>
    <w:rsid w:val="00EE217C"/>
    <w:rsid w:val="00EE3BD9"/>
    <w:rsid w:val="00EF4B51"/>
    <w:rsid w:val="00F01670"/>
    <w:rsid w:val="00F13DC5"/>
    <w:rsid w:val="00F31D10"/>
    <w:rsid w:val="00F62AE0"/>
    <w:rsid w:val="00F81AA8"/>
    <w:rsid w:val="00F87991"/>
    <w:rsid w:val="00F94BE8"/>
    <w:rsid w:val="00FB37E2"/>
    <w:rsid w:val="00FB4AD1"/>
    <w:rsid w:val="00FC7830"/>
    <w:rsid w:val="00FE2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FF737"/>
  <w15:chartTrackingRefBased/>
  <w15:docId w15:val="{F2A402B0-8FF7-4E34-B12D-9A5DD96AE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12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1213"/>
  </w:style>
  <w:style w:type="paragraph" w:styleId="Footer">
    <w:name w:val="footer"/>
    <w:basedOn w:val="Normal"/>
    <w:link w:val="FooterChar"/>
    <w:uiPriority w:val="99"/>
    <w:unhideWhenUsed/>
    <w:rsid w:val="00BB12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1213"/>
  </w:style>
  <w:style w:type="character" w:styleId="Hyperlink">
    <w:name w:val="Hyperlink"/>
    <w:basedOn w:val="DefaultParagraphFont"/>
    <w:uiPriority w:val="99"/>
    <w:unhideWhenUsed/>
    <w:rsid w:val="003D6741"/>
    <w:rPr>
      <w:color w:val="0563C1" w:themeColor="hyperlink"/>
      <w:u w:val="single"/>
    </w:rPr>
  </w:style>
  <w:style w:type="character" w:styleId="UnresolvedMention">
    <w:name w:val="Unresolved Mention"/>
    <w:basedOn w:val="DefaultParagraphFont"/>
    <w:uiPriority w:val="99"/>
    <w:semiHidden/>
    <w:unhideWhenUsed/>
    <w:rsid w:val="003D6741"/>
    <w:rPr>
      <w:color w:val="605E5C"/>
      <w:shd w:val="clear" w:color="auto" w:fill="E1DFDD"/>
    </w:rPr>
  </w:style>
  <w:style w:type="paragraph" w:styleId="ListParagraph">
    <w:name w:val="List Paragraph"/>
    <w:basedOn w:val="Normal"/>
    <w:uiPriority w:val="34"/>
    <w:qFormat/>
    <w:rsid w:val="001C6E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bc.co.uk/news/uk-wales-3871866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EEC0C2F96D042BEB855F0823C1922DA"/>
        <w:category>
          <w:name w:val="General"/>
          <w:gallery w:val="placeholder"/>
        </w:category>
        <w:types>
          <w:type w:val="bbPlcHdr"/>
        </w:types>
        <w:behaviors>
          <w:behavior w:val="content"/>
        </w:behaviors>
        <w:guid w:val="{E7C76F43-46AE-43AF-A34F-401D3B4B3FEB}"/>
      </w:docPartPr>
      <w:docPartBody>
        <w:p w:rsidR="00B532D6" w:rsidRDefault="000F0D0A" w:rsidP="000F0D0A">
          <w:pPr>
            <w:pStyle w:val="CEEC0C2F96D042BEB855F0823C1922DA"/>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D0A"/>
    <w:rsid w:val="000F0D0A"/>
    <w:rsid w:val="00612DC6"/>
    <w:rsid w:val="00B53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49F8728C6B427586041DE7DC99DECF">
    <w:name w:val="3E49F8728C6B427586041DE7DC99DECF"/>
    <w:rsid w:val="000F0D0A"/>
  </w:style>
  <w:style w:type="paragraph" w:customStyle="1" w:styleId="CEEC0C2F96D042BEB855F0823C1922DA">
    <w:name w:val="CEEC0C2F96D042BEB855F0823C1922DA"/>
    <w:rsid w:val="000F0D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314</TotalTime>
  <Pages>6</Pages>
  <Words>1831</Words>
  <Characters>10443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1505026</dc:creator>
  <cp:keywords/>
  <dc:description/>
  <cp:lastModifiedBy>Mared Powell</cp:lastModifiedBy>
  <cp:revision>327</cp:revision>
  <dcterms:created xsi:type="dcterms:W3CDTF">2019-03-02T13:16:00Z</dcterms:created>
  <dcterms:modified xsi:type="dcterms:W3CDTF">2019-03-17T12:58:00Z</dcterms:modified>
</cp:coreProperties>
</file>