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5638AAC" w:rsidR="7908378C" w:rsidRDefault="7908378C" w:rsidP="33572C6E">
            <w:pPr>
              <w:ind w:right="237"/>
              <w:rPr>
                <w:b/>
                <w:bCs/>
                <w:color w:val="auto"/>
                <w:sz w:val="32"/>
                <w:szCs w:val="32"/>
              </w:rPr>
            </w:pPr>
            <w:r w:rsidRPr="33572C6E">
              <w:rPr>
                <w:b/>
                <w:bCs/>
                <w:color w:val="auto"/>
                <w:sz w:val="32"/>
                <w:szCs w:val="32"/>
              </w:rPr>
              <w:t>Learner name:</w:t>
            </w:r>
            <w:r w:rsidR="00742EDA">
              <w:rPr>
                <w:b/>
                <w:bCs/>
                <w:color w:val="auto"/>
                <w:sz w:val="32"/>
                <w:szCs w:val="32"/>
              </w:rPr>
              <w:t xml:space="preserve"> MATTHEW MOARES</w:t>
            </w:r>
            <w:r w:rsidRPr="33572C6E">
              <w:rPr>
                <w:b/>
                <w:bCs/>
                <w:color w:val="auto"/>
                <w:sz w:val="32"/>
                <w:szCs w:val="32"/>
              </w:rPr>
              <w:t xml:space="preserve"> ______________________________</w:t>
            </w:r>
          </w:p>
          <w:p w14:paraId="3A3A802D" w14:textId="77777777" w:rsidR="33572C6E" w:rsidRDefault="33572C6E" w:rsidP="33572C6E">
            <w:pPr>
              <w:ind w:right="237"/>
              <w:rPr>
                <w:b/>
                <w:bCs/>
                <w:color w:val="auto"/>
                <w:sz w:val="32"/>
                <w:szCs w:val="32"/>
              </w:rPr>
            </w:pPr>
          </w:p>
          <w:p w14:paraId="5DC3CFD6" w14:textId="7CC87429" w:rsidR="7908378C" w:rsidRDefault="7908378C" w:rsidP="33572C6E">
            <w:pPr>
              <w:ind w:right="237"/>
              <w:rPr>
                <w:b/>
                <w:bCs/>
                <w:color w:val="auto"/>
                <w:sz w:val="32"/>
                <w:szCs w:val="32"/>
              </w:rPr>
            </w:pPr>
            <w:r w:rsidRPr="33572C6E">
              <w:rPr>
                <w:b/>
                <w:bCs/>
                <w:color w:val="auto"/>
                <w:sz w:val="32"/>
                <w:szCs w:val="32"/>
              </w:rPr>
              <w:t>Learner’s University Registration Number:</w:t>
            </w:r>
            <w:r w:rsidR="00742EDA">
              <w:rPr>
                <w:b/>
                <w:bCs/>
                <w:color w:val="auto"/>
                <w:sz w:val="32"/>
                <w:szCs w:val="32"/>
              </w:rPr>
              <w:t xml:space="preserve"> 2236111</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29746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7CF3862A" w14:textId="77777777" w:rsidR="0000743D" w:rsidRPr="0000743D" w:rsidRDefault="5B843AF0" w:rsidP="0000743D">
      <w:pPr>
        <w:ind w:right="237"/>
        <w:jc w:val="both"/>
        <w:rPr>
          <w:rFonts w:eastAsia="Arial"/>
          <w:color w:val="000000" w:themeColor="text1"/>
          <w:sz w:val="24"/>
          <w:szCs w:val="24"/>
        </w:rPr>
      </w:pPr>
      <w:r w:rsidRPr="5CE196A1">
        <w:rPr>
          <w:rFonts w:eastAsia="Arial"/>
          <w:b/>
          <w:bCs/>
          <w:color w:val="000000" w:themeColor="text1"/>
          <w:sz w:val="24"/>
          <w:szCs w:val="24"/>
        </w:rPr>
        <w:t>ANSWER:</w:t>
      </w:r>
      <w:r w:rsidR="0000743D">
        <w:rPr>
          <w:rFonts w:eastAsia="Arial"/>
          <w:b/>
          <w:bCs/>
          <w:color w:val="000000" w:themeColor="text1"/>
          <w:sz w:val="24"/>
          <w:szCs w:val="24"/>
        </w:rPr>
        <w:t xml:space="preserve"> </w:t>
      </w:r>
      <w:r w:rsidR="0000743D" w:rsidRPr="0000743D">
        <w:rPr>
          <w:rFonts w:eastAsia="Arial"/>
          <w:color w:val="000000" w:themeColor="text1"/>
          <w:sz w:val="24"/>
          <w:szCs w:val="24"/>
        </w:rPr>
        <w:t>This essay outlines the dilemma of Anti-Social Behaviour, where crime may or may not be present, exploring the effectiveness of various disposals available to UK police.</w:t>
      </w:r>
    </w:p>
    <w:p w14:paraId="256EF1AB" w14:textId="77777777" w:rsidR="0000743D" w:rsidRPr="0000743D" w:rsidRDefault="0000743D" w:rsidP="0000743D">
      <w:pPr>
        <w:ind w:right="237"/>
        <w:jc w:val="both"/>
        <w:rPr>
          <w:rFonts w:eastAsia="Arial"/>
          <w:color w:val="000000" w:themeColor="text1"/>
          <w:sz w:val="24"/>
          <w:szCs w:val="24"/>
        </w:rPr>
      </w:pPr>
    </w:p>
    <w:p w14:paraId="2C3A031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(College of Policing, 2024) defines ASB as “conduct that has caused – or is likely to cause – harassment, alarm or distress to any person”. From this definition, it can be assumed that ASB can present both in public, and in private. Moreover, such conduct does not necessarily need to involve crime specifically. Therefore, the scope of ASB is quite broad.</w:t>
      </w:r>
    </w:p>
    <w:p w14:paraId="489463C4" w14:textId="77777777" w:rsidR="0000743D" w:rsidRPr="0000743D" w:rsidRDefault="0000743D" w:rsidP="0000743D">
      <w:pPr>
        <w:ind w:right="237"/>
        <w:jc w:val="both"/>
        <w:rPr>
          <w:rFonts w:eastAsia="Arial"/>
          <w:color w:val="000000" w:themeColor="text1"/>
          <w:sz w:val="24"/>
          <w:szCs w:val="24"/>
        </w:rPr>
      </w:pPr>
    </w:p>
    <w:p w14:paraId="7FC41FB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This </w:t>
      </w:r>
      <w:proofErr w:type="gramStart"/>
      <w:r w:rsidRPr="0000743D">
        <w:rPr>
          <w:rFonts w:eastAsia="Arial"/>
          <w:color w:val="000000" w:themeColor="text1"/>
          <w:sz w:val="24"/>
          <w:szCs w:val="24"/>
        </w:rPr>
        <w:t>particular case</w:t>
      </w:r>
      <w:proofErr w:type="gramEnd"/>
      <w:r w:rsidRPr="0000743D">
        <w:rPr>
          <w:rFonts w:eastAsia="Arial"/>
          <w:color w:val="000000" w:themeColor="text1"/>
          <w:sz w:val="24"/>
          <w:szCs w:val="24"/>
        </w:rPr>
        <w:t xml:space="preserve"> study relates to a local Anti-Social Behaviour (ASB) problem, where residents were consistently complaining about youths drinking, littering, and making noise at unsociable hours in a residential cul-de-sac. It had further been reported these youths had been setting off fireworks in the built-up cul-de-sac </w:t>
      </w:r>
      <w:proofErr w:type="gramStart"/>
      <w:r w:rsidRPr="0000743D">
        <w:rPr>
          <w:rFonts w:eastAsia="Arial"/>
          <w:color w:val="000000" w:themeColor="text1"/>
          <w:sz w:val="24"/>
          <w:szCs w:val="24"/>
        </w:rPr>
        <w:t>in light of</w:t>
      </w:r>
      <w:proofErr w:type="gramEnd"/>
      <w:r w:rsidRPr="0000743D">
        <w:rPr>
          <w:rFonts w:eastAsia="Arial"/>
          <w:color w:val="000000" w:themeColor="text1"/>
          <w:sz w:val="24"/>
          <w:szCs w:val="24"/>
        </w:rPr>
        <w:t xml:space="preserve"> bonfire night and Halloween festivities. Relevant legislation presented reasonable limitations to police action, but it also provided certain police powers that would prove effective in dealing with the problem.</w:t>
      </w:r>
    </w:p>
    <w:p w14:paraId="220143DD" w14:textId="77777777" w:rsidR="0000743D" w:rsidRPr="0000743D" w:rsidRDefault="0000743D" w:rsidP="0000743D">
      <w:pPr>
        <w:ind w:right="237"/>
        <w:jc w:val="both"/>
        <w:rPr>
          <w:rFonts w:eastAsia="Arial"/>
          <w:color w:val="000000" w:themeColor="text1"/>
          <w:sz w:val="24"/>
          <w:szCs w:val="24"/>
        </w:rPr>
      </w:pPr>
    </w:p>
    <w:p w14:paraId="25953859" w14:textId="608781D5"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As in any policing operation, it was important to consider that any powers used must be weighed against the public’s human rights. In this case, areas of particular concern </w:t>
      </w:r>
      <w:proofErr w:type="gramStart"/>
      <w:r w:rsidRPr="0000743D">
        <w:rPr>
          <w:rFonts w:eastAsia="Arial"/>
          <w:color w:val="000000" w:themeColor="text1"/>
          <w:sz w:val="24"/>
          <w:szCs w:val="24"/>
        </w:rPr>
        <w:t>were:</w:t>
      </w:r>
      <w:proofErr w:type="gramEnd"/>
      <w:r w:rsidRPr="0000743D">
        <w:rPr>
          <w:rFonts w:eastAsia="Arial"/>
          <w:color w:val="000000" w:themeColor="text1"/>
          <w:sz w:val="24"/>
          <w:szCs w:val="24"/>
        </w:rPr>
        <w:t xml:space="preserve"> Article 1 – freeness and equality; Article 10 – freedom of expression; and Article 11, which states that no-one shall be held guilty of an offence where their acts or omissions do not constitute a penal offence (European Convention on Human Rights, 1950).</w:t>
      </w:r>
    </w:p>
    <w:p w14:paraId="689F779C" w14:textId="77777777" w:rsidR="0000743D" w:rsidRPr="0000743D" w:rsidRDefault="0000743D" w:rsidP="0000743D">
      <w:pPr>
        <w:ind w:right="237"/>
        <w:jc w:val="both"/>
        <w:rPr>
          <w:rFonts w:eastAsia="Arial"/>
          <w:color w:val="000000" w:themeColor="text1"/>
          <w:sz w:val="24"/>
          <w:szCs w:val="24"/>
        </w:rPr>
      </w:pPr>
    </w:p>
    <w:p w14:paraId="48BC8E3D" w14:textId="5BC64665"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lastRenderedPageBreak/>
        <w:t>Much of the literature on tackling ASB resolves around ‘problem-oriented policing’ (College of Policing, 2024). As per (ibid), problem-solving policing is an approach to addressing crime and disorder that involves several key steps. It begins with identifying a specific problem, followed by a thorough analysis to understand the underlying issues. Based on this understanding, a tailored response is developed to address the problem effectively. Finally, the impact of the response is assessed to determine its success and make any necessary adjustments.</w:t>
      </w:r>
    </w:p>
    <w:p w14:paraId="04A98997"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771007A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This ‘problem’ theory has formed the more sophisticated ‘SARA model which has seen positive result amongst UK forces</w:t>
      </w:r>
    </w:p>
    <w:p w14:paraId="3D02421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1AAD939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Scanning: This involves identifying weaknesses in a public or private space , including social or geographical/environmental factors whereby crime and disorder becomes desirable or, at least, more accessible to offenders; Analysis: This involves understanding the underlying causes and contributing factors of the problem in more depth; Response: Developing and implementing tailored strategies to address the problem; Assessment: Evaluating the effectiveness of the response and making necessary adjustments. (ibid).</w:t>
      </w:r>
    </w:p>
    <w:p w14:paraId="1002F227" w14:textId="77777777" w:rsidR="0000743D" w:rsidRPr="0000743D" w:rsidRDefault="0000743D" w:rsidP="0000743D">
      <w:pPr>
        <w:ind w:right="237"/>
        <w:jc w:val="both"/>
        <w:rPr>
          <w:rFonts w:eastAsia="Arial"/>
          <w:color w:val="000000" w:themeColor="text1"/>
          <w:sz w:val="24"/>
          <w:szCs w:val="24"/>
        </w:rPr>
      </w:pPr>
    </w:p>
    <w:p w14:paraId="5C1078CA" w14:textId="27C8C1F9"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(ibid) emphasises the systematic and evidence-based nature of the SARA model, </w:t>
      </w:r>
      <w:proofErr w:type="gramStart"/>
      <w:r w:rsidRPr="0000743D">
        <w:rPr>
          <w:rFonts w:eastAsia="Arial"/>
          <w:color w:val="000000" w:themeColor="text1"/>
          <w:sz w:val="24"/>
          <w:szCs w:val="24"/>
        </w:rPr>
        <w:t>where by</w:t>
      </w:r>
      <w:proofErr w:type="gramEnd"/>
      <w:r w:rsidRPr="0000743D">
        <w:rPr>
          <w:rFonts w:eastAsia="Arial"/>
          <w:color w:val="000000" w:themeColor="text1"/>
          <w:sz w:val="24"/>
          <w:szCs w:val="24"/>
        </w:rPr>
        <w:t xml:space="preserve"> breaking down problems into manageable components, police and local authorities can develop targeted strategies that address the root causes of ASB.</w:t>
      </w:r>
    </w:p>
    <w:p w14:paraId="7EF6C72E"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5C441BD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 meta-analysis included in the guidance revealed that problem-oriented policing strategies, including the SARA model, led to a significant reduction in crime and disorder. Studies indicate a 33% reduction in ASB incidents following the implementation of SARA-based interventions (ibid).</w:t>
      </w:r>
    </w:p>
    <w:p w14:paraId="3BEC986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7E9FF2C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(Brandon, 2015) corroborates these findings, illustrating through various case studies how the SARA model effectively reduces crime and disorder. For instance, in one case study involving a public housing project plagued by ASB, the implementation of SARA resulted in a 40% reduction in reported incidents over a six-month period.</w:t>
      </w:r>
    </w:p>
    <w:p w14:paraId="59316EB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58716C1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 effectiveness of the SARA model in curbing ASB is supported by numerous other case studies. In one example documented by (College of Policing, 2024), a UK police force used the SARA model to address persistent ASB in a local park. The scanning phase identified peak times and types of ASB, while the analysis phase revealed underlying causes, such as inadequate lighting and lack of recreational facilities. The response involved increased patrols, improved lighting, and the installation of a youth centre. The assessment phase showed a 50% reduction in ASB incidents within three months of implementation (ibid).</w:t>
      </w:r>
    </w:p>
    <w:p w14:paraId="124DD4F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EEF598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The response to anti-social behaviour, particularly where the implementation of SARA is concerned, often requires collaboration between different agencies to determine the most appropriate solution (College of Policing 2024). Where a complaint is made to one agency, that agency may utilise the roles of others in providing a solution if they lack relevant skills or resources. This will help to ensure that reports of anti-social behaviour are not lost or left unanswered. It may also help to provide a mechanism for engagement from the wider community in finding </w:t>
      </w:r>
      <w:r w:rsidRPr="0000743D">
        <w:rPr>
          <w:rFonts w:eastAsia="Arial"/>
          <w:color w:val="000000" w:themeColor="text1"/>
          <w:sz w:val="24"/>
          <w:szCs w:val="24"/>
        </w:rPr>
        <w:lastRenderedPageBreak/>
        <w:t xml:space="preserve">solutions to local anti-social behaviour issues. Examples of partnership working may </w:t>
      </w:r>
      <w:proofErr w:type="gramStart"/>
      <w:r w:rsidRPr="0000743D">
        <w:rPr>
          <w:rFonts w:eastAsia="Arial"/>
          <w:color w:val="000000" w:themeColor="text1"/>
          <w:sz w:val="24"/>
          <w:szCs w:val="24"/>
        </w:rPr>
        <w:t>include:</w:t>
      </w:r>
      <w:proofErr w:type="gramEnd"/>
      <w:r w:rsidRPr="0000743D">
        <w:rPr>
          <w:rFonts w:eastAsia="Arial"/>
          <w:color w:val="000000" w:themeColor="text1"/>
          <w:sz w:val="24"/>
          <w:szCs w:val="24"/>
        </w:rPr>
        <w:t xml:space="preserve"> calling upon the local council to install target hardening; working with fire and rescue where accessibility is an issue; or, notifying social services to conduct welfare checks of vulnerable persons, or; referring young offenders to the Youth Offending Service to facilitate restorative justice and prevent re-offending (College of Policing, 2024).</w:t>
      </w:r>
    </w:p>
    <w:p w14:paraId="4F495A9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C24491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There is, however, a disadvantage to the multi-agency approach. Where information sharing must be balanced against the need to protect individuals' privacy, agencies must navigate complex legal processes to ensure information is shared lawfully, and this can slow the response process (Abhay, 2023). In my case particularly, there remained an immediate need to mitigate threat/risk/harm using fast track actions backed by police powers.</w:t>
      </w:r>
    </w:p>
    <w:p w14:paraId="2713C33B"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C356ECC"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Upon first attending the cul-de-sac, stop and search powers under section 1 of (PACE, 1984) was an obvious first consideration. (ibid) provides that, a constable may stop, detain, and search any person or vehicle in a public place, if they have ‘reasonable grounds’ to suspect they will find stolen or prohibited articles or something that could be used to commit a crime (including prohibited fireworks). The inclusion of ‘prohibited fireworks’ in the legislation (ibid) provided a clear legal basis in this situation. However, Stop Searches proved impractical given the widespread reach of ASB. Search grounds relied upon what officers could physically see, hear or smell at a given time, and the criteria for ‘reasonable grounds’ was scarcely met as it relied on acute knowledge of specific individuals.</w:t>
      </w:r>
    </w:p>
    <w:p w14:paraId="68E8631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62D970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 potential solution to this dilemma was to issue a section 60 notice in the neighbourhood. Section 60 of the (Criminal Justice and Public Order Act, 1994) provides that, in certain circumstances, an inspector (or higher-ranking officer) can authorise search without grounds over a certain radius, to prevent serious violence. If the officer believes that individuals are carrying dangerous instruments or offensive weapons in the area without a valid reason, they can also issue an authorisation, which allows the exercise of powers specified in the section at any location within the designated area for a period not exceeding 24 hours (ibid).</w:t>
      </w:r>
    </w:p>
    <w:p w14:paraId="0E07100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FFEB06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This power would provide a more blanketed search strategy; however, it could not be considered appropriate as, whilst fireworks might be considered dangerous instruments, there had been no mention of weapons or injuries cause. As such, my inspector was not satisfied that the threshold of threat to the public had been met.</w:t>
      </w:r>
    </w:p>
    <w:p w14:paraId="28C1A99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Knowing this was not an option, there became a greater reliance on dispersing the problem, rather than trying to remove the causal objects from those involved.</w:t>
      </w:r>
    </w:p>
    <w:p w14:paraId="28950291" w14:textId="77777777" w:rsidR="0000743D" w:rsidRPr="0000743D" w:rsidRDefault="0000743D" w:rsidP="0000743D">
      <w:pPr>
        <w:ind w:right="237"/>
        <w:jc w:val="both"/>
        <w:rPr>
          <w:rFonts w:eastAsia="Arial"/>
          <w:color w:val="000000" w:themeColor="text1"/>
          <w:sz w:val="24"/>
          <w:szCs w:val="24"/>
        </w:rPr>
      </w:pPr>
    </w:p>
    <w:p w14:paraId="77904B4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ASB also presents a unique issue in that, while behaviour may be antisocial, it may be the case that no criminal offences are technically being committed (Bryant, Bryant 2020). Yet, where members of the public are unhappy, there remains a clear onus on police and local authorities to </w:t>
      </w:r>
      <w:proofErr w:type="gramStart"/>
      <w:r w:rsidRPr="0000743D">
        <w:rPr>
          <w:rFonts w:eastAsia="Arial"/>
          <w:color w:val="000000" w:themeColor="text1"/>
          <w:sz w:val="24"/>
          <w:szCs w:val="24"/>
        </w:rPr>
        <w:t>take action</w:t>
      </w:r>
      <w:proofErr w:type="gramEnd"/>
      <w:r w:rsidRPr="0000743D">
        <w:rPr>
          <w:rFonts w:eastAsia="Arial"/>
          <w:color w:val="000000" w:themeColor="text1"/>
          <w:sz w:val="24"/>
          <w:szCs w:val="24"/>
        </w:rPr>
        <w:t xml:space="preserve"> in order to create a safer, or cleaner, public space.</w:t>
      </w:r>
    </w:p>
    <w:p w14:paraId="75A5552F"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62C1DD4A"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A solution to this problem in this case was to issue ‘orders to leave’ under Section 35 of the (Anti-social Behaviour, Crime and Policing Act, 2014). The legislation grants police officers and police community support officers (PCSOs) the power to </w:t>
      </w:r>
      <w:r w:rsidRPr="0000743D">
        <w:rPr>
          <w:rFonts w:eastAsia="Arial"/>
          <w:color w:val="000000" w:themeColor="text1"/>
          <w:sz w:val="24"/>
          <w:szCs w:val="24"/>
        </w:rPr>
        <w:lastRenderedPageBreak/>
        <w:t>direct individuals to leave a specified area for up to 48 hours if their presence is likely to contribute to anti-social behaviour, crime, or disorder. This power aims to prevent escalation and protect the community. Officers must reasonably believe the direction is necessary to reduce the likelihood of further issues and provide the individual with a written notice explaining the direction (ibid).</w:t>
      </w:r>
    </w:p>
    <w:p w14:paraId="42534B6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Compared to S.1 PACE stop-searches, this disposal was not only less intrusive, but more accessible due to the fact it did not rely on such rigid grounds. It proved to be much more effective in that it directly deterred and removed problematic individuals from the area.</w:t>
      </w:r>
    </w:p>
    <w:p w14:paraId="1080A15C"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31BB125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However, like S.1 PACE stop search, it would eventually prove unsustainable on its own. This was because the process relied upon the constant discovery of isolated incidents and the formal identification of those involved, which placed a heavy strain on police resources.</w:t>
      </w:r>
    </w:p>
    <w:p w14:paraId="70BAD410"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4A6668D1"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Instead, a preventative approach was taken by way of a PSPO (Public Space Protection Order).  Section 59 of the (Anti-social Behaviour, Crime and Policing Act, 2014) allows local authorities to issue Public Spaces Protection Orders (PSPOs). These orders are designed to prevent individuals or groups from engaging in activities in a public space that negatively impact the local community's quality of life, whereby breaches are punishable by fines of up to £1000. Through the SWP Community Safety department, I liaised with the local council to set up a PSPO which prohibited fireworks and alcohol within cul-de-sac and neighbouring park.  I requested the fine be set at this maximum value to provide the strongest deterrent possible.</w:t>
      </w:r>
    </w:p>
    <w:p w14:paraId="55CFEF4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251AFFA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Once in place, signs were set out in both Welsh and English across the areas.  As in any Welsh force area, there is a legal responsibility for police and local authorities to send and display communications in Welsh as well as English (Welsh Government, 2020). This would become relevant when considering signage as a crime and ASB prevention measure, as discussed later in this essay. The importance of adhering to this law is not only down to compliance with the WLA itself, but, in a broader sense, in upholding transparency to the public and respecting equality with regards to Welsh speakers.</w:t>
      </w:r>
    </w:p>
    <w:p w14:paraId="4E575243" w14:textId="26F7DD1C"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06FBB39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Next, was to apply the SARA model to this incident, where the model was implemented as follows:</w:t>
      </w:r>
    </w:p>
    <w:p w14:paraId="0124E313" w14:textId="77777777" w:rsidR="0000743D" w:rsidRPr="0000743D" w:rsidRDefault="0000743D" w:rsidP="0000743D">
      <w:pPr>
        <w:ind w:right="237"/>
        <w:jc w:val="both"/>
        <w:rPr>
          <w:rFonts w:eastAsia="Arial"/>
          <w:color w:val="000000" w:themeColor="text1"/>
          <w:sz w:val="24"/>
          <w:szCs w:val="24"/>
        </w:rPr>
      </w:pPr>
    </w:p>
    <w:p w14:paraId="7F280D1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Scanning: Data from police logs, council reports, and resident complaints identified recurring ASB, particularly during evenings and weekends. The cul-de-sac's poor lighting and secluded nature made it attractive for youths engaging in drinking, littering, and setting off fireworks.</w:t>
      </w:r>
    </w:p>
    <w:p w14:paraId="3E8C2119" w14:textId="77777777" w:rsidR="0000743D" w:rsidRPr="0000743D" w:rsidRDefault="0000743D" w:rsidP="0000743D">
      <w:pPr>
        <w:ind w:right="237"/>
        <w:jc w:val="both"/>
        <w:rPr>
          <w:rFonts w:eastAsia="Arial"/>
          <w:color w:val="000000" w:themeColor="text1"/>
          <w:sz w:val="24"/>
          <w:szCs w:val="24"/>
        </w:rPr>
      </w:pPr>
    </w:p>
    <w:p w14:paraId="20DEA25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Analysis: Interviews revealed that the lack of recreational facilities contributed to the youths congregating in the area. The predominantly elderly, Welsh-speaking residents felt vulnerable and hesitant to report incidents, highlighting the need for sensitive engagement.</w:t>
      </w:r>
    </w:p>
    <w:p w14:paraId="18077AF1" w14:textId="77777777" w:rsidR="0000743D" w:rsidRPr="0000743D" w:rsidRDefault="0000743D" w:rsidP="0000743D">
      <w:pPr>
        <w:ind w:right="237"/>
        <w:jc w:val="both"/>
        <w:rPr>
          <w:rFonts w:eastAsia="Arial"/>
          <w:color w:val="000000" w:themeColor="text1"/>
          <w:sz w:val="24"/>
          <w:szCs w:val="24"/>
        </w:rPr>
      </w:pPr>
    </w:p>
    <w:p w14:paraId="7204290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Response: Collaborative efforts with the council led to improved street lighting and the installation of CCTV. I coordinated with youth services to provide alternative </w:t>
      </w:r>
      <w:r w:rsidRPr="0000743D">
        <w:rPr>
          <w:rFonts w:eastAsia="Arial"/>
          <w:color w:val="000000" w:themeColor="text1"/>
          <w:sz w:val="24"/>
          <w:szCs w:val="24"/>
        </w:rPr>
        <w:lastRenderedPageBreak/>
        <w:t>activities, reducing the attractiveness of the cul-de-sac. Joint police and PCSO patrols increased visibility during peak times. A PSPO was implemented, with bilingual signage to ensure compliance with Welsh language requirements.</w:t>
      </w:r>
    </w:p>
    <w:p w14:paraId="24A68ADF" w14:textId="77777777" w:rsidR="0000743D" w:rsidRPr="0000743D" w:rsidRDefault="0000743D" w:rsidP="0000743D">
      <w:pPr>
        <w:ind w:right="237"/>
        <w:jc w:val="both"/>
        <w:rPr>
          <w:rFonts w:eastAsia="Arial"/>
          <w:color w:val="000000" w:themeColor="text1"/>
          <w:sz w:val="24"/>
          <w:szCs w:val="24"/>
        </w:rPr>
      </w:pPr>
    </w:p>
    <w:p w14:paraId="242A4FC6"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Support for the victims was also a priority. </w:t>
      </w:r>
    </w:p>
    <w:p w14:paraId="064332B4" w14:textId="77777777" w:rsidR="0000743D" w:rsidRPr="0000743D" w:rsidRDefault="0000743D" w:rsidP="0000743D">
      <w:pPr>
        <w:ind w:right="237"/>
        <w:jc w:val="both"/>
        <w:rPr>
          <w:rFonts w:eastAsia="Arial"/>
          <w:color w:val="000000" w:themeColor="text1"/>
          <w:sz w:val="24"/>
          <w:szCs w:val="24"/>
        </w:rPr>
      </w:pPr>
    </w:p>
    <w:p w14:paraId="5AFCD9B6"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The two routinely offered mechanisms for support in SWP are Victim Focus Referrals and Public Protection Notifications.</w:t>
      </w:r>
    </w:p>
    <w:p w14:paraId="31390F68" w14:textId="77777777" w:rsidR="0000743D" w:rsidRPr="0000743D" w:rsidRDefault="0000743D" w:rsidP="0000743D">
      <w:pPr>
        <w:ind w:right="237"/>
        <w:jc w:val="both"/>
        <w:rPr>
          <w:rFonts w:eastAsia="Arial"/>
          <w:color w:val="000000" w:themeColor="text1"/>
          <w:sz w:val="24"/>
          <w:szCs w:val="24"/>
        </w:rPr>
      </w:pPr>
    </w:p>
    <w:p w14:paraId="7510DF0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Victim Focus provides tailored support for victims of anti-social behaviour (ASB) by offering emotional assistance and practical advice. The service holds one-on-one consultations to provide guidance on how to effectively record and report ASB, accessing local services, and understanding their legal options. They also offer resources for coping with the psychological impact of ASB, such as referrals to specialist support, including counselling (SWVF, 2024). </w:t>
      </w:r>
    </w:p>
    <w:p w14:paraId="2348C5A5" w14:textId="77777777" w:rsidR="0000743D" w:rsidRPr="0000743D" w:rsidRDefault="0000743D" w:rsidP="0000743D">
      <w:pPr>
        <w:ind w:right="237"/>
        <w:jc w:val="both"/>
        <w:rPr>
          <w:rFonts w:eastAsia="Arial"/>
          <w:color w:val="000000" w:themeColor="text1"/>
          <w:sz w:val="24"/>
          <w:szCs w:val="24"/>
        </w:rPr>
      </w:pPr>
    </w:p>
    <w:p w14:paraId="39D3041D"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Meanwhile, PPN submissions relate more to subjects where there are immediate safeguarding and/or welfare concerns. Unlike VFR, these referrals can be shared with third parties such as social services and housing (SWP, 2023).</w:t>
      </w:r>
    </w:p>
    <w:p w14:paraId="6F5196B6" w14:textId="77777777" w:rsidR="0000743D" w:rsidRPr="0000743D" w:rsidRDefault="0000743D" w:rsidP="0000743D">
      <w:pPr>
        <w:ind w:right="237"/>
        <w:jc w:val="both"/>
        <w:rPr>
          <w:rFonts w:eastAsia="Arial"/>
          <w:color w:val="000000" w:themeColor="text1"/>
          <w:sz w:val="24"/>
          <w:szCs w:val="24"/>
        </w:rPr>
      </w:pPr>
    </w:p>
    <w:p w14:paraId="280FBD94"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Generally, VFR was a more appropriate option in my case, as no persons were injured or in imminent risk, and the majority </w:t>
      </w:r>
      <w:proofErr w:type="spellStart"/>
      <w:r w:rsidRPr="0000743D">
        <w:rPr>
          <w:rFonts w:eastAsia="Arial"/>
          <w:color w:val="000000" w:themeColor="text1"/>
          <w:sz w:val="24"/>
          <w:szCs w:val="24"/>
        </w:rPr>
        <w:t>f</w:t>
      </w:r>
      <w:proofErr w:type="spellEnd"/>
      <w:r w:rsidRPr="0000743D">
        <w:rPr>
          <w:rFonts w:eastAsia="Arial"/>
          <w:color w:val="000000" w:themeColor="text1"/>
          <w:sz w:val="24"/>
          <w:szCs w:val="24"/>
        </w:rPr>
        <w:t xml:space="preserve"> those victims stated they would benefit from general guidance. I was conscious that PPN submissions would be refused for not meeting the necessary risk criteria, thereby delaying support for some victims. A small number of PPNs were submitted for more vulnerable residents (such as an elderly person living on their own and a child with disabilities), both of whom required rehousing. </w:t>
      </w:r>
    </w:p>
    <w:p w14:paraId="7EE89B2C" w14:textId="77777777" w:rsidR="0000743D" w:rsidRPr="0000743D" w:rsidRDefault="0000743D" w:rsidP="0000743D">
      <w:pPr>
        <w:ind w:right="237"/>
        <w:jc w:val="both"/>
        <w:rPr>
          <w:rFonts w:eastAsia="Arial"/>
          <w:color w:val="000000" w:themeColor="text1"/>
          <w:sz w:val="24"/>
          <w:szCs w:val="24"/>
        </w:rPr>
      </w:pPr>
    </w:p>
    <w:p w14:paraId="3C95E0F8"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I also saw fit to involve local Neighbourhood police patrols as, unlike with the before-mentioned referrals, this provided a direct and tangible response along with a visible police presence that </w:t>
      </w:r>
      <w:proofErr w:type="gramStart"/>
      <w:r w:rsidRPr="0000743D">
        <w:rPr>
          <w:rFonts w:eastAsia="Arial"/>
          <w:color w:val="000000" w:themeColor="text1"/>
          <w:sz w:val="24"/>
          <w:szCs w:val="24"/>
        </w:rPr>
        <w:t>victim’s</w:t>
      </w:r>
      <w:proofErr w:type="gramEnd"/>
      <w:r w:rsidRPr="0000743D">
        <w:rPr>
          <w:rFonts w:eastAsia="Arial"/>
          <w:color w:val="000000" w:themeColor="text1"/>
          <w:sz w:val="24"/>
          <w:szCs w:val="24"/>
        </w:rPr>
        <w:t xml:space="preserve"> would take confidence in seeing. </w:t>
      </w:r>
    </w:p>
    <w:p w14:paraId="5CE458D8" w14:textId="77777777" w:rsidR="0000743D" w:rsidRPr="0000743D" w:rsidRDefault="0000743D" w:rsidP="0000743D">
      <w:pPr>
        <w:ind w:right="237"/>
        <w:jc w:val="both"/>
        <w:rPr>
          <w:rFonts w:eastAsia="Arial"/>
          <w:color w:val="000000" w:themeColor="text1"/>
          <w:sz w:val="24"/>
          <w:szCs w:val="24"/>
        </w:rPr>
      </w:pPr>
    </w:p>
    <w:p w14:paraId="3F312CA3"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In summary, I assessed the situation on a case-by-case </w:t>
      </w:r>
      <w:proofErr w:type="gramStart"/>
      <w:r w:rsidRPr="0000743D">
        <w:rPr>
          <w:rFonts w:eastAsia="Arial"/>
          <w:color w:val="000000" w:themeColor="text1"/>
          <w:sz w:val="24"/>
          <w:szCs w:val="24"/>
        </w:rPr>
        <w:t>basis, and</w:t>
      </w:r>
      <w:proofErr w:type="gramEnd"/>
      <w:r w:rsidRPr="0000743D">
        <w:rPr>
          <w:rFonts w:eastAsia="Arial"/>
          <w:color w:val="000000" w:themeColor="text1"/>
          <w:sz w:val="24"/>
          <w:szCs w:val="24"/>
        </w:rPr>
        <w:t xml:space="preserve"> made use of several options as appropriate. </w:t>
      </w:r>
    </w:p>
    <w:p w14:paraId="5C8A3EB5" w14:textId="77777777" w:rsidR="0000743D" w:rsidRPr="0000743D" w:rsidRDefault="0000743D" w:rsidP="0000743D">
      <w:pPr>
        <w:ind w:right="237"/>
        <w:jc w:val="both"/>
        <w:rPr>
          <w:rFonts w:eastAsia="Arial"/>
          <w:color w:val="000000" w:themeColor="text1"/>
          <w:sz w:val="24"/>
          <w:szCs w:val="24"/>
        </w:rPr>
      </w:pPr>
    </w:p>
    <w:p w14:paraId="3E948942"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Actions taken in this scenario were systematically applied as “immediate” and “non-immediate” responses. Immediate responses were necessary to provide urgent safeguarding, and to prevent imminent offences breach of the peace (Bryant, Bryant, 2020), whilst non-immediate responses called upon the utilisation of effective partnership working and target hardening of the area to prevent and deter re-offending.</w:t>
      </w:r>
    </w:p>
    <w:p w14:paraId="63628B35" w14:textId="77777777" w:rsidR="0000743D" w:rsidRPr="0000743D"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 xml:space="preserve"> </w:t>
      </w:r>
    </w:p>
    <w:p w14:paraId="266FC690" w14:textId="56834F1D" w:rsidR="5B843AF0" w:rsidRDefault="0000743D" w:rsidP="0000743D">
      <w:pPr>
        <w:ind w:right="237"/>
        <w:jc w:val="both"/>
        <w:rPr>
          <w:rFonts w:eastAsia="Arial"/>
          <w:color w:val="000000" w:themeColor="text1"/>
          <w:sz w:val="24"/>
          <w:szCs w:val="24"/>
        </w:rPr>
      </w:pPr>
      <w:r w:rsidRPr="0000743D">
        <w:rPr>
          <w:rFonts w:eastAsia="Arial"/>
          <w:color w:val="000000" w:themeColor="text1"/>
          <w:sz w:val="24"/>
          <w:szCs w:val="24"/>
        </w:rPr>
        <w:t>As reflected in my own SARA assessment stage, the number of reports from the cul-de-sac declined from 3 per week to an average of 0.7 per week over a 3-month period. This result was achieved by the least intrusive means possible, balancing the clear need for police presence with respect to the human rights of those individuals. A minimal number of arrests took place and the utilisation of these alternative disposals discussed proved to be effective.</w:t>
      </w:r>
    </w:p>
    <w:p w14:paraId="6127F1B1" w14:textId="77777777" w:rsidR="00297469" w:rsidRDefault="00297469" w:rsidP="00297469">
      <w:pPr>
        <w:ind w:right="237"/>
        <w:jc w:val="right"/>
        <w:rPr>
          <w:rFonts w:eastAsia="Arial"/>
          <w:color w:val="000000" w:themeColor="text1"/>
          <w:sz w:val="24"/>
          <w:szCs w:val="24"/>
        </w:rPr>
      </w:pPr>
    </w:p>
    <w:p w14:paraId="68058BED" w14:textId="297CE98D" w:rsidR="00297469" w:rsidRPr="0000743D" w:rsidRDefault="00297469" w:rsidP="00297469">
      <w:pPr>
        <w:ind w:right="237"/>
        <w:jc w:val="right"/>
        <w:rPr>
          <w:rFonts w:eastAsia="Arial"/>
          <w:color w:val="000000" w:themeColor="text1"/>
          <w:sz w:val="24"/>
          <w:szCs w:val="24"/>
        </w:rPr>
      </w:pPr>
      <w:r>
        <w:rPr>
          <w:rFonts w:eastAsia="Arial"/>
          <w:color w:val="000000" w:themeColor="text1"/>
          <w:sz w:val="24"/>
          <w:szCs w:val="24"/>
        </w:rPr>
        <w:t>Word count: 2142</w:t>
      </w:r>
    </w:p>
    <w:p w14:paraId="4BBC525A" w14:textId="2C62A870" w:rsidR="5B843AF0" w:rsidRPr="0000743D" w:rsidRDefault="5B843AF0" w:rsidP="5B843AF0">
      <w:pPr>
        <w:ind w:right="237"/>
        <w:jc w:val="both"/>
        <w:rPr>
          <w:rFonts w:eastAsia="Arial"/>
          <w:color w:val="000000" w:themeColor="text1"/>
          <w:sz w:val="24"/>
          <w:szCs w:val="24"/>
        </w:rPr>
      </w:pPr>
    </w:p>
    <w:p w14:paraId="1E96D16A" w14:textId="302F013D" w:rsidR="5B843AF0" w:rsidRPr="0000743D" w:rsidRDefault="5B843AF0" w:rsidP="5B843AF0">
      <w:pPr>
        <w:ind w:right="237"/>
        <w:jc w:val="center"/>
        <w:rPr>
          <w:sz w:val="24"/>
          <w:szCs w:val="24"/>
        </w:rPr>
      </w:pPr>
    </w:p>
    <w:p w14:paraId="5A14BEB8" w14:textId="69952D76" w:rsidR="5B843AF0" w:rsidRPr="0000743D" w:rsidRDefault="5B843AF0" w:rsidP="5B843AF0">
      <w:pPr>
        <w:ind w:right="237"/>
        <w:jc w:val="center"/>
        <w:rPr>
          <w:sz w:val="24"/>
          <w:szCs w:val="24"/>
        </w:rPr>
      </w:pPr>
    </w:p>
    <w:p w14:paraId="68317E39" w14:textId="77777777" w:rsidR="00E676F7" w:rsidRPr="0000743D" w:rsidRDefault="00E676F7">
      <w:pPr>
        <w:overflowPunct/>
        <w:autoSpaceDE/>
        <w:autoSpaceDN/>
        <w:adjustRightInd/>
        <w:textAlignment w:val="auto"/>
        <w:rPr>
          <w:sz w:val="24"/>
          <w:szCs w:val="24"/>
        </w:rPr>
      </w:pPr>
      <w:r w:rsidRPr="0000743D">
        <w:rPr>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7AE73FCC" w:rsidR="00710D69" w:rsidRPr="00E676F7" w:rsidRDefault="647BB2AB" w:rsidP="5CE196A1">
            <w:pPr>
              <w:rPr>
                <w:rFonts w:asciiTheme="minorHAnsi" w:eastAsiaTheme="minorEastAsia" w:hAnsiTheme="minorHAnsi" w:cstheme="minorBidi"/>
                <w:color w:val="000000" w:themeColor="text1"/>
                <w:sz w:val="24"/>
                <w:szCs w:val="24"/>
              </w:rPr>
            </w:pPr>
            <w:bookmarkStart w:id="0" w:name="_Hlk175067308"/>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bookmarkEnd w:id="0"/>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1D72BB6" w14:textId="7CA2D8AC" w:rsidR="00A771A0" w:rsidRPr="00796AC5" w:rsidRDefault="005C76DE" w:rsidP="00A771A0">
      <w:pPr>
        <w:rPr>
          <w:b/>
          <w:bCs/>
          <w:sz w:val="24"/>
          <w:szCs w:val="24"/>
        </w:rPr>
      </w:pPr>
      <w:r w:rsidRPr="5CE196A1">
        <w:rPr>
          <w:b/>
          <w:bCs/>
          <w:sz w:val="24"/>
          <w:szCs w:val="24"/>
        </w:rPr>
        <w:t>ANSWER:</w:t>
      </w:r>
      <w:r w:rsidR="00796AC5">
        <w:rPr>
          <w:b/>
          <w:bCs/>
          <w:sz w:val="24"/>
          <w:szCs w:val="24"/>
        </w:rPr>
        <w:t xml:space="preserve"> </w:t>
      </w:r>
      <w:r w:rsidR="00A771A0" w:rsidRPr="00A771A0">
        <w:rPr>
          <w:rFonts w:ascii="Calibri" w:hAnsi="Calibri" w:cs="Calibri"/>
          <w:sz w:val="24"/>
          <w:szCs w:val="24"/>
        </w:rPr>
        <w:t>Preventing crime and disorder is a central objective of policing</w:t>
      </w:r>
      <w:r w:rsidR="00E912C1">
        <w:rPr>
          <w:rFonts w:ascii="Calibri" w:hAnsi="Calibri" w:cs="Calibri"/>
          <w:sz w:val="24"/>
          <w:szCs w:val="24"/>
        </w:rPr>
        <w:t>.</w:t>
      </w:r>
      <w:r w:rsidR="00A771A0" w:rsidRPr="00A771A0">
        <w:rPr>
          <w:rFonts w:ascii="Calibri" w:hAnsi="Calibri" w:cs="Calibri"/>
          <w:sz w:val="24"/>
          <w:szCs w:val="24"/>
        </w:rPr>
        <w:t xml:space="preserve"> It is important to note that one of the biggest challenges in tackling DA/DV</w:t>
      </w:r>
      <w:r w:rsidR="001C29AB">
        <w:rPr>
          <w:rFonts w:ascii="Calibri" w:hAnsi="Calibri" w:cs="Calibri"/>
          <w:sz w:val="24"/>
          <w:szCs w:val="24"/>
        </w:rPr>
        <w:t xml:space="preserve"> </w:t>
      </w:r>
      <w:r w:rsidR="00A771A0" w:rsidRPr="00A771A0">
        <w:rPr>
          <w:rFonts w:ascii="Calibri" w:hAnsi="Calibri" w:cs="Calibri"/>
          <w:sz w:val="24"/>
          <w:szCs w:val="24"/>
        </w:rPr>
        <w:t>in general, is t</w:t>
      </w:r>
      <w:r w:rsidR="000F2ADF">
        <w:rPr>
          <w:rFonts w:ascii="Calibri" w:hAnsi="Calibri" w:cs="Calibri"/>
          <w:sz w:val="24"/>
          <w:szCs w:val="24"/>
        </w:rPr>
        <w:t>he number of</w:t>
      </w:r>
      <w:r w:rsidR="00A771A0" w:rsidRPr="00A771A0">
        <w:rPr>
          <w:rFonts w:ascii="Calibri" w:hAnsi="Calibri" w:cs="Calibri"/>
          <w:sz w:val="24"/>
          <w:szCs w:val="24"/>
        </w:rPr>
        <w:t xml:space="preserve"> barriers to reporting. It is estimated that only 24% of DA/DV crimes are reported (National Centre for Domestic Violence 2023). </w:t>
      </w:r>
      <w:r w:rsidR="000F2ADF">
        <w:rPr>
          <w:rFonts w:ascii="Calibri" w:hAnsi="Calibri" w:cs="Calibri"/>
          <w:sz w:val="24"/>
          <w:szCs w:val="24"/>
        </w:rPr>
        <w:t>Nonetheless</w:t>
      </w:r>
      <w:r w:rsidR="00A771A0" w:rsidRPr="00A771A0">
        <w:rPr>
          <w:rFonts w:ascii="Calibri" w:hAnsi="Calibri" w:cs="Calibri"/>
          <w:sz w:val="24"/>
          <w:szCs w:val="24"/>
        </w:rPr>
        <w:t>, the social and economic impact of domestic abuse in England and Wales was estimated at £66 billion for the year 2016-17, with £14 billion attributed to lost economic output due to time taken off work (Home Office, 2019).</w:t>
      </w:r>
    </w:p>
    <w:p w14:paraId="3D0A6EFA" w14:textId="77777777" w:rsidR="003607FC" w:rsidRPr="00A771A0" w:rsidRDefault="003607FC" w:rsidP="00A771A0">
      <w:pPr>
        <w:rPr>
          <w:rFonts w:ascii="Calibri" w:hAnsi="Calibri" w:cs="Calibri"/>
          <w:sz w:val="24"/>
          <w:szCs w:val="24"/>
        </w:rPr>
      </w:pPr>
    </w:p>
    <w:p w14:paraId="06B490F4" w14:textId="44BE7530"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In the </w:t>
      </w:r>
      <w:r w:rsidR="00E912C1">
        <w:rPr>
          <w:rFonts w:ascii="Calibri" w:hAnsi="Calibri" w:cs="Calibri"/>
          <w:sz w:val="24"/>
          <w:szCs w:val="24"/>
        </w:rPr>
        <w:t>following case study</w:t>
      </w:r>
      <w:r w:rsidRPr="00A771A0">
        <w:rPr>
          <w:rFonts w:ascii="Calibri" w:hAnsi="Calibri" w:cs="Calibri"/>
          <w:sz w:val="24"/>
          <w:szCs w:val="24"/>
        </w:rPr>
        <w:t xml:space="preserve">, challenges presented </w:t>
      </w:r>
      <w:proofErr w:type="gramStart"/>
      <w:r w:rsidR="000F2ADF">
        <w:rPr>
          <w:rFonts w:ascii="Calibri" w:hAnsi="Calibri" w:cs="Calibri"/>
          <w:sz w:val="24"/>
          <w:szCs w:val="24"/>
        </w:rPr>
        <w:t>includ</w:t>
      </w:r>
      <w:r w:rsidR="00E912C1">
        <w:rPr>
          <w:rFonts w:ascii="Calibri" w:hAnsi="Calibri" w:cs="Calibri"/>
          <w:sz w:val="24"/>
          <w:szCs w:val="24"/>
        </w:rPr>
        <w:t>ing</w:t>
      </w:r>
      <w:r w:rsidRPr="00A771A0">
        <w:rPr>
          <w:rFonts w:ascii="Calibri" w:hAnsi="Calibri" w:cs="Calibri"/>
          <w:sz w:val="24"/>
          <w:szCs w:val="24"/>
        </w:rPr>
        <w:t>:</w:t>
      </w:r>
      <w:proofErr w:type="gramEnd"/>
      <w:r w:rsidRPr="00A771A0">
        <w:rPr>
          <w:rFonts w:ascii="Calibri" w:hAnsi="Calibri" w:cs="Calibri"/>
          <w:sz w:val="24"/>
          <w:szCs w:val="24"/>
        </w:rPr>
        <w:t xml:space="preserve"> victim withdrawal - and the contributing psychological factors (including fear and Stockholm Syndrome); evidential difficulties; PACE clock constraints; and safeguarding issues throughout the judicial process.</w:t>
      </w:r>
    </w:p>
    <w:p w14:paraId="45B6A7BC" w14:textId="77777777" w:rsidR="003607FC" w:rsidRPr="00A771A0" w:rsidRDefault="003607FC" w:rsidP="00A771A0">
      <w:pPr>
        <w:overflowPunct/>
        <w:autoSpaceDE/>
        <w:autoSpaceDN/>
        <w:adjustRightInd/>
        <w:textAlignment w:val="auto"/>
        <w:rPr>
          <w:rFonts w:ascii="Calibri" w:hAnsi="Calibri" w:cs="Calibri"/>
          <w:sz w:val="24"/>
          <w:szCs w:val="24"/>
        </w:rPr>
      </w:pPr>
    </w:p>
    <w:p w14:paraId="58299E15" w14:textId="462A246C"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I was attached</w:t>
      </w:r>
      <w:r w:rsidR="00D30FB1">
        <w:rPr>
          <w:rFonts w:ascii="Calibri" w:hAnsi="Calibri" w:cs="Calibri"/>
          <w:sz w:val="24"/>
          <w:szCs w:val="24"/>
        </w:rPr>
        <w:t>, at the time,</w:t>
      </w:r>
      <w:r w:rsidRPr="00A771A0">
        <w:rPr>
          <w:rFonts w:ascii="Calibri" w:hAnsi="Calibri" w:cs="Calibri"/>
          <w:sz w:val="24"/>
          <w:szCs w:val="24"/>
        </w:rPr>
        <w:t xml:space="preserve"> to one of the force’s investigative hubs. Their role is to relieve response of prisoners where the offences are domestic in nature and progress the cases to court. My general duties involved interviewing suspects, safeguarding victims, and either charging the suspects or preparing casefiles for CPS charging advise.</w:t>
      </w:r>
    </w:p>
    <w:p w14:paraId="568791F3" w14:textId="77777777" w:rsidR="00D30FB1" w:rsidRDefault="00D30FB1" w:rsidP="00A771A0">
      <w:pPr>
        <w:overflowPunct/>
        <w:autoSpaceDE/>
        <w:autoSpaceDN/>
        <w:adjustRightInd/>
        <w:textAlignment w:val="auto"/>
        <w:rPr>
          <w:rFonts w:ascii="Calibri" w:hAnsi="Calibri" w:cs="Calibri"/>
          <w:sz w:val="24"/>
          <w:szCs w:val="24"/>
        </w:rPr>
      </w:pPr>
    </w:p>
    <w:p w14:paraId="4FA2635F" w14:textId="59C4308E"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Response had attended an incident where a witness had called 999 to say that her female neighbour (who lives opposite) was being repeatedly punched and threatened at knifepoint by her male partner, and that she was witnessing this through her window. The witness stated she forced entry to the premises and disarmed the male of the knife, but that she then left for her own safety, and the situation was ongoing.</w:t>
      </w:r>
    </w:p>
    <w:p w14:paraId="1D62AE3F" w14:textId="77777777" w:rsidR="003607FC" w:rsidRPr="00A771A0" w:rsidRDefault="003607FC" w:rsidP="00A771A0">
      <w:pPr>
        <w:overflowPunct/>
        <w:autoSpaceDE/>
        <w:autoSpaceDN/>
        <w:adjustRightInd/>
        <w:textAlignment w:val="auto"/>
        <w:rPr>
          <w:rFonts w:ascii="Calibri" w:hAnsi="Calibri" w:cs="Calibri"/>
          <w:sz w:val="24"/>
          <w:szCs w:val="24"/>
        </w:rPr>
      </w:pPr>
    </w:p>
    <w:p w14:paraId="7AE72E06" w14:textId="1EB2B4FF" w:rsidR="003607FC"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When response officers arrived, the suspect was walking in a direction away from the victim’s house. He was detained in the street immediately, whereby the victim came also came outside and became verbally hostile with officers, protesting his arrest.</w:t>
      </w:r>
    </w:p>
    <w:p w14:paraId="605D01C2" w14:textId="77777777" w:rsidR="003607FC" w:rsidRPr="00A771A0" w:rsidRDefault="003607FC" w:rsidP="00A771A0">
      <w:pPr>
        <w:overflowPunct/>
        <w:autoSpaceDE/>
        <w:autoSpaceDN/>
        <w:adjustRightInd/>
        <w:textAlignment w:val="auto"/>
        <w:rPr>
          <w:rFonts w:ascii="Calibri" w:hAnsi="Calibri" w:cs="Calibri"/>
          <w:sz w:val="24"/>
          <w:szCs w:val="24"/>
        </w:rPr>
      </w:pPr>
    </w:p>
    <w:p w14:paraId="3E143B28"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However, once the male was taken away, the victim made several disclosures to officers. Crying hysterically, she informed officers that the abuse had been systematic and ongoing for several months. She stated he would regularly hold knives to her throat, kick her to the legs, and punch her to the breasts where her injuries would be invisible when clothed.</w:t>
      </w:r>
    </w:p>
    <w:p w14:paraId="292E3145"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Whilst the victim did not say so explicitly, this stark transition defensive and radical openness made it reasonable to believe there were psychological issues at play including fear and Stockholm Syndrome. The latter is a psychological phenomenon where hostages or victims of abuse develop emotional bonds and sympathy for their captors or abusers (Westcott,2013), (Cleveland Clinic 2024).</w:t>
      </w:r>
    </w:p>
    <w:p w14:paraId="7382157A" w14:textId="77777777" w:rsidR="003607FC" w:rsidRPr="00A771A0" w:rsidRDefault="003607FC" w:rsidP="00A771A0">
      <w:pPr>
        <w:overflowPunct/>
        <w:autoSpaceDE/>
        <w:autoSpaceDN/>
        <w:adjustRightInd/>
        <w:textAlignment w:val="auto"/>
        <w:rPr>
          <w:rFonts w:ascii="Calibri" w:hAnsi="Calibri" w:cs="Calibri"/>
          <w:sz w:val="24"/>
          <w:szCs w:val="24"/>
        </w:rPr>
      </w:pPr>
    </w:p>
    <w:p w14:paraId="6C24DF55"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In the context of domestic violence, this phenomenon may explain why some victims stay in abusive relationships, defend their abusers, or even feel a sense of loyalty toward them, despite the harm inflicted (Westcott, 2013).</w:t>
      </w:r>
    </w:p>
    <w:p w14:paraId="7CD7CDC5" w14:textId="77777777" w:rsidR="003607FC" w:rsidRPr="00A771A0" w:rsidRDefault="003607FC" w:rsidP="00A771A0">
      <w:pPr>
        <w:overflowPunct/>
        <w:autoSpaceDE/>
        <w:autoSpaceDN/>
        <w:adjustRightInd/>
        <w:textAlignment w:val="auto"/>
        <w:rPr>
          <w:rFonts w:ascii="Calibri" w:hAnsi="Calibri" w:cs="Calibri"/>
          <w:sz w:val="24"/>
          <w:szCs w:val="24"/>
        </w:rPr>
      </w:pPr>
    </w:p>
    <w:p w14:paraId="5D98B3B7"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The victim would go on to provide a negative statement, therefore, the challenge of withdrawal did present. However, the degree to which this affected the overall quantity of evidence was partially mitigated in ways as follows.</w:t>
      </w:r>
    </w:p>
    <w:p w14:paraId="1318496B" w14:textId="77777777" w:rsidR="003607FC" w:rsidRPr="00A771A0" w:rsidRDefault="003607FC" w:rsidP="00A771A0">
      <w:pPr>
        <w:overflowPunct/>
        <w:autoSpaceDE/>
        <w:autoSpaceDN/>
        <w:adjustRightInd/>
        <w:textAlignment w:val="auto"/>
        <w:rPr>
          <w:rFonts w:ascii="Calibri" w:hAnsi="Calibri" w:cs="Calibri"/>
          <w:sz w:val="24"/>
          <w:szCs w:val="24"/>
        </w:rPr>
      </w:pPr>
    </w:p>
    <w:p w14:paraId="46336CCA"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lastRenderedPageBreak/>
        <w:t>Firstly, response took initiative to record the conversation on BWV, meaning they could capture the disclosures along with res gestae, and exhibit the footage as their own evidence.</w:t>
      </w:r>
    </w:p>
    <w:p w14:paraId="46A2D5FC" w14:textId="77777777" w:rsidR="0015357A" w:rsidRPr="00A771A0" w:rsidRDefault="0015357A" w:rsidP="00A771A0">
      <w:pPr>
        <w:overflowPunct/>
        <w:autoSpaceDE/>
        <w:autoSpaceDN/>
        <w:adjustRightInd/>
        <w:textAlignment w:val="auto"/>
        <w:rPr>
          <w:rFonts w:ascii="Calibri" w:hAnsi="Calibri" w:cs="Calibri"/>
          <w:sz w:val="24"/>
          <w:szCs w:val="24"/>
        </w:rPr>
      </w:pPr>
    </w:p>
    <w:p w14:paraId="3DE15E25"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As a hub officer, I was thorough in gathering, reviewing, redacting, and presenting that evidence to the CPS to secure justice for the victim, despite her withdrawal.</w:t>
      </w:r>
    </w:p>
    <w:p w14:paraId="09E58657"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This involved proactivity on my part (College of Policing 204), which included tasking officers whose BWV was not uploaded, and extracting and exhibiting my own images from the footage where officers had forgotten to photograph injuries. I redacted the material in compliance with relevant data protection legislation, ensuring confidentiality and transparency (College of Policing, 2024).</w:t>
      </w:r>
    </w:p>
    <w:p w14:paraId="1817CB71" w14:textId="77777777" w:rsidR="0015357A" w:rsidRDefault="0015357A" w:rsidP="00A771A0">
      <w:pPr>
        <w:overflowPunct/>
        <w:autoSpaceDE/>
        <w:autoSpaceDN/>
        <w:adjustRightInd/>
        <w:textAlignment w:val="auto"/>
        <w:rPr>
          <w:rFonts w:ascii="Calibri" w:hAnsi="Calibri" w:cs="Calibri"/>
          <w:sz w:val="24"/>
          <w:szCs w:val="24"/>
        </w:rPr>
      </w:pPr>
    </w:p>
    <w:p w14:paraId="455F635D" w14:textId="6FF7FFA8"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Also, by doing this, I exercised the nationally agreed ‘Positive Action’ policy. This ensures that practical intervention is made, </w:t>
      </w:r>
      <w:proofErr w:type="gramStart"/>
      <w:r w:rsidRPr="00A771A0">
        <w:rPr>
          <w:rFonts w:ascii="Calibri" w:hAnsi="Calibri" w:cs="Calibri"/>
          <w:sz w:val="24"/>
          <w:szCs w:val="24"/>
        </w:rPr>
        <w:t>in order to</w:t>
      </w:r>
      <w:proofErr w:type="gramEnd"/>
      <w:r w:rsidRPr="00A771A0">
        <w:rPr>
          <w:rFonts w:ascii="Calibri" w:hAnsi="Calibri" w:cs="Calibri"/>
          <w:sz w:val="24"/>
          <w:szCs w:val="24"/>
        </w:rPr>
        <w:t xml:space="preserve"> safeguard victims and achieve justice – regardless of the victim’s position and regardless of whether an arrestable offence presents (College of Policing, 2018).</w:t>
      </w:r>
    </w:p>
    <w:p w14:paraId="34DB3924" w14:textId="77777777" w:rsidR="00381E09" w:rsidRPr="00A771A0" w:rsidRDefault="00381E09" w:rsidP="00A771A0">
      <w:pPr>
        <w:overflowPunct/>
        <w:autoSpaceDE/>
        <w:autoSpaceDN/>
        <w:adjustRightInd/>
        <w:textAlignment w:val="auto"/>
        <w:rPr>
          <w:rFonts w:ascii="Calibri" w:hAnsi="Calibri" w:cs="Calibri"/>
          <w:sz w:val="24"/>
          <w:szCs w:val="24"/>
        </w:rPr>
      </w:pPr>
    </w:p>
    <w:p w14:paraId="17466018" w14:textId="77777777" w:rsidR="003607FC"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Section 17(1) of the (Youth Justice and Evidence Act, 1998) provides: </w:t>
      </w:r>
    </w:p>
    <w:p w14:paraId="379FBDDF" w14:textId="77777777" w:rsidR="003607FC" w:rsidRDefault="003607FC" w:rsidP="00A771A0">
      <w:pPr>
        <w:overflowPunct/>
        <w:autoSpaceDE/>
        <w:autoSpaceDN/>
        <w:adjustRightInd/>
        <w:textAlignment w:val="auto"/>
        <w:rPr>
          <w:rFonts w:ascii="Calibri" w:hAnsi="Calibri" w:cs="Calibri"/>
          <w:sz w:val="24"/>
          <w:szCs w:val="24"/>
        </w:rPr>
      </w:pPr>
    </w:p>
    <w:p w14:paraId="7773C39E" w14:textId="01E1344A" w:rsidR="00A771A0" w:rsidRPr="003607FC" w:rsidRDefault="00A771A0" w:rsidP="003607FC">
      <w:pPr>
        <w:overflowPunct/>
        <w:autoSpaceDE/>
        <w:autoSpaceDN/>
        <w:adjustRightInd/>
        <w:jc w:val="center"/>
        <w:textAlignment w:val="auto"/>
        <w:rPr>
          <w:rFonts w:ascii="Calibri" w:hAnsi="Calibri" w:cs="Calibri"/>
          <w:i/>
          <w:iCs/>
          <w:sz w:val="24"/>
          <w:szCs w:val="24"/>
        </w:rPr>
      </w:pPr>
      <w:r w:rsidRPr="00A771A0">
        <w:rPr>
          <w:rFonts w:ascii="Calibri" w:hAnsi="Calibri" w:cs="Calibri"/>
          <w:i/>
          <w:iCs/>
          <w:sz w:val="24"/>
          <w:szCs w:val="24"/>
        </w:rPr>
        <w:t>“…a witness in criminal proceedings (other than the accused) is eligible for assistance by virtue of this subsection if the court is satisfied that the quality of evidence given by the witness is likely to be diminished by reason of fear or distress on the part of the witness in connection with testifying in the proceedings.”</w:t>
      </w:r>
    </w:p>
    <w:p w14:paraId="61C0E325" w14:textId="77777777" w:rsidR="00381E09" w:rsidRPr="00A771A0" w:rsidRDefault="00381E09" w:rsidP="00A771A0">
      <w:pPr>
        <w:overflowPunct/>
        <w:autoSpaceDE/>
        <w:autoSpaceDN/>
        <w:adjustRightInd/>
        <w:textAlignment w:val="auto"/>
        <w:rPr>
          <w:rFonts w:ascii="Calibri" w:hAnsi="Calibri" w:cs="Calibri"/>
          <w:sz w:val="24"/>
          <w:szCs w:val="24"/>
        </w:rPr>
      </w:pPr>
    </w:p>
    <w:p w14:paraId="2F2486A0"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Intimidated victims/witnesses qualify for an enhanced service under the (Code of Practice for Victims of Crime in England and Wales, 2005). This in turn means they may receive special measures as listed in part 4 of the code of practice, which may include: giving evidence by video/live link (ibid). I completed an MG02 form, which is application to the court to arrange such measures, in the case that the victim change their mind and want to attend court. This additional support may provide peace of mind and a boost in confidence for a victim, thereby increasing the chances of support and further strengthening the case.</w:t>
      </w:r>
    </w:p>
    <w:p w14:paraId="274D7647"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This was not a certainty however, and I therefore had to act on the assumption that the victim would maintain her position.</w:t>
      </w:r>
    </w:p>
    <w:p w14:paraId="10E784F0" w14:textId="77777777" w:rsidR="00381E09" w:rsidRPr="00A771A0" w:rsidRDefault="00381E09" w:rsidP="00A771A0">
      <w:pPr>
        <w:overflowPunct/>
        <w:autoSpaceDE/>
        <w:autoSpaceDN/>
        <w:adjustRightInd/>
        <w:textAlignment w:val="auto"/>
        <w:rPr>
          <w:rFonts w:ascii="Calibri" w:hAnsi="Calibri" w:cs="Calibri"/>
          <w:sz w:val="24"/>
          <w:szCs w:val="24"/>
        </w:rPr>
      </w:pPr>
    </w:p>
    <w:p w14:paraId="61BF4693"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I would proceed </w:t>
      </w:r>
      <w:proofErr w:type="gramStart"/>
      <w:r w:rsidRPr="00A771A0">
        <w:rPr>
          <w:rFonts w:ascii="Calibri" w:hAnsi="Calibri" w:cs="Calibri"/>
          <w:sz w:val="24"/>
          <w:szCs w:val="24"/>
        </w:rPr>
        <w:t>on the basis of</w:t>
      </w:r>
      <w:proofErr w:type="gramEnd"/>
      <w:r w:rsidRPr="00A771A0">
        <w:rPr>
          <w:rFonts w:ascii="Calibri" w:hAnsi="Calibri" w:cs="Calibri"/>
          <w:sz w:val="24"/>
          <w:szCs w:val="24"/>
        </w:rPr>
        <w:t xml:space="preserve"> what is known as a ‘victimless prosecution’. This is a crucial strategy in domestic abuse cases, particularly when victims withdraw their support out of fear, coercion, or other pressures. The Police work with the Crown Prosecution Service (CPS) to address this challenge by relying on alternative evidence, such as witness testimony, medical reports, audio/visual evidence, and recorded communications, to pursue justice in the victim's best interest (CPS, 2024). This approach not only holds offenders accountable, but also ensures that the legal process supports victims, even when they are unable or unwilling to actively participate (ibid).</w:t>
      </w:r>
    </w:p>
    <w:p w14:paraId="7A2B0566" w14:textId="77777777" w:rsidR="00381E09" w:rsidRPr="00A771A0" w:rsidRDefault="00381E09" w:rsidP="00A771A0">
      <w:pPr>
        <w:overflowPunct/>
        <w:autoSpaceDE/>
        <w:autoSpaceDN/>
        <w:adjustRightInd/>
        <w:textAlignment w:val="auto"/>
        <w:rPr>
          <w:rFonts w:ascii="Calibri" w:hAnsi="Calibri" w:cs="Calibri"/>
          <w:sz w:val="24"/>
          <w:szCs w:val="24"/>
        </w:rPr>
      </w:pPr>
    </w:p>
    <w:p w14:paraId="02036BDE"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The process ensures that justice is served, and the victim’s interests are protected, even in the absence of their direct testimony.</w:t>
      </w:r>
    </w:p>
    <w:p w14:paraId="5722AD18" w14:textId="77777777" w:rsidR="00381E09" w:rsidRPr="00A771A0" w:rsidRDefault="00381E09" w:rsidP="00A771A0">
      <w:pPr>
        <w:overflowPunct/>
        <w:autoSpaceDE/>
        <w:autoSpaceDN/>
        <w:adjustRightInd/>
        <w:textAlignment w:val="auto"/>
        <w:rPr>
          <w:rFonts w:ascii="Calibri" w:hAnsi="Calibri" w:cs="Calibri"/>
          <w:sz w:val="24"/>
          <w:szCs w:val="24"/>
        </w:rPr>
      </w:pPr>
    </w:p>
    <w:p w14:paraId="584DDDCB"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lastRenderedPageBreak/>
        <w:t>Particularly in this case, response officers had missed several key enquiries, or ‘fast track actions’ at the time of the incident. ‘Fast track actions’ refer to actions which “if pursued immediately, may help to establish important facts, identify the suspect, preserve evidence or lead to the early arrest and resolution of the investigation” (College of Policing 2024).</w:t>
      </w:r>
    </w:p>
    <w:p w14:paraId="3E428CCA"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Other than promptly arresting suspects and safeguarding victims, fast track actions </w:t>
      </w:r>
      <w:proofErr w:type="gramStart"/>
      <w:r w:rsidRPr="00A771A0">
        <w:rPr>
          <w:rFonts w:ascii="Calibri" w:hAnsi="Calibri" w:cs="Calibri"/>
          <w:sz w:val="24"/>
          <w:szCs w:val="24"/>
        </w:rPr>
        <w:t>includes</w:t>
      </w:r>
      <w:proofErr w:type="gramEnd"/>
      <w:r w:rsidRPr="00A771A0">
        <w:rPr>
          <w:rFonts w:ascii="Calibri" w:hAnsi="Calibri" w:cs="Calibri"/>
          <w:sz w:val="24"/>
          <w:szCs w:val="24"/>
        </w:rPr>
        <w:t xml:space="preserve"> preserving crime scenes, obtaining witness statements as, and seizing forensic materials and digital records. 'Fast track' refers to the principle that, generally, evidence is of highest quality at the earliest stages following an incident, before it becomes degraded or compromised.</w:t>
      </w:r>
    </w:p>
    <w:p w14:paraId="496C421E" w14:textId="77777777" w:rsidR="00381E09" w:rsidRPr="00A771A0" w:rsidRDefault="00381E09" w:rsidP="00A771A0">
      <w:pPr>
        <w:overflowPunct/>
        <w:autoSpaceDE/>
        <w:autoSpaceDN/>
        <w:adjustRightInd/>
        <w:textAlignment w:val="auto"/>
        <w:rPr>
          <w:rFonts w:ascii="Calibri" w:hAnsi="Calibri" w:cs="Calibri"/>
          <w:sz w:val="24"/>
          <w:szCs w:val="24"/>
        </w:rPr>
      </w:pPr>
    </w:p>
    <w:p w14:paraId="1A1FFC46"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Knowing the victim was not providing testimony, it was especially important in this case to exhaust these enquiries and obtain this vital evidence to build a strong case (College of Policing, 2024).</w:t>
      </w:r>
    </w:p>
    <w:p w14:paraId="584D7C97" w14:textId="77777777" w:rsidR="00381E09" w:rsidRPr="00A771A0" w:rsidRDefault="00381E09" w:rsidP="00A771A0">
      <w:pPr>
        <w:overflowPunct/>
        <w:autoSpaceDE/>
        <w:autoSpaceDN/>
        <w:adjustRightInd/>
        <w:textAlignment w:val="auto"/>
        <w:rPr>
          <w:rFonts w:ascii="Calibri" w:hAnsi="Calibri" w:cs="Calibri"/>
          <w:sz w:val="24"/>
          <w:szCs w:val="24"/>
        </w:rPr>
      </w:pPr>
    </w:p>
    <w:p w14:paraId="09CAAC1A" w14:textId="2A174D02"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There were two key lines of enquiry that had not been seized in the initial stages. Firstly, no statement had been taken from the neighbour who first witnessed the assault, nor from the witness’ partner who was also present at the time. Secondly, the knife that was mentioned by the victim had not been seized. The latter would provide possible forensic samples – namely the witnesses’ fingerprints on the knife - which corroborate the witnesses’ account that she disarmed the suspect (Kapoor, Moon et al. 2023).</w:t>
      </w:r>
      <w:r w:rsidR="0015357A">
        <w:rPr>
          <w:rFonts w:ascii="Calibri" w:hAnsi="Calibri" w:cs="Calibri"/>
          <w:sz w:val="24"/>
          <w:szCs w:val="24"/>
        </w:rPr>
        <w:t xml:space="preserve"> </w:t>
      </w:r>
      <w:r w:rsidRPr="00A771A0">
        <w:rPr>
          <w:rFonts w:ascii="Calibri" w:hAnsi="Calibri" w:cs="Calibri"/>
          <w:sz w:val="24"/>
          <w:szCs w:val="24"/>
        </w:rPr>
        <w:t>Proving this was essential where, as in many domestic cases, natural cross contamination between victim and suspect was expected due to them having lived together and sharing objects and spaces. The DNA or fingerprints of the suspect could be present for legitimate or innocent reasons, therefore, does not constitute conclusive nor circumstantial evidence of guilt (Holt et al., 2018). I re-attended the victim’s address where I promptly seized the knife using home office approved evidence containers and protective clothing.</w:t>
      </w:r>
    </w:p>
    <w:p w14:paraId="10A169AD" w14:textId="77777777" w:rsidR="0015357A" w:rsidRDefault="0015357A" w:rsidP="00A771A0">
      <w:pPr>
        <w:overflowPunct/>
        <w:autoSpaceDE/>
        <w:autoSpaceDN/>
        <w:adjustRightInd/>
        <w:textAlignment w:val="auto"/>
        <w:rPr>
          <w:rFonts w:ascii="Calibri" w:hAnsi="Calibri" w:cs="Calibri"/>
          <w:sz w:val="24"/>
          <w:szCs w:val="24"/>
        </w:rPr>
      </w:pPr>
    </w:p>
    <w:p w14:paraId="3F390E8D" w14:textId="5AF1FDC6"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By attending the scene myself, despite being in an office-based role, I took ownership of the investigation in line with the national competency-value framework (College of Policing 2024).</w:t>
      </w:r>
    </w:p>
    <w:p w14:paraId="0CBB4F93" w14:textId="77777777" w:rsidR="00381E09" w:rsidRPr="00A771A0" w:rsidRDefault="00381E09" w:rsidP="00A771A0">
      <w:pPr>
        <w:overflowPunct/>
        <w:autoSpaceDE/>
        <w:autoSpaceDN/>
        <w:adjustRightInd/>
        <w:textAlignment w:val="auto"/>
        <w:rPr>
          <w:rFonts w:ascii="Calibri" w:hAnsi="Calibri" w:cs="Calibri"/>
          <w:sz w:val="24"/>
          <w:szCs w:val="24"/>
        </w:rPr>
      </w:pPr>
    </w:p>
    <w:p w14:paraId="0AF01E67"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Whilst in attendance, I used the opportunity to take a statement from the witness who reported the incident, however, her partner was at work and not able to provide a statement.</w:t>
      </w:r>
    </w:p>
    <w:p w14:paraId="340F3728" w14:textId="77777777" w:rsidR="00381E09" w:rsidRPr="00A771A0" w:rsidRDefault="00381E09" w:rsidP="00A771A0">
      <w:pPr>
        <w:overflowPunct/>
        <w:autoSpaceDE/>
        <w:autoSpaceDN/>
        <w:adjustRightInd/>
        <w:textAlignment w:val="auto"/>
        <w:rPr>
          <w:rFonts w:ascii="Calibri" w:hAnsi="Calibri" w:cs="Calibri"/>
          <w:sz w:val="24"/>
          <w:szCs w:val="24"/>
        </w:rPr>
      </w:pPr>
    </w:p>
    <w:p w14:paraId="38CB0D77"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Upon my return to the Hub, I was now in a position where I possessed most of the evidence that was available, with one key witness statement outstanding.</w:t>
      </w:r>
    </w:p>
    <w:p w14:paraId="6068A281" w14:textId="77777777" w:rsidR="00381E09" w:rsidRPr="00A771A0" w:rsidRDefault="00381E09" w:rsidP="00A771A0">
      <w:pPr>
        <w:overflowPunct/>
        <w:autoSpaceDE/>
        <w:autoSpaceDN/>
        <w:adjustRightInd/>
        <w:textAlignment w:val="auto"/>
        <w:rPr>
          <w:rFonts w:ascii="Calibri" w:hAnsi="Calibri" w:cs="Calibri"/>
          <w:sz w:val="24"/>
          <w:szCs w:val="24"/>
        </w:rPr>
      </w:pPr>
    </w:p>
    <w:p w14:paraId="60D062F9"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For the safeguarding of the victim, and given the suspect’s previous convictions, it was my aim to remand the suspect into police custody. Given it is only possible to remand on reaching a charge as per section 4 of the (Bail Act, 1976), and given the fact a suspect can only be kept in custody (without remand) for a maximum of 24 hours as per section 41 of (PACE, 1984), the next challenge was to compile sufficient evidence for the CPS to charge, to prepare and send the case file to the CPS, and to receive charging advice back within a very short timescale. At this point, the suspect had as little as 3 hours remaining on his detention clock. The possible consequence of not obtaining authority to remand (where bail was not sought) would have meant the suspect being released under investigation, with no legal </w:t>
      </w:r>
      <w:r w:rsidRPr="00A771A0">
        <w:rPr>
          <w:rFonts w:ascii="Calibri" w:hAnsi="Calibri" w:cs="Calibri"/>
          <w:sz w:val="24"/>
          <w:szCs w:val="24"/>
        </w:rPr>
        <w:lastRenderedPageBreak/>
        <w:t>conditions not to contact or approach the victim. This, clearly, would have put the victim at severe risk of further violence.</w:t>
      </w:r>
    </w:p>
    <w:p w14:paraId="563D980C" w14:textId="77777777" w:rsidR="00381E09" w:rsidRPr="00A771A0" w:rsidRDefault="00381E09" w:rsidP="00A771A0">
      <w:pPr>
        <w:overflowPunct/>
        <w:autoSpaceDE/>
        <w:autoSpaceDN/>
        <w:adjustRightInd/>
        <w:textAlignment w:val="auto"/>
        <w:rPr>
          <w:rFonts w:ascii="Calibri" w:hAnsi="Calibri" w:cs="Calibri"/>
          <w:sz w:val="24"/>
          <w:szCs w:val="24"/>
        </w:rPr>
      </w:pPr>
    </w:p>
    <w:p w14:paraId="3571D502" w14:textId="77777777"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A solution to the issue of not being able to obtain enough evidence to charge (despite having reasonable grounds to arrest under section 24(3) of PACE, 1984) was to proceed based on meeting the ‘Threshold Test’. According to the Crown Prosecution Service's (CPS) Code for Crown Prosecutors, the Threshold Test is applied when there is insufficient evidence to meet the Full Code Test, but there is a need to charge and keep a suspect in custody. This test is appropriate where there is reasonable suspicion of an offense, and it is in the public interest to prosecute, while critical evidence is being gathered to build the case (CPS, 2023). The application of the Threshold Test allowed the police to remand the suspect, which ensured the victim's safety while further evidence was obtained. I worked closely with the CPS to ensure that the suspect remained in custody, preparing all available evidence efficiently to meet the legal threshold required for this interim charge.</w:t>
      </w:r>
    </w:p>
    <w:p w14:paraId="59DC0B65" w14:textId="77777777" w:rsidR="00381E09" w:rsidRPr="00A771A0" w:rsidRDefault="00381E09" w:rsidP="00A771A0">
      <w:pPr>
        <w:overflowPunct/>
        <w:autoSpaceDE/>
        <w:autoSpaceDN/>
        <w:adjustRightInd/>
        <w:textAlignment w:val="auto"/>
        <w:rPr>
          <w:rFonts w:ascii="Calibri" w:hAnsi="Calibri" w:cs="Calibri"/>
          <w:sz w:val="24"/>
          <w:szCs w:val="24"/>
        </w:rPr>
      </w:pPr>
    </w:p>
    <w:p w14:paraId="6B056C70"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Even having completed the file in accordance with the Threshold Test, due to the volume of the file and the time it consequently took to prepare, not enough time remained to obtain charging decision from the CPS. The answer to this was to ‘Emergency Charge’ the suspect. The Director’s Guidance on Charging (CPS, 2020) permits this </w:t>
      </w:r>
      <w:proofErr w:type="gramStart"/>
      <w:r w:rsidRPr="00A771A0">
        <w:rPr>
          <w:rFonts w:ascii="Calibri" w:hAnsi="Calibri" w:cs="Calibri"/>
          <w:sz w:val="24"/>
          <w:szCs w:val="24"/>
        </w:rPr>
        <w:t>step in</w:t>
      </w:r>
      <w:proofErr w:type="gramEnd"/>
      <w:r w:rsidRPr="00A771A0">
        <w:rPr>
          <w:rFonts w:ascii="Calibri" w:hAnsi="Calibri" w:cs="Calibri"/>
          <w:sz w:val="24"/>
          <w:szCs w:val="24"/>
        </w:rPr>
        <w:t xml:space="preserve"> situations where there is insufficient time to secure a full charging decision due to imminent risks. The Emergency Charge allows a suspect to be held beyond the PACE clock while formal charging advice is obtained after the fact, </w:t>
      </w:r>
      <w:proofErr w:type="gramStart"/>
      <w:r w:rsidRPr="00A771A0">
        <w:rPr>
          <w:rFonts w:ascii="Calibri" w:hAnsi="Calibri" w:cs="Calibri"/>
          <w:sz w:val="24"/>
          <w:szCs w:val="24"/>
        </w:rPr>
        <w:t>as long as</w:t>
      </w:r>
      <w:proofErr w:type="gramEnd"/>
      <w:r w:rsidRPr="00A771A0">
        <w:rPr>
          <w:rFonts w:ascii="Calibri" w:hAnsi="Calibri" w:cs="Calibri"/>
          <w:sz w:val="24"/>
          <w:szCs w:val="24"/>
        </w:rPr>
        <w:t xml:space="preserve"> there are reasonable grounds to suspect the offense. This approach prevented the release of the suspect, preserved critical evidence, and ensured the victim was protected from further harm. After obtaining CPS advice post-charge, the suspect was officially charged and subsequently remanded in custody, thus securing both the safety of the victim and the integrity of the investigation (CPS, 2023).</w:t>
      </w:r>
    </w:p>
    <w:p w14:paraId="466FBD07" w14:textId="77777777" w:rsidR="00A771A0" w:rsidRDefault="00A771A0" w:rsidP="00A771A0">
      <w:pPr>
        <w:overflowPunct/>
        <w:autoSpaceDE/>
        <w:autoSpaceDN/>
        <w:adjustRightInd/>
        <w:textAlignment w:val="auto"/>
        <w:rPr>
          <w:rFonts w:ascii="Calibri" w:hAnsi="Calibri" w:cs="Calibri"/>
          <w:sz w:val="24"/>
          <w:szCs w:val="24"/>
        </w:rPr>
      </w:pPr>
    </w:p>
    <w:p w14:paraId="4A1E062A" w14:textId="4758A68E" w:rsidR="00A771A0" w:rsidRPr="00A771A0" w:rsidRDefault="00A771A0" w:rsidP="00A771A0">
      <w:pPr>
        <w:overflowPunct/>
        <w:autoSpaceDE/>
        <w:autoSpaceDN/>
        <w:adjustRightInd/>
        <w:textAlignment w:val="auto"/>
        <w:rPr>
          <w:rFonts w:ascii="Calibri" w:hAnsi="Calibri" w:cs="Calibri"/>
          <w:sz w:val="24"/>
          <w:szCs w:val="24"/>
        </w:rPr>
      </w:pPr>
      <w:r>
        <w:rPr>
          <w:rFonts w:ascii="Calibri" w:hAnsi="Calibri" w:cs="Calibri"/>
          <w:sz w:val="24"/>
          <w:szCs w:val="24"/>
        </w:rPr>
        <w:t xml:space="preserve">Due to the possibility </w:t>
      </w:r>
      <w:r w:rsidR="005425B4">
        <w:rPr>
          <w:rFonts w:ascii="Calibri" w:hAnsi="Calibri" w:cs="Calibri"/>
          <w:sz w:val="24"/>
          <w:szCs w:val="24"/>
        </w:rPr>
        <w:t xml:space="preserve">of the court granting </w:t>
      </w:r>
      <w:r w:rsidRPr="00A771A0">
        <w:rPr>
          <w:rFonts w:ascii="Calibri" w:hAnsi="Calibri" w:cs="Calibri"/>
          <w:sz w:val="24"/>
          <w:szCs w:val="24"/>
        </w:rPr>
        <w:t>the suspect</w:t>
      </w:r>
      <w:r w:rsidR="005425B4">
        <w:rPr>
          <w:rFonts w:ascii="Calibri" w:hAnsi="Calibri" w:cs="Calibri"/>
          <w:sz w:val="24"/>
          <w:szCs w:val="24"/>
        </w:rPr>
        <w:t xml:space="preserve"> bail</w:t>
      </w:r>
      <w:r w:rsidRPr="00A771A0">
        <w:rPr>
          <w:rFonts w:ascii="Calibri" w:hAnsi="Calibri" w:cs="Calibri"/>
          <w:sz w:val="24"/>
          <w:szCs w:val="24"/>
        </w:rPr>
        <w:t xml:space="preserve">, </w:t>
      </w:r>
      <w:r w:rsidR="00381E09">
        <w:rPr>
          <w:rFonts w:ascii="Calibri" w:hAnsi="Calibri" w:cs="Calibri"/>
          <w:sz w:val="24"/>
          <w:szCs w:val="24"/>
        </w:rPr>
        <w:t>long-term</w:t>
      </w:r>
      <w:r w:rsidRPr="00A771A0">
        <w:rPr>
          <w:rFonts w:ascii="Calibri" w:hAnsi="Calibri" w:cs="Calibri"/>
          <w:sz w:val="24"/>
          <w:szCs w:val="24"/>
        </w:rPr>
        <w:t xml:space="preserve"> safeguarding </w:t>
      </w:r>
      <w:r w:rsidR="005425B4">
        <w:rPr>
          <w:rFonts w:ascii="Calibri" w:hAnsi="Calibri" w:cs="Calibri"/>
          <w:sz w:val="24"/>
          <w:szCs w:val="24"/>
        </w:rPr>
        <w:t>became priority</w:t>
      </w:r>
      <w:r w:rsidR="00381E09">
        <w:rPr>
          <w:rFonts w:ascii="Calibri" w:hAnsi="Calibri" w:cs="Calibri"/>
          <w:sz w:val="24"/>
          <w:szCs w:val="24"/>
        </w:rPr>
        <w:t xml:space="preserve">. </w:t>
      </w:r>
      <w:r w:rsidRPr="00A771A0">
        <w:rPr>
          <w:rFonts w:ascii="Calibri" w:hAnsi="Calibri" w:cs="Calibri"/>
          <w:sz w:val="24"/>
          <w:szCs w:val="24"/>
        </w:rPr>
        <w:t>The two routinely offered mechanisms for support in SWP are Victim Focus Referrals and Public Protection Notifications.</w:t>
      </w:r>
    </w:p>
    <w:p w14:paraId="45151B92" w14:textId="77777777" w:rsidR="00A771A0" w:rsidRDefault="00A771A0" w:rsidP="00A771A0">
      <w:pPr>
        <w:overflowPunct/>
        <w:autoSpaceDE/>
        <w:autoSpaceDN/>
        <w:adjustRightInd/>
        <w:textAlignment w:val="auto"/>
        <w:rPr>
          <w:rFonts w:ascii="Calibri" w:hAnsi="Calibri" w:cs="Calibri"/>
          <w:sz w:val="24"/>
          <w:szCs w:val="24"/>
        </w:rPr>
      </w:pPr>
    </w:p>
    <w:p w14:paraId="7CDF4E4C" w14:textId="259D9B88"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Victim Focus provides tailored support by offering emotional assistance and practical advice. </w:t>
      </w:r>
      <w:r w:rsidR="00A658D0">
        <w:rPr>
          <w:rFonts w:ascii="Calibri" w:hAnsi="Calibri" w:cs="Calibri"/>
          <w:sz w:val="24"/>
          <w:szCs w:val="24"/>
        </w:rPr>
        <w:t xml:space="preserve">They </w:t>
      </w:r>
      <w:r w:rsidRPr="00A771A0">
        <w:rPr>
          <w:rFonts w:ascii="Calibri" w:hAnsi="Calibri" w:cs="Calibri"/>
          <w:sz w:val="24"/>
          <w:szCs w:val="24"/>
        </w:rPr>
        <w:t xml:space="preserve">offer resources for coping with the psychological impact of abuse, such as referrals to specialist </w:t>
      </w:r>
      <w:r w:rsidR="00A658D0">
        <w:rPr>
          <w:rFonts w:ascii="Calibri" w:hAnsi="Calibri" w:cs="Calibri"/>
          <w:sz w:val="24"/>
          <w:szCs w:val="24"/>
        </w:rPr>
        <w:t>services</w:t>
      </w:r>
      <w:r w:rsidRPr="00A771A0">
        <w:rPr>
          <w:rFonts w:ascii="Calibri" w:hAnsi="Calibri" w:cs="Calibri"/>
          <w:sz w:val="24"/>
          <w:szCs w:val="24"/>
        </w:rPr>
        <w:t>, which may include counselling (SWVF, 2024).</w:t>
      </w:r>
    </w:p>
    <w:p w14:paraId="653AA385" w14:textId="77777777" w:rsidR="00A771A0" w:rsidRPr="00A771A0" w:rsidRDefault="00A771A0" w:rsidP="00A771A0">
      <w:pPr>
        <w:overflowPunct/>
        <w:autoSpaceDE/>
        <w:autoSpaceDN/>
        <w:adjustRightInd/>
        <w:textAlignment w:val="auto"/>
        <w:rPr>
          <w:rFonts w:ascii="Calibri" w:hAnsi="Calibri" w:cs="Calibri"/>
          <w:sz w:val="24"/>
          <w:szCs w:val="24"/>
        </w:rPr>
      </w:pPr>
    </w:p>
    <w:p w14:paraId="1DCBC008" w14:textId="4CC07AAF"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Meanwhile, PPN submissions relate more to subjects where there are immediate safeguarding</w:t>
      </w:r>
      <w:r w:rsidR="006A2124">
        <w:rPr>
          <w:rFonts w:ascii="Calibri" w:hAnsi="Calibri" w:cs="Calibri"/>
          <w:sz w:val="24"/>
          <w:szCs w:val="24"/>
        </w:rPr>
        <w:t>/</w:t>
      </w:r>
      <w:r w:rsidRPr="00A771A0">
        <w:rPr>
          <w:rFonts w:ascii="Calibri" w:hAnsi="Calibri" w:cs="Calibri"/>
          <w:sz w:val="24"/>
          <w:szCs w:val="24"/>
        </w:rPr>
        <w:t xml:space="preserve">welfare concerns. Unlike VFR, </w:t>
      </w:r>
      <w:r w:rsidR="006A2124">
        <w:rPr>
          <w:rFonts w:ascii="Calibri" w:hAnsi="Calibri" w:cs="Calibri"/>
          <w:sz w:val="24"/>
          <w:szCs w:val="24"/>
        </w:rPr>
        <w:t>they</w:t>
      </w:r>
      <w:r w:rsidRPr="00A771A0">
        <w:rPr>
          <w:rFonts w:ascii="Calibri" w:hAnsi="Calibri" w:cs="Calibri"/>
          <w:sz w:val="24"/>
          <w:szCs w:val="24"/>
        </w:rPr>
        <w:t xml:space="preserve"> </w:t>
      </w:r>
      <w:r w:rsidR="006A2124">
        <w:rPr>
          <w:rFonts w:ascii="Calibri" w:hAnsi="Calibri" w:cs="Calibri"/>
          <w:sz w:val="24"/>
          <w:szCs w:val="24"/>
        </w:rPr>
        <w:t>can</w:t>
      </w:r>
      <w:r w:rsidRPr="00A771A0">
        <w:rPr>
          <w:rFonts w:ascii="Calibri" w:hAnsi="Calibri" w:cs="Calibri"/>
          <w:sz w:val="24"/>
          <w:szCs w:val="24"/>
        </w:rPr>
        <w:t xml:space="preserve"> be shared with third parties such as social services and housing (SWP, 2023). In this case, both were utilised, with the PPN being </w:t>
      </w:r>
      <w:r w:rsidR="006A2124">
        <w:rPr>
          <w:rFonts w:ascii="Calibri" w:hAnsi="Calibri" w:cs="Calibri"/>
          <w:sz w:val="24"/>
          <w:szCs w:val="24"/>
        </w:rPr>
        <w:t>fundamental</w:t>
      </w:r>
      <w:r w:rsidRPr="00A771A0">
        <w:rPr>
          <w:rFonts w:ascii="Calibri" w:hAnsi="Calibri" w:cs="Calibri"/>
          <w:sz w:val="24"/>
          <w:szCs w:val="24"/>
        </w:rPr>
        <w:t xml:space="preserve"> due to the immediate </w:t>
      </w:r>
      <w:r w:rsidR="006A2124">
        <w:rPr>
          <w:rFonts w:ascii="Calibri" w:hAnsi="Calibri" w:cs="Calibri"/>
          <w:sz w:val="24"/>
          <w:szCs w:val="24"/>
        </w:rPr>
        <w:t>possibility of retribution</w:t>
      </w:r>
      <w:r w:rsidRPr="00A771A0">
        <w:rPr>
          <w:rFonts w:ascii="Calibri" w:hAnsi="Calibri" w:cs="Calibri"/>
          <w:sz w:val="24"/>
          <w:szCs w:val="24"/>
        </w:rPr>
        <w:t>.</w:t>
      </w:r>
    </w:p>
    <w:p w14:paraId="3ADD9BB9" w14:textId="77777777" w:rsidR="00A771A0" w:rsidRPr="00A771A0" w:rsidRDefault="00A771A0" w:rsidP="00A771A0">
      <w:pPr>
        <w:overflowPunct/>
        <w:autoSpaceDE/>
        <w:autoSpaceDN/>
        <w:adjustRightInd/>
        <w:textAlignment w:val="auto"/>
        <w:rPr>
          <w:rFonts w:ascii="Calibri" w:hAnsi="Calibri" w:cs="Calibri"/>
          <w:sz w:val="24"/>
          <w:szCs w:val="24"/>
        </w:rPr>
      </w:pPr>
    </w:p>
    <w:p w14:paraId="2C92C7A7" w14:textId="77777777"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Additionally, the victim was put in touch with an Independent Domestic Violence Advocate (IDVA). As per (SWVF, 2024), and IDVA acts as a single point of contact between the victim, the Officer in the Case, and the CPS in order to provide timely updates and </w:t>
      </w:r>
      <w:proofErr w:type="gramStart"/>
      <w:r w:rsidRPr="00A771A0">
        <w:rPr>
          <w:rFonts w:ascii="Calibri" w:hAnsi="Calibri" w:cs="Calibri"/>
          <w:sz w:val="24"/>
          <w:szCs w:val="24"/>
        </w:rPr>
        <w:t>advice, and</w:t>
      </w:r>
      <w:proofErr w:type="gramEnd"/>
      <w:r w:rsidRPr="00A771A0">
        <w:rPr>
          <w:rFonts w:ascii="Calibri" w:hAnsi="Calibri" w:cs="Calibri"/>
          <w:sz w:val="24"/>
          <w:szCs w:val="24"/>
        </w:rPr>
        <w:t xml:space="preserve"> ensure the victim’s case is progressed promptly and thoroughly.</w:t>
      </w:r>
    </w:p>
    <w:p w14:paraId="767EDE5D" w14:textId="77777777" w:rsidR="00A771A0" w:rsidRDefault="00A771A0" w:rsidP="00A771A0">
      <w:pPr>
        <w:overflowPunct/>
        <w:autoSpaceDE/>
        <w:autoSpaceDN/>
        <w:adjustRightInd/>
        <w:textAlignment w:val="auto"/>
        <w:rPr>
          <w:rFonts w:ascii="Calibri" w:hAnsi="Calibri" w:cs="Calibri"/>
          <w:sz w:val="24"/>
          <w:szCs w:val="24"/>
        </w:rPr>
      </w:pPr>
    </w:p>
    <w:p w14:paraId="160215DB" w14:textId="62ABDE5F" w:rsidR="00A771A0" w:rsidRP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Finally, I completed a target hardening referral, which in her case, would involve resulted in the installation of security cameras and anti-arson. The principle of target hardening can be </w:t>
      </w:r>
      <w:r w:rsidRPr="00A771A0">
        <w:rPr>
          <w:rFonts w:ascii="Calibri" w:hAnsi="Calibri" w:cs="Calibri"/>
          <w:sz w:val="24"/>
          <w:szCs w:val="24"/>
        </w:rPr>
        <w:lastRenderedPageBreak/>
        <w:t>described as the endeavour to a) control crime through practical yet legal measures, b) increase the risks of detection, and c) increase the effort required in the commission of a crime (Crawford, 1998). In this case study, (b) was implemented in the installation of CCTV, and (c) was implemented in the installation of the anti-arson letterbox.</w:t>
      </w:r>
    </w:p>
    <w:p w14:paraId="4A6AABE6" w14:textId="77777777" w:rsidR="00A771A0" w:rsidRDefault="00A771A0" w:rsidP="00A771A0">
      <w:pPr>
        <w:overflowPunct/>
        <w:autoSpaceDE/>
        <w:autoSpaceDN/>
        <w:adjustRightInd/>
        <w:textAlignment w:val="auto"/>
        <w:rPr>
          <w:rFonts w:ascii="Calibri" w:hAnsi="Calibri" w:cs="Calibri"/>
          <w:sz w:val="24"/>
          <w:szCs w:val="24"/>
        </w:rPr>
      </w:pPr>
    </w:p>
    <w:p w14:paraId="690D3145" w14:textId="2FAC4E50" w:rsidR="00A771A0" w:rsidRDefault="00A771A0" w:rsidP="00A771A0">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In completing these important referrals, I </w:t>
      </w:r>
      <w:r w:rsidR="00F44C5A">
        <w:rPr>
          <w:rFonts w:ascii="Calibri" w:hAnsi="Calibri" w:cs="Calibri"/>
          <w:sz w:val="24"/>
          <w:szCs w:val="24"/>
        </w:rPr>
        <w:t>incorporated</w:t>
      </w:r>
      <w:r w:rsidRPr="00A771A0">
        <w:rPr>
          <w:rFonts w:ascii="Calibri" w:hAnsi="Calibri" w:cs="Calibri"/>
          <w:sz w:val="24"/>
          <w:szCs w:val="24"/>
        </w:rPr>
        <w:t xml:space="preserve"> a Multi-Agency Approach. </w:t>
      </w:r>
      <w:r w:rsidR="00F44C5A">
        <w:rPr>
          <w:rFonts w:ascii="Calibri" w:hAnsi="Calibri" w:cs="Calibri"/>
          <w:sz w:val="24"/>
          <w:szCs w:val="24"/>
        </w:rPr>
        <w:t>T</w:t>
      </w:r>
      <w:r w:rsidRPr="00A771A0">
        <w:rPr>
          <w:rFonts w:ascii="Calibri" w:hAnsi="Calibri" w:cs="Calibri"/>
          <w:sz w:val="24"/>
          <w:szCs w:val="24"/>
        </w:rPr>
        <w:t xml:space="preserve">his involves the utilisation other parties’ expertise in situations where police may lack relevant skills or resources, </w:t>
      </w:r>
      <w:r w:rsidR="001C29AB">
        <w:rPr>
          <w:rFonts w:ascii="Calibri" w:hAnsi="Calibri" w:cs="Calibri"/>
          <w:sz w:val="24"/>
          <w:szCs w:val="24"/>
        </w:rPr>
        <w:t>therefore i</w:t>
      </w:r>
      <w:r w:rsidRPr="00A771A0">
        <w:rPr>
          <w:rFonts w:ascii="Calibri" w:hAnsi="Calibri" w:cs="Calibri"/>
          <w:sz w:val="24"/>
          <w:szCs w:val="24"/>
        </w:rPr>
        <w:t>t ensures holistic and continuous support for victims (College of Policing, 2018), (Abhay, 2023).</w:t>
      </w:r>
    </w:p>
    <w:p w14:paraId="16FD85B8" w14:textId="77777777" w:rsidR="00A771A0" w:rsidRPr="00A771A0" w:rsidRDefault="00A771A0" w:rsidP="00A771A0">
      <w:pPr>
        <w:overflowPunct/>
        <w:autoSpaceDE/>
        <w:autoSpaceDN/>
        <w:adjustRightInd/>
        <w:textAlignment w:val="auto"/>
        <w:rPr>
          <w:rFonts w:ascii="Calibri" w:hAnsi="Calibri" w:cs="Calibri"/>
          <w:sz w:val="24"/>
          <w:szCs w:val="24"/>
        </w:rPr>
      </w:pPr>
    </w:p>
    <w:p w14:paraId="2515840D" w14:textId="75ACAE2D" w:rsidR="0015357A" w:rsidRDefault="00A771A0" w:rsidP="003607FC">
      <w:pPr>
        <w:overflowPunct/>
        <w:autoSpaceDE/>
        <w:autoSpaceDN/>
        <w:adjustRightInd/>
        <w:textAlignment w:val="auto"/>
        <w:rPr>
          <w:rFonts w:ascii="Calibri" w:hAnsi="Calibri" w:cs="Calibri"/>
          <w:sz w:val="24"/>
          <w:szCs w:val="24"/>
        </w:rPr>
      </w:pPr>
      <w:r w:rsidRPr="00A771A0">
        <w:rPr>
          <w:rFonts w:ascii="Calibri" w:hAnsi="Calibri" w:cs="Calibri"/>
          <w:sz w:val="24"/>
          <w:szCs w:val="24"/>
        </w:rPr>
        <w:t xml:space="preserve">In conclusion, the complexities of prosecuting domestic abuse cases are compounded by the frequent withdrawal of victim support, psychological factors and the procedural challenges faced by the police and </w:t>
      </w:r>
      <w:r w:rsidR="00E912C1">
        <w:rPr>
          <w:rFonts w:ascii="Calibri" w:hAnsi="Calibri" w:cs="Calibri"/>
          <w:sz w:val="24"/>
          <w:szCs w:val="24"/>
        </w:rPr>
        <w:t>CPS</w:t>
      </w:r>
      <w:r w:rsidRPr="00A771A0">
        <w:rPr>
          <w:rFonts w:ascii="Calibri" w:hAnsi="Calibri" w:cs="Calibri"/>
          <w:sz w:val="24"/>
          <w:szCs w:val="24"/>
        </w:rPr>
        <w:t xml:space="preserve">. However, through proactive policing, adherence to CPS guidelines, and the use of proactive investigative strategies, justice can be pursued even when victims are unable or unwilling to </w:t>
      </w:r>
      <w:r w:rsidR="00501A4A">
        <w:rPr>
          <w:rFonts w:ascii="Calibri" w:hAnsi="Calibri" w:cs="Calibri"/>
          <w:sz w:val="24"/>
          <w:szCs w:val="24"/>
        </w:rPr>
        <w:t>participate</w:t>
      </w:r>
      <w:r w:rsidRPr="00A771A0">
        <w:rPr>
          <w:rFonts w:ascii="Calibri" w:hAnsi="Calibri" w:cs="Calibri"/>
          <w:sz w:val="24"/>
          <w:szCs w:val="24"/>
        </w:rPr>
        <w:t xml:space="preserve">. The multi-agency approach, combined with </w:t>
      </w:r>
      <w:r w:rsidR="00666F0A">
        <w:rPr>
          <w:rFonts w:ascii="Calibri" w:hAnsi="Calibri" w:cs="Calibri"/>
          <w:sz w:val="24"/>
          <w:szCs w:val="24"/>
        </w:rPr>
        <w:t>effective safeguarding</w:t>
      </w:r>
      <w:r w:rsidRPr="00A771A0">
        <w:rPr>
          <w:rFonts w:ascii="Calibri" w:hAnsi="Calibri" w:cs="Calibri"/>
          <w:sz w:val="24"/>
          <w:szCs w:val="24"/>
        </w:rPr>
        <w:t xml:space="preserve"> ensures that victims are not left vulnerable, while also working toward holding offenders accountable. </w:t>
      </w:r>
    </w:p>
    <w:p w14:paraId="167D4938" w14:textId="77777777" w:rsidR="00E96799" w:rsidRDefault="00E96799" w:rsidP="003607FC">
      <w:pPr>
        <w:overflowPunct/>
        <w:autoSpaceDE/>
        <w:autoSpaceDN/>
        <w:adjustRightInd/>
        <w:textAlignment w:val="auto"/>
        <w:rPr>
          <w:rFonts w:ascii="Calibri" w:hAnsi="Calibri" w:cs="Calibri"/>
          <w:sz w:val="24"/>
          <w:szCs w:val="24"/>
        </w:rPr>
      </w:pPr>
    </w:p>
    <w:p w14:paraId="330424A2" w14:textId="5E1D9031" w:rsidR="00E96799" w:rsidRDefault="00E96799" w:rsidP="00E96799">
      <w:pPr>
        <w:overflowPunct/>
        <w:autoSpaceDE/>
        <w:autoSpaceDN/>
        <w:adjustRightInd/>
        <w:jc w:val="right"/>
        <w:textAlignment w:val="auto"/>
        <w:rPr>
          <w:rFonts w:ascii="Calibri" w:hAnsi="Calibri" w:cs="Calibri"/>
          <w:sz w:val="24"/>
          <w:szCs w:val="24"/>
        </w:rPr>
      </w:pPr>
      <w:r>
        <w:rPr>
          <w:rFonts w:ascii="Calibri" w:hAnsi="Calibri" w:cs="Calibri"/>
          <w:sz w:val="24"/>
          <w:szCs w:val="24"/>
        </w:rPr>
        <w:t>Word Count: 2199</w:t>
      </w:r>
    </w:p>
    <w:p w14:paraId="186C07D0" w14:textId="77777777" w:rsidR="0015357A" w:rsidRDefault="0015357A" w:rsidP="003607FC">
      <w:pPr>
        <w:overflowPunct/>
        <w:autoSpaceDE/>
        <w:autoSpaceDN/>
        <w:adjustRightInd/>
        <w:textAlignment w:val="auto"/>
        <w:rPr>
          <w:rFonts w:ascii="Calibri" w:hAnsi="Calibri" w:cs="Calibri"/>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4D504165" w:rsidR="13AD8C62" w:rsidRPr="003051C7" w:rsidRDefault="13AD8C62" w:rsidP="0FF883D4">
      <w:pPr>
        <w:ind w:right="237"/>
        <w:jc w:val="both"/>
        <w:rPr>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A976285" w:rsidR="0FF883D4" w:rsidRDefault="5CE196A1" w:rsidP="5CE196A1">
      <w:r w:rsidRPr="5CE196A1">
        <w:rPr>
          <w:rFonts w:eastAsia="Arial"/>
          <w:b/>
          <w:bCs/>
          <w:color w:val="000000" w:themeColor="text1"/>
          <w:sz w:val="24"/>
          <w:szCs w:val="24"/>
        </w:rPr>
        <w:t xml:space="preserve">Signed: </w:t>
      </w:r>
      <w:proofErr w:type="spellStart"/>
      <w:r w:rsidR="003051C7">
        <w:rPr>
          <w:rFonts w:eastAsia="Arial"/>
          <w:b/>
          <w:bCs/>
          <w:color w:val="000000" w:themeColor="text1"/>
          <w:sz w:val="24"/>
          <w:szCs w:val="24"/>
        </w:rPr>
        <w:t>mmoares</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22DBB0E5" w14:textId="00E9507B" w:rsidR="0FF883D4" w:rsidRDefault="5CE196A1" w:rsidP="5CE196A1">
      <w:r w:rsidRPr="5CE196A1">
        <w:rPr>
          <w:rFonts w:eastAsia="Arial"/>
          <w:b/>
          <w:bCs/>
          <w:color w:val="000000" w:themeColor="text1"/>
          <w:sz w:val="24"/>
          <w:szCs w:val="24"/>
        </w:rPr>
        <w:t>Date:</w:t>
      </w:r>
      <w:r w:rsidR="003051C7">
        <w:rPr>
          <w:rFonts w:eastAsia="Arial"/>
          <w:b/>
          <w:bCs/>
          <w:color w:val="000000" w:themeColor="text1"/>
          <w:sz w:val="24"/>
          <w:szCs w:val="24"/>
        </w:rPr>
        <w:t xml:space="preserve"> 1</w:t>
      </w:r>
      <w:r w:rsidR="00BA404B">
        <w:rPr>
          <w:rFonts w:eastAsia="Arial"/>
          <w:b/>
          <w:bCs/>
          <w:color w:val="000000" w:themeColor="text1"/>
          <w:sz w:val="24"/>
          <w:szCs w:val="24"/>
        </w:rPr>
        <w:t>1</w:t>
      </w:r>
      <w:r w:rsidR="003051C7">
        <w:rPr>
          <w:rFonts w:eastAsia="Arial"/>
          <w:b/>
          <w:bCs/>
          <w:color w:val="000000" w:themeColor="text1"/>
          <w:sz w:val="24"/>
          <w:szCs w:val="24"/>
        </w:rPr>
        <w:t>/0</w:t>
      </w:r>
      <w:r w:rsidR="00BA404B">
        <w:rPr>
          <w:rFonts w:eastAsia="Arial"/>
          <w:b/>
          <w:bCs/>
          <w:color w:val="000000" w:themeColor="text1"/>
          <w:sz w:val="24"/>
          <w:szCs w:val="24"/>
        </w:rPr>
        <w:t>9</w:t>
      </w:r>
      <w:r w:rsidR="003051C7">
        <w:rPr>
          <w:rFonts w:eastAsia="Arial"/>
          <w:b/>
          <w:bCs/>
          <w:color w:val="000000" w:themeColor="text1"/>
          <w:sz w:val="24"/>
          <w:szCs w:val="24"/>
        </w:rPr>
        <w:t>/24</w:t>
      </w:r>
    </w:p>
    <w:p w14:paraId="482B2B3A" w14:textId="7589F346"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7593660" w14:textId="413353C4" w:rsidR="0000743D"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15CECEF" w14:textId="77777777" w:rsidR="0000743D" w:rsidRDefault="0000743D" w:rsidP="00EA28F1">
      <w:pPr>
        <w:keepNext/>
        <w:spacing w:before="240" w:after="60"/>
        <w:ind w:right="237"/>
        <w:jc w:val="both"/>
        <w:rPr>
          <w:sz w:val="24"/>
          <w:szCs w:val="24"/>
        </w:rPr>
      </w:pPr>
    </w:p>
    <w:p w14:paraId="5F58C306" w14:textId="77777777" w:rsidR="003607FC" w:rsidRPr="00E45D17" w:rsidRDefault="003607FC" w:rsidP="003607FC">
      <w:pPr>
        <w:pStyle w:val="NormalWeb"/>
        <w:shd w:val="clear" w:color="auto" w:fill="FFFFFF"/>
        <w:spacing w:before="0" w:beforeAutospacing="0" w:after="173" w:afterAutospacing="0"/>
        <w:rPr>
          <w:rFonts w:asciiTheme="minorHAnsi" w:eastAsiaTheme="minorHAnsi" w:hAnsiTheme="minorHAnsi" w:cstheme="minorBidi"/>
          <w:b/>
          <w:bCs/>
          <w:kern w:val="2"/>
          <w:lang w:eastAsia="en-US"/>
          <w14:ligatures w14:val="standardContextual"/>
        </w:rPr>
      </w:pPr>
      <w:r w:rsidRPr="00E45D17">
        <w:rPr>
          <w:rFonts w:asciiTheme="minorHAnsi" w:eastAsiaTheme="minorHAnsi" w:hAnsiTheme="minorHAnsi" w:cstheme="minorBidi"/>
          <w:b/>
          <w:bCs/>
          <w:kern w:val="2"/>
          <w:lang w:eastAsia="en-US"/>
          <w14:ligatures w14:val="standardContextual"/>
        </w:rPr>
        <w:t>References:</w:t>
      </w:r>
    </w:p>
    <w:p w14:paraId="35B7A852" w14:textId="77777777" w:rsidR="003607FC" w:rsidRPr="00700D7A" w:rsidRDefault="003607FC" w:rsidP="003607FC">
      <w:pPr>
        <w:pStyle w:val="NormalWeb"/>
        <w:shd w:val="clear" w:color="auto" w:fill="FFFFFF"/>
        <w:spacing w:before="0" w:beforeAutospacing="0" w:after="173" w:afterAutospacing="0"/>
        <w:rPr>
          <w:rFonts w:asciiTheme="minorHAnsi" w:eastAsiaTheme="minorHAnsi" w:hAnsiTheme="minorHAnsi" w:cstheme="minorBidi"/>
          <w:kern w:val="2"/>
          <w:lang w:eastAsia="en-US"/>
          <w14:ligatures w14:val="standardContextual"/>
        </w:rPr>
      </w:pPr>
      <w:r w:rsidRPr="00700D7A">
        <w:rPr>
          <w:rFonts w:asciiTheme="minorHAnsi" w:eastAsiaTheme="minorHAnsi" w:hAnsiTheme="minorHAnsi" w:cstheme="minorBidi"/>
          <w:kern w:val="2"/>
          <w:lang w:eastAsia="en-US"/>
          <w14:ligatures w14:val="standardContextual"/>
        </w:rPr>
        <w:t>ABHAY, A., 2023. What is multi-agency working in safeguarding?</w:t>
      </w:r>
    </w:p>
    <w:p w14:paraId="61C127F4"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Anti-social Behaviour, Crime and Policing Act 2014. </w:t>
      </w:r>
      <w:r>
        <w:rPr>
          <w:rFonts w:ascii="Roboto" w:hAnsi="Roboto"/>
          <w:color w:val="000000"/>
          <w:sz w:val="21"/>
          <w:szCs w:val="21"/>
        </w:rPr>
        <w:t xml:space="preserve">2014.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4A26B77F" w14:textId="77777777" w:rsidR="003607FC" w:rsidRPr="005D1FAE" w:rsidRDefault="003607FC" w:rsidP="003607FC">
      <w:r w:rsidRPr="00700D7A">
        <w:t>Bail Act 1976. </w:t>
      </w:r>
      <w:r w:rsidRPr="005D1FAE">
        <w:t xml:space="preserve">1976. Statutory Act </w:t>
      </w:r>
      <w:proofErr w:type="spellStart"/>
      <w:r w:rsidRPr="005D1FAE">
        <w:t>edn</w:t>
      </w:r>
      <w:proofErr w:type="spellEnd"/>
      <w:r w:rsidRPr="005D1FAE">
        <w:t>. UK.</w:t>
      </w:r>
    </w:p>
    <w:p w14:paraId="4A5A66A4"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BRANDON, D., 2015. The Use and Effectiveness of Problem-Oriented Policing. </w:t>
      </w:r>
      <w:r>
        <w:rPr>
          <w:rFonts w:ascii="Roboto" w:hAnsi="Roboto"/>
          <w:i/>
          <w:iCs/>
          <w:color w:val="000000"/>
          <w:sz w:val="21"/>
          <w:szCs w:val="21"/>
        </w:rPr>
        <w:t>Inquiries Journal</w:t>
      </w:r>
      <w:r w:rsidRPr="003051C7">
        <w:rPr>
          <w:rFonts w:ascii="Roboto" w:hAnsi="Roboto"/>
          <w:i/>
          <w:iCs/>
          <w:color w:val="000000"/>
          <w:sz w:val="21"/>
          <w:szCs w:val="21"/>
        </w:rPr>
        <w:t>, </w:t>
      </w:r>
      <w:r w:rsidRPr="003051C7">
        <w:rPr>
          <w:rFonts w:ascii="Roboto" w:hAnsi="Roboto"/>
          <w:color w:val="000000"/>
          <w:sz w:val="21"/>
          <w:szCs w:val="21"/>
        </w:rPr>
        <w:t>7</w:t>
      </w:r>
      <w:r>
        <w:rPr>
          <w:rFonts w:ascii="Roboto" w:hAnsi="Roboto"/>
          <w:color w:val="000000"/>
          <w:sz w:val="21"/>
          <w:szCs w:val="21"/>
        </w:rPr>
        <w:t>(04</w:t>
      </w:r>
      <w:proofErr w:type="gramStart"/>
      <w:r>
        <w:rPr>
          <w:rFonts w:ascii="Roboto" w:hAnsi="Roboto"/>
          <w:color w:val="000000"/>
          <w:sz w:val="21"/>
          <w:szCs w:val="21"/>
        </w:rPr>
        <w:t>),.</w:t>
      </w:r>
      <w:proofErr w:type="gramEnd"/>
    </w:p>
    <w:p w14:paraId="092083D0" w14:textId="77777777" w:rsidR="003607FC" w:rsidRPr="005D1FAE" w:rsidRDefault="003607FC" w:rsidP="003607FC">
      <w:pPr>
        <w:spacing w:after="160" w:line="278" w:lineRule="auto"/>
      </w:pPr>
      <w:r w:rsidRPr="005D1FAE">
        <w:t>CLEVELAND CLINIC, 2024-last update, Stockholm Syndrome: What It Is, Symptoms &amp; How to Treat. Available: </w:t>
      </w:r>
      <w:hyperlink r:id="rId16" w:tgtFrame="_blank" w:history="1">
        <w:r w:rsidRPr="005D1FAE">
          <w:rPr>
            <w:rStyle w:val="Hyperlink"/>
          </w:rPr>
          <w:t>https://my.clevelandclinic.org/health/diseases/22387-stockholm-syndrome</w:t>
        </w:r>
      </w:hyperlink>
      <w:r w:rsidRPr="005D1FAE">
        <w:t> [Sep 11, 2024].</w:t>
      </w:r>
    </w:p>
    <w:p w14:paraId="3F6D7B0F"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COLLEGE OF POLICING&amp;NBSP, 2024-last update, Anti-social behaviour . Available: </w:t>
      </w:r>
      <w:hyperlink r:id="rId17" w:tgtFrame="_blank" w:history="1">
        <w:r>
          <w:rPr>
            <w:rStyle w:val="Hyperlink"/>
            <w:rFonts w:ascii="Roboto" w:hAnsi="Roboto"/>
            <w:color w:val="0066CC"/>
            <w:sz w:val="21"/>
            <w:szCs w:val="21"/>
          </w:rPr>
          <w:t>https://www.college.police.uk/anti-social-behaviour</w:t>
        </w:r>
      </w:hyperlink>
      <w:r>
        <w:rPr>
          <w:rFonts w:ascii="Roboto" w:hAnsi="Roboto"/>
          <w:color w:val="000000"/>
          <w:sz w:val="21"/>
          <w:szCs w:val="21"/>
        </w:rPr>
        <w:t> [12/08/24, .</w:t>
      </w:r>
    </w:p>
    <w:p w14:paraId="6616C6A3" w14:textId="77777777" w:rsidR="003607FC" w:rsidRPr="005D1FAE" w:rsidRDefault="003607FC" w:rsidP="003607FC">
      <w:pPr>
        <w:spacing w:after="160" w:line="278" w:lineRule="auto"/>
      </w:pPr>
      <w:r w:rsidRPr="005D1FAE">
        <w:t>COLLEGE OF POLICING, 2018-last update, Arrest and other positive approaches. Available: </w:t>
      </w:r>
      <w:hyperlink r:id="rId18" w:tgtFrame="_blank" w:history="1">
        <w:r w:rsidRPr="005D1FAE">
          <w:rPr>
            <w:rStyle w:val="Hyperlink"/>
          </w:rPr>
          <w:t>https://www.college.police.uk/app/major-investigation-and-public-protection/domestic-abuse/arrest-and-other-positive-approaches</w:t>
        </w:r>
      </w:hyperlink>
      <w:r w:rsidRPr="005D1FAE">
        <w:t> [31/08/24, .</w:t>
      </w:r>
    </w:p>
    <w:p w14:paraId="12CF5367" w14:textId="77777777" w:rsidR="003607FC" w:rsidRPr="005D1FAE" w:rsidRDefault="003607FC" w:rsidP="003607FC">
      <w:pPr>
        <w:spacing w:after="160" w:line="278" w:lineRule="auto"/>
      </w:pPr>
      <w:r w:rsidRPr="005D1FAE">
        <w:t>COLLEGE OF POLICING, 2024-last update, Competency and values framework (CVF). Available: </w:t>
      </w:r>
      <w:hyperlink r:id="rId19" w:tgtFrame="_blank" w:history="1">
        <w:r w:rsidRPr="005D1FAE">
          <w:rPr>
            <w:rStyle w:val="Hyperlink"/>
          </w:rPr>
          <w:t>https://www.college.police.uk/career-learning/competency-and-values-framework/we-take-ownership</w:t>
        </w:r>
      </w:hyperlink>
      <w:r w:rsidRPr="005D1FAE">
        <w:t> [31/08/24, .</w:t>
      </w:r>
    </w:p>
    <w:p w14:paraId="36BF5762" w14:textId="77777777" w:rsidR="003607FC" w:rsidRPr="005D1FAE" w:rsidRDefault="003607FC" w:rsidP="003607FC">
      <w:pPr>
        <w:spacing w:after="160" w:line="278" w:lineRule="auto"/>
      </w:pPr>
      <w:r w:rsidRPr="005D1FAE">
        <w:t>CPS, 2022-last update, Domestic Abuse | The Crown Prosecution Service. Available: </w:t>
      </w:r>
      <w:hyperlink r:id="rId20" w:tgtFrame="_blank" w:history="1">
        <w:r w:rsidRPr="005D1FAE">
          <w:rPr>
            <w:rStyle w:val="Hyperlink"/>
          </w:rPr>
          <w:t>https://www.cps.gov.uk/legal-guidance/domestic-abuse</w:t>
        </w:r>
      </w:hyperlink>
      <w:r w:rsidRPr="005D1FAE">
        <w:t> [Aug 31, 2024].</w:t>
      </w:r>
    </w:p>
    <w:p w14:paraId="65881095" w14:textId="77777777" w:rsidR="003607FC" w:rsidRPr="005D1FAE" w:rsidRDefault="003607FC" w:rsidP="003607FC">
      <w:pPr>
        <w:spacing w:after="160" w:line="278" w:lineRule="auto"/>
      </w:pPr>
      <w:r w:rsidRPr="005D1FAE">
        <w:t>CPS, Dec 31, 2020-last update, Director’s Guidance on Charging, sixth edition, December 2020, incorporating the National File Standard | The Crown Prosecution Service. Available: </w:t>
      </w:r>
      <w:hyperlink r:id="rId21" w:tgtFrame="_blank" w:history="1">
        <w:r w:rsidRPr="005D1FAE">
          <w:rPr>
            <w:rStyle w:val="Hyperlink"/>
          </w:rPr>
          <w:t>https://www.cps.gov.uk/legal-guidance/directors-guidance-charging-sixth-edition-december-2020-incorporating-national-file</w:t>
        </w:r>
      </w:hyperlink>
      <w:r w:rsidRPr="005D1FAE">
        <w:t> [Sep 11, 2024].</w:t>
      </w:r>
    </w:p>
    <w:p w14:paraId="2FF116FF" w14:textId="77777777" w:rsidR="003607FC" w:rsidRPr="005D1FAE" w:rsidRDefault="003607FC" w:rsidP="003607FC">
      <w:pPr>
        <w:spacing w:after="160" w:line="278" w:lineRule="auto"/>
      </w:pPr>
      <w:r w:rsidRPr="005D1FAE">
        <w:t>CPS, Oct 26, 2018-last update, The Code for Crown Prosecutors | The Crown Prosecution Service. Available: </w:t>
      </w:r>
      <w:hyperlink r:id="rId22" w:tgtFrame="_blank" w:history="1">
        <w:r w:rsidRPr="005D1FAE">
          <w:rPr>
            <w:rStyle w:val="Hyperlink"/>
          </w:rPr>
          <w:t>https://www.cps.gov.uk/publication/code-crown-prosecutors</w:t>
        </w:r>
      </w:hyperlink>
      <w:r w:rsidRPr="005D1FAE">
        <w:t> [Sep 11, 2024].</w:t>
      </w:r>
    </w:p>
    <w:p w14:paraId="4F0BF992"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Crime and Disorder Act 1998. </w:t>
      </w:r>
      <w:r>
        <w:rPr>
          <w:rFonts w:ascii="Roboto" w:hAnsi="Roboto"/>
          <w:color w:val="000000"/>
          <w:sz w:val="21"/>
          <w:szCs w:val="21"/>
        </w:rPr>
        <w:t xml:space="preserve">1998a.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19723414"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Crime and Disorder Act 1998. </w:t>
      </w:r>
      <w:r>
        <w:rPr>
          <w:rFonts w:ascii="Roboto" w:hAnsi="Roboto"/>
          <w:color w:val="000000"/>
          <w:sz w:val="21"/>
          <w:szCs w:val="21"/>
        </w:rPr>
        <w:t xml:space="preserve">1998b. Statutory Act </w:t>
      </w:r>
      <w:proofErr w:type="spellStart"/>
      <w:r>
        <w:rPr>
          <w:rFonts w:ascii="Roboto" w:hAnsi="Roboto"/>
          <w:color w:val="000000"/>
          <w:sz w:val="21"/>
          <w:szCs w:val="21"/>
        </w:rPr>
        <w:t>edn</w:t>
      </w:r>
      <w:proofErr w:type="spellEnd"/>
      <w:r>
        <w:rPr>
          <w:rFonts w:ascii="Roboto" w:hAnsi="Roboto"/>
          <w:color w:val="000000"/>
          <w:sz w:val="21"/>
          <w:szCs w:val="21"/>
        </w:rPr>
        <w:t>. UK.</w:t>
      </w:r>
    </w:p>
    <w:p w14:paraId="4D44952B"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Criminal Justice and Public Order Act 1994. </w:t>
      </w:r>
      <w:r>
        <w:rPr>
          <w:rFonts w:ascii="Roboto" w:hAnsi="Roboto"/>
          <w:color w:val="000000"/>
          <w:sz w:val="21"/>
          <w:szCs w:val="21"/>
        </w:rPr>
        <w:t xml:space="preserve">1994.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5B1B6B69"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European Convention on Human Rights. </w:t>
      </w:r>
      <w:r>
        <w:rPr>
          <w:rFonts w:ascii="Roboto" w:hAnsi="Roboto"/>
          <w:color w:val="000000"/>
          <w:sz w:val="21"/>
          <w:szCs w:val="21"/>
        </w:rPr>
        <w:t xml:space="preserve">1950. Convention </w:t>
      </w:r>
      <w:proofErr w:type="spellStart"/>
      <w:r>
        <w:rPr>
          <w:rFonts w:ascii="Roboto" w:hAnsi="Roboto"/>
          <w:color w:val="000000"/>
          <w:sz w:val="21"/>
          <w:szCs w:val="21"/>
        </w:rPr>
        <w:t>edn</w:t>
      </w:r>
      <w:proofErr w:type="spellEnd"/>
      <w:r>
        <w:rPr>
          <w:rFonts w:ascii="Roboto" w:hAnsi="Roboto"/>
          <w:color w:val="000000"/>
          <w:sz w:val="21"/>
          <w:szCs w:val="21"/>
        </w:rPr>
        <w:t>. Europe.</w:t>
      </w:r>
    </w:p>
    <w:p w14:paraId="45F47E59" w14:textId="77777777" w:rsidR="003607FC" w:rsidRDefault="003607FC" w:rsidP="0000743D">
      <w:pPr>
        <w:pStyle w:val="NormalWeb"/>
        <w:shd w:val="clear" w:color="auto" w:fill="FFFFFF"/>
        <w:spacing w:before="0" w:beforeAutospacing="0" w:after="173" w:afterAutospacing="0"/>
        <w:rPr>
          <w:rFonts w:ascii="Roboto" w:hAnsi="Roboto"/>
          <w:i/>
          <w:iCs/>
          <w:color w:val="000000"/>
          <w:sz w:val="21"/>
          <w:szCs w:val="21"/>
        </w:rPr>
      </w:pPr>
      <w:r>
        <w:rPr>
          <w:rFonts w:ascii="Roboto" w:hAnsi="Roboto"/>
          <w:color w:val="000000"/>
          <w:sz w:val="21"/>
          <w:szCs w:val="21"/>
        </w:rPr>
        <w:t>GOUDIE, J., 2023. </w:t>
      </w:r>
      <w:r>
        <w:rPr>
          <w:rFonts w:ascii="Roboto" w:hAnsi="Roboto"/>
          <w:i/>
          <w:iCs/>
          <w:color w:val="000000"/>
          <w:sz w:val="21"/>
          <w:szCs w:val="21"/>
        </w:rPr>
        <w:t>PUBLIC SPACES PROTECTION ORDER.</w:t>
      </w:r>
    </w:p>
    <w:p w14:paraId="4FA0090D" w14:textId="77777777" w:rsidR="003607FC" w:rsidRDefault="003607FC" w:rsidP="003607FC">
      <w:pPr>
        <w:spacing w:after="160" w:line="278" w:lineRule="auto"/>
      </w:pPr>
      <w:r w:rsidRPr="004F4548">
        <w:t xml:space="preserve">Holt, S, </w:t>
      </w:r>
      <w:proofErr w:type="spellStart"/>
      <w:r w:rsidRPr="004F4548">
        <w:t>Overlien</w:t>
      </w:r>
      <w:proofErr w:type="spellEnd"/>
      <w:r w:rsidRPr="004F4548">
        <w:t>, C &amp; Devaney, J (eds) 2018, </w:t>
      </w:r>
      <w:r w:rsidRPr="004F4548">
        <w:rPr>
          <w:i/>
          <w:iCs/>
        </w:rPr>
        <w:t>Responding to Domestic Violence: Emerging Challenges for Policy, Practice and Research in Europe</w:t>
      </w:r>
      <w:r w:rsidRPr="004F4548">
        <w:t>. Jessica Kingsley Publishers, London.</w:t>
      </w:r>
    </w:p>
    <w:p w14:paraId="49882711" w14:textId="77777777" w:rsidR="003607FC" w:rsidRPr="005D1FAE" w:rsidRDefault="003607FC" w:rsidP="003607FC">
      <w:pPr>
        <w:spacing w:after="160" w:line="278" w:lineRule="auto"/>
      </w:pPr>
      <w:r w:rsidRPr="005D1FAE">
        <w:lastRenderedPageBreak/>
        <w:t>KAPOOR, N., MOON, P., PARDESHI, P. and BADIYE, A., 2023. Introduction to Fingerprints. In: P. SHRIVASTAVA, J.A. LORENTE, A. SRIVASTAVA, A. BADIYE and N. KAPOOR, eds, </w:t>
      </w:r>
      <w:r w:rsidRPr="005D1FAE">
        <w:rPr>
          <w:i/>
          <w:iCs/>
        </w:rPr>
        <w:t>Textbook of Forensic Science. </w:t>
      </w:r>
      <w:r w:rsidRPr="005D1FAE">
        <w:t>Singapore: Springer Nature, pp. 245–278.</w:t>
      </w:r>
    </w:p>
    <w:p w14:paraId="074F8DDF" w14:textId="77777777" w:rsidR="003607FC" w:rsidRPr="005D1FAE" w:rsidRDefault="003607FC" w:rsidP="003607FC">
      <w:pPr>
        <w:spacing w:after="160" w:line="278" w:lineRule="auto"/>
      </w:pPr>
      <w:r w:rsidRPr="005D1FAE">
        <w:t>NATIONAL CENTRE FOR DOMESTIC VIOLENCE, 2023-last update, Domestic Abuse Statistics UK - NCDV. Available: </w:t>
      </w:r>
      <w:hyperlink r:id="rId23" w:tgtFrame="_blank" w:history="1">
        <w:r w:rsidRPr="005D1FAE">
          <w:rPr>
            <w:rStyle w:val="Hyperlink"/>
          </w:rPr>
          <w:t>https://www.ncdv.org.uk/domestic-abuse-statistics-uk/</w:t>
        </w:r>
      </w:hyperlink>
      <w:r w:rsidRPr="005D1FAE">
        <w:t> [Aug 21, 2024].</w:t>
      </w:r>
    </w:p>
    <w:p w14:paraId="12025D8F" w14:textId="77777777" w:rsidR="003607FC" w:rsidRPr="005D1FAE" w:rsidRDefault="003607FC" w:rsidP="003607FC">
      <w:pPr>
        <w:spacing w:after="160" w:line="278" w:lineRule="auto"/>
      </w:pPr>
      <w:r w:rsidRPr="005D1FAE">
        <w:t>PARTICIPATION, E., 1999. </w:t>
      </w:r>
      <w:r w:rsidRPr="005D1FAE">
        <w:rPr>
          <w:i/>
          <w:iCs/>
        </w:rPr>
        <w:t>Youth Justice and Criminal Evidence Act 1999. </w:t>
      </w:r>
      <w:r w:rsidRPr="005D1FAE">
        <w:t xml:space="preserve">Statutory Act </w:t>
      </w:r>
      <w:proofErr w:type="spellStart"/>
      <w:r w:rsidRPr="005D1FAE">
        <w:t>edn</w:t>
      </w:r>
      <w:proofErr w:type="spellEnd"/>
      <w:r w:rsidRPr="005D1FAE">
        <w:t>. UK.</w:t>
      </w:r>
    </w:p>
    <w:p w14:paraId="7FCBFD9A"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Police and Criminal Evidence Act 1984. </w:t>
      </w:r>
      <w:r>
        <w:rPr>
          <w:rFonts w:ascii="Roboto" w:hAnsi="Roboto"/>
          <w:color w:val="000000"/>
          <w:sz w:val="21"/>
          <w:szCs w:val="21"/>
        </w:rPr>
        <w:t xml:space="preserve">1984. Statute Law </w:t>
      </w:r>
      <w:proofErr w:type="spellStart"/>
      <w:r>
        <w:rPr>
          <w:rFonts w:ascii="Roboto" w:hAnsi="Roboto"/>
          <w:color w:val="000000"/>
          <w:sz w:val="21"/>
          <w:szCs w:val="21"/>
        </w:rPr>
        <w:t>edn</w:t>
      </w:r>
      <w:proofErr w:type="spellEnd"/>
      <w:r>
        <w:rPr>
          <w:rFonts w:ascii="Roboto" w:hAnsi="Roboto"/>
          <w:color w:val="000000"/>
          <w:sz w:val="21"/>
          <w:szCs w:val="21"/>
        </w:rPr>
        <w:t>. UK.</w:t>
      </w:r>
    </w:p>
    <w:p w14:paraId="07BEF99F" w14:textId="77777777" w:rsidR="003607FC" w:rsidRDefault="003607FC" w:rsidP="003607FC">
      <w:pPr>
        <w:pStyle w:val="NormalWeb"/>
        <w:shd w:val="clear" w:color="auto" w:fill="FFFFFF"/>
        <w:spacing w:before="0" w:beforeAutospacing="0" w:after="173" w:afterAutospacing="0"/>
        <w:rPr>
          <w:rFonts w:ascii="Roboto" w:hAnsi="Roboto"/>
          <w:color w:val="000000"/>
          <w:sz w:val="21"/>
          <w:szCs w:val="21"/>
        </w:rPr>
      </w:pPr>
      <w:r w:rsidRPr="003051C7">
        <w:rPr>
          <w:rFonts w:ascii="Roboto" w:hAnsi="Roboto"/>
          <w:color w:val="000000"/>
          <w:sz w:val="21"/>
          <w:szCs w:val="21"/>
        </w:rPr>
        <w:t>South Wales Police. (2023) ‘Victims &amp; Witnesses [Lecture notes], BMPP4002D-BMPP6007D. SWP. 03rd March.</w:t>
      </w:r>
    </w:p>
    <w:p w14:paraId="447AEB61" w14:textId="765E4D23"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sidRPr="003051C7">
        <w:rPr>
          <w:rFonts w:ascii="Roboto" w:hAnsi="Roboto"/>
          <w:color w:val="000000"/>
          <w:sz w:val="21"/>
          <w:szCs w:val="21"/>
        </w:rPr>
        <w:t xml:space="preserve">South Wales Police. (2023) ‘Victims &amp; Witnesses [Lecture notes], BMPP4002D-BMPP6007D. </w:t>
      </w:r>
    </w:p>
    <w:p w14:paraId="3AA4BEEE"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SOUTH WALES VICTIM FOCUS, 2024-last update, South Wales Victim Focus. Available: </w:t>
      </w:r>
      <w:hyperlink r:id="rId24" w:tgtFrame="_blank" w:history="1">
        <w:r>
          <w:rPr>
            <w:rStyle w:val="Hyperlink"/>
            <w:rFonts w:ascii="Roboto" w:hAnsi="Roboto"/>
            <w:color w:val="0066CC"/>
            <w:sz w:val="21"/>
            <w:szCs w:val="21"/>
          </w:rPr>
          <w:t>https://www.southwalesvictimfocus.org.uk/</w:t>
        </w:r>
      </w:hyperlink>
      <w:r>
        <w:rPr>
          <w:rFonts w:ascii="Roboto" w:hAnsi="Roboto"/>
          <w:color w:val="000000"/>
          <w:sz w:val="21"/>
          <w:szCs w:val="21"/>
        </w:rPr>
        <w:t> [Aug 12, 2024].</w:t>
      </w:r>
    </w:p>
    <w:p w14:paraId="5D3D905E" w14:textId="77777777" w:rsidR="003607FC" w:rsidRPr="005D1FAE" w:rsidRDefault="003607FC" w:rsidP="003607FC">
      <w:pPr>
        <w:spacing w:after="160" w:line="278" w:lineRule="auto"/>
      </w:pPr>
      <w:r w:rsidRPr="005D1FAE">
        <w:t>UK GOV, 2021a-last update, Police and Criminal Evidence Act 1984. Available: </w:t>
      </w:r>
      <w:hyperlink r:id="rId25" w:tgtFrame="_blank" w:history="1">
        <w:r w:rsidRPr="005D1FAE">
          <w:rPr>
            <w:rStyle w:val="Hyperlink"/>
          </w:rPr>
          <w:t>https://www.legislation.gov.uk/ukpga/1984/60/section/24</w:t>
        </w:r>
      </w:hyperlink>
      <w:r w:rsidRPr="005D1FAE">
        <w:t> [Sep 11, 2024].</w:t>
      </w:r>
    </w:p>
    <w:p w14:paraId="1DD8532C" w14:textId="77777777" w:rsidR="003607FC" w:rsidRPr="005D1FAE" w:rsidRDefault="003607FC" w:rsidP="003607FC">
      <w:pPr>
        <w:spacing w:after="160" w:line="278" w:lineRule="auto"/>
      </w:pPr>
      <w:r w:rsidRPr="005D1FAE">
        <w:t>UK GOV, 2021b. </w:t>
      </w:r>
      <w:r w:rsidRPr="005D1FAE">
        <w:rPr>
          <w:i/>
          <w:iCs/>
        </w:rPr>
        <w:t>Victim's Code. </w:t>
      </w:r>
      <w:r w:rsidRPr="005D1FAE">
        <w:t xml:space="preserve">Code of Practice </w:t>
      </w:r>
      <w:proofErr w:type="spellStart"/>
      <w:r w:rsidRPr="005D1FAE">
        <w:t>edn</w:t>
      </w:r>
      <w:proofErr w:type="spellEnd"/>
      <w:r w:rsidRPr="005D1FAE">
        <w:t>. England and Wales.</w:t>
      </w:r>
    </w:p>
    <w:p w14:paraId="0EFB7D7A"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WELSH GOVERNMENT, -08-26, 2021-last update, Welsh Index of Multiple Deprivation 2019: deprivation analysis relating to young children [HTML] | GOV.WALES. Available: </w:t>
      </w:r>
      <w:hyperlink r:id="rId26" w:tgtFrame="_blank" w:history="1">
        <w:r>
          <w:rPr>
            <w:rStyle w:val="Hyperlink"/>
            <w:rFonts w:ascii="Roboto" w:hAnsi="Roboto"/>
            <w:color w:val="0066CC"/>
            <w:sz w:val="21"/>
            <w:szCs w:val="21"/>
          </w:rPr>
          <w:t>https://www.gov.wales/welsh-index-multiple-deprivation-2019-deprivation-analysis-relating-young-children-html</w:t>
        </w:r>
      </w:hyperlink>
      <w:r>
        <w:rPr>
          <w:rFonts w:ascii="Roboto" w:hAnsi="Roboto"/>
          <w:color w:val="000000"/>
          <w:sz w:val="21"/>
          <w:szCs w:val="21"/>
        </w:rPr>
        <w:t> [Aug 12, 2024].</w:t>
      </w:r>
    </w:p>
    <w:p w14:paraId="61097787" w14:textId="77777777" w:rsidR="003607FC" w:rsidRDefault="003607FC" w:rsidP="0000743D">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WELSH GOVERNMENT, 2020-last update, Welsh Language Act 1993 | Law Wales. Available: </w:t>
      </w:r>
      <w:hyperlink r:id="rId27" w:tgtFrame="_blank" w:history="1">
        <w:r>
          <w:rPr>
            <w:rStyle w:val="Hyperlink"/>
            <w:rFonts w:ascii="Roboto" w:hAnsi="Roboto"/>
            <w:color w:val="0066CC"/>
            <w:sz w:val="21"/>
            <w:szCs w:val="21"/>
          </w:rPr>
          <w:t>https://law.gov.wales/culture/welsh-language/welsh-language-act-1993</w:t>
        </w:r>
      </w:hyperlink>
      <w:r>
        <w:rPr>
          <w:rFonts w:ascii="Roboto" w:hAnsi="Roboto"/>
          <w:color w:val="000000"/>
          <w:sz w:val="21"/>
          <w:szCs w:val="21"/>
        </w:rPr>
        <w:t> [Aug 1, 2024].</w:t>
      </w:r>
    </w:p>
    <w:p w14:paraId="433B5773" w14:textId="09498E7C" w:rsidR="003607FC" w:rsidRDefault="003607FC" w:rsidP="003607FC">
      <w:r w:rsidRPr="005D1FAE">
        <w:t>WESTCOTT, K., , What is Stockholm syndrome? . Available: </w:t>
      </w:r>
      <w:hyperlink r:id="rId28" w:tgtFrame="_blank" w:history="1">
        <w:r w:rsidRPr="005D1FAE">
          <w:rPr>
            <w:rStyle w:val="Hyperlink"/>
          </w:rPr>
          <w:t>https://www.bbc.co.uk/news/magazine-22447726</w:t>
        </w:r>
      </w:hyperlink>
      <w:r w:rsidRPr="005D1FAE">
        <w:t> [09/09/24</w:t>
      </w:r>
      <w:r w:rsidR="00796AC5">
        <w:t>].</w:t>
      </w:r>
    </w:p>
    <w:p w14:paraId="775593B8" w14:textId="77777777" w:rsidR="00041AA1" w:rsidRDefault="00041AA1" w:rsidP="0000743D">
      <w:pPr>
        <w:pStyle w:val="NormalWeb"/>
        <w:shd w:val="clear" w:color="auto" w:fill="FFFFFF"/>
        <w:spacing w:before="0" w:beforeAutospacing="0" w:after="173" w:afterAutospacing="0"/>
        <w:rPr>
          <w:rFonts w:ascii="Roboto" w:hAnsi="Roboto"/>
          <w:color w:val="000000"/>
          <w:sz w:val="21"/>
          <w:szCs w:val="21"/>
        </w:rPr>
      </w:pPr>
    </w:p>
    <w:p w14:paraId="34D03DA7" w14:textId="77777777" w:rsidR="0000743D" w:rsidRDefault="0000743D" w:rsidP="00EA28F1">
      <w:pPr>
        <w:keepNext/>
        <w:spacing w:before="240" w:after="60"/>
        <w:ind w:right="237"/>
        <w:jc w:val="both"/>
      </w:pPr>
    </w:p>
    <w:sectPr w:rsidR="0000743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1E3DF3" w14:textId="77777777" w:rsidR="005A5260" w:rsidRDefault="005A5260">
      <w:r>
        <w:separator/>
      </w:r>
    </w:p>
  </w:endnote>
  <w:endnote w:type="continuationSeparator" w:id="0">
    <w:p w14:paraId="661E7460" w14:textId="77777777" w:rsidR="005A5260" w:rsidRDefault="005A5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62829" w14:textId="77777777" w:rsidR="005A5260" w:rsidRDefault="005A5260">
      <w:r>
        <w:separator/>
      </w:r>
    </w:p>
  </w:footnote>
  <w:footnote w:type="continuationSeparator" w:id="0">
    <w:p w14:paraId="188EF4B2" w14:textId="77777777" w:rsidR="005A5260" w:rsidRDefault="005A526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43D"/>
    <w:rsid w:val="00020EEC"/>
    <w:rsid w:val="00025650"/>
    <w:rsid w:val="00026FAB"/>
    <w:rsid w:val="00027B1F"/>
    <w:rsid w:val="0003088B"/>
    <w:rsid w:val="000325D9"/>
    <w:rsid w:val="000372B2"/>
    <w:rsid w:val="0004079F"/>
    <w:rsid w:val="00041AA1"/>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2ADF"/>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5357A"/>
    <w:rsid w:val="001608C4"/>
    <w:rsid w:val="00171418"/>
    <w:rsid w:val="00190913"/>
    <w:rsid w:val="001961CF"/>
    <w:rsid w:val="001A59BB"/>
    <w:rsid w:val="001A6A51"/>
    <w:rsid w:val="001A79C4"/>
    <w:rsid w:val="001B331A"/>
    <w:rsid w:val="001C0E74"/>
    <w:rsid w:val="001C29AB"/>
    <w:rsid w:val="001C6CEC"/>
    <w:rsid w:val="001D229F"/>
    <w:rsid w:val="001D6162"/>
    <w:rsid w:val="001E6FAD"/>
    <w:rsid w:val="001E7592"/>
    <w:rsid w:val="001F3878"/>
    <w:rsid w:val="001F4552"/>
    <w:rsid w:val="001F5279"/>
    <w:rsid w:val="002014A0"/>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7469"/>
    <w:rsid w:val="002A291A"/>
    <w:rsid w:val="002A5604"/>
    <w:rsid w:val="002B1701"/>
    <w:rsid w:val="002B23C3"/>
    <w:rsid w:val="002B2B67"/>
    <w:rsid w:val="002B443A"/>
    <w:rsid w:val="002B5B35"/>
    <w:rsid w:val="002C256A"/>
    <w:rsid w:val="002C496D"/>
    <w:rsid w:val="002D05EB"/>
    <w:rsid w:val="002D2F29"/>
    <w:rsid w:val="002D2FD3"/>
    <w:rsid w:val="002E7017"/>
    <w:rsid w:val="002F4F6E"/>
    <w:rsid w:val="003015C3"/>
    <w:rsid w:val="003051C7"/>
    <w:rsid w:val="0030698D"/>
    <w:rsid w:val="0031350A"/>
    <w:rsid w:val="00316815"/>
    <w:rsid w:val="003168CA"/>
    <w:rsid w:val="00317523"/>
    <w:rsid w:val="00321255"/>
    <w:rsid w:val="0032230D"/>
    <w:rsid w:val="00322A0B"/>
    <w:rsid w:val="00332F54"/>
    <w:rsid w:val="00335FC5"/>
    <w:rsid w:val="00340E9A"/>
    <w:rsid w:val="003516C0"/>
    <w:rsid w:val="00352E59"/>
    <w:rsid w:val="00354DBE"/>
    <w:rsid w:val="00355210"/>
    <w:rsid w:val="003555D5"/>
    <w:rsid w:val="003607FC"/>
    <w:rsid w:val="00365DF9"/>
    <w:rsid w:val="0036668D"/>
    <w:rsid w:val="00372DB4"/>
    <w:rsid w:val="0037490C"/>
    <w:rsid w:val="00375AF5"/>
    <w:rsid w:val="003761BD"/>
    <w:rsid w:val="003769F6"/>
    <w:rsid w:val="00381E09"/>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1A4A"/>
    <w:rsid w:val="005042F1"/>
    <w:rsid w:val="00510D6A"/>
    <w:rsid w:val="00513C7D"/>
    <w:rsid w:val="005169D1"/>
    <w:rsid w:val="00521123"/>
    <w:rsid w:val="00521221"/>
    <w:rsid w:val="00536FA9"/>
    <w:rsid w:val="005414F4"/>
    <w:rsid w:val="005425B4"/>
    <w:rsid w:val="00546187"/>
    <w:rsid w:val="005463F1"/>
    <w:rsid w:val="00557D77"/>
    <w:rsid w:val="00562EAA"/>
    <w:rsid w:val="00563B58"/>
    <w:rsid w:val="005640C4"/>
    <w:rsid w:val="00564C53"/>
    <w:rsid w:val="00564E76"/>
    <w:rsid w:val="0056684C"/>
    <w:rsid w:val="00574A0C"/>
    <w:rsid w:val="00576E4C"/>
    <w:rsid w:val="0057780F"/>
    <w:rsid w:val="00581E0A"/>
    <w:rsid w:val="00582870"/>
    <w:rsid w:val="00586D89"/>
    <w:rsid w:val="005916B8"/>
    <w:rsid w:val="00593D00"/>
    <w:rsid w:val="005A1B4C"/>
    <w:rsid w:val="005A1BA3"/>
    <w:rsid w:val="005A5260"/>
    <w:rsid w:val="005A545C"/>
    <w:rsid w:val="005C0EFF"/>
    <w:rsid w:val="005C1567"/>
    <w:rsid w:val="005C6CE5"/>
    <w:rsid w:val="005C76DE"/>
    <w:rsid w:val="005D3F07"/>
    <w:rsid w:val="005D583E"/>
    <w:rsid w:val="005E13EA"/>
    <w:rsid w:val="005E53BD"/>
    <w:rsid w:val="0060500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6F0A"/>
    <w:rsid w:val="006712A7"/>
    <w:rsid w:val="006733CC"/>
    <w:rsid w:val="00674FC2"/>
    <w:rsid w:val="00677E42"/>
    <w:rsid w:val="00682334"/>
    <w:rsid w:val="00684B16"/>
    <w:rsid w:val="00694C00"/>
    <w:rsid w:val="00696F65"/>
    <w:rsid w:val="006A046B"/>
    <w:rsid w:val="006A2124"/>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2EDA"/>
    <w:rsid w:val="00743E40"/>
    <w:rsid w:val="00751263"/>
    <w:rsid w:val="0075704F"/>
    <w:rsid w:val="00763B2D"/>
    <w:rsid w:val="00772924"/>
    <w:rsid w:val="00784EC4"/>
    <w:rsid w:val="007872F2"/>
    <w:rsid w:val="007874BC"/>
    <w:rsid w:val="007908E0"/>
    <w:rsid w:val="00793EB3"/>
    <w:rsid w:val="00794205"/>
    <w:rsid w:val="00796AC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5265"/>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4809"/>
    <w:rsid w:val="00A25F64"/>
    <w:rsid w:val="00A27CC2"/>
    <w:rsid w:val="00A30DA8"/>
    <w:rsid w:val="00A3273B"/>
    <w:rsid w:val="00A40ED6"/>
    <w:rsid w:val="00A470EE"/>
    <w:rsid w:val="00A47621"/>
    <w:rsid w:val="00A479CD"/>
    <w:rsid w:val="00A50CFC"/>
    <w:rsid w:val="00A54D67"/>
    <w:rsid w:val="00A55A3F"/>
    <w:rsid w:val="00A56BC4"/>
    <w:rsid w:val="00A652F6"/>
    <w:rsid w:val="00A658D0"/>
    <w:rsid w:val="00A732EA"/>
    <w:rsid w:val="00A7489E"/>
    <w:rsid w:val="00A771A0"/>
    <w:rsid w:val="00A8015F"/>
    <w:rsid w:val="00A80BD2"/>
    <w:rsid w:val="00A85039"/>
    <w:rsid w:val="00A851F7"/>
    <w:rsid w:val="00A85D97"/>
    <w:rsid w:val="00A906AA"/>
    <w:rsid w:val="00A94C5E"/>
    <w:rsid w:val="00AA241A"/>
    <w:rsid w:val="00AA252C"/>
    <w:rsid w:val="00AA666E"/>
    <w:rsid w:val="00AB5518"/>
    <w:rsid w:val="00AC01D4"/>
    <w:rsid w:val="00AC4A04"/>
    <w:rsid w:val="00AC6756"/>
    <w:rsid w:val="00AD336F"/>
    <w:rsid w:val="00AD3550"/>
    <w:rsid w:val="00AE2564"/>
    <w:rsid w:val="00AE301F"/>
    <w:rsid w:val="00AE3302"/>
    <w:rsid w:val="00AE7077"/>
    <w:rsid w:val="00AF61C2"/>
    <w:rsid w:val="00AF6CC6"/>
    <w:rsid w:val="00B011CD"/>
    <w:rsid w:val="00B0296A"/>
    <w:rsid w:val="00B12295"/>
    <w:rsid w:val="00B137BE"/>
    <w:rsid w:val="00B14BDC"/>
    <w:rsid w:val="00B17FA0"/>
    <w:rsid w:val="00B24344"/>
    <w:rsid w:val="00B26769"/>
    <w:rsid w:val="00B31C91"/>
    <w:rsid w:val="00B3747F"/>
    <w:rsid w:val="00B43194"/>
    <w:rsid w:val="00B47734"/>
    <w:rsid w:val="00B50FBA"/>
    <w:rsid w:val="00B515D9"/>
    <w:rsid w:val="00B558EB"/>
    <w:rsid w:val="00B577D3"/>
    <w:rsid w:val="00B60466"/>
    <w:rsid w:val="00B6548F"/>
    <w:rsid w:val="00B7502A"/>
    <w:rsid w:val="00B77305"/>
    <w:rsid w:val="00B82CC2"/>
    <w:rsid w:val="00B84A89"/>
    <w:rsid w:val="00B92BEF"/>
    <w:rsid w:val="00B9689A"/>
    <w:rsid w:val="00BA074B"/>
    <w:rsid w:val="00BA1FFA"/>
    <w:rsid w:val="00BA2666"/>
    <w:rsid w:val="00BA404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61BF"/>
    <w:rsid w:val="00C11F61"/>
    <w:rsid w:val="00C161FD"/>
    <w:rsid w:val="00C17348"/>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0FB1"/>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1D71"/>
    <w:rsid w:val="00E03B6D"/>
    <w:rsid w:val="00E0649E"/>
    <w:rsid w:val="00E17160"/>
    <w:rsid w:val="00E35BEC"/>
    <w:rsid w:val="00E45D17"/>
    <w:rsid w:val="00E50821"/>
    <w:rsid w:val="00E50EF8"/>
    <w:rsid w:val="00E51F91"/>
    <w:rsid w:val="00E676F7"/>
    <w:rsid w:val="00E7086E"/>
    <w:rsid w:val="00E7374A"/>
    <w:rsid w:val="00E73C41"/>
    <w:rsid w:val="00E7598F"/>
    <w:rsid w:val="00E76F60"/>
    <w:rsid w:val="00E83D90"/>
    <w:rsid w:val="00E83F28"/>
    <w:rsid w:val="00E83F91"/>
    <w:rsid w:val="00E9107A"/>
    <w:rsid w:val="00E912C1"/>
    <w:rsid w:val="00E91F62"/>
    <w:rsid w:val="00E929FD"/>
    <w:rsid w:val="00E93240"/>
    <w:rsid w:val="00E9479B"/>
    <w:rsid w:val="00E96799"/>
    <w:rsid w:val="00EA28F1"/>
    <w:rsid w:val="00EA4D48"/>
    <w:rsid w:val="00EB2173"/>
    <w:rsid w:val="00EB62E6"/>
    <w:rsid w:val="00ED1B30"/>
    <w:rsid w:val="00ED250E"/>
    <w:rsid w:val="00ED6535"/>
    <w:rsid w:val="00EE1AC1"/>
    <w:rsid w:val="00EE39D6"/>
    <w:rsid w:val="00EE413C"/>
    <w:rsid w:val="00EE52AD"/>
    <w:rsid w:val="00EF6E06"/>
    <w:rsid w:val="00F01F92"/>
    <w:rsid w:val="00F10A08"/>
    <w:rsid w:val="00F139CF"/>
    <w:rsid w:val="00F22AC5"/>
    <w:rsid w:val="00F254D1"/>
    <w:rsid w:val="00F32B82"/>
    <w:rsid w:val="00F4043E"/>
    <w:rsid w:val="00F40CB5"/>
    <w:rsid w:val="00F41BBC"/>
    <w:rsid w:val="00F43B9D"/>
    <w:rsid w:val="00F444F0"/>
    <w:rsid w:val="00F44C5A"/>
    <w:rsid w:val="00F50847"/>
    <w:rsid w:val="00F53F27"/>
    <w:rsid w:val="00F546D1"/>
    <w:rsid w:val="00F6513F"/>
    <w:rsid w:val="00F66272"/>
    <w:rsid w:val="00F6ACA0"/>
    <w:rsid w:val="00F709C0"/>
    <w:rsid w:val="00F8610A"/>
    <w:rsid w:val="00F9080D"/>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00743D"/>
    <w:rPr>
      <w:color w:val="605E5C"/>
      <w:shd w:val="clear" w:color="auto" w:fill="E1DFDD"/>
    </w:rPr>
  </w:style>
  <w:style w:type="paragraph" w:styleId="NormalWeb">
    <w:name w:val="Normal (Web)"/>
    <w:basedOn w:val="Normal"/>
    <w:uiPriority w:val="99"/>
    <w:unhideWhenUsed/>
    <w:rsid w:val="0000743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050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95722616">
      <w:bodyDiv w:val="1"/>
      <w:marLeft w:val="0"/>
      <w:marRight w:val="0"/>
      <w:marTop w:val="0"/>
      <w:marBottom w:val="0"/>
      <w:divBdr>
        <w:top w:val="none" w:sz="0" w:space="0" w:color="auto"/>
        <w:left w:val="none" w:sz="0" w:space="0" w:color="auto"/>
        <w:bottom w:val="none" w:sz="0" w:space="0" w:color="auto"/>
        <w:right w:val="none" w:sz="0" w:space="0" w:color="auto"/>
      </w:divBdr>
    </w:div>
    <w:div w:id="401410204">
      <w:bodyDiv w:val="1"/>
      <w:marLeft w:val="0"/>
      <w:marRight w:val="0"/>
      <w:marTop w:val="0"/>
      <w:marBottom w:val="0"/>
      <w:divBdr>
        <w:top w:val="none" w:sz="0" w:space="0" w:color="auto"/>
        <w:left w:val="none" w:sz="0" w:space="0" w:color="auto"/>
        <w:bottom w:val="none" w:sz="0" w:space="0" w:color="auto"/>
        <w:right w:val="none" w:sz="0" w:space="0" w:color="auto"/>
      </w:divBdr>
    </w:div>
    <w:div w:id="466356430">
      <w:bodyDiv w:val="1"/>
      <w:marLeft w:val="0"/>
      <w:marRight w:val="0"/>
      <w:marTop w:val="0"/>
      <w:marBottom w:val="0"/>
      <w:divBdr>
        <w:top w:val="none" w:sz="0" w:space="0" w:color="auto"/>
        <w:left w:val="none" w:sz="0" w:space="0" w:color="auto"/>
        <w:bottom w:val="none" w:sz="0" w:space="0" w:color="auto"/>
        <w:right w:val="none" w:sz="0" w:space="0" w:color="auto"/>
      </w:divBdr>
    </w:div>
    <w:div w:id="563372730">
      <w:bodyDiv w:val="1"/>
      <w:marLeft w:val="0"/>
      <w:marRight w:val="0"/>
      <w:marTop w:val="0"/>
      <w:marBottom w:val="0"/>
      <w:divBdr>
        <w:top w:val="none" w:sz="0" w:space="0" w:color="auto"/>
        <w:left w:val="none" w:sz="0" w:space="0" w:color="auto"/>
        <w:bottom w:val="none" w:sz="0" w:space="0" w:color="auto"/>
        <w:right w:val="none" w:sz="0" w:space="0" w:color="auto"/>
      </w:divBdr>
    </w:div>
    <w:div w:id="664673342">
      <w:bodyDiv w:val="1"/>
      <w:marLeft w:val="0"/>
      <w:marRight w:val="0"/>
      <w:marTop w:val="0"/>
      <w:marBottom w:val="0"/>
      <w:divBdr>
        <w:top w:val="none" w:sz="0" w:space="0" w:color="auto"/>
        <w:left w:val="none" w:sz="0" w:space="0" w:color="auto"/>
        <w:bottom w:val="none" w:sz="0" w:space="0" w:color="auto"/>
        <w:right w:val="none" w:sz="0" w:space="0" w:color="auto"/>
      </w:divBdr>
    </w:div>
    <w:div w:id="10270285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7650505">
      <w:bodyDiv w:val="1"/>
      <w:marLeft w:val="0"/>
      <w:marRight w:val="0"/>
      <w:marTop w:val="0"/>
      <w:marBottom w:val="0"/>
      <w:divBdr>
        <w:top w:val="none" w:sz="0" w:space="0" w:color="auto"/>
        <w:left w:val="none" w:sz="0" w:space="0" w:color="auto"/>
        <w:bottom w:val="none" w:sz="0" w:space="0" w:color="auto"/>
        <w:right w:val="none" w:sz="0" w:space="0" w:color="auto"/>
      </w:divBdr>
    </w:div>
    <w:div w:id="191615807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1594987">
      <w:bodyDiv w:val="1"/>
      <w:marLeft w:val="0"/>
      <w:marRight w:val="0"/>
      <w:marTop w:val="0"/>
      <w:marBottom w:val="0"/>
      <w:divBdr>
        <w:top w:val="none" w:sz="0" w:space="0" w:color="auto"/>
        <w:left w:val="none" w:sz="0" w:space="0" w:color="auto"/>
        <w:bottom w:val="none" w:sz="0" w:space="0" w:color="auto"/>
        <w:right w:val="none" w:sz="0" w:space="0" w:color="auto"/>
      </w:divBdr>
    </w:div>
    <w:div w:id="200411687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arrest-and-other-positive-approaches" TargetMode="External"/><Relationship Id="rId26" Type="http://schemas.openxmlformats.org/officeDocument/2006/relationships/hyperlink" Target="https://www.gov.wales/welsh-index-multiple-deprivation-2019-deprivation-analysis-relating-young-children-html" TargetMode="External"/><Relationship Id="rId3" Type="http://schemas.openxmlformats.org/officeDocument/2006/relationships/customXml" Target="../customXml/item3.xml"/><Relationship Id="rId21" Type="http://schemas.openxmlformats.org/officeDocument/2006/relationships/hyperlink" Target="https://www.cps.gov.uk/legal-guidance/directors-guidance-charging-sixth-edition-december-2020-incorporating-national-fil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nti-social-behaviour" TargetMode="External"/><Relationship Id="rId25" Type="http://schemas.openxmlformats.org/officeDocument/2006/relationships/hyperlink" Target="https://www.legislation.gov.uk/ukpga/1984/60/section/24" TargetMode="External"/><Relationship Id="rId2" Type="http://schemas.openxmlformats.org/officeDocument/2006/relationships/customXml" Target="../customXml/item2.xml"/><Relationship Id="rId16" Type="http://schemas.openxmlformats.org/officeDocument/2006/relationships/hyperlink" Target="https://my.clevelandclinic.org/health/diseases/22387-stockholm-syndrome" TargetMode="External"/><Relationship Id="rId20" Type="http://schemas.openxmlformats.org/officeDocument/2006/relationships/hyperlink" Target="https://www.cps.gov.uk/legal-guidance/domestic-abus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walesvictimfocus.org.uk/"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ncdv.org.uk/domestic-abuse-statistics-uk/" TargetMode="External"/><Relationship Id="rId28" Type="http://schemas.openxmlformats.org/officeDocument/2006/relationships/hyperlink" Target="https://www.bbc.co.uk/news/magazine-22447726" TargetMode="External"/><Relationship Id="rId10" Type="http://schemas.openxmlformats.org/officeDocument/2006/relationships/endnotes" Target="endnotes.xml"/><Relationship Id="rId19" Type="http://schemas.openxmlformats.org/officeDocument/2006/relationships/hyperlink" Target="https://www.college.police.uk/career-learning/competency-and-values-framework/we-take-ownership"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publication/code-crown-prosecutors" TargetMode="External"/><Relationship Id="rId27" Type="http://schemas.openxmlformats.org/officeDocument/2006/relationships/hyperlink" Target="https://law.gov.wales/culture/welsh-language/welsh-language-act-199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26</Pages>
  <Words>6429</Words>
  <Characters>38747</Characters>
  <Application>Microsoft Office Word</Application>
  <DocSecurity>0</DocSecurity>
  <Lines>624</Lines>
  <Paragraphs>199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Moares,Matthew swp8537</cp:lastModifiedBy>
  <cp:revision>30</cp:revision>
  <cp:lastPrinted>2014-08-26T08:55:00Z</cp:lastPrinted>
  <dcterms:created xsi:type="dcterms:W3CDTF">2024-03-24T16:50:00Z</dcterms:created>
  <dcterms:modified xsi:type="dcterms:W3CDTF">2024-09-11T19:40:00Z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2024-03-24T16:49:49Z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fc63aedb-9caf-4d1e-bce8-109040ef5302</vt:lpwstr>
  </property>
  <property fmtid="{D5CDD505-2E9C-101B-9397-08002B2CF9AE}" pid="9" name="MSIP_Label_66cf8fe5-b7b7-4df7-b38d-1c61ac2f6639_ContentBits">
    <vt:lpwstr>0</vt:lpwstr>
  </property>
</Properties>
</file>