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3E8F6" w14:textId="77777777" w:rsidR="00E65591" w:rsidRDefault="00E65591" w:rsidP="00E65591">
      <w:pPr>
        <w:spacing w:before="200"/>
        <w:jc w:val="center"/>
        <w:rPr>
          <w:rFonts w:cs="Arial"/>
          <w:b/>
        </w:rPr>
      </w:pPr>
      <w:r>
        <w:rPr>
          <w:b/>
          <w:noProof/>
          <w:sz w:val="56"/>
        </w:rPr>
        <w:drawing>
          <wp:inline distT="0" distB="0" distL="0" distR="0" wp14:anchorId="56071115" wp14:editId="68273036">
            <wp:extent cx="3524324" cy="1404938"/>
            <wp:effectExtent l="0" t="0" r="0" b="5080"/>
            <wp:docPr id="726759203" name="Picture 726759203"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59203" name="Picture 726759203"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E2CFD69" w14:textId="77777777" w:rsidR="00E65591" w:rsidRDefault="00E65591" w:rsidP="00E65591">
      <w:pPr>
        <w:spacing w:before="200"/>
        <w:ind w:firstLine="720"/>
        <w:jc w:val="center"/>
        <w:rPr>
          <w:rFonts w:cs="Arial"/>
          <w:b/>
        </w:rPr>
      </w:pPr>
    </w:p>
    <w:p w14:paraId="0F026908" w14:textId="18EFA168" w:rsidR="00E65591" w:rsidRDefault="00E65591" w:rsidP="00E65591">
      <w:pPr>
        <w:tabs>
          <w:tab w:val="left" w:pos="7056"/>
        </w:tabs>
        <w:spacing w:before="212"/>
        <w:rPr>
          <w:b/>
          <w:sz w:val="48"/>
          <w:szCs w:val="48"/>
        </w:rPr>
      </w:pPr>
      <w:r w:rsidRPr="00DD5969">
        <w:rPr>
          <w:b/>
          <w:sz w:val="48"/>
          <w:szCs w:val="48"/>
        </w:rPr>
        <w:t xml:space="preserve">MODULE </w:t>
      </w:r>
      <w:proofErr w:type="gramStart"/>
      <w:r w:rsidRPr="00DD5969">
        <w:rPr>
          <w:b/>
          <w:sz w:val="48"/>
          <w:szCs w:val="48"/>
        </w:rPr>
        <w:t>CODE:</w:t>
      </w:r>
      <w:r>
        <w:rPr>
          <w:b/>
          <w:sz w:val="48"/>
          <w:szCs w:val="48"/>
        </w:rPr>
        <w:t>ECDE</w:t>
      </w:r>
      <w:proofErr w:type="gramEnd"/>
      <w:r>
        <w:rPr>
          <w:b/>
          <w:sz w:val="48"/>
          <w:szCs w:val="48"/>
        </w:rPr>
        <w:t>70</w:t>
      </w:r>
      <w:r>
        <w:rPr>
          <w:b/>
          <w:sz w:val="48"/>
          <w:szCs w:val="48"/>
        </w:rPr>
        <w:t>20</w:t>
      </w:r>
      <w:r>
        <w:rPr>
          <w:b/>
          <w:sz w:val="48"/>
          <w:szCs w:val="48"/>
        </w:rPr>
        <w:tab/>
      </w:r>
    </w:p>
    <w:p w14:paraId="6A84211C" w14:textId="77777777" w:rsidR="00E65591" w:rsidRDefault="00E65591" w:rsidP="00E65591">
      <w:pPr>
        <w:spacing w:before="212"/>
        <w:rPr>
          <w:b/>
          <w:sz w:val="48"/>
          <w:szCs w:val="48"/>
        </w:rPr>
      </w:pPr>
    </w:p>
    <w:p w14:paraId="69F71AC4" w14:textId="419DF51E" w:rsidR="00E65591" w:rsidRDefault="00E65591" w:rsidP="00E65591">
      <w:pPr>
        <w:spacing w:before="212"/>
        <w:rPr>
          <w:b/>
          <w:sz w:val="44"/>
        </w:rPr>
      </w:pPr>
      <w:r>
        <w:rPr>
          <w:b/>
          <w:sz w:val="48"/>
          <w:szCs w:val="48"/>
        </w:rPr>
        <w:t xml:space="preserve">ASSESSMENT COMPONENT: </w:t>
      </w:r>
      <w:r>
        <w:rPr>
          <w:b/>
          <w:sz w:val="48"/>
          <w:szCs w:val="48"/>
        </w:rPr>
        <w:t>3</w:t>
      </w:r>
    </w:p>
    <w:p w14:paraId="47CACB1C" w14:textId="77777777" w:rsidR="00E65591" w:rsidRPr="00DD5969" w:rsidRDefault="00E65591" w:rsidP="00E65591">
      <w:pPr>
        <w:spacing w:before="3"/>
        <w:rPr>
          <w:b/>
          <w:sz w:val="48"/>
          <w:szCs w:val="48"/>
        </w:rPr>
      </w:pPr>
      <w:r w:rsidRPr="00DD5969">
        <w:rPr>
          <w:b/>
          <w:sz w:val="48"/>
          <w:szCs w:val="48"/>
        </w:rPr>
        <w:t>STUDENT NAME:</w:t>
      </w:r>
      <w:r>
        <w:rPr>
          <w:b/>
          <w:sz w:val="48"/>
          <w:szCs w:val="48"/>
        </w:rPr>
        <w:t xml:space="preserve"> Inam Alsalim</w:t>
      </w:r>
    </w:p>
    <w:p w14:paraId="062A00B8" w14:textId="77777777" w:rsidR="00E65591" w:rsidRPr="00DD5969" w:rsidRDefault="00E65591" w:rsidP="00E65591">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2502495</w:t>
      </w:r>
    </w:p>
    <w:p w14:paraId="146A419A" w14:textId="77777777" w:rsidR="00E65591" w:rsidRPr="00E243A8" w:rsidRDefault="00E65591" w:rsidP="00E65591">
      <w:pPr>
        <w:rPr>
          <w:b/>
          <w:bCs/>
          <w:sz w:val="32"/>
          <w:szCs w:val="32"/>
          <w:u w:val="single"/>
        </w:rPr>
      </w:pPr>
      <w:r w:rsidRPr="00E243A8">
        <w:rPr>
          <w:b/>
          <w:bCs/>
          <w:sz w:val="32"/>
          <w:szCs w:val="32"/>
          <w:u w:val="single"/>
        </w:rPr>
        <w:t>AI Acknowledgement</w:t>
      </w:r>
    </w:p>
    <w:p w14:paraId="4B63719C" w14:textId="77777777" w:rsidR="00E65591" w:rsidRDefault="00E65591" w:rsidP="00E65591"/>
    <w:p w14:paraId="410A3E25" w14:textId="77777777" w:rsidR="00E65591" w:rsidRDefault="00E65591" w:rsidP="00E65591">
      <w:r w:rsidRPr="00E243A8">
        <w:t xml:space="preserve">I confirm that I have not used any AI tools in the research and creation of this assignment. </w:t>
      </w:r>
    </w:p>
    <w:p w14:paraId="40FEEE6D" w14:textId="77777777" w:rsidR="00E65591" w:rsidRDefault="00E65591" w:rsidP="00E65591">
      <w:r w:rsidRPr="00E243A8">
        <w:t xml:space="preserve">I confirm that I have not presented any AI generated materials as my own work. </w:t>
      </w:r>
    </w:p>
    <w:p w14:paraId="0F0DB566" w14:textId="77777777" w:rsidR="00E65591" w:rsidRPr="00E243A8" w:rsidRDefault="00E65591" w:rsidP="00E65591">
      <w:r w:rsidRPr="00E243A8">
        <w:t xml:space="preserve">I confirm </w:t>
      </w:r>
      <w:r>
        <w:t xml:space="preserve">that </w:t>
      </w:r>
      <w:r w:rsidRPr="00E243A8">
        <w:t>I have copies of my drafts, notes, and other resources I used, which I may be asked to provide in evidence.</w:t>
      </w:r>
    </w:p>
    <w:p w14:paraId="1BF4CFD1" w14:textId="77777777" w:rsidR="00E65591" w:rsidRPr="00C2550A" w:rsidRDefault="00E65591" w:rsidP="00E65591">
      <w:pPr>
        <w:rPr>
          <w:b/>
          <w:bCs/>
        </w:rPr>
      </w:pPr>
      <w:r w:rsidRPr="00C2550A">
        <w:rPr>
          <w:b/>
          <w:bCs/>
        </w:rPr>
        <w:t>OR:</w:t>
      </w:r>
    </w:p>
    <w:p w14:paraId="19D53C86" w14:textId="77777777" w:rsidR="00E65591" w:rsidRDefault="00E65591" w:rsidP="00E65591"/>
    <w:p w14:paraId="247FB1FB" w14:textId="77777777" w:rsidR="00E65591" w:rsidRPr="00DD5969" w:rsidRDefault="00E65591" w:rsidP="00E65591">
      <w:r w:rsidRPr="00DD5969">
        <w:t xml:space="preserve">I acknowledge the use of [AI Tool] [(AI Tool </w:t>
      </w:r>
      <w:proofErr w:type="spellStart"/>
      <w:r w:rsidRPr="00DD5969">
        <w:t>url</w:t>
      </w:r>
      <w:proofErr w:type="spellEnd"/>
      <w:r w:rsidRPr="00DD5969">
        <w:t xml:space="preserve">)] on [Date] to [Purpose my work]. I used the prompt(s): </w:t>
      </w:r>
    </w:p>
    <w:p w14:paraId="51DBA0BB" w14:textId="6A30B530" w:rsidR="00E65591" w:rsidRPr="00DD5969" w:rsidRDefault="00E65591" w:rsidP="00E65591">
      <w:r w:rsidRPr="00DD5969">
        <w:t>1. [</w:t>
      </w:r>
      <w:r>
        <w:t>Grammarly for proof reading and punctuation</w:t>
      </w:r>
      <w:r w:rsidRPr="00DD5969">
        <w:t xml:space="preserve">] </w:t>
      </w:r>
      <w:r>
        <w:t>18</w:t>
      </w:r>
      <w:r>
        <w:t>/</w:t>
      </w:r>
      <w:r>
        <w:t>4</w:t>
      </w:r>
      <w:r>
        <w:t>/202</w:t>
      </w:r>
      <w:r>
        <w:t>6</w:t>
      </w:r>
    </w:p>
    <w:p w14:paraId="57636ECA" w14:textId="77777777" w:rsidR="00E65591" w:rsidRDefault="00E65591" w:rsidP="00E65591">
      <w:r w:rsidRPr="00DD5969">
        <w:t>2. [</w:t>
      </w:r>
      <w:proofErr w:type="spellStart"/>
      <w:r>
        <w:t>quillbot</w:t>
      </w:r>
      <w:proofErr w:type="spellEnd"/>
      <w:r>
        <w:t xml:space="preserve"> to search for resources</w:t>
      </w:r>
      <w:r w:rsidRPr="00DD5969">
        <w:t xml:space="preserve">] </w:t>
      </w:r>
      <w:r>
        <w:t>19/4</w:t>
      </w:r>
      <w:r>
        <w:t>/202</w:t>
      </w:r>
      <w:r>
        <w:t>6</w:t>
      </w:r>
    </w:p>
    <w:p w14:paraId="71B208C3" w14:textId="6626216F" w:rsidR="00E65591" w:rsidRDefault="00E65591" w:rsidP="00E65591">
      <w:r>
        <w:lastRenderedPageBreak/>
        <w:t>3.</w:t>
      </w:r>
      <w:r w:rsidRPr="00DD5969">
        <w:t>[</w:t>
      </w:r>
      <w:r>
        <w:t>CHAT GPT summarise some articles]</w:t>
      </w:r>
      <w:r w:rsidRPr="00DD5969">
        <w:t xml:space="preserve"> </w:t>
      </w:r>
      <w:r>
        <w:t>17</w:t>
      </w:r>
      <w:r>
        <w:t>/</w:t>
      </w:r>
      <w:r>
        <w:t>4</w:t>
      </w:r>
      <w:r>
        <w:t>/202</w:t>
      </w:r>
      <w:r>
        <w:t>6</w:t>
      </w:r>
      <w:r w:rsidRPr="00DD5969">
        <w:t xml:space="preserve">I confirm that I have not presented any AI generated text as my own work. I confirm </w:t>
      </w:r>
      <w:r>
        <w:t xml:space="preserve">that </w:t>
      </w:r>
      <w:r w:rsidRPr="00DD5969">
        <w:t xml:space="preserve">I have copies of my drafts, notes, and other resources I used before and after the use of AI tools which I may be asked to provide in evidence. </w:t>
      </w:r>
    </w:p>
    <w:p w14:paraId="4843CB4F" w14:textId="77777777" w:rsidR="00E65591" w:rsidRDefault="00E65591" w:rsidP="002B796B">
      <w:pPr>
        <w:spacing w:before="100" w:beforeAutospacing="1" w:after="100" w:afterAutospacing="1" w:line="240" w:lineRule="auto"/>
        <w:jc w:val="center"/>
        <w:outlineLvl w:val="1"/>
        <w:rPr>
          <w:rFonts w:ascii="Times New Roman" w:eastAsia="Times New Roman" w:hAnsi="Times New Roman" w:cs="Times New Roman"/>
          <w:b/>
          <w:bCs/>
          <w:color w:val="000000"/>
          <w:kern w:val="0"/>
          <w:sz w:val="36"/>
          <w:szCs w:val="36"/>
          <w:lang w:eastAsia="en-GB"/>
          <w14:ligatures w14:val="none"/>
        </w:rPr>
      </w:pPr>
    </w:p>
    <w:p w14:paraId="5C0DD5E8" w14:textId="77777777" w:rsidR="00E65591" w:rsidRDefault="00E65591" w:rsidP="002B796B">
      <w:pPr>
        <w:spacing w:before="100" w:beforeAutospacing="1" w:after="100" w:afterAutospacing="1" w:line="240" w:lineRule="auto"/>
        <w:jc w:val="center"/>
        <w:outlineLvl w:val="1"/>
        <w:rPr>
          <w:rFonts w:ascii="Times New Roman" w:eastAsia="Times New Roman" w:hAnsi="Times New Roman" w:cs="Times New Roman"/>
          <w:b/>
          <w:bCs/>
          <w:color w:val="000000"/>
          <w:kern w:val="0"/>
          <w:sz w:val="36"/>
          <w:szCs w:val="36"/>
          <w:lang w:eastAsia="en-GB"/>
          <w14:ligatures w14:val="none"/>
        </w:rPr>
      </w:pPr>
    </w:p>
    <w:p w14:paraId="7830B46D" w14:textId="77777777" w:rsidR="00E65591" w:rsidRDefault="00E65591" w:rsidP="002B796B">
      <w:pPr>
        <w:spacing w:before="100" w:beforeAutospacing="1" w:after="100" w:afterAutospacing="1" w:line="240" w:lineRule="auto"/>
        <w:jc w:val="center"/>
        <w:outlineLvl w:val="1"/>
        <w:rPr>
          <w:rFonts w:ascii="Times New Roman" w:eastAsia="Times New Roman" w:hAnsi="Times New Roman" w:cs="Times New Roman"/>
          <w:b/>
          <w:bCs/>
          <w:color w:val="000000"/>
          <w:kern w:val="0"/>
          <w:sz w:val="36"/>
          <w:szCs w:val="36"/>
          <w:lang w:eastAsia="en-GB"/>
          <w14:ligatures w14:val="none"/>
        </w:rPr>
      </w:pPr>
    </w:p>
    <w:p w14:paraId="6DA14A15" w14:textId="77777777" w:rsidR="00E65591" w:rsidRDefault="00E65591" w:rsidP="002B796B">
      <w:pPr>
        <w:spacing w:before="100" w:beforeAutospacing="1" w:after="100" w:afterAutospacing="1" w:line="240" w:lineRule="auto"/>
        <w:jc w:val="center"/>
        <w:outlineLvl w:val="1"/>
        <w:rPr>
          <w:rFonts w:ascii="Times New Roman" w:eastAsia="Times New Roman" w:hAnsi="Times New Roman" w:cs="Times New Roman"/>
          <w:b/>
          <w:bCs/>
          <w:color w:val="000000"/>
          <w:kern w:val="0"/>
          <w:sz w:val="36"/>
          <w:szCs w:val="36"/>
          <w:lang w:eastAsia="en-GB"/>
          <w14:ligatures w14:val="none"/>
        </w:rPr>
      </w:pPr>
    </w:p>
    <w:p w14:paraId="12118134" w14:textId="7F86B381" w:rsidR="002B796B" w:rsidRPr="00D95E69" w:rsidRDefault="002B796B" w:rsidP="002B796B">
      <w:pPr>
        <w:spacing w:before="100" w:beforeAutospacing="1" w:after="100" w:afterAutospacing="1" w:line="240" w:lineRule="auto"/>
        <w:jc w:val="center"/>
        <w:outlineLvl w:val="1"/>
        <w:rPr>
          <w:rFonts w:ascii="Times New Roman" w:eastAsia="Times New Roman" w:hAnsi="Times New Roman" w:cs="Times New Roman"/>
          <w:b/>
          <w:bCs/>
          <w:color w:val="000000"/>
          <w:kern w:val="0"/>
          <w:sz w:val="48"/>
          <w:szCs w:val="48"/>
          <w:lang w:eastAsia="en-GB"/>
          <w14:ligatures w14:val="none"/>
        </w:rPr>
      </w:pPr>
      <w:r w:rsidRPr="00D95E69">
        <w:rPr>
          <w:rFonts w:ascii="Times New Roman" w:eastAsia="Times New Roman" w:hAnsi="Times New Roman" w:cs="Times New Roman"/>
          <w:b/>
          <w:bCs/>
          <w:color w:val="000000"/>
          <w:kern w:val="0"/>
          <w:sz w:val="48"/>
          <w:szCs w:val="48"/>
          <w:lang w:eastAsia="en-GB"/>
          <w14:ligatures w14:val="none"/>
        </w:rPr>
        <w:t>Evaluating the Implementation of the Additional Learning Needs (ALN) Act 2018: Policy Enactment and Inclusive Practice in Welsh Schools</w:t>
      </w:r>
    </w:p>
    <w:p w14:paraId="15011687" w14:textId="77777777" w:rsidR="00D95E69" w:rsidRPr="002B796B" w:rsidRDefault="00D95E69" w:rsidP="002B796B">
      <w:pPr>
        <w:spacing w:before="100" w:beforeAutospacing="1" w:after="100" w:afterAutospacing="1" w:line="240" w:lineRule="auto"/>
        <w:jc w:val="center"/>
        <w:outlineLvl w:val="1"/>
        <w:rPr>
          <w:rFonts w:ascii="Times New Roman" w:eastAsia="Times New Roman" w:hAnsi="Times New Roman" w:cs="Times New Roman"/>
          <w:b/>
          <w:bCs/>
          <w:color w:val="000000"/>
          <w:kern w:val="0"/>
          <w:sz w:val="36"/>
          <w:szCs w:val="36"/>
          <w:lang w:eastAsia="en-GB"/>
          <w14:ligatures w14:val="none"/>
        </w:rPr>
      </w:pPr>
    </w:p>
    <w:p w14:paraId="44967405" w14:textId="44200A47" w:rsidR="002B796B" w:rsidRPr="00D95E69" w:rsidRDefault="00D95E69" w:rsidP="002B796B">
      <w:pPr>
        <w:spacing w:after="0" w:line="240" w:lineRule="auto"/>
        <w:rPr>
          <w:rFonts w:ascii="Times New Roman" w:eastAsia="Times New Roman" w:hAnsi="Times New Roman" w:cs="Times New Roman"/>
          <w:kern w:val="0"/>
          <w:sz w:val="36"/>
          <w:szCs w:val="36"/>
          <w:lang w:eastAsia="en-GB"/>
          <w14:ligatures w14:val="none"/>
        </w:rPr>
      </w:pPr>
      <w:r w:rsidRPr="00D95E69">
        <w:rPr>
          <w:rFonts w:ascii="Times New Roman" w:eastAsia="Times New Roman" w:hAnsi="Times New Roman" w:cs="Times New Roman"/>
          <w:kern w:val="0"/>
          <w:sz w:val="36"/>
          <w:szCs w:val="36"/>
          <w:lang w:eastAsia="en-GB"/>
          <w14:ligatures w14:val="none"/>
        </w:rPr>
        <w:t>1.Introduction</w:t>
      </w:r>
    </w:p>
    <w:p w14:paraId="64D20CD2" w14:textId="77777777" w:rsidR="002B796B" w:rsidRDefault="002B796B" w:rsidP="002B796B">
      <w:pPr>
        <w:pStyle w:val="NormalWeb"/>
        <w:rPr>
          <w:color w:val="000000"/>
        </w:rPr>
      </w:pPr>
      <w:r>
        <w:rPr>
          <w:color w:val="000000"/>
        </w:rPr>
        <w:t>The Additional Learning Needs and Education Tribunal (Wales) Act 2018 represents a significant reform within Welsh education, aiming to establish a more inclusive, equitable and learner-centred system for individuals with additional learning needs (ALN). Replacing the previous Special Educational Needs (SEN) framework, the Act introduces a unified approach for learners aged 0–25 and emphasises early identification, collaboration and the active participation of learners and their families in decision-making processes (Welsh Government, 2018). Central to this reform is the introduction of Individual Development Plans (IDPs), designed to ensure consistency and clarity in the provision of support across educational settings (Welsh Government, 2021).</w:t>
      </w:r>
    </w:p>
    <w:p w14:paraId="6942D0AB" w14:textId="77777777" w:rsidR="002B796B" w:rsidRDefault="002B796B" w:rsidP="002B796B">
      <w:pPr>
        <w:pStyle w:val="NormalWeb"/>
        <w:rPr>
          <w:color w:val="000000"/>
        </w:rPr>
      </w:pPr>
      <w:r>
        <w:rPr>
          <w:color w:val="000000"/>
        </w:rPr>
        <w:t>This reform aligns with broader international developments in inclusive education, which emphasise equity, participation and the removal of barriers to learning (Ainscow, 2020; Florian, 2019). Inclusive education is increasingly framed as a matter of social justice, requiring systems to respond to diverse learners. However, while inclusive education is widely promoted as transformative, some scholars argue that its implementation remains constrained by structural and institutional factors (Slee, 2011; Graham, 2020). This highlights a tension between policy aspiration and practice.</w:t>
      </w:r>
    </w:p>
    <w:p w14:paraId="434C1E0B" w14:textId="77777777" w:rsidR="002B796B" w:rsidRDefault="002B796B" w:rsidP="002B796B">
      <w:pPr>
        <w:pStyle w:val="NormalWeb"/>
        <w:rPr>
          <w:color w:val="000000"/>
        </w:rPr>
      </w:pPr>
      <w:r>
        <w:rPr>
          <w:color w:val="000000"/>
        </w:rPr>
        <w:t xml:space="preserve">Emerging evidence suggests that implementation of the ALN framework is uneven across Welsh schools and local authorities (Estyn, 2023; Welsh Government, 2023). Variability in </w:t>
      </w:r>
      <w:r>
        <w:rPr>
          <w:color w:val="000000"/>
        </w:rPr>
        <w:lastRenderedPageBreak/>
        <w:t>practitioner knowledge, training and institutional capacity influences how policy is interpreted and enacted. Consequently, concerns remain regarding consistency and the realisation of rights-based principles in practice.</w:t>
      </w:r>
    </w:p>
    <w:p w14:paraId="5A295161" w14:textId="77777777" w:rsidR="002B796B" w:rsidRDefault="002B796B" w:rsidP="002B796B">
      <w:pPr>
        <w:pStyle w:val="NormalWeb"/>
        <w:rPr>
          <w:color w:val="000000"/>
        </w:rPr>
      </w:pPr>
      <w:r>
        <w:rPr>
          <w:color w:val="000000"/>
        </w:rPr>
        <w:t>This assignment focuses on the gap between policy intention and lived experience. It critically evaluates the philosophical and theoretical framework underpinning the study, justifies the methodological approach, and outlines a plan for data collection and analysis. In doing so, it demonstrates a coherent and critically informed research design appropriate to the study of inclusive education in Wales.</w:t>
      </w:r>
    </w:p>
    <w:p w14:paraId="4C48089A" w14:textId="77777777" w:rsidR="002B796B" w:rsidRPr="00D95E69" w:rsidRDefault="002B796B" w:rsidP="002B796B">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D95E69">
        <w:rPr>
          <w:rFonts w:ascii="Times New Roman" w:eastAsia="Times New Roman" w:hAnsi="Times New Roman" w:cs="Times New Roman"/>
          <w:b/>
          <w:bCs/>
          <w:color w:val="000000"/>
          <w:kern w:val="36"/>
          <w:sz w:val="36"/>
          <w:szCs w:val="36"/>
          <w:lang w:eastAsia="en-GB"/>
          <w14:ligatures w14:val="none"/>
        </w:rPr>
        <w:t>2. Research Area and Literature Review</w:t>
      </w:r>
    </w:p>
    <w:p w14:paraId="0C8280B2"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Inclusive education is a central principle within contemporary education systems, underpinned by equity, participation and diversity (Florian, 2019). It challenges deficit-based perspectives by emphasising the removal of barriers to learning and the adaptation of systems to accommodate diverse learners (Ainscow, 2020). However, its implementation remains contested.</w:t>
      </w:r>
    </w:p>
    <w:p w14:paraId="058FDA86"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Boyle, Anderson and Allen (2020) argue that teacher attitudes are central to inclusive practice, suggesting that positive attitudes can improve learner outcomes. In contrast, de Boer, </w:t>
      </w:r>
      <w:proofErr w:type="spellStart"/>
      <w:r w:rsidRPr="002B796B">
        <w:rPr>
          <w:rFonts w:ascii="Times New Roman" w:eastAsia="Times New Roman" w:hAnsi="Times New Roman" w:cs="Times New Roman"/>
          <w:color w:val="000000"/>
          <w:kern w:val="0"/>
          <w:lang w:eastAsia="en-GB"/>
          <w14:ligatures w14:val="none"/>
        </w:rPr>
        <w:t>Pijl</w:t>
      </w:r>
      <w:proofErr w:type="spellEnd"/>
      <w:r w:rsidRPr="002B796B">
        <w:rPr>
          <w:rFonts w:ascii="Times New Roman" w:eastAsia="Times New Roman" w:hAnsi="Times New Roman" w:cs="Times New Roman"/>
          <w:color w:val="000000"/>
          <w:kern w:val="0"/>
          <w:lang w:eastAsia="en-GB"/>
          <w14:ligatures w14:val="none"/>
        </w:rPr>
        <w:t xml:space="preserve"> and Minnaert (2021) emphasise structural factors such as training, resources and institutional support, arguing that attitudes alone are insufficient without systemic change. This contrast highlights that inclusion is shaped by both individual and systemic influences.</w:t>
      </w:r>
    </w:p>
    <w:p w14:paraId="7ABF0072"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Within Wales, the ALN Act reflects inclusive principles through its emphasis on learner-centred provision and collaboration (Welsh Government, 2018). However, policy enactment theory suggests that policies are interpreted within local contexts rather than implemented uniformly (Ball, Maguire and Braun, 2012). This challenges assumptions of consistency and highlights the importance of context.</w:t>
      </w:r>
    </w:p>
    <w:p w14:paraId="0C811758"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Evidence from Wales supports this view. Evaluations indicate variability in implementation across schools and local authorities (Estyn, 2023; Welsh Government, 2023), with challenges related to workload, training and role clarity (Norwich and Eaton, 2022). More recent reports highlight continued inconsistencies and workforce challenges (Estyn, 2024). These findings suggest implementation is shaped by context rather than policy design alone.</w:t>
      </w:r>
    </w:p>
    <w:p w14:paraId="4F693D18"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emphasis on learner voice represents a shift towards participatory approaches, yet research suggests participation is inconsistent (Children’s Commissioner for Wales, 2022). This highlights tensions between policy and practice.</w:t>
      </w:r>
    </w:p>
    <w:p w14:paraId="1359AF6B"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While Ainscow (2020) presents inclusion as transformative, Slee (2011) and Graham (2020) argue that without systemic reform, inclusion may remain superficial. This contrast highlights a tension between ideal and reality.</w:t>
      </w:r>
    </w:p>
    <w:p w14:paraId="72AB4C59"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Recent research highlights ongoing challenges in implementing inclusive education. Welsh Government (2023) identifies inconsistencies in practitioner understanding, while Estyn (2024) reports variability in provision across schools. These findings reinforce that implementation is shaped by context.</w:t>
      </w:r>
    </w:p>
    <w:p w14:paraId="309CE02E"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lastRenderedPageBreak/>
        <w:t>Despite growing research, there remains limited evidence exploring lived experiences of ALN implementation. This study addresses this gap by focusing on stakeholder perspectives.</w:t>
      </w:r>
    </w:p>
    <w:p w14:paraId="66D45E57" w14:textId="77777777" w:rsidR="00C44E97" w:rsidRDefault="00C44E97" w:rsidP="002B796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29858F7F" w14:textId="33087745" w:rsidR="002B796B" w:rsidRPr="00D95E69" w:rsidRDefault="002B796B" w:rsidP="002B796B">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D95E69">
        <w:rPr>
          <w:rFonts w:ascii="Times New Roman" w:eastAsia="Times New Roman" w:hAnsi="Times New Roman" w:cs="Times New Roman"/>
          <w:b/>
          <w:bCs/>
          <w:color w:val="000000"/>
          <w:kern w:val="36"/>
          <w:sz w:val="36"/>
          <w:szCs w:val="36"/>
          <w:lang w:eastAsia="en-GB"/>
          <w14:ligatures w14:val="none"/>
        </w:rPr>
        <w:t xml:space="preserve">3. Philosophical and Theoretical Framework </w:t>
      </w:r>
    </w:p>
    <w:p w14:paraId="03DEB80F"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The selection of an appropriate philosophical and theoretical framework is essential to ensuring coherence between the research </w:t>
      </w:r>
      <w:proofErr w:type="gramStart"/>
      <w:r w:rsidRPr="002B796B">
        <w:rPr>
          <w:rFonts w:ascii="Times New Roman" w:eastAsia="Times New Roman" w:hAnsi="Times New Roman" w:cs="Times New Roman"/>
          <w:color w:val="000000"/>
          <w:kern w:val="0"/>
          <w:lang w:eastAsia="en-GB"/>
          <w14:ligatures w14:val="none"/>
        </w:rPr>
        <w:t>aims,</w:t>
      </w:r>
      <w:proofErr w:type="gramEnd"/>
      <w:r w:rsidRPr="002B796B">
        <w:rPr>
          <w:rFonts w:ascii="Times New Roman" w:eastAsia="Times New Roman" w:hAnsi="Times New Roman" w:cs="Times New Roman"/>
          <w:color w:val="000000"/>
          <w:kern w:val="0"/>
          <w:lang w:eastAsia="en-GB"/>
          <w14:ligatures w14:val="none"/>
        </w:rPr>
        <w:t xml:space="preserve"> methodology and methods. This study, which seeks to explore how the Additional Learning Needs and Education Tribunal (Wales) Act 2018 is interpreted and enacted within Welsh schools, is underpinned primarily by an </w:t>
      </w:r>
      <w:r w:rsidRPr="002B796B">
        <w:rPr>
          <w:rFonts w:ascii="Times New Roman" w:eastAsia="Times New Roman" w:hAnsi="Times New Roman" w:cs="Times New Roman"/>
          <w:b/>
          <w:bCs/>
          <w:color w:val="000000"/>
          <w:kern w:val="0"/>
          <w:lang w:eastAsia="en-GB"/>
          <w14:ligatures w14:val="none"/>
        </w:rPr>
        <w:t>interpretivist paradigm</w:t>
      </w:r>
      <w:r w:rsidRPr="002B796B">
        <w:rPr>
          <w:rFonts w:ascii="Times New Roman" w:eastAsia="Times New Roman" w:hAnsi="Times New Roman" w:cs="Times New Roman"/>
          <w:color w:val="000000"/>
          <w:kern w:val="0"/>
          <w:lang w:eastAsia="en-GB"/>
          <w14:ligatures w14:val="none"/>
        </w:rPr>
        <w:t>, supported by elements of </w:t>
      </w:r>
      <w:r w:rsidRPr="002B796B">
        <w:rPr>
          <w:rFonts w:ascii="Times New Roman" w:eastAsia="Times New Roman" w:hAnsi="Times New Roman" w:cs="Times New Roman"/>
          <w:b/>
          <w:bCs/>
          <w:color w:val="000000"/>
          <w:kern w:val="0"/>
          <w:lang w:eastAsia="en-GB"/>
          <w14:ligatures w14:val="none"/>
        </w:rPr>
        <w:t>pragmatism</w:t>
      </w:r>
      <w:r w:rsidRPr="002B796B">
        <w:rPr>
          <w:rFonts w:ascii="Times New Roman" w:eastAsia="Times New Roman" w:hAnsi="Times New Roman" w:cs="Times New Roman"/>
          <w:color w:val="000000"/>
          <w:kern w:val="0"/>
          <w:lang w:eastAsia="en-GB"/>
          <w14:ligatures w14:val="none"/>
        </w:rPr>
        <w:t>. This combined approach reflects both the nature of the research problem and the applied focus of a Professional Doctorate, where the generation of both theoretical understanding and practical insight is required.</w:t>
      </w:r>
    </w:p>
    <w:p w14:paraId="1247BE6A"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At an ontological level, interpretivism </w:t>
      </w:r>
      <w:proofErr w:type="gramStart"/>
      <w:r w:rsidRPr="002B796B">
        <w:rPr>
          <w:rFonts w:ascii="Times New Roman" w:eastAsia="Times New Roman" w:hAnsi="Times New Roman" w:cs="Times New Roman"/>
          <w:color w:val="000000"/>
          <w:kern w:val="0"/>
          <w:lang w:eastAsia="en-GB"/>
          <w14:ligatures w14:val="none"/>
        </w:rPr>
        <w:t>is based on the assumption</w:t>
      </w:r>
      <w:proofErr w:type="gramEnd"/>
      <w:r w:rsidRPr="002B796B">
        <w:rPr>
          <w:rFonts w:ascii="Times New Roman" w:eastAsia="Times New Roman" w:hAnsi="Times New Roman" w:cs="Times New Roman"/>
          <w:color w:val="000000"/>
          <w:kern w:val="0"/>
          <w:lang w:eastAsia="en-GB"/>
          <w14:ligatures w14:val="none"/>
        </w:rPr>
        <w:t xml:space="preserve"> that reality is </w:t>
      </w:r>
      <w:r w:rsidRPr="002B796B">
        <w:rPr>
          <w:rFonts w:ascii="Times New Roman" w:eastAsia="Times New Roman" w:hAnsi="Times New Roman" w:cs="Times New Roman"/>
          <w:b/>
          <w:bCs/>
          <w:color w:val="000000"/>
          <w:kern w:val="0"/>
          <w:lang w:eastAsia="en-GB"/>
          <w14:ligatures w14:val="none"/>
        </w:rPr>
        <w:t>socially constructed and multiple</w:t>
      </w:r>
      <w:r w:rsidRPr="002B796B">
        <w:rPr>
          <w:rFonts w:ascii="Times New Roman" w:eastAsia="Times New Roman" w:hAnsi="Times New Roman" w:cs="Times New Roman"/>
          <w:color w:val="000000"/>
          <w:kern w:val="0"/>
          <w:lang w:eastAsia="en-GB"/>
          <w14:ligatures w14:val="none"/>
        </w:rPr>
        <w:t>, rather than singular and objective (Cohen, Manion and Morrison, 2018). In the context of this study, the implementation of the ALN Act is not viewed as a fixed or uniform process. Instead, it is understood as something that is experienced differently by various stakeholders, including teachers, Additional Learning Needs Coordinators (ALNCos), parents and learners. These differing perspectives are shaped by institutional contexts, professional roles and individual experiences. Consequently, the study does not seek to identify a single ‘truth’ about ALN implementation, but rather to explore the range of meanings and interpretations that exist within educational settings.</w:t>
      </w:r>
    </w:p>
    <w:p w14:paraId="6560AD5D"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Epistemologically, interpretivism emphasises that knowledge is </w:t>
      </w:r>
      <w:r w:rsidRPr="002B796B">
        <w:rPr>
          <w:rFonts w:ascii="Times New Roman" w:eastAsia="Times New Roman" w:hAnsi="Times New Roman" w:cs="Times New Roman"/>
          <w:b/>
          <w:bCs/>
          <w:color w:val="000000"/>
          <w:kern w:val="0"/>
          <w:lang w:eastAsia="en-GB"/>
          <w14:ligatures w14:val="none"/>
        </w:rPr>
        <w:t>constructed through interaction</w:t>
      </w:r>
      <w:r w:rsidRPr="002B796B">
        <w:rPr>
          <w:rFonts w:ascii="Times New Roman" w:eastAsia="Times New Roman" w:hAnsi="Times New Roman" w:cs="Times New Roman"/>
          <w:color w:val="000000"/>
          <w:kern w:val="0"/>
          <w:lang w:eastAsia="en-GB"/>
          <w14:ligatures w14:val="none"/>
        </w:rPr>
        <w:t xml:space="preserve"> between the researcher and participants. This contrasts with positivist approaches, which prioritise objectivity, measurement and generalisability. In this study, understanding how inclusive education is enacted requires engagement with </w:t>
      </w:r>
      <w:proofErr w:type="gramStart"/>
      <w:r w:rsidRPr="002B796B">
        <w:rPr>
          <w:rFonts w:ascii="Times New Roman" w:eastAsia="Times New Roman" w:hAnsi="Times New Roman" w:cs="Times New Roman"/>
          <w:color w:val="000000"/>
          <w:kern w:val="0"/>
          <w:lang w:eastAsia="en-GB"/>
          <w14:ligatures w14:val="none"/>
        </w:rPr>
        <w:t>participants’</w:t>
      </w:r>
      <w:proofErr w:type="gramEnd"/>
      <w:r w:rsidRPr="002B796B">
        <w:rPr>
          <w:rFonts w:ascii="Times New Roman" w:eastAsia="Times New Roman" w:hAnsi="Times New Roman" w:cs="Times New Roman"/>
          <w:color w:val="000000"/>
          <w:kern w:val="0"/>
          <w:lang w:eastAsia="en-GB"/>
          <w14:ligatures w14:val="none"/>
        </w:rPr>
        <w:t xml:space="preserve"> lived experiences and the meanings they attach to them. This is particularly important in relation to policy enactment, where interpretation, negotiation and context play a central role. By prioritising participant voice, the research aligns with the rights-based principles underpinning the ALN framework, which emphasise inclusion, collaboration and participation.</w:t>
      </w:r>
    </w:p>
    <w:p w14:paraId="48E7C637"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However, interpretivism has been subject to critique. One key limitation is its </w:t>
      </w:r>
      <w:r w:rsidRPr="002B796B">
        <w:rPr>
          <w:rFonts w:ascii="Times New Roman" w:eastAsia="Times New Roman" w:hAnsi="Times New Roman" w:cs="Times New Roman"/>
          <w:b/>
          <w:bCs/>
          <w:color w:val="000000"/>
          <w:kern w:val="0"/>
          <w:lang w:eastAsia="en-GB"/>
          <w14:ligatures w14:val="none"/>
        </w:rPr>
        <w:t>lack of generalisability</w:t>
      </w:r>
      <w:r w:rsidRPr="002B796B">
        <w:rPr>
          <w:rFonts w:ascii="Times New Roman" w:eastAsia="Times New Roman" w:hAnsi="Times New Roman" w:cs="Times New Roman"/>
          <w:color w:val="000000"/>
          <w:kern w:val="0"/>
          <w:lang w:eastAsia="en-GB"/>
          <w14:ligatures w14:val="none"/>
        </w:rPr>
        <w:t>, as findings are often context-specific and may not be easily transferable to other settings (Graham, 2020). Critics argue that this limits the broader applicability of research findings. In contrast, proponents suggest that in-depth, context-rich insights are essential for understanding complex social phenomena such as inclusive education, where context plays a significant role. In this study, the focus on depth rather than generalisability is justified, as the aim is to understand how policy is experienced and enacted rather than to produce universally applicable conclusions.</w:t>
      </w:r>
    </w:p>
    <w:p w14:paraId="7EAC085D"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To address some of these limitations, this study incorporates elements of </w:t>
      </w:r>
      <w:r w:rsidRPr="002B796B">
        <w:rPr>
          <w:rFonts w:ascii="Times New Roman" w:eastAsia="Times New Roman" w:hAnsi="Times New Roman" w:cs="Times New Roman"/>
          <w:b/>
          <w:bCs/>
          <w:color w:val="000000"/>
          <w:kern w:val="0"/>
          <w:lang w:eastAsia="en-GB"/>
          <w14:ligatures w14:val="none"/>
        </w:rPr>
        <w:t>pragmatism</w:t>
      </w:r>
      <w:r w:rsidRPr="002B796B">
        <w:rPr>
          <w:rFonts w:ascii="Times New Roman" w:eastAsia="Times New Roman" w:hAnsi="Times New Roman" w:cs="Times New Roman"/>
          <w:color w:val="000000"/>
          <w:kern w:val="0"/>
          <w:lang w:eastAsia="en-GB"/>
          <w14:ligatures w14:val="none"/>
        </w:rPr>
        <w:t xml:space="preserve">, which emphasises the practical application of research and supports methodological flexibility (Creswell and Plano Clark, 2018). Pragmatism rejects rigid adherence to a single </w:t>
      </w:r>
      <w:r w:rsidRPr="002B796B">
        <w:rPr>
          <w:rFonts w:ascii="Times New Roman" w:eastAsia="Times New Roman" w:hAnsi="Times New Roman" w:cs="Times New Roman"/>
          <w:color w:val="000000"/>
          <w:kern w:val="0"/>
          <w:lang w:eastAsia="en-GB"/>
          <w14:ligatures w14:val="none"/>
        </w:rPr>
        <w:lastRenderedPageBreak/>
        <w:t>philosophical position and instead focuses on using methods that are most effective in addressing the research problem. This is particularly relevant in mixed-methods research, where both quantitative and qualitative approaches are combined. In this study, pragmatism enables the integration of different forms of data to generate a more comprehensive understanding of ALN implementation.</w:t>
      </w:r>
    </w:p>
    <w:p w14:paraId="28C9D691"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integration of interpretivism and pragmatism provides a balanced framework. While interpretivism enables the exploration of meaning and experience, pragmatism supports the generation of findings that have practical relevance. This is particularly important within a Professional Doctorate, where the aim is not only to contribute to academic knowledge but also to inform professional practice and policy development.</w:t>
      </w:r>
    </w:p>
    <w:p w14:paraId="6239390A"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In addition to its philosophical foundations, the study is informed by key theoretical perspectives, particularly </w:t>
      </w:r>
      <w:r w:rsidRPr="002B796B">
        <w:rPr>
          <w:rFonts w:ascii="Times New Roman" w:eastAsia="Times New Roman" w:hAnsi="Times New Roman" w:cs="Times New Roman"/>
          <w:b/>
          <w:bCs/>
          <w:color w:val="000000"/>
          <w:kern w:val="0"/>
          <w:lang w:eastAsia="en-GB"/>
          <w14:ligatures w14:val="none"/>
        </w:rPr>
        <w:t>inclusive education theory</w:t>
      </w:r>
      <w:r w:rsidRPr="002B796B">
        <w:rPr>
          <w:rFonts w:ascii="Times New Roman" w:eastAsia="Times New Roman" w:hAnsi="Times New Roman" w:cs="Times New Roman"/>
          <w:color w:val="000000"/>
          <w:kern w:val="0"/>
          <w:lang w:eastAsia="en-GB"/>
          <w14:ligatures w14:val="none"/>
        </w:rPr>
        <w:t> and </w:t>
      </w:r>
      <w:r w:rsidRPr="002B796B">
        <w:rPr>
          <w:rFonts w:ascii="Times New Roman" w:eastAsia="Times New Roman" w:hAnsi="Times New Roman" w:cs="Times New Roman"/>
          <w:b/>
          <w:bCs/>
          <w:color w:val="000000"/>
          <w:kern w:val="0"/>
          <w:lang w:eastAsia="en-GB"/>
          <w14:ligatures w14:val="none"/>
        </w:rPr>
        <w:t>policy enactment theory</w:t>
      </w:r>
      <w:r w:rsidRPr="002B796B">
        <w:rPr>
          <w:rFonts w:ascii="Times New Roman" w:eastAsia="Times New Roman" w:hAnsi="Times New Roman" w:cs="Times New Roman"/>
          <w:color w:val="000000"/>
          <w:kern w:val="0"/>
          <w:lang w:eastAsia="en-GB"/>
          <w14:ligatures w14:val="none"/>
        </w:rPr>
        <w:t>. Inclusive education theory, as articulated by Florian (2019) and Ainscow (2020), emphasises the importance of recognising diversity as a fundamental aspect of education and designing systems that accommodate all learners. This perspective challenges deficit-based models and aligns closely with the principles of the ALN Act. However, more critical perspectives suggest that inclusive education may be difficult to achieve without significant structural change. Slee (2011) argues that inclusion can remain superficial if underlying inequalities within education systems are not addressed, while Graham (2020) highlights the challenges of implementing inclusive policies in practice. These contrasting perspectives highlight the complexity of inclusion and reinforce the need to examine its enactment within specific contexts.</w:t>
      </w:r>
    </w:p>
    <w:p w14:paraId="484E0F98"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Policy enactment theory further informs the study by providing a lens through which to understand how policy is translated into practice. Ball, Maguire and Braun (2012) argue that policy implementation is not a straightforward process but involves interpretation, negotiation and adaptation by actors within specific contexts. This perspective is particularly relevant to the ALN framework, where schools must interpret policy requirements in relation to their own contexts and capacities. It helps to explain why variation in implementation occurs and highlights the role of professional agency.</w:t>
      </w:r>
    </w:p>
    <w:p w14:paraId="75B927B0"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However, while policy enactment theory emphasises agency, recent evidence suggests that this agency may be constrained by structural factors such as workload pressures, limited training and resource constraints (Welsh Government, 2023). This highlights a tension between theoretical assumptions of agency and the practical realities of educational settings, reinforcing the importance of examining policy enactment in context.</w:t>
      </w:r>
    </w:p>
    <w:p w14:paraId="5B34733D"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Overall, the integration of interpretivist and pragmatic approaches, alongside theories of inclusive education and policy enactment, provides a coherent and robust framework for this study. It supports a nuanced understanding of ALN implementation as a </w:t>
      </w:r>
      <w:r w:rsidRPr="002B796B">
        <w:rPr>
          <w:rFonts w:ascii="Times New Roman" w:eastAsia="Times New Roman" w:hAnsi="Times New Roman" w:cs="Times New Roman"/>
          <w:b/>
          <w:bCs/>
          <w:color w:val="000000"/>
          <w:kern w:val="0"/>
          <w:lang w:eastAsia="en-GB"/>
          <w14:ligatures w14:val="none"/>
        </w:rPr>
        <w:t>complex, context-dependent process</w:t>
      </w:r>
      <w:r w:rsidRPr="002B796B">
        <w:rPr>
          <w:rFonts w:ascii="Times New Roman" w:eastAsia="Times New Roman" w:hAnsi="Times New Roman" w:cs="Times New Roman"/>
          <w:color w:val="000000"/>
          <w:kern w:val="0"/>
          <w:lang w:eastAsia="en-GB"/>
          <w14:ligatures w14:val="none"/>
        </w:rPr>
        <w:t>, ensuring that the research is well aligned with its aims and capable of generating insights that are both theoretically informed and practically relevant.</w:t>
      </w:r>
    </w:p>
    <w:p w14:paraId="38F767CE"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2F845C20" w14:textId="77777777" w:rsidR="002B796B" w:rsidRDefault="002B796B" w:rsidP="002B796B">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10D88D15" w14:textId="2E858EDC" w:rsidR="002B796B" w:rsidRPr="00D95E69" w:rsidRDefault="002B796B" w:rsidP="002B796B">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D95E69">
        <w:rPr>
          <w:rFonts w:ascii="Times New Roman" w:eastAsia="Times New Roman" w:hAnsi="Times New Roman" w:cs="Times New Roman"/>
          <w:b/>
          <w:bCs/>
          <w:color w:val="000000"/>
          <w:kern w:val="36"/>
          <w:sz w:val="36"/>
          <w:szCs w:val="36"/>
          <w:lang w:eastAsia="en-GB"/>
          <w14:ligatures w14:val="none"/>
        </w:rPr>
        <w:lastRenderedPageBreak/>
        <w:t xml:space="preserve">4. Research Approach and Methodology </w:t>
      </w:r>
    </w:p>
    <w:p w14:paraId="5EA912B4"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This study adopts a </w:t>
      </w:r>
      <w:r w:rsidRPr="002B796B">
        <w:rPr>
          <w:rFonts w:ascii="Times New Roman" w:eastAsia="Times New Roman" w:hAnsi="Times New Roman" w:cs="Times New Roman"/>
          <w:b/>
          <w:bCs/>
          <w:color w:val="000000"/>
          <w:kern w:val="0"/>
          <w:lang w:eastAsia="en-GB"/>
          <w14:ligatures w14:val="none"/>
        </w:rPr>
        <w:t>mixed-methods research approach</w:t>
      </w:r>
      <w:r w:rsidRPr="002B796B">
        <w:rPr>
          <w:rFonts w:ascii="Times New Roman" w:eastAsia="Times New Roman" w:hAnsi="Times New Roman" w:cs="Times New Roman"/>
          <w:color w:val="000000"/>
          <w:kern w:val="0"/>
          <w:lang w:eastAsia="en-GB"/>
          <w14:ligatures w14:val="none"/>
        </w:rPr>
        <w:t> to explore the implementation of the Additional Learning Needs and Education Tribunal (Wales) Act 2018 within Welsh schools. Given the complexity of inclusive education and policy enactment, a mixed-methods design is particularly appropriate, as it enables the integration of both quantitative and qualitative data to provide a more comprehensive understanding of the research problem (Creswell and Plano Clark, 2018). This approach aligns with the pragmatic elements of the study’s philosophical framework, allowing the researcher to select methods based on their suitability for addressing the research questions rather than adhering to a single methodological tradition.</w:t>
      </w:r>
    </w:p>
    <w:p w14:paraId="173F6673"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Mixed-methods research combines the strengths of quantitative and qualitative approaches. Quantitative methods enable the identification of patterns, trends and relationships across a broader sample, while qualitative methods facilitate the exploration of participants’ experiences, perspectives and interpretations in depth (Cohen, Manion and Morrison, 2018). In the context of this study, this dual approach is particularly valuable, as understanding the implementation of the ALN Act requires both an overview of systemic patterns and insight into how these are experienced within everyday educational practice.</w:t>
      </w:r>
    </w:p>
    <w:p w14:paraId="764A0232"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However, the use of mixed methods is not without critique. Some scholars argue that integrating different forms of data can present methodological challenges, particularly where findings appear contradictory or difficult to reconcile (Graham, 2020). This can create issues in terms of coherence and interpretation. In contrast, proponents of mixed-methods research suggest that such differences should not be viewed as limitations but as opportunities to gain deeper insights into complex social phenomena. In this study, the benefits of combining breadth and depth outweigh these challenges, particularly given the complexity of policy enactment within diverse educational contexts.</w:t>
      </w:r>
    </w:p>
    <w:p w14:paraId="10432FC1"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A key strength of mixed-methods research is its capacity for </w:t>
      </w:r>
      <w:r w:rsidRPr="002B796B">
        <w:rPr>
          <w:rFonts w:ascii="Times New Roman" w:eastAsia="Times New Roman" w:hAnsi="Times New Roman" w:cs="Times New Roman"/>
          <w:b/>
          <w:bCs/>
          <w:color w:val="000000"/>
          <w:kern w:val="0"/>
          <w:lang w:eastAsia="en-GB"/>
          <w14:ligatures w14:val="none"/>
        </w:rPr>
        <w:t>triangulation</w:t>
      </w:r>
      <w:r w:rsidRPr="002B796B">
        <w:rPr>
          <w:rFonts w:ascii="Times New Roman" w:eastAsia="Times New Roman" w:hAnsi="Times New Roman" w:cs="Times New Roman"/>
          <w:color w:val="000000"/>
          <w:kern w:val="0"/>
          <w:lang w:eastAsia="en-GB"/>
          <w14:ligatures w14:val="none"/>
        </w:rPr>
        <w:t>, whereby findings from different data sources can be compared and integrated to enhance the validity and credibility of the study. For example, patterns identified through survey data may be further explored and explained through qualitative interviews, allowing for a more nuanced understanding of the factors influencing implementation. This is particularly relevant in ALN research, where multiple stakeholder perspectives contribute to understanding inclusive practice.</w:t>
      </w:r>
    </w:p>
    <w:p w14:paraId="7C8BAEB0"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This research will employ an </w:t>
      </w:r>
      <w:r w:rsidRPr="002B796B">
        <w:rPr>
          <w:rFonts w:ascii="Times New Roman" w:eastAsia="Times New Roman" w:hAnsi="Times New Roman" w:cs="Times New Roman"/>
          <w:b/>
          <w:bCs/>
          <w:color w:val="000000"/>
          <w:kern w:val="0"/>
          <w:lang w:eastAsia="en-GB"/>
          <w14:ligatures w14:val="none"/>
        </w:rPr>
        <w:t>explanatory sequential design</w:t>
      </w:r>
      <w:r w:rsidRPr="002B796B">
        <w:rPr>
          <w:rFonts w:ascii="Times New Roman" w:eastAsia="Times New Roman" w:hAnsi="Times New Roman" w:cs="Times New Roman"/>
          <w:color w:val="000000"/>
          <w:kern w:val="0"/>
          <w:lang w:eastAsia="en-GB"/>
          <w14:ligatures w14:val="none"/>
        </w:rPr>
        <w:t>, in which quantitative data collection and analysis are conducted in the first phase, followed by qualitative data collection and analysis in the second phase (Creswell and Plano Clark, 2018). This design is appropriate when the aim is to use qualitative data to explain or elaborate on quantitative findings. In this study, the initial survey will provide an overview of how the ALN framework is being implemented across schools, identifying key trends, challenges and areas of variation. The subsequent qualitative phase will then explore these issues in greater depth, allowing participants to reflect on their experiences and provide contextual insight.</w:t>
      </w:r>
    </w:p>
    <w:p w14:paraId="15B9A341"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The first phase will involve the distribution of an online survey to education professionals, including teachers, Additional Learning Needs Coordinators (ALNCos), and school leaders. Surveys are widely used in educational research due to their efficiency in collecting data from </w:t>
      </w:r>
      <w:r w:rsidRPr="002B796B">
        <w:rPr>
          <w:rFonts w:ascii="Times New Roman" w:eastAsia="Times New Roman" w:hAnsi="Times New Roman" w:cs="Times New Roman"/>
          <w:color w:val="000000"/>
          <w:kern w:val="0"/>
          <w:lang w:eastAsia="en-GB"/>
          <w14:ligatures w14:val="none"/>
        </w:rPr>
        <w:lastRenderedPageBreak/>
        <w:t>large and geographically dispersed samples (Cohen, Manion and Morrison, 2018). However, surveys rely on self-reported data, which may be influenced by social desirability bias and may not fully capture the complexity of professional practice. This limitation highlights the importance of incorporating qualitative methods to provide deeper insight.</w:t>
      </w:r>
    </w:p>
    <w:p w14:paraId="0DB8BE1F"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second phase will involve qualitative data collection through semi-structured interviews and/or focus groups with a purposively selected sample of practitioners, parents or carers, and learners aged 11–18. Semi-structured interviews provide flexibility, allowing participants to express their views in detail while ensuring that key topics are addressed. Focus groups may also be used to facilitate discussion and capture shared experiences, particularly among practitioners. These methods align with the interpretivist framework by prioritising participant voice and enabling the exploration of meaning and interpretation.</w:t>
      </w:r>
    </w:p>
    <w:p w14:paraId="03626602"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However, qualitative methods are time-intensive and generate large volumes of data, requiring careful management and analysis. Additionally, power dynamics may influence participation, particularly when working with learners or within professional settings. Participants may feel reluctant to express critical views, especially in contexts where relationships are involved. To address this, the researcher must create a supportive environment and ensure confidentiality.</w:t>
      </w:r>
    </w:p>
    <w:p w14:paraId="70F01DC9"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Sampling will involve a combination of convenience and purposive strategies. Survey participants will be recruited through professional networks and educational settings, while qualitative participants will be selected to reflect a range of experiences and contexts. While this approach supports the inclusion of diverse perspectives, it may limit generalisability. However, this is consistent with the interpretivist aim of generating in-depth, context-specific insights rather than broad generalisations.</w:t>
      </w:r>
    </w:p>
    <w:p w14:paraId="46B397AA"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In addition, the choice of a mixed-methods approach reflects the complexity of the research problem. A purely qualitative approach may provide rich insights into lived experiences but would be limited in identifying broader patterns across educational settings. Conversely, a purely quantitative approach may overlook the contextual and relational factors that shape policy enactment. By combining both approaches, this study seeks to address these limitations and provide a more comprehensive understanding of ALN implementation.</w:t>
      </w:r>
    </w:p>
    <w:p w14:paraId="72CE20F5"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Despite its strengths, the mixed-methods design presents practical challenges. The integration of quantitative and qualitative data requires careful planning to ensure coherence, and the time-intensive nature of data collection and analysis may present constraints. Nevertheless, the approach is considered appropriate, as it aligns with the study’s aim of exploring both patterns and experiences of policy enactment.</w:t>
      </w:r>
    </w:p>
    <w:p w14:paraId="68D34CCA"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Overall, the mixed-methods approach provides a coherent and robust framework for investigating the implementation of the ALN Act. By integrating quantitative and qualitative data, the study </w:t>
      </w:r>
      <w:proofErr w:type="gramStart"/>
      <w:r w:rsidRPr="002B796B">
        <w:rPr>
          <w:rFonts w:ascii="Times New Roman" w:eastAsia="Times New Roman" w:hAnsi="Times New Roman" w:cs="Times New Roman"/>
          <w:color w:val="000000"/>
          <w:kern w:val="0"/>
          <w:lang w:eastAsia="en-GB"/>
          <w14:ligatures w14:val="none"/>
        </w:rPr>
        <w:t>is able to</w:t>
      </w:r>
      <w:proofErr w:type="gramEnd"/>
      <w:r w:rsidRPr="002B796B">
        <w:rPr>
          <w:rFonts w:ascii="Times New Roman" w:eastAsia="Times New Roman" w:hAnsi="Times New Roman" w:cs="Times New Roman"/>
          <w:color w:val="000000"/>
          <w:kern w:val="0"/>
          <w:lang w:eastAsia="en-GB"/>
          <w14:ligatures w14:val="none"/>
        </w:rPr>
        <w:t xml:space="preserve"> capture both systemic trends and lived experiences, supporting a deeper understanding of inclusive education in practice.</w:t>
      </w:r>
    </w:p>
    <w:p w14:paraId="7896AFD1" w14:textId="77777777" w:rsidR="00C44E97" w:rsidRDefault="00C44E97" w:rsidP="002B796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104205AE" w14:textId="77777777" w:rsidR="00D95E69" w:rsidRDefault="00D95E69" w:rsidP="002B796B">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p>
    <w:p w14:paraId="12D0A827" w14:textId="4E9DA14E" w:rsidR="002B796B" w:rsidRPr="00D95E69" w:rsidRDefault="002B796B" w:rsidP="002B796B">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D95E69">
        <w:rPr>
          <w:rFonts w:ascii="Times New Roman" w:eastAsia="Times New Roman" w:hAnsi="Times New Roman" w:cs="Times New Roman"/>
          <w:b/>
          <w:bCs/>
          <w:color w:val="000000"/>
          <w:kern w:val="36"/>
          <w:sz w:val="36"/>
          <w:szCs w:val="36"/>
          <w:lang w:eastAsia="en-GB"/>
          <w14:ligatures w14:val="none"/>
        </w:rPr>
        <w:lastRenderedPageBreak/>
        <w:t xml:space="preserve">5. Data Collection and Analysis Plan </w:t>
      </w:r>
    </w:p>
    <w:p w14:paraId="69CF9717"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This study adopts a two-phase data collection process aligned with an explanatory sequential mixed-methods design. This approach enables the generation of both broad patterns and in-depth insights into the implementation of the Additional Learning Needs (ALN) Act 2018, supporting a comprehensive understanding of policy enactment in educational settings.</w:t>
      </w:r>
    </w:p>
    <w:p w14:paraId="5BE42CAA" w14:textId="77777777" w:rsidR="002B796B" w:rsidRPr="002B796B" w:rsidRDefault="002B796B" w:rsidP="002B796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2B796B">
        <w:rPr>
          <w:rFonts w:ascii="Times New Roman" w:eastAsia="Times New Roman" w:hAnsi="Times New Roman" w:cs="Times New Roman"/>
          <w:b/>
          <w:bCs/>
          <w:color w:val="000000"/>
          <w:kern w:val="0"/>
          <w:sz w:val="27"/>
          <w:szCs w:val="27"/>
          <w:lang w:eastAsia="en-GB"/>
          <w14:ligatures w14:val="none"/>
        </w:rPr>
        <w:t>Quantitative Data Collection: Survey</w:t>
      </w:r>
    </w:p>
    <w:p w14:paraId="5B925165"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first phase involves the use of an online survey targeting education professionals, including teachers, Additional Learning Needs Coordinators (ALNCos), and school leaders across Welsh primary and secondary schools. The survey will be designed to explore participants’ understanding of the ALN framework, their confidence in implementing its requirements, and their perceptions of key challenges and enablers associated with inclusive practice.</w:t>
      </w:r>
    </w:p>
    <w:p w14:paraId="17496F27"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Surveys are widely used in educational research due to their efficiency in collecting data from large and geographically dispersed samples (Cohen, Manion and Morrison, 2018). This is particularly relevant in the Welsh context, where variation across local authorities is a key issue. The survey will primarily use closed questions to enable quantitative analysis, alongside a limited number of open-ended questions to capture additional insights.</w:t>
      </w:r>
    </w:p>
    <w:p w14:paraId="7739EE60"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However, surveys also present limitations. Data is self-reported and may be influenced by social desirability bias, where participants provide </w:t>
      </w:r>
      <w:proofErr w:type="gramStart"/>
      <w:r w:rsidRPr="002B796B">
        <w:rPr>
          <w:rFonts w:ascii="Times New Roman" w:eastAsia="Times New Roman" w:hAnsi="Times New Roman" w:cs="Times New Roman"/>
          <w:color w:val="000000"/>
          <w:kern w:val="0"/>
          <w:lang w:eastAsia="en-GB"/>
          <w14:ligatures w14:val="none"/>
        </w:rPr>
        <w:t>responses</w:t>
      </w:r>
      <w:proofErr w:type="gramEnd"/>
      <w:r w:rsidRPr="002B796B">
        <w:rPr>
          <w:rFonts w:ascii="Times New Roman" w:eastAsia="Times New Roman" w:hAnsi="Times New Roman" w:cs="Times New Roman"/>
          <w:color w:val="000000"/>
          <w:kern w:val="0"/>
          <w:lang w:eastAsia="en-GB"/>
          <w14:ligatures w14:val="none"/>
        </w:rPr>
        <w:t xml:space="preserve"> they perceive as favourable rather than accurate. Additionally, surveys may not capture the complexity of participants’ experiences, particularly in relation to inclusive practice, which is often shaped by contextual and relational factors. These limitations highlight the importance of complementing survey data with qualitative methods.</w:t>
      </w:r>
    </w:p>
    <w:p w14:paraId="047AD675" w14:textId="77777777" w:rsidR="002B796B" w:rsidRPr="002B796B" w:rsidRDefault="002B796B" w:rsidP="002B796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2B796B">
        <w:rPr>
          <w:rFonts w:ascii="Times New Roman" w:eastAsia="Times New Roman" w:hAnsi="Times New Roman" w:cs="Times New Roman"/>
          <w:b/>
          <w:bCs/>
          <w:color w:val="000000"/>
          <w:kern w:val="0"/>
          <w:sz w:val="27"/>
          <w:szCs w:val="27"/>
          <w:lang w:eastAsia="en-GB"/>
          <w14:ligatures w14:val="none"/>
        </w:rPr>
        <w:t>Qualitative Data Collection: Interviews and Focus Groups</w:t>
      </w:r>
    </w:p>
    <w:p w14:paraId="77820A76"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second phase involves qualitative data collection through semi-structured interviews and/or focus groups with a purposively selected sample of participants. This is likely to include practitioners, parents or carers, and learners aged 11–18. The inclusion of multiple stakeholder perspectives is essential for understanding how the ALN Act is experienced in practice.</w:t>
      </w:r>
    </w:p>
    <w:p w14:paraId="52D84767"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Semi-structured interviews provide flexibility, allowing participants to explore their experiences in depth while ensuring that key themes are addressed. Focus groups may be particularly valuable in capturing shared experiences among practitioners and facilitating discussion around common challenges. These methods align with the interpretivist framework by prioritising participant voice and enabling the exploration of meaning and interpretation.</w:t>
      </w:r>
    </w:p>
    <w:p w14:paraId="4E3821E5"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However, qualitative methods are time-intensive and generate large volumes of data, requiring careful management and analysis. Additionally, power dynamics may influence participation, particularly when working with learners or within professional contexts. Participants may feel reluctant to express critical views, especially where professional </w:t>
      </w:r>
      <w:r w:rsidRPr="002B796B">
        <w:rPr>
          <w:rFonts w:ascii="Times New Roman" w:eastAsia="Times New Roman" w:hAnsi="Times New Roman" w:cs="Times New Roman"/>
          <w:color w:val="000000"/>
          <w:kern w:val="0"/>
          <w:lang w:eastAsia="en-GB"/>
          <w14:ligatures w14:val="none"/>
        </w:rPr>
        <w:lastRenderedPageBreak/>
        <w:t>relationships exist. To address this, the researcher must ensure a supportive environment and emphasise confidentiality and voluntary participation.</w:t>
      </w:r>
    </w:p>
    <w:p w14:paraId="5A79221C" w14:textId="77777777" w:rsidR="002B796B" w:rsidRPr="002B796B" w:rsidRDefault="002B796B" w:rsidP="002B796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2B796B">
        <w:rPr>
          <w:rFonts w:ascii="Times New Roman" w:eastAsia="Times New Roman" w:hAnsi="Times New Roman" w:cs="Times New Roman"/>
          <w:b/>
          <w:bCs/>
          <w:color w:val="000000"/>
          <w:kern w:val="0"/>
          <w:sz w:val="27"/>
          <w:szCs w:val="27"/>
          <w:lang w:eastAsia="en-GB"/>
          <w14:ligatures w14:val="none"/>
        </w:rPr>
        <w:t>Data Analysis</w:t>
      </w:r>
    </w:p>
    <w:p w14:paraId="741E76CB"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Quantitative data will be analysed using descriptive statistical techniques, including frequencies and percentages, to identify patterns in participants’ responses. This will provide an overview of trends in ALN implementation, highlighting areas of consistency and variation across educational settings.</w:t>
      </w:r>
    </w:p>
    <w:p w14:paraId="4FC035CB"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Qualitative data will be analysed using thematic analysis, following the framework developed by Braun and Clarke (2006). This involves a systematic process of coding data, identifying themes and interpreting patterns of meaning. Thematic analysis is particularly appropriate for this study as it allows for the exploration of multiple perspectives and aligns with the interpretivist paradigm.</w:t>
      </w:r>
    </w:p>
    <w:p w14:paraId="1BDC83BE"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However, qualitative analysis involves a degree of researcher interpretation, which may introduce bias. To mitigate this, a reflexive approach will be adopted, ensuring transparency in the analytical process and grounding interpretations in the data.</w:t>
      </w:r>
    </w:p>
    <w:p w14:paraId="75B6BF13" w14:textId="77777777" w:rsidR="002B796B" w:rsidRPr="002B796B" w:rsidRDefault="002B796B" w:rsidP="002B796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2B796B">
        <w:rPr>
          <w:rFonts w:ascii="Times New Roman" w:eastAsia="Times New Roman" w:hAnsi="Times New Roman" w:cs="Times New Roman"/>
          <w:b/>
          <w:bCs/>
          <w:color w:val="000000"/>
          <w:kern w:val="0"/>
          <w:sz w:val="27"/>
          <w:szCs w:val="27"/>
          <w:lang w:eastAsia="en-GB"/>
          <w14:ligatures w14:val="none"/>
        </w:rPr>
        <w:t>Integration of Data and Critical Reflection</w:t>
      </w:r>
    </w:p>
    <w:p w14:paraId="7ECD3ECC"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integration of quantitative and qualitative data is a central feature of this study. This will occur at the interpretation stage, where findings from both phases will be compared and synthesised. This process enables triangulation, enhancing the credibility and validity of the research.</w:t>
      </w:r>
    </w:p>
    <w:p w14:paraId="22EF24E7"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Recent evaluations of the ALN system emphasise the importance of incorporating practitioner, learner and family perspectives when assessing implementation outcomes (Welsh Government, 2023). This supports the use of multiple data sources, as reliance on a single method may overlook important contextual factors influencing inclusive practice.</w:t>
      </w:r>
    </w:p>
    <w:p w14:paraId="4B677115"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However, integrating different forms of data presents challenges. Differences in data type and scale may make comparison complex, and there is a risk that one form of data may be prioritised over another. To address this, a systematic approach to data integration will be adopted, ensuring that both quantitative and qualitative findings are given equal consideration.</w:t>
      </w:r>
    </w:p>
    <w:p w14:paraId="5A6A1130"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In addition, the reliability and validity of findings must be carefully considered. While quantitative data may offer greater generalisability, qualitative data provides depth and context. The use of triangulation strengthens the credibility of the findings by allowing for comparison across data sources. Nevertheless, the study acknowledges that findings will be context-specific and may not be fully generalisable.</w:t>
      </w:r>
    </w:p>
    <w:p w14:paraId="3222411F" w14:textId="77777777" w:rsidR="002B796B" w:rsidRPr="002B796B" w:rsidRDefault="002B796B" w:rsidP="002B796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2B796B">
        <w:rPr>
          <w:rFonts w:ascii="Times New Roman" w:eastAsia="Times New Roman" w:hAnsi="Times New Roman" w:cs="Times New Roman"/>
          <w:b/>
          <w:bCs/>
          <w:color w:val="000000"/>
          <w:kern w:val="0"/>
          <w:sz w:val="27"/>
          <w:szCs w:val="27"/>
          <w:lang w:eastAsia="en-GB"/>
          <w14:ligatures w14:val="none"/>
        </w:rPr>
        <w:t>Limitations</w:t>
      </w:r>
    </w:p>
    <w:p w14:paraId="6728FE34"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Despite its strengths, the study faces several limitations. The reliance on voluntary participation may result in a self-selecting sample, potentially limiting representativeness. Time constraints may also restrict the scale of data collection, particularly in the qualitative </w:t>
      </w:r>
      <w:r w:rsidRPr="002B796B">
        <w:rPr>
          <w:rFonts w:ascii="Times New Roman" w:eastAsia="Times New Roman" w:hAnsi="Times New Roman" w:cs="Times New Roman"/>
          <w:color w:val="000000"/>
          <w:kern w:val="0"/>
          <w:lang w:eastAsia="en-GB"/>
          <w14:ligatures w14:val="none"/>
        </w:rPr>
        <w:lastRenderedPageBreak/>
        <w:t>phase. Additionally, the complexity of integrating quantitative and qualitative data requires careful planning to ensure coherence.</w:t>
      </w:r>
    </w:p>
    <w:p w14:paraId="2AACF6B8"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Overall, the data collection and analysis plan provides a robust and critically informed framework for exploring the complexities of ALN implementation. By balancing breadth and depth, and acknowledging methodological challenges, the study is well positioned to generate meaningful insights into inclusive education in Wales.</w:t>
      </w:r>
    </w:p>
    <w:p w14:paraId="12C972A2" w14:textId="77777777" w:rsidR="002B796B" w:rsidRPr="002B796B" w:rsidRDefault="002B796B" w:rsidP="002B796B">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660840A4" w14:textId="77777777" w:rsidR="002B796B" w:rsidRDefault="002B796B" w:rsidP="002B796B">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5177CAA4" w14:textId="65A4B9EE" w:rsidR="002B796B" w:rsidRPr="00D95E69" w:rsidRDefault="002B796B" w:rsidP="002B796B">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D95E69">
        <w:rPr>
          <w:rFonts w:ascii="Times New Roman" w:eastAsia="Times New Roman" w:hAnsi="Times New Roman" w:cs="Times New Roman"/>
          <w:b/>
          <w:bCs/>
          <w:color w:val="000000"/>
          <w:kern w:val="36"/>
          <w:sz w:val="36"/>
          <w:szCs w:val="36"/>
          <w:lang w:eastAsia="en-GB"/>
          <w14:ligatures w14:val="none"/>
        </w:rPr>
        <w:t xml:space="preserve">6. Ethical Considerations and Conclusion </w:t>
      </w:r>
    </w:p>
    <w:p w14:paraId="7BA5D34F" w14:textId="77777777" w:rsidR="002B796B" w:rsidRPr="002B796B" w:rsidRDefault="002B796B" w:rsidP="002B796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2B796B">
        <w:rPr>
          <w:rFonts w:ascii="Times New Roman" w:eastAsia="Times New Roman" w:hAnsi="Times New Roman" w:cs="Times New Roman"/>
          <w:b/>
          <w:bCs/>
          <w:color w:val="000000"/>
          <w:kern w:val="0"/>
          <w:sz w:val="27"/>
          <w:szCs w:val="27"/>
          <w:lang w:eastAsia="en-GB"/>
          <w14:ligatures w14:val="none"/>
        </w:rPr>
        <w:t>Ethical Considerations</w:t>
      </w:r>
    </w:p>
    <w:p w14:paraId="23A886D2"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Ethical considerations are central to the design and conduct of this research, particularly given its focus on educational settings and the potential involvement of learners. The study will adhere to the ethical principles outlined by the British Educational Research Association (BERA, 2018), ensuring that all participants are treated with respect, dignity and integrity throughout the research process.</w:t>
      </w:r>
    </w:p>
    <w:p w14:paraId="1348E934"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Participation will be entirely voluntary, and all participants will be provided with clear information outlining the purpose of the study, what their involvement entails, and their right to withdraw at any stage without consequence. Informed consent will be obtained from all adult participants. Where learners under the age of 16 are involved, parental or guardian consent will be required alongside the learner’s assent, ensuring that participation is both informed and ethically appropriate.</w:t>
      </w:r>
    </w:p>
    <w:p w14:paraId="6F272B3B"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Confidentiality and anonymity will be maintained throughout the research process. Participants will not be identifiable in any reports or publications, and pseudonyms will be used where necessary. Data will be stored securely in accordance with General Data Protection Regulation (GDPR) requirements, with access restricted to the researcher.</w:t>
      </w:r>
    </w:p>
    <w:p w14:paraId="4CB2713E"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 xml:space="preserve">Research involving children and young people requires </w:t>
      </w:r>
      <w:proofErr w:type="gramStart"/>
      <w:r w:rsidRPr="002B796B">
        <w:rPr>
          <w:rFonts w:ascii="Times New Roman" w:eastAsia="Times New Roman" w:hAnsi="Times New Roman" w:cs="Times New Roman"/>
          <w:color w:val="000000"/>
          <w:kern w:val="0"/>
          <w:lang w:eastAsia="en-GB"/>
          <w14:ligatures w14:val="none"/>
        </w:rPr>
        <w:t>particular ethical</w:t>
      </w:r>
      <w:proofErr w:type="gramEnd"/>
      <w:r w:rsidRPr="002B796B">
        <w:rPr>
          <w:rFonts w:ascii="Times New Roman" w:eastAsia="Times New Roman" w:hAnsi="Times New Roman" w:cs="Times New Roman"/>
          <w:color w:val="000000"/>
          <w:kern w:val="0"/>
          <w:lang w:eastAsia="en-GB"/>
          <w14:ligatures w14:val="none"/>
        </w:rPr>
        <w:t xml:space="preserve"> sensitivity, especially in relation to issues of power, voice and representation (Alderson and Morrow, 2011). Participants may feel influenced by perceived authority relationships, which may affect their willingness to express honest or critical perspectives. To address this, the researcher will adopt a reflexive approach, ensuring that interactions are respectful and that participants feel comfortable expressing their views. Ethical research practice also involves ensuring that participant voices are represented accurately and respectfully, particularly in studies exploring lived experiences and inclusion (BERA, 2018).</w:t>
      </w:r>
    </w:p>
    <w:p w14:paraId="74AF2645" w14:textId="63004AF5" w:rsidR="002B796B" w:rsidRPr="002B796B" w:rsidRDefault="002B796B" w:rsidP="002B796B">
      <w:pPr>
        <w:spacing w:after="0" w:line="240" w:lineRule="auto"/>
        <w:rPr>
          <w:rFonts w:ascii="Times New Roman" w:eastAsia="Times New Roman" w:hAnsi="Times New Roman" w:cs="Times New Roman"/>
          <w:kern w:val="0"/>
          <w:lang w:eastAsia="en-GB"/>
          <w14:ligatures w14:val="none"/>
        </w:rPr>
      </w:pPr>
    </w:p>
    <w:p w14:paraId="7E5C2198" w14:textId="77777777" w:rsidR="002B796B" w:rsidRPr="002B796B" w:rsidRDefault="002B796B" w:rsidP="002B796B">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2B796B">
        <w:rPr>
          <w:rFonts w:ascii="Times New Roman" w:eastAsia="Times New Roman" w:hAnsi="Times New Roman" w:cs="Times New Roman"/>
          <w:b/>
          <w:bCs/>
          <w:color w:val="000000"/>
          <w:kern w:val="0"/>
          <w:sz w:val="27"/>
          <w:szCs w:val="27"/>
          <w:lang w:eastAsia="en-GB"/>
          <w14:ligatures w14:val="none"/>
        </w:rPr>
        <w:t>Conclusion</w:t>
      </w:r>
    </w:p>
    <w:p w14:paraId="2F81C014"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lastRenderedPageBreak/>
        <w:t>This assignment has identified the implementation of the Additional Learning Needs and Education Tribunal (Wales) Act 2018 as a significant and timely area of research. Drawing on relevant literature, it has highlighted a clear gap between policy intention and practice, emphasising the need for research that explores how inclusive education is enacted within real-world educational contexts.</w:t>
      </w:r>
    </w:p>
    <w:p w14:paraId="1FB27C7C"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study is underpinned by an interpretivist philosophical framework, supported by elements of pragmatism, providing a coherent basis for exploring the complexity of policy enactment. The adoption of a mixed-methods approach has been justified as an appropriate strategy for capturing both patterns and lived experiences, enabling a more comprehensive understanding of ALN implementation.</w:t>
      </w:r>
    </w:p>
    <w:p w14:paraId="1D5E63E3" w14:textId="77777777" w:rsidR="002B796B" w:rsidRPr="002B796B" w:rsidRDefault="002B796B" w:rsidP="002B796B">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The data collection and analysis plan demonstrates a structured and critically informed approach, while acknowledging methodological limitations. The study recognises that reliance on self-reported data, potential sampling bias and the context-specific nature of findings may limit generalisability. However, these limitations are consistent with the interpretivist framework and do not detract from the value of the research in providing in-depth insights.</w:t>
      </w:r>
    </w:p>
    <w:p w14:paraId="3F6ADF13" w14:textId="588F83CB" w:rsidR="00290A17" w:rsidRDefault="002B796B"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B796B">
        <w:rPr>
          <w:rFonts w:ascii="Times New Roman" w:eastAsia="Times New Roman" w:hAnsi="Times New Roman" w:cs="Times New Roman"/>
          <w:color w:val="000000"/>
          <w:kern w:val="0"/>
          <w:lang w:eastAsia="en-GB"/>
          <w14:ligatures w14:val="none"/>
        </w:rPr>
        <w:t>Overall, this study has the potential to contribute to both academic knowledge and professional practice by generating evidence-based insights into the implementation of the ALN framework. By focusing on stakeholder perspectives and policy enactment, it supports the ongoing development of inclusive education in Wales and informs future policy and practice.</w:t>
      </w:r>
    </w:p>
    <w:p w14:paraId="278B5059" w14:textId="72B20A63" w:rsidR="00C44E97" w:rsidRPr="00C44E97" w:rsidRDefault="00C44E97" w:rsidP="00C44E9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C44E97">
        <w:rPr>
          <w:rFonts w:ascii="Times New Roman" w:eastAsia="Times New Roman" w:hAnsi="Times New Roman" w:cs="Times New Roman"/>
          <w:b/>
          <w:bCs/>
          <w:color w:val="000000"/>
          <w:kern w:val="36"/>
          <w:sz w:val="48"/>
          <w:szCs w:val="48"/>
          <w:lang w:eastAsia="en-GB"/>
          <w14:ligatures w14:val="none"/>
        </w:rPr>
        <w:t xml:space="preserve">Reference List </w:t>
      </w:r>
    </w:p>
    <w:p w14:paraId="26963CBA"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Ainscow, M. (2020) ‘Promoting inclusion and equity in education: Lessons from international experiences’, </w:t>
      </w:r>
      <w:r w:rsidRPr="00C44E97">
        <w:rPr>
          <w:rFonts w:ascii="Times New Roman" w:eastAsia="Times New Roman" w:hAnsi="Times New Roman" w:cs="Times New Roman"/>
          <w:i/>
          <w:iCs/>
          <w:color w:val="000000"/>
          <w:kern w:val="0"/>
          <w:lang w:eastAsia="en-GB"/>
          <w14:ligatures w14:val="none"/>
        </w:rPr>
        <w:t>Nordic Journal of Studies in Educational Policy</w:t>
      </w:r>
      <w:r w:rsidRPr="00C44E97">
        <w:rPr>
          <w:rFonts w:ascii="Times New Roman" w:eastAsia="Times New Roman" w:hAnsi="Times New Roman" w:cs="Times New Roman"/>
          <w:color w:val="000000"/>
          <w:kern w:val="0"/>
          <w:lang w:eastAsia="en-GB"/>
          <w14:ligatures w14:val="none"/>
        </w:rPr>
        <w:t>, 6(1), pp. 7–16.</w:t>
      </w:r>
    </w:p>
    <w:p w14:paraId="6CA46F9A"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Alderson, P. and Morrow, V. (2011) </w:t>
      </w:r>
      <w:r w:rsidRPr="00C44E97">
        <w:rPr>
          <w:rFonts w:ascii="Times New Roman" w:eastAsia="Times New Roman" w:hAnsi="Times New Roman" w:cs="Times New Roman"/>
          <w:i/>
          <w:iCs/>
          <w:color w:val="000000"/>
          <w:kern w:val="0"/>
          <w:lang w:eastAsia="en-GB"/>
          <w14:ligatures w14:val="none"/>
        </w:rPr>
        <w:t>The ethics of research with children and young people.</w:t>
      </w:r>
      <w:r w:rsidRPr="00C44E97">
        <w:rPr>
          <w:rFonts w:ascii="Times New Roman" w:eastAsia="Times New Roman" w:hAnsi="Times New Roman" w:cs="Times New Roman"/>
          <w:color w:val="000000"/>
          <w:kern w:val="0"/>
          <w:lang w:eastAsia="en-GB"/>
          <w14:ligatures w14:val="none"/>
        </w:rPr>
        <w:t xml:space="preserve"> 2nd </w:t>
      </w:r>
      <w:proofErr w:type="spellStart"/>
      <w:r w:rsidRPr="00C44E97">
        <w:rPr>
          <w:rFonts w:ascii="Times New Roman" w:eastAsia="Times New Roman" w:hAnsi="Times New Roman" w:cs="Times New Roman"/>
          <w:color w:val="000000"/>
          <w:kern w:val="0"/>
          <w:lang w:eastAsia="en-GB"/>
          <w14:ligatures w14:val="none"/>
        </w:rPr>
        <w:t>edn</w:t>
      </w:r>
      <w:proofErr w:type="spellEnd"/>
      <w:r w:rsidRPr="00C44E97">
        <w:rPr>
          <w:rFonts w:ascii="Times New Roman" w:eastAsia="Times New Roman" w:hAnsi="Times New Roman" w:cs="Times New Roman"/>
          <w:color w:val="000000"/>
          <w:kern w:val="0"/>
          <w:lang w:eastAsia="en-GB"/>
          <w14:ligatures w14:val="none"/>
        </w:rPr>
        <w:t>. London: SAGE.</w:t>
      </w:r>
    </w:p>
    <w:p w14:paraId="7B5A6472"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Ball, S.J., Maguire, M. and Braun, A. (2012) </w:t>
      </w:r>
      <w:r w:rsidRPr="00C44E97">
        <w:rPr>
          <w:rFonts w:ascii="Times New Roman" w:eastAsia="Times New Roman" w:hAnsi="Times New Roman" w:cs="Times New Roman"/>
          <w:i/>
          <w:iCs/>
          <w:color w:val="000000"/>
          <w:kern w:val="0"/>
          <w:lang w:eastAsia="en-GB"/>
          <w14:ligatures w14:val="none"/>
        </w:rPr>
        <w:t>How schools do policy: Policy enactment in secondary schools.</w:t>
      </w:r>
      <w:r w:rsidRPr="00C44E97">
        <w:rPr>
          <w:rFonts w:ascii="Times New Roman" w:eastAsia="Times New Roman" w:hAnsi="Times New Roman" w:cs="Times New Roman"/>
          <w:color w:val="000000"/>
          <w:kern w:val="0"/>
          <w:lang w:eastAsia="en-GB"/>
          <w14:ligatures w14:val="none"/>
        </w:rPr>
        <w:t> London: Routledge.</w:t>
      </w:r>
    </w:p>
    <w:p w14:paraId="55CC7335"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BERA (British Educational Research Association) (2018) </w:t>
      </w:r>
      <w:r w:rsidRPr="00C44E97">
        <w:rPr>
          <w:rFonts w:ascii="Times New Roman" w:eastAsia="Times New Roman" w:hAnsi="Times New Roman" w:cs="Times New Roman"/>
          <w:i/>
          <w:iCs/>
          <w:color w:val="000000"/>
          <w:kern w:val="0"/>
          <w:lang w:eastAsia="en-GB"/>
          <w14:ligatures w14:val="none"/>
        </w:rPr>
        <w:t>Ethical guidelines for educational research.</w:t>
      </w:r>
      <w:r w:rsidRPr="00C44E97">
        <w:rPr>
          <w:rFonts w:ascii="Times New Roman" w:eastAsia="Times New Roman" w:hAnsi="Times New Roman" w:cs="Times New Roman"/>
          <w:color w:val="000000"/>
          <w:kern w:val="0"/>
          <w:lang w:eastAsia="en-GB"/>
          <w14:ligatures w14:val="none"/>
        </w:rPr>
        <w:t xml:space="preserve"> 4th </w:t>
      </w:r>
      <w:proofErr w:type="spellStart"/>
      <w:r w:rsidRPr="00C44E97">
        <w:rPr>
          <w:rFonts w:ascii="Times New Roman" w:eastAsia="Times New Roman" w:hAnsi="Times New Roman" w:cs="Times New Roman"/>
          <w:color w:val="000000"/>
          <w:kern w:val="0"/>
          <w:lang w:eastAsia="en-GB"/>
          <w14:ligatures w14:val="none"/>
        </w:rPr>
        <w:t>edn</w:t>
      </w:r>
      <w:proofErr w:type="spellEnd"/>
      <w:r w:rsidRPr="00C44E97">
        <w:rPr>
          <w:rFonts w:ascii="Times New Roman" w:eastAsia="Times New Roman" w:hAnsi="Times New Roman" w:cs="Times New Roman"/>
          <w:color w:val="000000"/>
          <w:kern w:val="0"/>
          <w:lang w:eastAsia="en-GB"/>
          <w14:ligatures w14:val="none"/>
        </w:rPr>
        <w:t>. London: BERA.</w:t>
      </w:r>
    </w:p>
    <w:p w14:paraId="1F6C9398"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Boyle, C., Anderson, J. and Allen, K.-A. (2020) ‘The importance of teacher attitudes to inclusive education’, </w:t>
      </w:r>
      <w:r w:rsidRPr="00C44E97">
        <w:rPr>
          <w:rFonts w:ascii="Times New Roman" w:eastAsia="Times New Roman" w:hAnsi="Times New Roman" w:cs="Times New Roman"/>
          <w:i/>
          <w:iCs/>
          <w:color w:val="000000"/>
          <w:kern w:val="0"/>
          <w:lang w:eastAsia="en-GB"/>
          <w14:ligatures w14:val="none"/>
        </w:rPr>
        <w:t>International Journal of Inclusive Education</w:t>
      </w:r>
      <w:r w:rsidRPr="00C44E97">
        <w:rPr>
          <w:rFonts w:ascii="Times New Roman" w:eastAsia="Times New Roman" w:hAnsi="Times New Roman" w:cs="Times New Roman"/>
          <w:color w:val="000000"/>
          <w:kern w:val="0"/>
          <w:lang w:eastAsia="en-GB"/>
          <w14:ligatures w14:val="none"/>
        </w:rPr>
        <w:t>, 24(1), pp. 1–15.</w:t>
      </w:r>
    </w:p>
    <w:p w14:paraId="2366F1CE"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Braun, V. and Clarke, V. (2006) ‘Using thematic analysis in psychology’, </w:t>
      </w:r>
      <w:r w:rsidRPr="00C44E97">
        <w:rPr>
          <w:rFonts w:ascii="Times New Roman" w:eastAsia="Times New Roman" w:hAnsi="Times New Roman" w:cs="Times New Roman"/>
          <w:i/>
          <w:iCs/>
          <w:color w:val="000000"/>
          <w:kern w:val="0"/>
          <w:lang w:eastAsia="en-GB"/>
          <w14:ligatures w14:val="none"/>
        </w:rPr>
        <w:t>Qualitative Research in Psychology</w:t>
      </w:r>
      <w:r w:rsidRPr="00C44E97">
        <w:rPr>
          <w:rFonts w:ascii="Times New Roman" w:eastAsia="Times New Roman" w:hAnsi="Times New Roman" w:cs="Times New Roman"/>
          <w:color w:val="000000"/>
          <w:kern w:val="0"/>
          <w:lang w:eastAsia="en-GB"/>
          <w14:ligatures w14:val="none"/>
        </w:rPr>
        <w:t>, 3(2), pp. 77–101.</w:t>
      </w:r>
    </w:p>
    <w:p w14:paraId="3F573F88"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Children’s Commissioner for Wales (2022) </w:t>
      </w:r>
      <w:r w:rsidRPr="00C44E97">
        <w:rPr>
          <w:rFonts w:ascii="Times New Roman" w:eastAsia="Times New Roman" w:hAnsi="Times New Roman" w:cs="Times New Roman"/>
          <w:i/>
          <w:iCs/>
          <w:color w:val="000000"/>
          <w:kern w:val="0"/>
          <w:lang w:eastAsia="en-GB"/>
          <w14:ligatures w14:val="none"/>
        </w:rPr>
        <w:t>Experiences of children and young people with Additional Learning Needs in Wales.</w:t>
      </w:r>
      <w:r w:rsidRPr="00C44E97">
        <w:rPr>
          <w:rFonts w:ascii="Times New Roman" w:eastAsia="Times New Roman" w:hAnsi="Times New Roman" w:cs="Times New Roman"/>
          <w:color w:val="000000"/>
          <w:kern w:val="0"/>
          <w:lang w:eastAsia="en-GB"/>
          <w14:ligatures w14:val="none"/>
        </w:rPr>
        <w:t> Cardiff: Children’s Commissioner for Wales.</w:t>
      </w:r>
    </w:p>
    <w:p w14:paraId="112D1A21"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lastRenderedPageBreak/>
        <w:t>Cohen, L., Manion, L. and Morrison, K. (2018) </w:t>
      </w:r>
      <w:r w:rsidRPr="00C44E97">
        <w:rPr>
          <w:rFonts w:ascii="Times New Roman" w:eastAsia="Times New Roman" w:hAnsi="Times New Roman" w:cs="Times New Roman"/>
          <w:i/>
          <w:iCs/>
          <w:color w:val="000000"/>
          <w:kern w:val="0"/>
          <w:lang w:eastAsia="en-GB"/>
          <w14:ligatures w14:val="none"/>
        </w:rPr>
        <w:t>Research methods in education.</w:t>
      </w:r>
      <w:r w:rsidRPr="00C44E97">
        <w:rPr>
          <w:rFonts w:ascii="Times New Roman" w:eastAsia="Times New Roman" w:hAnsi="Times New Roman" w:cs="Times New Roman"/>
          <w:color w:val="000000"/>
          <w:kern w:val="0"/>
          <w:lang w:eastAsia="en-GB"/>
          <w14:ligatures w14:val="none"/>
        </w:rPr>
        <w:t xml:space="preserve"> 8th </w:t>
      </w:r>
      <w:proofErr w:type="spellStart"/>
      <w:r w:rsidRPr="00C44E97">
        <w:rPr>
          <w:rFonts w:ascii="Times New Roman" w:eastAsia="Times New Roman" w:hAnsi="Times New Roman" w:cs="Times New Roman"/>
          <w:color w:val="000000"/>
          <w:kern w:val="0"/>
          <w:lang w:eastAsia="en-GB"/>
          <w14:ligatures w14:val="none"/>
        </w:rPr>
        <w:t>edn</w:t>
      </w:r>
      <w:proofErr w:type="spellEnd"/>
      <w:r w:rsidRPr="00C44E97">
        <w:rPr>
          <w:rFonts w:ascii="Times New Roman" w:eastAsia="Times New Roman" w:hAnsi="Times New Roman" w:cs="Times New Roman"/>
          <w:color w:val="000000"/>
          <w:kern w:val="0"/>
          <w:lang w:eastAsia="en-GB"/>
          <w14:ligatures w14:val="none"/>
        </w:rPr>
        <w:t>. London: Routledge.</w:t>
      </w:r>
    </w:p>
    <w:p w14:paraId="0A500FAD"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Creswell, J.W. and Plano Clark, V.L. (2018) </w:t>
      </w:r>
      <w:r w:rsidRPr="00C44E97">
        <w:rPr>
          <w:rFonts w:ascii="Times New Roman" w:eastAsia="Times New Roman" w:hAnsi="Times New Roman" w:cs="Times New Roman"/>
          <w:i/>
          <w:iCs/>
          <w:color w:val="000000"/>
          <w:kern w:val="0"/>
          <w:lang w:eastAsia="en-GB"/>
          <w14:ligatures w14:val="none"/>
        </w:rPr>
        <w:t>Designing and conducting mixed methods research.</w:t>
      </w:r>
      <w:r w:rsidRPr="00C44E97">
        <w:rPr>
          <w:rFonts w:ascii="Times New Roman" w:eastAsia="Times New Roman" w:hAnsi="Times New Roman" w:cs="Times New Roman"/>
          <w:color w:val="000000"/>
          <w:kern w:val="0"/>
          <w:lang w:eastAsia="en-GB"/>
          <w14:ligatures w14:val="none"/>
        </w:rPr>
        <w:t xml:space="preserve"> 3rd </w:t>
      </w:r>
      <w:proofErr w:type="spellStart"/>
      <w:r w:rsidRPr="00C44E97">
        <w:rPr>
          <w:rFonts w:ascii="Times New Roman" w:eastAsia="Times New Roman" w:hAnsi="Times New Roman" w:cs="Times New Roman"/>
          <w:color w:val="000000"/>
          <w:kern w:val="0"/>
          <w:lang w:eastAsia="en-GB"/>
          <w14:ligatures w14:val="none"/>
        </w:rPr>
        <w:t>edn</w:t>
      </w:r>
      <w:proofErr w:type="spellEnd"/>
      <w:r w:rsidRPr="00C44E97">
        <w:rPr>
          <w:rFonts w:ascii="Times New Roman" w:eastAsia="Times New Roman" w:hAnsi="Times New Roman" w:cs="Times New Roman"/>
          <w:color w:val="000000"/>
          <w:kern w:val="0"/>
          <w:lang w:eastAsia="en-GB"/>
          <w14:ligatures w14:val="none"/>
        </w:rPr>
        <w:t>. London: SAGE.</w:t>
      </w:r>
    </w:p>
    <w:p w14:paraId="3C760F5A"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 xml:space="preserve">de Boer, A., </w:t>
      </w:r>
      <w:proofErr w:type="spellStart"/>
      <w:r w:rsidRPr="00C44E97">
        <w:rPr>
          <w:rFonts w:ascii="Times New Roman" w:eastAsia="Times New Roman" w:hAnsi="Times New Roman" w:cs="Times New Roman"/>
          <w:color w:val="000000"/>
          <w:kern w:val="0"/>
          <w:lang w:eastAsia="en-GB"/>
          <w14:ligatures w14:val="none"/>
        </w:rPr>
        <w:t>Pijl</w:t>
      </w:r>
      <w:proofErr w:type="spellEnd"/>
      <w:r w:rsidRPr="00C44E97">
        <w:rPr>
          <w:rFonts w:ascii="Times New Roman" w:eastAsia="Times New Roman" w:hAnsi="Times New Roman" w:cs="Times New Roman"/>
          <w:color w:val="000000"/>
          <w:kern w:val="0"/>
          <w:lang w:eastAsia="en-GB"/>
          <w14:ligatures w14:val="none"/>
        </w:rPr>
        <w:t>, S.J. and Minnaert, A. (2021) ‘Regular primary schoolteachers’ attitudes towards inclusive education: A review of the literature’, </w:t>
      </w:r>
      <w:r w:rsidRPr="00C44E97">
        <w:rPr>
          <w:rFonts w:ascii="Times New Roman" w:eastAsia="Times New Roman" w:hAnsi="Times New Roman" w:cs="Times New Roman"/>
          <w:i/>
          <w:iCs/>
          <w:color w:val="000000"/>
          <w:kern w:val="0"/>
          <w:lang w:eastAsia="en-GB"/>
          <w14:ligatures w14:val="none"/>
        </w:rPr>
        <w:t>International Journal of Inclusive Education</w:t>
      </w:r>
      <w:r w:rsidRPr="00C44E97">
        <w:rPr>
          <w:rFonts w:ascii="Times New Roman" w:eastAsia="Times New Roman" w:hAnsi="Times New Roman" w:cs="Times New Roman"/>
          <w:color w:val="000000"/>
          <w:kern w:val="0"/>
          <w:lang w:eastAsia="en-GB"/>
          <w14:ligatures w14:val="none"/>
        </w:rPr>
        <w:t>, 25(3), pp. 1–17.</w:t>
      </w:r>
    </w:p>
    <w:p w14:paraId="1837CFAE"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Estyn (2023) </w:t>
      </w:r>
      <w:r w:rsidRPr="00C44E97">
        <w:rPr>
          <w:rFonts w:ascii="Times New Roman" w:eastAsia="Times New Roman" w:hAnsi="Times New Roman" w:cs="Times New Roman"/>
          <w:i/>
          <w:iCs/>
          <w:color w:val="000000"/>
          <w:kern w:val="0"/>
          <w:lang w:eastAsia="en-GB"/>
          <w14:ligatures w14:val="none"/>
        </w:rPr>
        <w:t>The implementation of the Additional Learning Needs and Education Tribunal (Wales) Act 2018: Progress and challenges.</w:t>
      </w:r>
      <w:r w:rsidRPr="00C44E97">
        <w:rPr>
          <w:rFonts w:ascii="Times New Roman" w:eastAsia="Times New Roman" w:hAnsi="Times New Roman" w:cs="Times New Roman"/>
          <w:color w:val="000000"/>
          <w:kern w:val="0"/>
          <w:lang w:eastAsia="en-GB"/>
          <w14:ligatures w14:val="none"/>
        </w:rPr>
        <w:t> Cardiff: Estyn.</w:t>
      </w:r>
    </w:p>
    <w:p w14:paraId="302713D7"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Estyn (2024) </w:t>
      </w:r>
      <w:r w:rsidRPr="00C44E97">
        <w:rPr>
          <w:rFonts w:ascii="Times New Roman" w:eastAsia="Times New Roman" w:hAnsi="Times New Roman" w:cs="Times New Roman"/>
          <w:i/>
          <w:iCs/>
          <w:color w:val="000000"/>
          <w:kern w:val="0"/>
          <w:lang w:eastAsia="en-GB"/>
          <w14:ligatures w14:val="none"/>
        </w:rPr>
        <w:t>Inclusive education in Wales: Current progress and areas for development.</w:t>
      </w:r>
      <w:r w:rsidRPr="00C44E97">
        <w:rPr>
          <w:rFonts w:ascii="Times New Roman" w:eastAsia="Times New Roman" w:hAnsi="Times New Roman" w:cs="Times New Roman"/>
          <w:color w:val="000000"/>
          <w:kern w:val="0"/>
          <w:lang w:eastAsia="en-GB"/>
          <w14:ligatures w14:val="none"/>
        </w:rPr>
        <w:t> Cardiff: Estyn.</w:t>
      </w:r>
    </w:p>
    <w:p w14:paraId="6630D979"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Florian, L. (2019) ‘On the necessary co-existence of special and inclusive education’, </w:t>
      </w:r>
      <w:r w:rsidRPr="00C44E97">
        <w:rPr>
          <w:rFonts w:ascii="Times New Roman" w:eastAsia="Times New Roman" w:hAnsi="Times New Roman" w:cs="Times New Roman"/>
          <w:i/>
          <w:iCs/>
          <w:color w:val="000000"/>
          <w:kern w:val="0"/>
          <w:lang w:eastAsia="en-GB"/>
          <w14:ligatures w14:val="none"/>
        </w:rPr>
        <w:t>International Journal of Inclusive Education</w:t>
      </w:r>
      <w:r w:rsidRPr="00C44E97">
        <w:rPr>
          <w:rFonts w:ascii="Times New Roman" w:eastAsia="Times New Roman" w:hAnsi="Times New Roman" w:cs="Times New Roman"/>
          <w:color w:val="000000"/>
          <w:kern w:val="0"/>
          <w:lang w:eastAsia="en-GB"/>
          <w14:ligatures w14:val="none"/>
        </w:rPr>
        <w:t>, 23(7–8), pp. 691–704.</w:t>
      </w:r>
    </w:p>
    <w:p w14:paraId="7B13E3E6"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Foster, D. (2022) </w:t>
      </w:r>
      <w:r w:rsidRPr="00C44E97">
        <w:rPr>
          <w:rFonts w:ascii="Times New Roman" w:eastAsia="Times New Roman" w:hAnsi="Times New Roman" w:cs="Times New Roman"/>
          <w:i/>
          <w:iCs/>
          <w:color w:val="000000"/>
          <w:kern w:val="0"/>
          <w:lang w:eastAsia="en-GB"/>
          <w14:ligatures w14:val="none"/>
        </w:rPr>
        <w:t>Additional Learning Needs (ALN) in Wales: Briefing paper.</w:t>
      </w:r>
      <w:r w:rsidRPr="00C44E97">
        <w:rPr>
          <w:rFonts w:ascii="Times New Roman" w:eastAsia="Times New Roman" w:hAnsi="Times New Roman" w:cs="Times New Roman"/>
          <w:color w:val="000000"/>
          <w:kern w:val="0"/>
          <w:lang w:eastAsia="en-GB"/>
          <w14:ligatures w14:val="none"/>
        </w:rPr>
        <w:t> Cardiff: Senedd Research Service.</w:t>
      </w:r>
    </w:p>
    <w:p w14:paraId="451AF2CE"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Graham, L.J. (2020) ‘Inclusive education in the 21st century: Challenges and opportunities’, </w:t>
      </w:r>
      <w:r w:rsidRPr="00C44E97">
        <w:rPr>
          <w:rFonts w:ascii="Times New Roman" w:eastAsia="Times New Roman" w:hAnsi="Times New Roman" w:cs="Times New Roman"/>
          <w:i/>
          <w:iCs/>
          <w:color w:val="000000"/>
          <w:kern w:val="0"/>
          <w:lang w:eastAsia="en-GB"/>
          <w14:ligatures w14:val="none"/>
        </w:rPr>
        <w:t>Educational Review</w:t>
      </w:r>
      <w:r w:rsidRPr="00C44E97">
        <w:rPr>
          <w:rFonts w:ascii="Times New Roman" w:eastAsia="Times New Roman" w:hAnsi="Times New Roman" w:cs="Times New Roman"/>
          <w:color w:val="000000"/>
          <w:kern w:val="0"/>
          <w:lang w:eastAsia="en-GB"/>
          <w14:ligatures w14:val="none"/>
        </w:rPr>
        <w:t>, 72(2), pp. 1–16.</w:t>
      </w:r>
    </w:p>
    <w:p w14:paraId="35E1933E"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Norwich, B. and Eaton, A. (2022) ‘Special and inclusive education policy developments: The case of Wales and the ALN Act’, </w:t>
      </w:r>
      <w:r w:rsidRPr="00C44E97">
        <w:rPr>
          <w:rFonts w:ascii="Times New Roman" w:eastAsia="Times New Roman" w:hAnsi="Times New Roman" w:cs="Times New Roman"/>
          <w:i/>
          <w:iCs/>
          <w:color w:val="000000"/>
          <w:kern w:val="0"/>
          <w:lang w:eastAsia="en-GB"/>
          <w14:ligatures w14:val="none"/>
        </w:rPr>
        <w:t>British Journal of Special Education</w:t>
      </w:r>
      <w:r w:rsidRPr="00C44E97">
        <w:rPr>
          <w:rFonts w:ascii="Times New Roman" w:eastAsia="Times New Roman" w:hAnsi="Times New Roman" w:cs="Times New Roman"/>
          <w:color w:val="000000"/>
          <w:kern w:val="0"/>
          <w:lang w:eastAsia="en-GB"/>
          <w14:ligatures w14:val="none"/>
        </w:rPr>
        <w:t>, 49(3), pp. 250–263.</w:t>
      </w:r>
    </w:p>
    <w:p w14:paraId="29DA732A"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Welsh Government (2018) </w:t>
      </w:r>
      <w:r w:rsidRPr="00C44E97">
        <w:rPr>
          <w:rFonts w:ascii="Times New Roman" w:eastAsia="Times New Roman" w:hAnsi="Times New Roman" w:cs="Times New Roman"/>
          <w:i/>
          <w:iCs/>
          <w:color w:val="000000"/>
          <w:kern w:val="0"/>
          <w:lang w:eastAsia="en-GB"/>
          <w14:ligatures w14:val="none"/>
        </w:rPr>
        <w:t>The Additional Learning Needs and Education Tribunal (Wales) Act 2018.</w:t>
      </w:r>
      <w:r w:rsidRPr="00C44E97">
        <w:rPr>
          <w:rFonts w:ascii="Times New Roman" w:eastAsia="Times New Roman" w:hAnsi="Times New Roman" w:cs="Times New Roman"/>
          <w:color w:val="000000"/>
          <w:kern w:val="0"/>
          <w:lang w:eastAsia="en-GB"/>
          <w14:ligatures w14:val="none"/>
        </w:rPr>
        <w:t> Cardiff: Welsh Government.</w:t>
      </w:r>
    </w:p>
    <w:p w14:paraId="3C80CA3B"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Welsh Government (2021) </w:t>
      </w:r>
      <w:r w:rsidRPr="00C44E97">
        <w:rPr>
          <w:rFonts w:ascii="Times New Roman" w:eastAsia="Times New Roman" w:hAnsi="Times New Roman" w:cs="Times New Roman"/>
          <w:i/>
          <w:iCs/>
          <w:color w:val="000000"/>
          <w:kern w:val="0"/>
          <w:lang w:eastAsia="en-GB"/>
          <w14:ligatures w14:val="none"/>
        </w:rPr>
        <w:t>The Additional Learning Needs Code for Wales 2021.</w:t>
      </w:r>
      <w:r w:rsidRPr="00C44E97">
        <w:rPr>
          <w:rFonts w:ascii="Times New Roman" w:eastAsia="Times New Roman" w:hAnsi="Times New Roman" w:cs="Times New Roman"/>
          <w:color w:val="000000"/>
          <w:kern w:val="0"/>
          <w:lang w:eastAsia="en-GB"/>
          <w14:ligatures w14:val="none"/>
        </w:rPr>
        <w:t> Cardiff: Welsh Government.</w:t>
      </w:r>
    </w:p>
    <w:p w14:paraId="33DB0736"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C44E97">
        <w:rPr>
          <w:rFonts w:ascii="Times New Roman" w:eastAsia="Times New Roman" w:hAnsi="Times New Roman" w:cs="Times New Roman"/>
          <w:color w:val="000000"/>
          <w:kern w:val="0"/>
          <w:lang w:eastAsia="en-GB"/>
          <w14:ligatures w14:val="none"/>
        </w:rPr>
        <w:t>Welsh Government (2023) </w:t>
      </w:r>
      <w:r w:rsidRPr="00C44E97">
        <w:rPr>
          <w:rFonts w:ascii="Times New Roman" w:eastAsia="Times New Roman" w:hAnsi="Times New Roman" w:cs="Times New Roman"/>
          <w:i/>
          <w:iCs/>
          <w:color w:val="000000"/>
          <w:kern w:val="0"/>
          <w:lang w:eastAsia="en-GB"/>
          <w14:ligatures w14:val="none"/>
        </w:rPr>
        <w:t>Additional Learning Needs system: Evaluation and progress report.</w:t>
      </w:r>
      <w:r w:rsidRPr="00C44E97">
        <w:rPr>
          <w:rFonts w:ascii="Times New Roman" w:eastAsia="Times New Roman" w:hAnsi="Times New Roman" w:cs="Times New Roman"/>
          <w:color w:val="000000"/>
          <w:kern w:val="0"/>
          <w:lang w:eastAsia="en-GB"/>
          <w14:ligatures w14:val="none"/>
        </w:rPr>
        <w:t> Cardiff: Welsh Government.</w:t>
      </w:r>
    </w:p>
    <w:p w14:paraId="7CED53F1" w14:textId="77777777" w:rsidR="00C44E97" w:rsidRPr="00C44E97" w:rsidRDefault="00C44E97" w:rsidP="00C44E9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sectPr w:rsidR="00C44E97" w:rsidRPr="00C44E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17"/>
    <w:rsid w:val="00290A17"/>
    <w:rsid w:val="002B796B"/>
    <w:rsid w:val="00321061"/>
    <w:rsid w:val="005328AD"/>
    <w:rsid w:val="00725A0A"/>
    <w:rsid w:val="00796778"/>
    <w:rsid w:val="007A24F2"/>
    <w:rsid w:val="00C44E97"/>
    <w:rsid w:val="00D95E69"/>
    <w:rsid w:val="00E6559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2AD6"/>
  <w15:chartTrackingRefBased/>
  <w15:docId w15:val="{F0A5B9CF-E47F-2A43-815E-BD1CA950E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A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0A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0A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A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A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A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A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A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A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A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0A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0A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A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A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A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A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A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A17"/>
    <w:rPr>
      <w:rFonts w:eastAsiaTheme="majorEastAsia" w:cstheme="majorBidi"/>
      <w:color w:val="272727" w:themeColor="text1" w:themeTint="D8"/>
    </w:rPr>
  </w:style>
  <w:style w:type="paragraph" w:styleId="Title">
    <w:name w:val="Title"/>
    <w:basedOn w:val="Normal"/>
    <w:next w:val="Normal"/>
    <w:link w:val="TitleChar"/>
    <w:uiPriority w:val="10"/>
    <w:qFormat/>
    <w:rsid w:val="00290A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A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A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A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A17"/>
    <w:pPr>
      <w:spacing w:before="160"/>
      <w:jc w:val="center"/>
    </w:pPr>
    <w:rPr>
      <w:i/>
      <w:iCs/>
      <w:color w:val="404040" w:themeColor="text1" w:themeTint="BF"/>
    </w:rPr>
  </w:style>
  <w:style w:type="character" w:customStyle="1" w:styleId="QuoteChar">
    <w:name w:val="Quote Char"/>
    <w:basedOn w:val="DefaultParagraphFont"/>
    <w:link w:val="Quote"/>
    <w:uiPriority w:val="29"/>
    <w:rsid w:val="00290A17"/>
    <w:rPr>
      <w:i/>
      <w:iCs/>
      <w:color w:val="404040" w:themeColor="text1" w:themeTint="BF"/>
    </w:rPr>
  </w:style>
  <w:style w:type="paragraph" w:styleId="ListParagraph">
    <w:name w:val="List Paragraph"/>
    <w:basedOn w:val="Normal"/>
    <w:uiPriority w:val="34"/>
    <w:qFormat/>
    <w:rsid w:val="00290A17"/>
    <w:pPr>
      <w:ind w:left="720"/>
      <w:contextualSpacing/>
    </w:pPr>
  </w:style>
  <w:style w:type="character" w:styleId="IntenseEmphasis">
    <w:name w:val="Intense Emphasis"/>
    <w:basedOn w:val="DefaultParagraphFont"/>
    <w:uiPriority w:val="21"/>
    <w:qFormat/>
    <w:rsid w:val="00290A17"/>
    <w:rPr>
      <w:i/>
      <w:iCs/>
      <w:color w:val="0F4761" w:themeColor="accent1" w:themeShade="BF"/>
    </w:rPr>
  </w:style>
  <w:style w:type="paragraph" w:styleId="IntenseQuote">
    <w:name w:val="Intense Quote"/>
    <w:basedOn w:val="Normal"/>
    <w:next w:val="Normal"/>
    <w:link w:val="IntenseQuoteChar"/>
    <w:uiPriority w:val="30"/>
    <w:qFormat/>
    <w:rsid w:val="00290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A17"/>
    <w:rPr>
      <w:i/>
      <w:iCs/>
      <w:color w:val="0F4761" w:themeColor="accent1" w:themeShade="BF"/>
    </w:rPr>
  </w:style>
  <w:style w:type="character" w:styleId="IntenseReference">
    <w:name w:val="Intense Reference"/>
    <w:basedOn w:val="DefaultParagraphFont"/>
    <w:uiPriority w:val="32"/>
    <w:qFormat/>
    <w:rsid w:val="00290A17"/>
    <w:rPr>
      <w:b/>
      <w:bCs/>
      <w:smallCaps/>
      <w:color w:val="0F4761" w:themeColor="accent1" w:themeShade="BF"/>
      <w:spacing w:val="5"/>
    </w:rPr>
  </w:style>
  <w:style w:type="character" w:styleId="Strong">
    <w:name w:val="Strong"/>
    <w:basedOn w:val="DefaultParagraphFont"/>
    <w:uiPriority w:val="22"/>
    <w:qFormat/>
    <w:rsid w:val="00290A17"/>
    <w:rPr>
      <w:b/>
      <w:bCs/>
    </w:rPr>
  </w:style>
  <w:style w:type="paragraph" w:styleId="NormalWeb">
    <w:name w:val="Normal (Web)"/>
    <w:basedOn w:val="Normal"/>
    <w:uiPriority w:val="99"/>
    <w:semiHidden/>
    <w:unhideWhenUsed/>
    <w:rsid w:val="00290A1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90A17"/>
  </w:style>
  <w:style w:type="character" w:styleId="Emphasis">
    <w:name w:val="Emphasis"/>
    <w:basedOn w:val="DefaultParagraphFont"/>
    <w:uiPriority w:val="20"/>
    <w:qFormat/>
    <w:rsid w:val="00290A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12</Pages>
  <Words>4273</Words>
  <Characters>27437</Characters>
  <Application>Microsoft Office Word</Application>
  <DocSecurity>0</DocSecurity>
  <Lines>548</Lines>
  <Paragraphs>163</Paragraphs>
  <ScaleCrop>false</ScaleCrop>
  <Company/>
  <LinksUpToDate>false</LinksUpToDate>
  <CharactersWithSpaces>31547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Inam Alsalim (2502495)</dc:creator>
  <cp:keywords/>
  <dc:description/>
  <cp:lastModifiedBy>Inam Alsalim (2502495)</cp:lastModifiedBy>
  <cp:revision>7</cp:revision>
  <dcterms:created xsi:type="dcterms:W3CDTF">2026-04-15T12:13:00Z</dcterms:created>
  <dcterms:modified xsi:type="dcterms:W3CDTF">2026-04-19T13:50:00Z</dcterms:modified>
</cp:coreProperties>
</file>