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69E2C" w14:textId="77777777" w:rsidR="001B7300" w:rsidRPr="00FC2E86" w:rsidRDefault="001B7300" w:rsidP="001B7300">
      <w:pPr>
        <w:widowControl w:val="0"/>
        <w:autoSpaceDE w:val="0"/>
        <w:autoSpaceDN w:val="0"/>
        <w:spacing w:after="0" w:line="360" w:lineRule="auto"/>
        <w:mirrorIndents/>
        <w:jc w:val="both"/>
        <w:rPr>
          <w:rFonts w:ascii="Arial" w:eastAsia="Calibri Light" w:hAnsi="Arial" w:cs="Arial"/>
          <w:kern w:val="0"/>
          <w:sz w:val="20"/>
          <w:lang w:eastAsia="en-GB" w:bidi="en-GB"/>
          <w14:ligatures w14:val="none"/>
        </w:rPr>
      </w:pPr>
      <w:r w:rsidRPr="00FC2E86">
        <w:rPr>
          <w:rFonts w:ascii="Arial" w:eastAsia="Calibri Light" w:hAnsi="Arial" w:cs="Arial"/>
          <w:noProof/>
          <w:kern w:val="0"/>
          <w:lang w:eastAsia="en-GB" w:bidi="en-GB"/>
          <w14:ligatures w14:val="none"/>
        </w:rPr>
        <w:drawing>
          <wp:inline distT="0" distB="0" distL="0" distR="0" wp14:anchorId="641EE72F" wp14:editId="1097D0D1">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12A4E889" w14:textId="77777777" w:rsidR="00E205FE" w:rsidRDefault="00E205FE" w:rsidP="00E205FE">
      <w:pPr>
        <w:spacing w:after="120"/>
        <w:jc w:val="center"/>
        <w:rPr>
          <w:rFonts w:cs="Arial"/>
        </w:rPr>
      </w:pPr>
    </w:p>
    <w:p w14:paraId="5B7978D4" w14:textId="77777777" w:rsidR="00E205FE" w:rsidRPr="00260D7A" w:rsidRDefault="00E205FE" w:rsidP="00E205FE">
      <w:pPr>
        <w:spacing w:after="120"/>
        <w:jc w:val="center"/>
        <w:rPr>
          <w:rFonts w:cs="Arial"/>
          <w:b/>
          <w:bCs/>
          <w:sz w:val="28"/>
          <w:szCs w:val="28"/>
        </w:rPr>
      </w:pPr>
      <w:r w:rsidRPr="00260D7A">
        <w:rPr>
          <w:rFonts w:ascii="Arial" w:hAnsi="Arial" w:cs="Arial"/>
          <w:b/>
          <w:bCs/>
          <w:sz w:val="28"/>
          <w:szCs w:val="28"/>
        </w:rPr>
        <w:t>BMHP6030</w:t>
      </w:r>
    </w:p>
    <w:p w14:paraId="5E1D4B89" w14:textId="77777777" w:rsidR="00E205FE" w:rsidRPr="00260D7A" w:rsidRDefault="00E205FE" w:rsidP="00E205FE">
      <w:pPr>
        <w:spacing w:after="120"/>
        <w:jc w:val="center"/>
        <w:rPr>
          <w:rFonts w:cs="Arial"/>
          <w:sz w:val="28"/>
          <w:szCs w:val="28"/>
        </w:rPr>
      </w:pPr>
      <w:r w:rsidRPr="00260D7A">
        <w:rPr>
          <w:rFonts w:ascii="Arial" w:hAnsi="Arial" w:cs="Arial"/>
          <w:b/>
          <w:sz w:val="28"/>
          <w:szCs w:val="28"/>
        </w:rPr>
        <w:t>Health, Wellbeing and Sustainable Development</w:t>
      </w:r>
    </w:p>
    <w:p w14:paraId="24E79D8A" w14:textId="77777777" w:rsidR="00E205FE" w:rsidRPr="00260D7A" w:rsidRDefault="00E205FE" w:rsidP="00E205FE">
      <w:pPr>
        <w:spacing w:after="120"/>
        <w:jc w:val="center"/>
        <w:rPr>
          <w:rFonts w:cs="Arial"/>
          <w:sz w:val="28"/>
          <w:szCs w:val="28"/>
        </w:rPr>
      </w:pPr>
      <w:r w:rsidRPr="00260D7A">
        <w:rPr>
          <w:rFonts w:ascii="Arial" w:hAnsi="Arial" w:cs="Arial"/>
          <w:sz w:val="28"/>
          <w:szCs w:val="28"/>
        </w:rPr>
        <w:t>Component 2: Written Assignment (Report)</w:t>
      </w:r>
    </w:p>
    <w:p w14:paraId="649377A5" w14:textId="77777777" w:rsidR="00E205FE" w:rsidRDefault="00E205FE" w:rsidP="00E205FE">
      <w:pPr>
        <w:spacing w:after="120"/>
        <w:jc w:val="center"/>
        <w:rPr>
          <w:rFonts w:cs="Arial"/>
        </w:rPr>
      </w:pPr>
    </w:p>
    <w:p w14:paraId="0861DDD8" w14:textId="77777777" w:rsidR="00E205FE" w:rsidRDefault="00E205FE" w:rsidP="00E205FE">
      <w:pPr>
        <w:spacing w:after="120"/>
        <w:jc w:val="center"/>
        <w:rPr>
          <w:rFonts w:cs="Arial"/>
        </w:rPr>
      </w:pPr>
    </w:p>
    <w:p w14:paraId="2D886656" w14:textId="77777777" w:rsidR="00E205FE" w:rsidRDefault="00E205FE" w:rsidP="00E205FE">
      <w:pPr>
        <w:spacing w:after="120"/>
        <w:jc w:val="center"/>
        <w:rPr>
          <w:rFonts w:cs="Arial"/>
        </w:rPr>
      </w:pPr>
    </w:p>
    <w:p w14:paraId="64CAB3ED" w14:textId="77777777" w:rsidR="00E205FE" w:rsidRDefault="00E205FE" w:rsidP="00E205FE">
      <w:pPr>
        <w:spacing w:after="120"/>
        <w:jc w:val="center"/>
        <w:rPr>
          <w:rFonts w:cs="Arial"/>
        </w:rPr>
      </w:pPr>
    </w:p>
    <w:p w14:paraId="4F657E43" w14:textId="77777777" w:rsidR="00E205FE" w:rsidRDefault="00E205FE" w:rsidP="00E205FE">
      <w:pPr>
        <w:spacing w:after="120"/>
        <w:jc w:val="center"/>
        <w:rPr>
          <w:rFonts w:cs="Arial"/>
        </w:rPr>
      </w:pPr>
    </w:p>
    <w:p w14:paraId="03A9B127" w14:textId="77777777" w:rsidR="00E205FE" w:rsidRDefault="00E205FE" w:rsidP="00E205FE">
      <w:pPr>
        <w:spacing w:after="120"/>
        <w:jc w:val="center"/>
        <w:rPr>
          <w:rFonts w:cs="Arial"/>
        </w:rPr>
      </w:pPr>
    </w:p>
    <w:p w14:paraId="31ACE56F" w14:textId="172D4E8F" w:rsidR="00E205FE" w:rsidRPr="00260D7A" w:rsidRDefault="00260D7A" w:rsidP="00DB1CE3">
      <w:pPr>
        <w:spacing w:after="120"/>
        <w:jc w:val="center"/>
        <w:rPr>
          <w:rFonts w:ascii="Arial" w:hAnsi="Arial" w:cs="Arial"/>
        </w:rPr>
      </w:pPr>
      <w:r w:rsidRPr="00260D7A">
        <w:rPr>
          <w:rFonts w:ascii="Arial" w:hAnsi="Arial" w:cs="Arial"/>
          <w:b/>
          <w:bCs/>
        </w:rPr>
        <w:t>Student Name</w:t>
      </w:r>
      <w:r>
        <w:rPr>
          <w:rFonts w:ascii="Arial" w:hAnsi="Arial" w:cs="Arial"/>
        </w:rPr>
        <w:t xml:space="preserve">: </w:t>
      </w:r>
      <w:r w:rsidR="00E205FE" w:rsidRPr="00260D7A">
        <w:rPr>
          <w:rFonts w:ascii="Arial" w:hAnsi="Arial" w:cs="Arial"/>
        </w:rPr>
        <w:t>Althea Freeman</w:t>
      </w:r>
    </w:p>
    <w:p w14:paraId="669598D2" w14:textId="14A48F73" w:rsidR="00E205FE" w:rsidRPr="00260D7A" w:rsidRDefault="00E205FE" w:rsidP="00DB1CE3">
      <w:pPr>
        <w:spacing w:after="120"/>
        <w:jc w:val="center"/>
        <w:rPr>
          <w:rFonts w:cs="Arial"/>
        </w:rPr>
      </w:pPr>
      <w:r w:rsidRPr="00260D7A">
        <w:rPr>
          <w:rFonts w:ascii="Arial" w:hAnsi="Arial" w:cs="Arial"/>
          <w:b/>
          <w:bCs/>
        </w:rPr>
        <w:t>Student ID</w:t>
      </w:r>
      <w:r w:rsidRPr="00260D7A">
        <w:rPr>
          <w:rFonts w:ascii="Arial" w:hAnsi="Arial" w:cs="Arial"/>
        </w:rPr>
        <w:t>: 2228968</w:t>
      </w:r>
    </w:p>
    <w:p w14:paraId="1414A15C" w14:textId="77777777" w:rsidR="00E205FE" w:rsidRPr="00260D7A" w:rsidRDefault="00E205FE" w:rsidP="00DB1CE3">
      <w:pPr>
        <w:spacing w:after="120"/>
        <w:jc w:val="center"/>
        <w:rPr>
          <w:rFonts w:cs="Arial"/>
        </w:rPr>
      </w:pPr>
      <w:r w:rsidRPr="00260D7A">
        <w:rPr>
          <w:rFonts w:ascii="Arial" w:hAnsi="Arial" w:cs="Arial"/>
          <w:b/>
          <w:bCs/>
        </w:rPr>
        <w:t>Module Code</w:t>
      </w:r>
      <w:r w:rsidRPr="00260D7A">
        <w:rPr>
          <w:rFonts w:ascii="Arial" w:hAnsi="Arial" w:cs="Arial"/>
        </w:rPr>
        <w:t>: BMHP6030</w:t>
      </w:r>
    </w:p>
    <w:p w14:paraId="767EFD91" w14:textId="34C7D58C" w:rsidR="00E205FE" w:rsidRPr="00260D7A" w:rsidRDefault="00E205FE" w:rsidP="00DB1CE3">
      <w:pPr>
        <w:spacing w:after="120"/>
        <w:jc w:val="center"/>
        <w:rPr>
          <w:rFonts w:cs="Arial"/>
        </w:rPr>
      </w:pPr>
      <w:r w:rsidRPr="00260D7A">
        <w:rPr>
          <w:rFonts w:ascii="Arial" w:hAnsi="Arial" w:cs="Arial"/>
          <w:b/>
          <w:bCs/>
        </w:rPr>
        <w:t>Lecturer</w:t>
      </w:r>
      <w:r w:rsidRPr="00260D7A">
        <w:rPr>
          <w:rFonts w:ascii="Arial" w:hAnsi="Arial" w:cs="Arial"/>
        </w:rPr>
        <w:t xml:space="preserve">: </w:t>
      </w:r>
      <w:r w:rsidR="001B7300" w:rsidRPr="00260D7A">
        <w:rPr>
          <w:rFonts w:ascii="Arial" w:hAnsi="Arial" w:cs="Arial"/>
        </w:rPr>
        <w:t xml:space="preserve">Dr </w:t>
      </w:r>
      <w:proofErr w:type="spellStart"/>
      <w:r w:rsidR="001B7300" w:rsidRPr="00260D7A">
        <w:rPr>
          <w:rFonts w:ascii="Arial" w:hAnsi="Arial" w:cs="Arial"/>
        </w:rPr>
        <w:t>Itse</w:t>
      </w:r>
      <w:proofErr w:type="spellEnd"/>
      <w:r w:rsidR="001B7300" w:rsidRPr="00260D7A">
        <w:rPr>
          <w:rFonts w:ascii="Arial" w:hAnsi="Arial" w:cs="Arial"/>
        </w:rPr>
        <w:t xml:space="preserve"> Olaoye</w:t>
      </w:r>
    </w:p>
    <w:p w14:paraId="00D297E5" w14:textId="65907C21" w:rsidR="00E205FE" w:rsidRPr="00260D7A" w:rsidRDefault="00E205FE" w:rsidP="00DB1CE3">
      <w:pPr>
        <w:spacing w:after="120"/>
        <w:jc w:val="center"/>
        <w:rPr>
          <w:rFonts w:cs="Arial"/>
        </w:rPr>
      </w:pPr>
      <w:r w:rsidRPr="00260D7A">
        <w:rPr>
          <w:rFonts w:ascii="Arial" w:hAnsi="Arial" w:cs="Arial"/>
          <w:b/>
          <w:bCs/>
        </w:rPr>
        <w:t>Submission Date</w:t>
      </w:r>
      <w:r w:rsidRPr="00260D7A">
        <w:rPr>
          <w:rFonts w:ascii="Arial" w:hAnsi="Arial" w:cs="Arial"/>
        </w:rPr>
        <w:t xml:space="preserve">: </w:t>
      </w:r>
      <w:r w:rsidR="003F4266" w:rsidRPr="00260D7A">
        <w:rPr>
          <w:rFonts w:ascii="Arial" w:hAnsi="Arial" w:cs="Arial"/>
        </w:rPr>
        <w:t>August</w:t>
      </w:r>
      <w:r w:rsidR="001B7300" w:rsidRPr="00260D7A">
        <w:rPr>
          <w:rFonts w:ascii="Arial" w:hAnsi="Arial" w:cs="Arial"/>
        </w:rPr>
        <w:t xml:space="preserve"> </w:t>
      </w:r>
      <w:r w:rsidR="00A1672B" w:rsidRPr="00260D7A">
        <w:rPr>
          <w:rFonts w:ascii="Arial" w:hAnsi="Arial" w:cs="Arial"/>
        </w:rPr>
        <w:t>,</w:t>
      </w:r>
      <w:r w:rsidR="001B7300" w:rsidRPr="00260D7A">
        <w:rPr>
          <w:rFonts w:ascii="Arial" w:hAnsi="Arial" w:cs="Arial"/>
        </w:rPr>
        <w:t>2026</w:t>
      </w:r>
    </w:p>
    <w:p w14:paraId="2A19D52E" w14:textId="77777777" w:rsidR="00E205FE" w:rsidRDefault="00E205FE" w:rsidP="00E205FE">
      <w:pPr>
        <w:jc w:val="center"/>
        <w:rPr>
          <w:rFonts w:cs="Arial"/>
        </w:rPr>
      </w:pPr>
      <w:r>
        <w:rPr>
          <w:rFonts w:ascii="Arial" w:hAnsi="Arial" w:cs="Arial"/>
          <w:sz w:val="22"/>
          <w:szCs w:val="22"/>
        </w:rPr>
        <w:br w:type="page"/>
      </w:r>
    </w:p>
    <w:sdt>
      <w:sdtPr>
        <w:rPr>
          <w:rFonts w:ascii="Arial" w:eastAsiaTheme="minorEastAsia" w:hAnsi="Arial" w:cs="Arial"/>
          <w:color w:val="auto"/>
          <w:kern w:val="2"/>
          <w:sz w:val="22"/>
          <w:szCs w:val="22"/>
          <w:lang w:val="en-GB" w:eastAsia="zh-CN"/>
          <w14:ligatures w14:val="standardContextual"/>
        </w:rPr>
        <w:id w:val="-1370605934"/>
        <w:docPartObj>
          <w:docPartGallery w:val="Table of Contents"/>
          <w:docPartUnique/>
        </w:docPartObj>
      </w:sdtPr>
      <w:sdtEndPr>
        <w:rPr>
          <w:b/>
          <w:bCs/>
          <w:noProof/>
        </w:rPr>
      </w:sdtEndPr>
      <w:sdtContent>
        <w:p w14:paraId="0DFDCB0C" w14:textId="1A0F235D" w:rsidR="00327A12" w:rsidRPr="00A35EE2" w:rsidRDefault="00327A12" w:rsidP="003F7EA0">
          <w:pPr>
            <w:pStyle w:val="TOCHeading"/>
            <w:spacing w:line="360" w:lineRule="auto"/>
            <w:rPr>
              <w:rStyle w:val="Heading1Char"/>
            </w:rPr>
          </w:pPr>
          <w:r w:rsidRPr="00A35EE2">
            <w:rPr>
              <w:rStyle w:val="Heading1Char"/>
            </w:rPr>
            <w:t>Table of Contents</w:t>
          </w:r>
        </w:p>
        <w:p w14:paraId="04DE9746" w14:textId="51450D1F" w:rsidR="00E205FE" w:rsidRPr="00A35EE2" w:rsidRDefault="00327A12">
          <w:pPr>
            <w:pStyle w:val="TOC1"/>
            <w:tabs>
              <w:tab w:val="right" w:leader="dot" w:pos="9016"/>
            </w:tabs>
            <w:rPr>
              <w:rFonts w:ascii="Arial" w:hAnsi="Arial" w:cs="Arial"/>
              <w:noProof/>
              <w:sz w:val="22"/>
              <w:szCs w:val="22"/>
              <w:lang w:val="en-US" w:eastAsia="en-US"/>
            </w:rPr>
          </w:pPr>
          <w:r w:rsidRPr="00A35EE2">
            <w:rPr>
              <w:rFonts w:ascii="Arial" w:hAnsi="Arial" w:cs="Arial"/>
              <w:sz w:val="22"/>
              <w:szCs w:val="22"/>
            </w:rPr>
            <w:fldChar w:fldCharType="begin"/>
          </w:r>
          <w:r w:rsidRPr="00A35EE2">
            <w:rPr>
              <w:rFonts w:ascii="Arial" w:hAnsi="Arial" w:cs="Arial"/>
              <w:sz w:val="22"/>
              <w:szCs w:val="22"/>
            </w:rPr>
            <w:instrText xml:space="preserve"> TOC \o "1-3" \h \z \u </w:instrText>
          </w:r>
          <w:r w:rsidRPr="00A35EE2">
            <w:rPr>
              <w:rFonts w:ascii="Arial" w:hAnsi="Arial" w:cs="Arial"/>
              <w:sz w:val="22"/>
              <w:szCs w:val="22"/>
            </w:rPr>
            <w:fldChar w:fldCharType="separate"/>
          </w:r>
          <w:hyperlink w:anchor="_Toc235370827" w:history="1">
            <w:r w:rsidR="00E205FE" w:rsidRPr="00A35EE2">
              <w:rPr>
                <w:rStyle w:val="Hyperlink"/>
                <w:rFonts w:ascii="Arial" w:hAnsi="Arial" w:cs="Arial"/>
                <w:noProof/>
                <w:sz w:val="22"/>
                <w:szCs w:val="22"/>
              </w:rPr>
              <w:t>Introduction</w:t>
            </w:r>
            <w:r w:rsidR="00E205FE" w:rsidRPr="00A35EE2">
              <w:rPr>
                <w:rFonts w:ascii="Arial" w:hAnsi="Arial" w:cs="Arial"/>
                <w:noProof/>
                <w:webHidden/>
                <w:sz w:val="22"/>
                <w:szCs w:val="22"/>
              </w:rPr>
              <w:tab/>
            </w:r>
            <w:r w:rsidR="00E205FE" w:rsidRPr="00A35EE2">
              <w:rPr>
                <w:rFonts w:ascii="Arial" w:hAnsi="Arial" w:cs="Arial"/>
                <w:noProof/>
                <w:webHidden/>
                <w:sz w:val="22"/>
                <w:szCs w:val="22"/>
              </w:rPr>
              <w:fldChar w:fldCharType="begin"/>
            </w:r>
            <w:r w:rsidR="00E205FE" w:rsidRPr="00A35EE2">
              <w:rPr>
                <w:rFonts w:ascii="Arial" w:hAnsi="Arial" w:cs="Arial"/>
                <w:noProof/>
                <w:webHidden/>
                <w:sz w:val="22"/>
                <w:szCs w:val="22"/>
              </w:rPr>
              <w:instrText xml:space="preserve"> PAGEREF _Toc235370827 \h </w:instrText>
            </w:r>
            <w:r w:rsidR="00E205FE" w:rsidRPr="00A35EE2">
              <w:rPr>
                <w:rFonts w:ascii="Arial" w:hAnsi="Arial" w:cs="Arial"/>
                <w:noProof/>
                <w:webHidden/>
                <w:sz w:val="22"/>
                <w:szCs w:val="22"/>
              </w:rPr>
            </w:r>
            <w:r w:rsidR="00E205FE" w:rsidRPr="00A35EE2">
              <w:rPr>
                <w:rFonts w:ascii="Arial" w:hAnsi="Arial" w:cs="Arial"/>
                <w:noProof/>
                <w:webHidden/>
                <w:sz w:val="22"/>
                <w:szCs w:val="22"/>
              </w:rPr>
              <w:fldChar w:fldCharType="separate"/>
            </w:r>
            <w:r w:rsidR="00E205FE" w:rsidRPr="00A35EE2">
              <w:rPr>
                <w:rFonts w:ascii="Arial" w:hAnsi="Arial" w:cs="Arial"/>
                <w:noProof/>
                <w:webHidden/>
                <w:sz w:val="22"/>
                <w:szCs w:val="22"/>
              </w:rPr>
              <w:t>2</w:t>
            </w:r>
            <w:r w:rsidR="00E205FE" w:rsidRPr="00A35EE2">
              <w:rPr>
                <w:rFonts w:ascii="Arial" w:hAnsi="Arial" w:cs="Arial"/>
                <w:noProof/>
                <w:webHidden/>
                <w:sz w:val="22"/>
                <w:szCs w:val="22"/>
              </w:rPr>
              <w:fldChar w:fldCharType="end"/>
            </w:r>
          </w:hyperlink>
        </w:p>
        <w:p w14:paraId="6A5E0E73" w14:textId="6C01D499" w:rsidR="00E205FE" w:rsidRPr="00A35EE2" w:rsidRDefault="00E205FE">
          <w:pPr>
            <w:pStyle w:val="TOC1"/>
            <w:tabs>
              <w:tab w:val="right" w:leader="dot" w:pos="9016"/>
            </w:tabs>
            <w:rPr>
              <w:rFonts w:ascii="Arial" w:hAnsi="Arial" w:cs="Arial"/>
              <w:noProof/>
              <w:sz w:val="22"/>
              <w:szCs w:val="22"/>
              <w:lang w:val="en-US" w:eastAsia="en-US"/>
            </w:rPr>
          </w:pPr>
          <w:hyperlink w:anchor="_Toc235370828" w:history="1">
            <w:r w:rsidRPr="00A35EE2">
              <w:rPr>
                <w:rStyle w:val="Hyperlink"/>
                <w:rFonts w:ascii="Arial" w:hAnsi="Arial" w:cs="Arial"/>
                <w:noProof/>
                <w:sz w:val="22"/>
                <w:szCs w:val="22"/>
              </w:rPr>
              <w:t>Sustainable Development Goal 3: Good Health and Wellbeing</w:t>
            </w:r>
            <w:r w:rsidRPr="00A35EE2">
              <w:rPr>
                <w:rFonts w:ascii="Arial" w:hAnsi="Arial" w:cs="Arial"/>
                <w:noProof/>
                <w:webHidden/>
                <w:sz w:val="22"/>
                <w:szCs w:val="22"/>
              </w:rPr>
              <w:tab/>
            </w:r>
            <w:r w:rsidRPr="00A35EE2">
              <w:rPr>
                <w:rFonts w:ascii="Arial" w:hAnsi="Arial" w:cs="Arial"/>
                <w:noProof/>
                <w:webHidden/>
                <w:sz w:val="22"/>
                <w:szCs w:val="22"/>
              </w:rPr>
              <w:fldChar w:fldCharType="begin"/>
            </w:r>
            <w:r w:rsidRPr="00A35EE2">
              <w:rPr>
                <w:rFonts w:ascii="Arial" w:hAnsi="Arial" w:cs="Arial"/>
                <w:noProof/>
                <w:webHidden/>
                <w:sz w:val="22"/>
                <w:szCs w:val="22"/>
              </w:rPr>
              <w:instrText xml:space="preserve"> PAGEREF _Toc235370828 \h </w:instrText>
            </w:r>
            <w:r w:rsidRPr="00A35EE2">
              <w:rPr>
                <w:rFonts w:ascii="Arial" w:hAnsi="Arial" w:cs="Arial"/>
                <w:noProof/>
                <w:webHidden/>
                <w:sz w:val="22"/>
                <w:szCs w:val="22"/>
              </w:rPr>
            </w:r>
            <w:r w:rsidRPr="00A35EE2">
              <w:rPr>
                <w:rFonts w:ascii="Arial" w:hAnsi="Arial" w:cs="Arial"/>
                <w:noProof/>
                <w:webHidden/>
                <w:sz w:val="22"/>
                <w:szCs w:val="22"/>
              </w:rPr>
              <w:fldChar w:fldCharType="separate"/>
            </w:r>
            <w:r w:rsidRPr="00A35EE2">
              <w:rPr>
                <w:rFonts w:ascii="Arial" w:hAnsi="Arial" w:cs="Arial"/>
                <w:noProof/>
                <w:webHidden/>
                <w:sz w:val="22"/>
                <w:szCs w:val="22"/>
              </w:rPr>
              <w:t>2</w:t>
            </w:r>
            <w:r w:rsidRPr="00A35EE2">
              <w:rPr>
                <w:rFonts w:ascii="Arial" w:hAnsi="Arial" w:cs="Arial"/>
                <w:noProof/>
                <w:webHidden/>
                <w:sz w:val="22"/>
                <w:szCs w:val="22"/>
              </w:rPr>
              <w:fldChar w:fldCharType="end"/>
            </w:r>
          </w:hyperlink>
        </w:p>
        <w:p w14:paraId="355D508F" w14:textId="2A14DA33" w:rsidR="00E205FE" w:rsidRPr="00A35EE2" w:rsidRDefault="00E205FE">
          <w:pPr>
            <w:pStyle w:val="TOC1"/>
            <w:tabs>
              <w:tab w:val="right" w:leader="dot" w:pos="9016"/>
            </w:tabs>
            <w:rPr>
              <w:rFonts w:ascii="Arial" w:hAnsi="Arial" w:cs="Arial"/>
              <w:noProof/>
              <w:sz w:val="22"/>
              <w:szCs w:val="22"/>
              <w:lang w:val="en-US" w:eastAsia="en-US"/>
            </w:rPr>
          </w:pPr>
          <w:hyperlink w:anchor="_Toc235370829" w:history="1">
            <w:r w:rsidRPr="00A35EE2">
              <w:rPr>
                <w:rStyle w:val="Hyperlink"/>
                <w:rFonts w:ascii="Arial" w:hAnsi="Arial" w:cs="Arial"/>
                <w:noProof/>
                <w:sz w:val="22"/>
                <w:szCs w:val="22"/>
              </w:rPr>
              <w:t>Sustainable Development Goal 13: Climate Action</w:t>
            </w:r>
            <w:r w:rsidRPr="00A35EE2">
              <w:rPr>
                <w:rFonts w:ascii="Arial" w:hAnsi="Arial" w:cs="Arial"/>
                <w:noProof/>
                <w:webHidden/>
                <w:sz w:val="22"/>
                <w:szCs w:val="22"/>
              </w:rPr>
              <w:tab/>
            </w:r>
            <w:r w:rsidRPr="00A35EE2">
              <w:rPr>
                <w:rFonts w:ascii="Arial" w:hAnsi="Arial" w:cs="Arial"/>
                <w:noProof/>
                <w:webHidden/>
                <w:sz w:val="22"/>
                <w:szCs w:val="22"/>
              </w:rPr>
              <w:fldChar w:fldCharType="begin"/>
            </w:r>
            <w:r w:rsidRPr="00A35EE2">
              <w:rPr>
                <w:rFonts w:ascii="Arial" w:hAnsi="Arial" w:cs="Arial"/>
                <w:noProof/>
                <w:webHidden/>
                <w:sz w:val="22"/>
                <w:szCs w:val="22"/>
              </w:rPr>
              <w:instrText xml:space="preserve"> PAGEREF _Toc235370829 \h </w:instrText>
            </w:r>
            <w:r w:rsidRPr="00A35EE2">
              <w:rPr>
                <w:rFonts w:ascii="Arial" w:hAnsi="Arial" w:cs="Arial"/>
                <w:noProof/>
                <w:webHidden/>
                <w:sz w:val="22"/>
                <w:szCs w:val="22"/>
              </w:rPr>
            </w:r>
            <w:r w:rsidRPr="00A35EE2">
              <w:rPr>
                <w:rFonts w:ascii="Arial" w:hAnsi="Arial" w:cs="Arial"/>
                <w:noProof/>
                <w:webHidden/>
                <w:sz w:val="22"/>
                <w:szCs w:val="22"/>
              </w:rPr>
              <w:fldChar w:fldCharType="separate"/>
            </w:r>
            <w:r w:rsidRPr="00A35EE2">
              <w:rPr>
                <w:rFonts w:ascii="Arial" w:hAnsi="Arial" w:cs="Arial"/>
                <w:noProof/>
                <w:webHidden/>
                <w:sz w:val="22"/>
                <w:szCs w:val="22"/>
              </w:rPr>
              <w:t>4</w:t>
            </w:r>
            <w:r w:rsidRPr="00A35EE2">
              <w:rPr>
                <w:rFonts w:ascii="Arial" w:hAnsi="Arial" w:cs="Arial"/>
                <w:noProof/>
                <w:webHidden/>
                <w:sz w:val="22"/>
                <w:szCs w:val="22"/>
              </w:rPr>
              <w:fldChar w:fldCharType="end"/>
            </w:r>
          </w:hyperlink>
        </w:p>
        <w:p w14:paraId="57E83E50" w14:textId="66683733" w:rsidR="00E205FE" w:rsidRPr="00A35EE2" w:rsidRDefault="00E205FE">
          <w:pPr>
            <w:pStyle w:val="TOC1"/>
            <w:tabs>
              <w:tab w:val="right" w:leader="dot" w:pos="9016"/>
            </w:tabs>
            <w:rPr>
              <w:rFonts w:ascii="Arial" w:hAnsi="Arial" w:cs="Arial"/>
              <w:noProof/>
              <w:sz w:val="22"/>
              <w:szCs w:val="22"/>
              <w:lang w:val="en-US" w:eastAsia="en-US"/>
            </w:rPr>
          </w:pPr>
          <w:hyperlink w:anchor="_Toc235370830" w:history="1">
            <w:r w:rsidRPr="00A35EE2">
              <w:rPr>
                <w:rStyle w:val="Hyperlink"/>
                <w:rFonts w:ascii="Arial" w:hAnsi="Arial" w:cs="Arial"/>
                <w:noProof/>
                <w:sz w:val="22"/>
                <w:szCs w:val="22"/>
              </w:rPr>
              <w:t>National wellbeing initiatives</w:t>
            </w:r>
            <w:r w:rsidRPr="00A35EE2">
              <w:rPr>
                <w:rFonts w:ascii="Arial" w:hAnsi="Arial" w:cs="Arial"/>
                <w:noProof/>
                <w:webHidden/>
                <w:sz w:val="22"/>
                <w:szCs w:val="22"/>
              </w:rPr>
              <w:tab/>
            </w:r>
            <w:r w:rsidRPr="00A35EE2">
              <w:rPr>
                <w:rFonts w:ascii="Arial" w:hAnsi="Arial" w:cs="Arial"/>
                <w:noProof/>
                <w:webHidden/>
                <w:sz w:val="22"/>
                <w:szCs w:val="22"/>
              </w:rPr>
              <w:fldChar w:fldCharType="begin"/>
            </w:r>
            <w:r w:rsidRPr="00A35EE2">
              <w:rPr>
                <w:rFonts w:ascii="Arial" w:hAnsi="Arial" w:cs="Arial"/>
                <w:noProof/>
                <w:webHidden/>
                <w:sz w:val="22"/>
                <w:szCs w:val="22"/>
              </w:rPr>
              <w:instrText xml:space="preserve"> PAGEREF _Toc235370830 \h </w:instrText>
            </w:r>
            <w:r w:rsidRPr="00A35EE2">
              <w:rPr>
                <w:rFonts w:ascii="Arial" w:hAnsi="Arial" w:cs="Arial"/>
                <w:noProof/>
                <w:webHidden/>
                <w:sz w:val="22"/>
                <w:szCs w:val="22"/>
              </w:rPr>
            </w:r>
            <w:r w:rsidRPr="00A35EE2">
              <w:rPr>
                <w:rFonts w:ascii="Arial" w:hAnsi="Arial" w:cs="Arial"/>
                <w:noProof/>
                <w:webHidden/>
                <w:sz w:val="22"/>
                <w:szCs w:val="22"/>
              </w:rPr>
              <w:fldChar w:fldCharType="separate"/>
            </w:r>
            <w:r w:rsidRPr="00A35EE2">
              <w:rPr>
                <w:rFonts w:ascii="Arial" w:hAnsi="Arial" w:cs="Arial"/>
                <w:noProof/>
                <w:webHidden/>
                <w:sz w:val="22"/>
                <w:szCs w:val="22"/>
              </w:rPr>
              <w:t>5</w:t>
            </w:r>
            <w:r w:rsidRPr="00A35EE2">
              <w:rPr>
                <w:rFonts w:ascii="Arial" w:hAnsi="Arial" w:cs="Arial"/>
                <w:noProof/>
                <w:webHidden/>
                <w:sz w:val="22"/>
                <w:szCs w:val="22"/>
              </w:rPr>
              <w:fldChar w:fldCharType="end"/>
            </w:r>
          </w:hyperlink>
        </w:p>
        <w:p w14:paraId="03AB5E08" w14:textId="4AE56D4D" w:rsidR="00E205FE" w:rsidRPr="00A35EE2" w:rsidRDefault="00E205FE">
          <w:pPr>
            <w:pStyle w:val="TOC1"/>
            <w:tabs>
              <w:tab w:val="right" w:leader="dot" w:pos="9016"/>
            </w:tabs>
            <w:rPr>
              <w:rFonts w:ascii="Arial" w:hAnsi="Arial" w:cs="Arial"/>
              <w:noProof/>
              <w:sz w:val="22"/>
              <w:szCs w:val="22"/>
              <w:lang w:val="en-US" w:eastAsia="en-US"/>
            </w:rPr>
          </w:pPr>
          <w:hyperlink w:anchor="_Toc235370831" w:history="1">
            <w:r w:rsidRPr="00A35EE2">
              <w:rPr>
                <w:rStyle w:val="Hyperlink"/>
                <w:rFonts w:ascii="Arial" w:hAnsi="Arial" w:cs="Arial"/>
                <w:noProof/>
                <w:sz w:val="22"/>
                <w:szCs w:val="22"/>
              </w:rPr>
              <w:t>Local wellbeing initiatives</w:t>
            </w:r>
            <w:r w:rsidRPr="00A35EE2">
              <w:rPr>
                <w:rFonts w:ascii="Arial" w:hAnsi="Arial" w:cs="Arial"/>
                <w:noProof/>
                <w:webHidden/>
                <w:sz w:val="22"/>
                <w:szCs w:val="22"/>
              </w:rPr>
              <w:tab/>
            </w:r>
            <w:r w:rsidRPr="00A35EE2">
              <w:rPr>
                <w:rFonts w:ascii="Arial" w:hAnsi="Arial" w:cs="Arial"/>
                <w:noProof/>
                <w:webHidden/>
                <w:sz w:val="22"/>
                <w:szCs w:val="22"/>
              </w:rPr>
              <w:fldChar w:fldCharType="begin"/>
            </w:r>
            <w:r w:rsidRPr="00A35EE2">
              <w:rPr>
                <w:rFonts w:ascii="Arial" w:hAnsi="Arial" w:cs="Arial"/>
                <w:noProof/>
                <w:webHidden/>
                <w:sz w:val="22"/>
                <w:szCs w:val="22"/>
              </w:rPr>
              <w:instrText xml:space="preserve"> PAGEREF _Toc235370831 \h </w:instrText>
            </w:r>
            <w:r w:rsidRPr="00A35EE2">
              <w:rPr>
                <w:rFonts w:ascii="Arial" w:hAnsi="Arial" w:cs="Arial"/>
                <w:noProof/>
                <w:webHidden/>
                <w:sz w:val="22"/>
                <w:szCs w:val="22"/>
              </w:rPr>
            </w:r>
            <w:r w:rsidRPr="00A35EE2">
              <w:rPr>
                <w:rFonts w:ascii="Arial" w:hAnsi="Arial" w:cs="Arial"/>
                <w:noProof/>
                <w:webHidden/>
                <w:sz w:val="22"/>
                <w:szCs w:val="22"/>
              </w:rPr>
              <w:fldChar w:fldCharType="separate"/>
            </w:r>
            <w:r w:rsidRPr="00A35EE2">
              <w:rPr>
                <w:rFonts w:ascii="Arial" w:hAnsi="Arial" w:cs="Arial"/>
                <w:noProof/>
                <w:webHidden/>
                <w:sz w:val="22"/>
                <w:szCs w:val="22"/>
              </w:rPr>
              <w:t>6</w:t>
            </w:r>
            <w:r w:rsidRPr="00A35EE2">
              <w:rPr>
                <w:rFonts w:ascii="Arial" w:hAnsi="Arial" w:cs="Arial"/>
                <w:noProof/>
                <w:webHidden/>
                <w:sz w:val="22"/>
                <w:szCs w:val="22"/>
              </w:rPr>
              <w:fldChar w:fldCharType="end"/>
            </w:r>
          </w:hyperlink>
        </w:p>
        <w:p w14:paraId="6042F9A6" w14:textId="42191530" w:rsidR="00E205FE" w:rsidRPr="00A35EE2" w:rsidRDefault="00E205FE">
          <w:pPr>
            <w:pStyle w:val="TOC1"/>
            <w:tabs>
              <w:tab w:val="right" w:leader="dot" w:pos="9016"/>
            </w:tabs>
            <w:rPr>
              <w:rFonts w:ascii="Arial" w:hAnsi="Arial" w:cs="Arial"/>
              <w:noProof/>
              <w:sz w:val="22"/>
              <w:szCs w:val="22"/>
              <w:lang w:val="en-US" w:eastAsia="en-US"/>
            </w:rPr>
          </w:pPr>
          <w:hyperlink w:anchor="_Toc235370832" w:history="1">
            <w:r w:rsidRPr="00A35EE2">
              <w:rPr>
                <w:rStyle w:val="Hyperlink"/>
                <w:rFonts w:ascii="Arial" w:hAnsi="Arial" w:cs="Arial"/>
                <w:noProof/>
                <w:sz w:val="22"/>
                <w:szCs w:val="22"/>
              </w:rPr>
              <w:t>Conclusion</w:t>
            </w:r>
            <w:r w:rsidRPr="00A35EE2">
              <w:rPr>
                <w:rFonts w:ascii="Arial" w:hAnsi="Arial" w:cs="Arial"/>
                <w:noProof/>
                <w:webHidden/>
                <w:sz w:val="22"/>
                <w:szCs w:val="22"/>
              </w:rPr>
              <w:tab/>
            </w:r>
            <w:r w:rsidRPr="00A35EE2">
              <w:rPr>
                <w:rFonts w:ascii="Arial" w:hAnsi="Arial" w:cs="Arial"/>
                <w:noProof/>
                <w:webHidden/>
                <w:sz w:val="22"/>
                <w:szCs w:val="22"/>
              </w:rPr>
              <w:fldChar w:fldCharType="begin"/>
            </w:r>
            <w:r w:rsidRPr="00A35EE2">
              <w:rPr>
                <w:rFonts w:ascii="Arial" w:hAnsi="Arial" w:cs="Arial"/>
                <w:noProof/>
                <w:webHidden/>
                <w:sz w:val="22"/>
                <w:szCs w:val="22"/>
              </w:rPr>
              <w:instrText xml:space="preserve"> PAGEREF _Toc235370832 \h </w:instrText>
            </w:r>
            <w:r w:rsidRPr="00A35EE2">
              <w:rPr>
                <w:rFonts w:ascii="Arial" w:hAnsi="Arial" w:cs="Arial"/>
                <w:noProof/>
                <w:webHidden/>
                <w:sz w:val="22"/>
                <w:szCs w:val="22"/>
              </w:rPr>
            </w:r>
            <w:r w:rsidRPr="00A35EE2">
              <w:rPr>
                <w:rFonts w:ascii="Arial" w:hAnsi="Arial" w:cs="Arial"/>
                <w:noProof/>
                <w:webHidden/>
                <w:sz w:val="22"/>
                <w:szCs w:val="22"/>
              </w:rPr>
              <w:fldChar w:fldCharType="separate"/>
            </w:r>
            <w:r w:rsidRPr="00A35EE2">
              <w:rPr>
                <w:rFonts w:ascii="Arial" w:hAnsi="Arial" w:cs="Arial"/>
                <w:noProof/>
                <w:webHidden/>
                <w:sz w:val="22"/>
                <w:szCs w:val="22"/>
              </w:rPr>
              <w:t>7</w:t>
            </w:r>
            <w:r w:rsidRPr="00A35EE2">
              <w:rPr>
                <w:rFonts w:ascii="Arial" w:hAnsi="Arial" w:cs="Arial"/>
                <w:noProof/>
                <w:webHidden/>
                <w:sz w:val="22"/>
                <w:szCs w:val="22"/>
              </w:rPr>
              <w:fldChar w:fldCharType="end"/>
            </w:r>
          </w:hyperlink>
        </w:p>
        <w:p w14:paraId="04703D9C" w14:textId="72D7EE22" w:rsidR="00E205FE" w:rsidRPr="00A35EE2" w:rsidRDefault="00DB1CE3">
          <w:pPr>
            <w:pStyle w:val="TOC1"/>
            <w:tabs>
              <w:tab w:val="right" w:leader="dot" w:pos="9016"/>
            </w:tabs>
            <w:rPr>
              <w:rFonts w:ascii="Arial" w:hAnsi="Arial" w:cs="Arial"/>
              <w:noProof/>
              <w:sz w:val="22"/>
              <w:szCs w:val="22"/>
              <w:lang w:val="en-US" w:eastAsia="en-US"/>
            </w:rPr>
          </w:pPr>
          <w:r>
            <w:rPr>
              <w:rFonts w:ascii="Arial" w:hAnsi="Arial" w:cs="Arial"/>
              <w:noProof/>
              <w:sz w:val="22"/>
              <w:szCs w:val="22"/>
              <w:lang w:val="en-US" w:eastAsia="en-US"/>
            </w:rPr>
            <w:t>References⁸</w:t>
          </w:r>
        </w:p>
        <w:p w14:paraId="5C6354E6" w14:textId="60F83727" w:rsidR="00327A12" w:rsidRPr="003F7EA0" w:rsidRDefault="00327A12" w:rsidP="003F7EA0">
          <w:pPr>
            <w:spacing w:line="360" w:lineRule="auto"/>
            <w:rPr>
              <w:rFonts w:ascii="Arial" w:hAnsi="Arial" w:cs="Arial"/>
              <w:sz w:val="22"/>
              <w:szCs w:val="22"/>
            </w:rPr>
          </w:pPr>
          <w:r w:rsidRPr="00A35EE2">
            <w:rPr>
              <w:rFonts w:ascii="Arial" w:hAnsi="Arial" w:cs="Arial"/>
              <w:b/>
              <w:bCs/>
              <w:noProof/>
              <w:sz w:val="22"/>
              <w:szCs w:val="22"/>
            </w:rPr>
            <w:fldChar w:fldCharType="end"/>
          </w:r>
        </w:p>
      </w:sdtContent>
    </w:sdt>
    <w:p w14:paraId="4DC79B74" w14:textId="77777777" w:rsidR="00327A12" w:rsidRPr="003F7EA0" w:rsidRDefault="00327A12" w:rsidP="003F7EA0">
      <w:pPr>
        <w:spacing w:line="360" w:lineRule="auto"/>
        <w:rPr>
          <w:rFonts w:ascii="Arial" w:hAnsi="Arial" w:cs="Arial"/>
          <w:sz w:val="22"/>
          <w:szCs w:val="22"/>
          <w:lang w:val="en-US"/>
        </w:rPr>
      </w:pPr>
    </w:p>
    <w:p w14:paraId="0417E7E1" w14:textId="77777777" w:rsidR="00327A12" w:rsidRPr="003F7EA0" w:rsidRDefault="00327A12" w:rsidP="003F7EA0">
      <w:pPr>
        <w:spacing w:line="360" w:lineRule="auto"/>
        <w:rPr>
          <w:rFonts w:ascii="Arial" w:eastAsiaTheme="majorEastAsia" w:hAnsi="Arial" w:cs="Arial"/>
          <w:color w:val="0F4761" w:themeColor="accent1" w:themeShade="BF"/>
          <w:sz w:val="22"/>
          <w:szCs w:val="22"/>
          <w:lang w:val="en-US"/>
        </w:rPr>
      </w:pPr>
      <w:r w:rsidRPr="003F7EA0">
        <w:rPr>
          <w:rFonts w:ascii="Arial" w:hAnsi="Arial" w:cs="Arial"/>
          <w:sz w:val="22"/>
          <w:szCs w:val="22"/>
          <w:lang w:val="en-US"/>
        </w:rPr>
        <w:br w:type="page"/>
      </w:r>
    </w:p>
    <w:p w14:paraId="5C494DA9" w14:textId="7DA37DA4" w:rsidR="00E742A3" w:rsidRPr="00823398" w:rsidRDefault="00E742A3" w:rsidP="00823398">
      <w:pPr>
        <w:pStyle w:val="Heading1"/>
      </w:pPr>
      <w:bookmarkStart w:id="0" w:name="_Toc235370827"/>
      <w:r w:rsidRPr="00823398">
        <w:lastRenderedPageBreak/>
        <w:t>Introduction</w:t>
      </w:r>
      <w:bookmarkEnd w:id="0"/>
    </w:p>
    <w:p w14:paraId="1AC60933" w14:textId="77777777" w:rsidR="00566238" w:rsidRDefault="00566238" w:rsidP="003F7EA0">
      <w:pPr>
        <w:spacing w:line="360" w:lineRule="auto"/>
        <w:jc w:val="both"/>
        <w:rPr>
          <w:rFonts w:ascii="Arial" w:hAnsi="Arial" w:cs="Arial"/>
          <w:sz w:val="22"/>
          <w:szCs w:val="22"/>
          <w:lang w:val="en-US"/>
        </w:rPr>
      </w:pPr>
      <w:r w:rsidRPr="003F7EA0">
        <w:rPr>
          <w:rFonts w:ascii="Arial" w:hAnsi="Arial" w:cs="Arial"/>
          <w:sz w:val="22"/>
          <w:szCs w:val="22"/>
          <w:lang w:val="en-US"/>
        </w:rPr>
        <w:t>Health, wellbeing and sustainable development are becoming increasingly linked priorities that influence the policy responses at global, national and local levels to address today's public health problems. The United Nations Sustainable Development Goals (SDGs) offer a wide range of social, economic and environmental issues affecting population health (United Nations, 2015). This report critically reflects on Sustainable Development Goal (SDG) 3, Good Health and Wellbeing, and SDG 13, Climate Action, to assess how they affect the health and wellbeing of citizens. It also assesses the success of the chosen national and local projects relating to health and sustainability in the U.K. and makes evidence-based recommendations for enhancing the delivery of policies and the generation of health benefits.</w:t>
      </w:r>
    </w:p>
    <w:p w14:paraId="552F5A75" w14:textId="77777777" w:rsidR="00DB1CE3" w:rsidRDefault="00DB1CE3" w:rsidP="003F7EA0">
      <w:pPr>
        <w:spacing w:line="360" w:lineRule="auto"/>
        <w:jc w:val="both"/>
        <w:rPr>
          <w:rFonts w:ascii="Arial" w:hAnsi="Arial" w:cs="Arial"/>
          <w:sz w:val="22"/>
          <w:szCs w:val="22"/>
          <w:lang w:val="en-US"/>
        </w:rPr>
      </w:pPr>
    </w:p>
    <w:p w14:paraId="76439AA5" w14:textId="77777777" w:rsidR="00DB1CE3" w:rsidRDefault="00DB1CE3" w:rsidP="003F7EA0">
      <w:pPr>
        <w:spacing w:line="360" w:lineRule="auto"/>
        <w:jc w:val="both"/>
        <w:rPr>
          <w:rFonts w:ascii="Arial" w:hAnsi="Arial" w:cs="Arial"/>
          <w:sz w:val="22"/>
          <w:szCs w:val="22"/>
          <w:lang w:val="en-US"/>
        </w:rPr>
      </w:pPr>
    </w:p>
    <w:p w14:paraId="74B36B16" w14:textId="77777777" w:rsidR="00DB1CE3" w:rsidRDefault="00DB1CE3" w:rsidP="003F7EA0">
      <w:pPr>
        <w:spacing w:line="360" w:lineRule="auto"/>
        <w:jc w:val="both"/>
        <w:rPr>
          <w:rFonts w:ascii="Arial" w:hAnsi="Arial" w:cs="Arial"/>
          <w:sz w:val="22"/>
          <w:szCs w:val="22"/>
          <w:lang w:val="en-US"/>
        </w:rPr>
      </w:pPr>
    </w:p>
    <w:p w14:paraId="7CF3B389" w14:textId="77777777" w:rsidR="00DB1CE3" w:rsidRDefault="00DB1CE3" w:rsidP="003F7EA0">
      <w:pPr>
        <w:spacing w:line="360" w:lineRule="auto"/>
        <w:jc w:val="both"/>
        <w:rPr>
          <w:rFonts w:ascii="Arial" w:hAnsi="Arial" w:cs="Arial"/>
          <w:sz w:val="22"/>
          <w:szCs w:val="22"/>
          <w:lang w:val="en-US"/>
        </w:rPr>
      </w:pPr>
    </w:p>
    <w:p w14:paraId="0A131307" w14:textId="77777777" w:rsidR="00DB1CE3" w:rsidRDefault="00DB1CE3" w:rsidP="003F7EA0">
      <w:pPr>
        <w:spacing w:line="360" w:lineRule="auto"/>
        <w:jc w:val="both"/>
        <w:rPr>
          <w:rFonts w:ascii="Arial" w:hAnsi="Arial" w:cs="Arial"/>
          <w:sz w:val="22"/>
          <w:szCs w:val="22"/>
          <w:lang w:val="en-US"/>
        </w:rPr>
      </w:pPr>
    </w:p>
    <w:p w14:paraId="5F3B23AF" w14:textId="77777777" w:rsidR="00DB1CE3" w:rsidRDefault="00DB1CE3" w:rsidP="003F7EA0">
      <w:pPr>
        <w:spacing w:line="360" w:lineRule="auto"/>
        <w:jc w:val="both"/>
        <w:rPr>
          <w:rFonts w:ascii="Arial" w:hAnsi="Arial" w:cs="Arial"/>
          <w:sz w:val="22"/>
          <w:szCs w:val="22"/>
          <w:lang w:val="en-US"/>
        </w:rPr>
      </w:pPr>
    </w:p>
    <w:p w14:paraId="06E65EF2" w14:textId="77777777" w:rsidR="00DB1CE3" w:rsidRDefault="00DB1CE3" w:rsidP="003F7EA0">
      <w:pPr>
        <w:spacing w:line="360" w:lineRule="auto"/>
        <w:jc w:val="both"/>
        <w:rPr>
          <w:rFonts w:ascii="Arial" w:hAnsi="Arial" w:cs="Arial"/>
          <w:sz w:val="22"/>
          <w:szCs w:val="22"/>
          <w:lang w:val="en-US"/>
        </w:rPr>
      </w:pPr>
    </w:p>
    <w:p w14:paraId="4AA64381" w14:textId="77777777" w:rsidR="00DB1CE3" w:rsidRDefault="00DB1CE3" w:rsidP="003F7EA0">
      <w:pPr>
        <w:spacing w:line="360" w:lineRule="auto"/>
        <w:jc w:val="both"/>
        <w:rPr>
          <w:rFonts w:ascii="Arial" w:hAnsi="Arial" w:cs="Arial"/>
          <w:sz w:val="22"/>
          <w:szCs w:val="22"/>
          <w:lang w:val="en-US"/>
        </w:rPr>
      </w:pPr>
    </w:p>
    <w:p w14:paraId="531C3D53" w14:textId="77777777" w:rsidR="00DB1CE3" w:rsidRDefault="00DB1CE3" w:rsidP="003F7EA0">
      <w:pPr>
        <w:spacing w:line="360" w:lineRule="auto"/>
        <w:jc w:val="both"/>
        <w:rPr>
          <w:rFonts w:ascii="Arial" w:hAnsi="Arial" w:cs="Arial"/>
          <w:sz w:val="22"/>
          <w:szCs w:val="22"/>
          <w:lang w:val="en-US"/>
        </w:rPr>
      </w:pPr>
    </w:p>
    <w:p w14:paraId="79590301" w14:textId="77777777" w:rsidR="00DB1CE3" w:rsidRDefault="00DB1CE3" w:rsidP="003F7EA0">
      <w:pPr>
        <w:spacing w:line="360" w:lineRule="auto"/>
        <w:jc w:val="both"/>
        <w:rPr>
          <w:rFonts w:ascii="Arial" w:hAnsi="Arial" w:cs="Arial"/>
          <w:sz w:val="22"/>
          <w:szCs w:val="22"/>
          <w:lang w:val="en-US"/>
        </w:rPr>
      </w:pPr>
    </w:p>
    <w:p w14:paraId="06E88D23" w14:textId="77777777" w:rsidR="00DB1CE3" w:rsidRDefault="00DB1CE3" w:rsidP="003F7EA0">
      <w:pPr>
        <w:spacing w:line="360" w:lineRule="auto"/>
        <w:jc w:val="both"/>
        <w:rPr>
          <w:rFonts w:ascii="Arial" w:hAnsi="Arial" w:cs="Arial"/>
          <w:sz w:val="22"/>
          <w:szCs w:val="22"/>
          <w:lang w:val="en-US"/>
        </w:rPr>
      </w:pPr>
    </w:p>
    <w:p w14:paraId="38FD38B8" w14:textId="77777777" w:rsidR="00DB1CE3" w:rsidRDefault="00DB1CE3" w:rsidP="003F7EA0">
      <w:pPr>
        <w:spacing w:line="360" w:lineRule="auto"/>
        <w:jc w:val="both"/>
        <w:rPr>
          <w:rFonts w:ascii="Arial" w:hAnsi="Arial" w:cs="Arial"/>
          <w:sz w:val="22"/>
          <w:szCs w:val="22"/>
          <w:lang w:val="en-US"/>
        </w:rPr>
      </w:pPr>
    </w:p>
    <w:p w14:paraId="1B4238F8" w14:textId="77777777" w:rsidR="00DB1CE3" w:rsidRDefault="00DB1CE3" w:rsidP="003F7EA0">
      <w:pPr>
        <w:spacing w:line="360" w:lineRule="auto"/>
        <w:jc w:val="both"/>
        <w:rPr>
          <w:rFonts w:ascii="Arial" w:hAnsi="Arial" w:cs="Arial"/>
          <w:sz w:val="22"/>
          <w:szCs w:val="22"/>
          <w:lang w:val="en-US"/>
        </w:rPr>
      </w:pPr>
    </w:p>
    <w:p w14:paraId="23CEB677" w14:textId="77777777" w:rsidR="00DB1CE3" w:rsidRDefault="00DB1CE3" w:rsidP="003F7EA0">
      <w:pPr>
        <w:spacing w:line="360" w:lineRule="auto"/>
        <w:jc w:val="both"/>
        <w:rPr>
          <w:rFonts w:ascii="Arial" w:hAnsi="Arial" w:cs="Arial"/>
          <w:sz w:val="22"/>
          <w:szCs w:val="22"/>
          <w:lang w:val="en-US"/>
        </w:rPr>
      </w:pPr>
    </w:p>
    <w:p w14:paraId="42B5601A" w14:textId="77777777" w:rsidR="00DB1CE3" w:rsidRDefault="00DB1CE3" w:rsidP="003F7EA0">
      <w:pPr>
        <w:spacing w:line="360" w:lineRule="auto"/>
        <w:jc w:val="both"/>
        <w:rPr>
          <w:rFonts w:ascii="Arial" w:hAnsi="Arial" w:cs="Arial"/>
          <w:sz w:val="22"/>
          <w:szCs w:val="22"/>
          <w:lang w:val="en-US"/>
        </w:rPr>
      </w:pPr>
    </w:p>
    <w:p w14:paraId="5B65873C" w14:textId="77777777" w:rsidR="00DB1CE3" w:rsidRDefault="00DB1CE3" w:rsidP="003F7EA0">
      <w:pPr>
        <w:spacing w:line="360" w:lineRule="auto"/>
        <w:jc w:val="both"/>
        <w:rPr>
          <w:rFonts w:ascii="Arial" w:hAnsi="Arial" w:cs="Arial"/>
          <w:sz w:val="22"/>
          <w:szCs w:val="22"/>
          <w:lang w:val="en-US"/>
        </w:rPr>
      </w:pPr>
    </w:p>
    <w:p w14:paraId="5FA3AAB6" w14:textId="77777777" w:rsidR="00DB1CE3" w:rsidRPr="003F7EA0" w:rsidRDefault="00DB1CE3" w:rsidP="003F7EA0">
      <w:pPr>
        <w:spacing w:line="360" w:lineRule="auto"/>
        <w:jc w:val="both"/>
        <w:rPr>
          <w:rFonts w:ascii="Arial" w:hAnsi="Arial" w:cs="Arial"/>
          <w:sz w:val="22"/>
          <w:szCs w:val="22"/>
          <w:lang w:val="en-US"/>
        </w:rPr>
      </w:pPr>
    </w:p>
    <w:p w14:paraId="4578C91D" w14:textId="11238585" w:rsidR="002E57F6" w:rsidRPr="00823398" w:rsidRDefault="002E57F6" w:rsidP="00823398">
      <w:pPr>
        <w:pStyle w:val="Heading1"/>
      </w:pPr>
      <w:bookmarkStart w:id="1" w:name="_Toc235370828"/>
      <w:r w:rsidRPr="00823398">
        <w:lastRenderedPageBreak/>
        <w:t>Sustainable Development Goal 3: Good Health and Wellbeing</w:t>
      </w:r>
      <w:bookmarkEnd w:id="1"/>
    </w:p>
    <w:p w14:paraId="0786092E" w14:textId="1EAA2EFC" w:rsidR="00251275" w:rsidRPr="003F7EA0"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Sustainable Development Goal (SDG) 3 is to "ensure healthy lives and promote well-being for all at all ages" and covers a wide range of health-related issues</w:t>
      </w:r>
      <w:r w:rsidR="001B7300">
        <w:rPr>
          <w:rFonts w:ascii="Arial" w:hAnsi="Arial" w:cs="Arial"/>
          <w:sz w:val="22"/>
          <w:szCs w:val="22"/>
          <w:lang w:val="en-US"/>
        </w:rPr>
        <w:t>,</w:t>
      </w:r>
      <w:r w:rsidRPr="003F7EA0">
        <w:rPr>
          <w:rFonts w:ascii="Arial" w:hAnsi="Arial" w:cs="Arial"/>
          <w:sz w:val="22"/>
          <w:szCs w:val="22"/>
          <w:lang w:val="en-US"/>
        </w:rPr>
        <w:t xml:space="preserve"> such as an end to maternal and child mortality, the prevention of communicable and non-communicable diseases (NCDs), mental health, strengthening health systems, and universal health coverage (United Nations, 2015). In contrast to previous world health agendas, which mainly addressed infectious diseases, SDG 3 takes a holistic approach, taking into account social, economic and environmental determinants of health. Thus, SDG 3 calls for sectoral coordination </w:t>
      </w:r>
      <w:r w:rsidR="001B7300">
        <w:rPr>
          <w:rFonts w:ascii="Arial" w:hAnsi="Arial" w:cs="Arial"/>
          <w:sz w:val="22"/>
          <w:szCs w:val="22"/>
          <w:lang w:val="en-US"/>
        </w:rPr>
        <w:t>to</w:t>
      </w:r>
      <w:r w:rsidRPr="003F7EA0">
        <w:rPr>
          <w:rFonts w:ascii="Arial" w:hAnsi="Arial" w:cs="Arial"/>
          <w:sz w:val="22"/>
          <w:szCs w:val="22"/>
          <w:lang w:val="en-US"/>
        </w:rPr>
        <w:t xml:space="preserve"> reach the goal, highlighting the interdependency of health as a precondition and consequence of sustainable development (World Health Organization (WHO), 2023).</w:t>
      </w:r>
    </w:p>
    <w:p w14:paraId="2FA589A6" w14:textId="01D9411C" w:rsidR="00251275" w:rsidRPr="003F7EA0"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On the global level</w:t>
      </w:r>
      <w:r w:rsidR="001B7300">
        <w:rPr>
          <w:rFonts w:ascii="Arial" w:hAnsi="Arial" w:cs="Arial"/>
          <w:sz w:val="22"/>
          <w:szCs w:val="22"/>
          <w:lang w:val="en-US"/>
        </w:rPr>
        <w:t>,</w:t>
      </w:r>
      <w:r w:rsidRPr="003F7EA0">
        <w:rPr>
          <w:rFonts w:ascii="Arial" w:hAnsi="Arial" w:cs="Arial"/>
          <w:sz w:val="22"/>
          <w:szCs w:val="22"/>
          <w:lang w:val="en-US"/>
        </w:rPr>
        <w:t xml:space="preserve"> SDG 3 has led to better political will to improve access to health, prevention of diseases and health equity. For instance, by scaling up universal health coverage, millions of people have been able to access the healthcare they need, and financial hardship due to health spending has been reduced at the same time (WHO, 2023). However, there has been uneven progress. The COVID-19 pandemic has shown that health systems are severely affected, interfering with basic health services, and exacerbating health inequalities, especially those of socioeconomically disadvantaged groups (United Nations, 2024). </w:t>
      </w:r>
    </w:p>
    <w:p w14:paraId="5FEEB944" w14:textId="4C73209F" w:rsidR="00823398"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 Social Determinants of Health (SDH) framework created by the World Health Organization (WHO) is a suitable lens to assess SDG 3. The framework proposes that the quality of health services is a key determinant of health </w:t>
      </w:r>
      <w:r w:rsidR="00DB1CE3">
        <w:rPr>
          <w:rFonts w:ascii="Arial" w:hAnsi="Arial" w:cs="Arial"/>
          <w:sz w:val="22"/>
          <w:szCs w:val="22"/>
          <w:lang w:val="en-US"/>
        </w:rPr>
        <w:t>outcomes but</w:t>
      </w:r>
      <w:r w:rsidRPr="003F7EA0">
        <w:rPr>
          <w:rFonts w:ascii="Arial" w:hAnsi="Arial" w:cs="Arial"/>
          <w:sz w:val="22"/>
          <w:szCs w:val="22"/>
          <w:lang w:val="en-US"/>
        </w:rPr>
        <w:t xml:space="preserve"> that the environment in which people are born, live, work, and age is more important (WHO, 2021).</w:t>
      </w:r>
    </w:p>
    <w:p w14:paraId="09E9BD32" w14:textId="626DDA0D" w:rsidR="00251275" w:rsidRPr="003F7EA0"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Marmot et al. (2020) also argue that the inequalities in health in the UK are strongly linked to socioeconomic disadvantage</w:t>
      </w:r>
      <w:r w:rsidR="001B7300">
        <w:rPr>
          <w:rFonts w:ascii="Arial" w:hAnsi="Arial" w:cs="Arial"/>
          <w:sz w:val="22"/>
          <w:szCs w:val="22"/>
          <w:lang w:val="en-US"/>
        </w:rPr>
        <w:t>,</w:t>
      </w:r>
      <w:r w:rsidRPr="003F7EA0">
        <w:rPr>
          <w:rFonts w:ascii="Arial" w:hAnsi="Arial" w:cs="Arial"/>
          <w:sz w:val="22"/>
          <w:szCs w:val="22"/>
          <w:lang w:val="en-US"/>
        </w:rPr>
        <w:t xml:space="preserve"> school attainment and employment status. Therefore, SDG3 offers a lofty global agenda, but its impact will be </w:t>
      </w:r>
      <w:proofErr w:type="spellStart"/>
      <w:r w:rsidRPr="003F7EA0">
        <w:rPr>
          <w:rFonts w:ascii="Arial" w:hAnsi="Arial" w:cs="Arial"/>
          <w:sz w:val="22"/>
          <w:szCs w:val="22"/>
          <w:lang w:val="en-US"/>
        </w:rPr>
        <w:t>realised</w:t>
      </w:r>
      <w:proofErr w:type="spellEnd"/>
      <w:r w:rsidRPr="003F7EA0">
        <w:rPr>
          <w:rFonts w:ascii="Arial" w:hAnsi="Arial" w:cs="Arial"/>
          <w:sz w:val="22"/>
          <w:szCs w:val="22"/>
          <w:lang w:val="en-US"/>
        </w:rPr>
        <w:t xml:space="preserve"> only through more holistic policies that tackle these wider determinants of health, rather than the clinical aspects alone.</w:t>
      </w:r>
    </w:p>
    <w:p w14:paraId="07B9B6A7" w14:textId="7323C762" w:rsidR="00251275" w:rsidRPr="003F7EA0"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In the UK, SDG 3 has led to national strategies for disease prevention, mental health service provision and reduction of avoidable death. There has been an improvement in vaccination </w:t>
      </w:r>
      <w:proofErr w:type="spellStart"/>
      <w:r w:rsidRPr="003F7EA0">
        <w:rPr>
          <w:rFonts w:ascii="Arial" w:hAnsi="Arial" w:cs="Arial"/>
          <w:sz w:val="22"/>
          <w:szCs w:val="22"/>
          <w:lang w:val="en-US"/>
        </w:rPr>
        <w:t>programmes</w:t>
      </w:r>
      <w:proofErr w:type="spellEnd"/>
      <w:r w:rsidRPr="003F7EA0">
        <w:rPr>
          <w:rFonts w:ascii="Arial" w:hAnsi="Arial" w:cs="Arial"/>
          <w:sz w:val="22"/>
          <w:szCs w:val="22"/>
          <w:lang w:val="en-US"/>
        </w:rPr>
        <w:t xml:space="preserve">, tobacco control policies and cancer screening, which has resulted in greater life expectancy and fewer preventable deaths (Office for Health Improvement and Disparities (OHID), 2023). However, there is evidence of large disparities among regions and socioeconomic groups. Those living in deprived communities still have shorter life </w:t>
      </w:r>
      <w:r w:rsidR="00DB1CE3">
        <w:rPr>
          <w:rFonts w:ascii="Arial" w:hAnsi="Arial" w:cs="Arial"/>
          <w:sz w:val="22"/>
          <w:szCs w:val="22"/>
          <w:lang w:val="en-US"/>
        </w:rPr>
        <w:t>expectancy and</w:t>
      </w:r>
      <w:r w:rsidRPr="003F7EA0">
        <w:rPr>
          <w:rFonts w:ascii="Arial" w:hAnsi="Arial" w:cs="Arial"/>
          <w:sz w:val="22"/>
          <w:szCs w:val="22"/>
          <w:lang w:val="en-US"/>
        </w:rPr>
        <w:t xml:space="preserve"> obesity </w:t>
      </w:r>
      <w:proofErr w:type="gramStart"/>
      <w:r w:rsidRPr="003F7EA0">
        <w:rPr>
          <w:rFonts w:ascii="Arial" w:hAnsi="Arial" w:cs="Arial"/>
          <w:sz w:val="22"/>
          <w:szCs w:val="22"/>
          <w:lang w:val="en-US"/>
        </w:rPr>
        <w:t>and also</w:t>
      </w:r>
      <w:proofErr w:type="gramEnd"/>
      <w:r w:rsidRPr="003F7EA0">
        <w:rPr>
          <w:rFonts w:ascii="Arial" w:hAnsi="Arial" w:cs="Arial"/>
          <w:sz w:val="22"/>
          <w:szCs w:val="22"/>
          <w:lang w:val="en-US"/>
        </w:rPr>
        <w:t xml:space="preserve"> </w:t>
      </w:r>
      <w:r w:rsidR="00DB1CE3">
        <w:rPr>
          <w:rFonts w:ascii="Arial" w:hAnsi="Arial" w:cs="Arial"/>
          <w:sz w:val="22"/>
          <w:szCs w:val="22"/>
          <w:lang w:val="en-US"/>
        </w:rPr>
        <w:t>a higher</w:t>
      </w:r>
      <w:r w:rsidRPr="003F7EA0">
        <w:rPr>
          <w:rFonts w:ascii="Arial" w:hAnsi="Arial" w:cs="Arial"/>
          <w:sz w:val="22"/>
          <w:szCs w:val="22"/>
          <w:lang w:val="en-US"/>
        </w:rPr>
        <w:t xml:space="preserve"> risk </w:t>
      </w:r>
      <w:r w:rsidR="00DB1CE3">
        <w:rPr>
          <w:rFonts w:ascii="Arial" w:hAnsi="Arial" w:cs="Arial"/>
          <w:sz w:val="22"/>
          <w:szCs w:val="22"/>
          <w:lang w:val="en-US"/>
        </w:rPr>
        <w:t>of</w:t>
      </w:r>
      <w:r w:rsidRPr="003F7EA0">
        <w:rPr>
          <w:rFonts w:ascii="Arial" w:hAnsi="Arial" w:cs="Arial"/>
          <w:sz w:val="22"/>
          <w:szCs w:val="22"/>
          <w:lang w:val="en-US"/>
        </w:rPr>
        <w:t xml:space="preserve"> cardiovascular diseases and mental illness than those in </w:t>
      </w:r>
      <w:r w:rsidRPr="003F7EA0">
        <w:rPr>
          <w:rFonts w:ascii="Arial" w:hAnsi="Arial" w:cs="Arial"/>
          <w:sz w:val="22"/>
          <w:szCs w:val="22"/>
          <w:lang w:val="en-US"/>
        </w:rPr>
        <w:lastRenderedPageBreak/>
        <w:t xml:space="preserve">more affluent communities (Marmot et </w:t>
      </w:r>
      <w:r w:rsidR="00DB1CE3">
        <w:rPr>
          <w:rFonts w:ascii="Arial" w:hAnsi="Arial" w:cs="Arial"/>
          <w:sz w:val="22"/>
          <w:szCs w:val="22"/>
          <w:lang w:val="en-US"/>
        </w:rPr>
        <w:t>al.,</w:t>
      </w:r>
      <w:r w:rsidRPr="003F7EA0">
        <w:rPr>
          <w:rFonts w:ascii="Arial" w:hAnsi="Arial" w:cs="Arial"/>
          <w:sz w:val="22"/>
          <w:szCs w:val="22"/>
          <w:lang w:val="en-US"/>
        </w:rPr>
        <w:t xml:space="preserve"> 2020; OHID, 2023). The results indicate that there is a good alignment between national policies and SDG 3 goals, but their implementation has not been adequate to remove the structural inequities in the field of health.</w:t>
      </w:r>
    </w:p>
    <w:p w14:paraId="1972A464" w14:textId="2E16F875" w:rsidR="007428DA" w:rsidRPr="003F7EA0" w:rsidRDefault="00251275"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In addition, the growing rate of mental health disorders is a continuous problem </w:t>
      </w:r>
      <w:r w:rsidR="001B7300">
        <w:rPr>
          <w:rFonts w:ascii="Arial" w:hAnsi="Arial" w:cs="Arial"/>
          <w:sz w:val="22"/>
          <w:szCs w:val="22"/>
          <w:lang w:val="en-US"/>
        </w:rPr>
        <w:t>in attaining</w:t>
      </w:r>
      <w:r w:rsidRPr="003F7EA0">
        <w:rPr>
          <w:rFonts w:ascii="Arial" w:hAnsi="Arial" w:cs="Arial"/>
          <w:sz w:val="22"/>
          <w:szCs w:val="22"/>
          <w:lang w:val="en-US"/>
        </w:rPr>
        <w:t xml:space="preserve"> SDG 3. Growing healthcare pressures are faced by the world, with the World Health Organization (2022) estimating that anxiety and depression </w:t>
      </w:r>
      <w:r w:rsidR="00DB1CE3">
        <w:rPr>
          <w:rFonts w:ascii="Arial" w:hAnsi="Arial" w:cs="Arial"/>
          <w:sz w:val="22"/>
          <w:szCs w:val="22"/>
          <w:lang w:val="en-US"/>
        </w:rPr>
        <w:t>have</w:t>
      </w:r>
      <w:r w:rsidRPr="003F7EA0">
        <w:rPr>
          <w:rFonts w:ascii="Arial" w:hAnsi="Arial" w:cs="Arial"/>
          <w:sz w:val="22"/>
          <w:szCs w:val="22"/>
          <w:lang w:val="en-US"/>
        </w:rPr>
        <w:t xml:space="preserve"> risen significantly since the COVID-19 pandemic. Thus, SDG 3 has helped to reinforce the global commitment to better health and wellbeing, but there is a need for continued investment in preventative health and wellbeing in order to achieve long-term success and greater collaboration among sectors</w:t>
      </w:r>
      <w:r w:rsidR="001B7300">
        <w:rPr>
          <w:rFonts w:ascii="Arial" w:hAnsi="Arial" w:cs="Arial"/>
          <w:sz w:val="22"/>
          <w:szCs w:val="22"/>
          <w:lang w:val="en-US"/>
        </w:rPr>
        <w:t>,</w:t>
      </w:r>
      <w:r w:rsidRPr="003F7EA0">
        <w:rPr>
          <w:rFonts w:ascii="Arial" w:hAnsi="Arial" w:cs="Arial"/>
          <w:sz w:val="22"/>
          <w:szCs w:val="22"/>
          <w:lang w:val="en-US"/>
        </w:rPr>
        <w:t xml:space="preserve"> coupled with policies that tackle the social determinants of health that </w:t>
      </w:r>
      <w:r w:rsidR="001B7300">
        <w:rPr>
          <w:rFonts w:ascii="Arial" w:hAnsi="Arial" w:cs="Arial"/>
          <w:sz w:val="22"/>
          <w:szCs w:val="22"/>
          <w:lang w:val="en-US"/>
        </w:rPr>
        <w:t>cause</w:t>
      </w:r>
      <w:r w:rsidRPr="003F7EA0">
        <w:rPr>
          <w:rFonts w:ascii="Arial" w:hAnsi="Arial" w:cs="Arial"/>
          <w:sz w:val="22"/>
          <w:szCs w:val="22"/>
          <w:lang w:val="en-US"/>
        </w:rPr>
        <w:t xml:space="preserve"> health inequalities to persist.</w:t>
      </w:r>
    </w:p>
    <w:p w14:paraId="7695155E" w14:textId="77777777" w:rsidR="00251275" w:rsidRPr="003F7EA0" w:rsidRDefault="00251275" w:rsidP="003F7EA0">
      <w:pPr>
        <w:spacing w:line="360" w:lineRule="auto"/>
        <w:jc w:val="both"/>
        <w:rPr>
          <w:rFonts w:ascii="Arial" w:hAnsi="Arial" w:cs="Arial"/>
          <w:sz w:val="22"/>
          <w:szCs w:val="22"/>
          <w:lang w:val="en-US"/>
        </w:rPr>
      </w:pPr>
    </w:p>
    <w:p w14:paraId="0BCF160D" w14:textId="77777777" w:rsidR="007428DA" w:rsidRPr="003F7EA0" w:rsidRDefault="007428DA" w:rsidP="003F7EA0">
      <w:pPr>
        <w:spacing w:line="360" w:lineRule="auto"/>
        <w:jc w:val="both"/>
        <w:rPr>
          <w:rFonts w:ascii="Arial" w:hAnsi="Arial" w:cs="Arial"/>
          <w:sz w:val="22"/>
          <w:szCs w:val="22"/>
          <w:lang w:val="en-US"/>
        </w:rPr>
      </w:pPr>
    </w:p>
    <w:p w14:paraId="31ACCA00" w14:textId="77777777" w:rsidR="007428DA" w:rsidRPr="003F7EA0" w:rsidRDefault="007428DA" w:rsidP="003F7EA0">
      <w:pPr>
        <w:spacing w:line="360" w:lineRule="auto"/>
        <w:jc w:val="both"/>
        <w:rPr>
          <w:rFonts w:ascii="Arial" w:hAnsi="Arial" w:cs="Arial"/>
          <w:sz w:val="22"/>
          <w:szCs w:val="22"/>
          <w:lang w:val="en-US"/>
        </w:rPr>
      </w:pPr>
    </w:p>
    <w:p w14:paraId="1A7C4B16" w14:textId="77777777" w:rsidR="007428DA" w:rsidRPr="003F7EA0" w:rsidRDefault="007428DA" w:rsidP="003F7EA0">
      <w:pPr>
        <w:spacing w:line="360" w:lineRule="auto"/>
        <w:jc w:val="both"/>
        <w:rPr>
          <w:rFonts w:ascii="Arial" w:hAnsi="Arial" w:cs="Arial"/>
          <w:sz w:val="22"/>
          <w:szCs w:val="22"/>
          <w:lang w:val="en-US"/>
        </w:rPr>
      </w:pPr>
    </w:p>
    <w:p w14:paraId="2CCCB905" w14:textId="77777777" w:rsidR="00AA2A1E" w:rsidRPr="003F7EA0" w:rsidRDefault="00AA2A1E" w:rsidP="003F7EA0">
      <w:pPr>
        <w:spacing w:line="360" w:lineRule="auto"/>
        <w:jc w:val="both"/>
        <w:rPr>
          <w:rFonts w:ascii="Arial" w:hAnsi="Arial" w:cs="Arial"/>
          <w:sz w:val="22"/>
          <w:szCs w:val="22"/>
          <w:lang w:val="en-US"/>
        </w:rPr>
      </w:pPr>
    </w:p>
    <w:p w14:paraId="4955F4C7" w14:textId="77777777" w:rsidR="00AA2A1E" w:rsidRPr="003F7EA0" w:rsidRDefault="00AA2A1E" w:rsidP="003F7EA0">
      <w:pPr>
        <w:spacing w:line="360" w:lineRule="auto"/>
        <w:jc w:val="both"/>
        <w:rPr>
          <w:rFonts w:ascii="Arial" w:hAnsi="Arial" w:cs="Arial"/>
          <w:sz w:val="22"/>
          <w:szCs w:val="22"/>
          <w:lang w:val="en-US"/>
        </w:rPr>
      </w:pPr>
    </w:p>
    <w:p w14:paraId="30C75C90" w14:textId="77777777" w:rsidR="00AA2A1E" w:rsidRPr="003F7EA0" w:rsidRDefault="00AA2A1E" w:rsidP="003F7EA0">
      <w:pPr>
        <w:spacing w:line="360" w:lineRule="auto"/>
        <w:jc w:val="both"/>
        <w:rPr>
          <w:rFonts w:ascii="Arial" w:hAnsi="Arial" w:cs="Arial"/>
          <w:sz w:val="22"/>
          <w:szCs w:val="22"/>
          <w:lang w:val="en-US"/>
        </w:rPr>
      </w:pPr>
    </w:p>
    <w:p w14:paraId="5640BABB" w14:textId="77777777" w:rsidR="00AA2A1E" w:rsidRPr="003F7EA0" w:rsidRDefault="00AA2A1E" w:rsidP="003F7EA0">
      <w:pPr>
        <w:spacing w:line="360" w:lineRule="auto"/>
        <w:jc w:val="both"/>
        <w:rPr>
          <w:rFonts w:ascii="Arial" w:hAnsi="Arial" w:cs="Arial"/>
          <w:sz w:val="22"/>
          <w:szCs w:val="22"/>
          <w:lang w:val="en-US"/>
        </w:rPr>
      </w:pPr>
    </w:p>
    <w:p w14:paraId="5ACD414B" w14:textId="77777777" w:rsidR="00AA2A1E" w:rsidRPr="00E742A3" w:rsidRDefault="00AA2A1E" w:rsidP="003F7EA0">
      <w:pPr>
        <w:spacing w:line="360" w:lineRule="auto"/>
        <w:jc w:val="both"/>
        <w:rPr>
          <w:rFonts w:ascii="Arial" w:hAnsi="Arial" w:cs="Arial"/>
          <w:sz w:val="22"/>
          <w:szCs w:val="22"/>
          <w:lang w:val="en-US"/>
        </w:rPr>
      </w:pPr>
    </w:p>
    <w:p w14:paraId="232BCAD6" w14:textId="77777777" w:rsidR="00DB1CE3" w:rsidRDefault="00DB1CE3" w:rsidP="00823398">
      <w:pPr>
        <w:pStyle w:val="Heading1"/>
      </w:pPr>
      <w:bookmarkStart w:id="2" w:name="_Toc235370829"/>
    </w:p>
    <w:p w14:paraId="48E08C95" w14:textId="77777777" w:rsidR="00DB1CE3" w:rsidRDefault="00DB1CE3" w:rsidP="00823398">
      <w:pPr>
        <w:pStyle w:val="Heading1"/>
      </w:pPr>
    </w:p>
    <w:p w14:paraId="4F37AF11" w14:textId="77777777" w:rsidR="00DB1CE3" w:rsidRDefault="00DB1CE3" w:rsidP="00823398">
      <w:pPr>
        <w:pStyle w:val="Heading1"/>
      </w:pPr>
    </w:p>
    <w:p w14:paraId="181F66DA" w14:textId="77777777" w:rsidR="00DB1CE3" w:rsidRPr="00DB1CE3" w:rsidRDefault="00DB1CE3" w:rsidP="00DB1CE3"/>
    <w:p w14:paraId="607CC543" w14:textId="7161C7B7" w:rsidR="002E57F6" w:rsidRPr="00823398" w:rsidRDefault="002E57F6" w:rsidP="00823398">
      <w:pPr>
        <w:pStyle w:val="Heading1"/>
      </w:pPr>
      <w:r w:rsidRPr="00823398">
        <w:lastRenderedPageBreak/>
        <w:t>Sustainable Development Goal 13: Climate Action</w:t>
      </w:r>
      <w:bookmarkEnd w:id="2"/>
    </w:p>
    <w:p w14:paraId="47BCFCD7" w14:textId="000AF15D" w:rsidR="00932E02" w:rsidRPr="003F7EA0" w:rsidRDefault="00932E02"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Sustainable Development Goal (SDG) 13 aims to take urgent action to combat climate change and its impacts by strengthening resilience, incorporating climate change into national policies, increasing education and awareness, and enhancing countries' adaptive capacity (United Nations, 2015). While SDG 13 is about </w:t>
      </w:r>
      <w:r w:rsidR="00DB1CE3">
        <w:rPr>
          <w:rFonts w:ascii="Arial" w:hAnsi="Arial" w:cs="Arial"/>
          <w:sz w:val="22"/>
          <w:szCs w:val="22"/>
          <w:lang w:val="en-US"/>
        </w:rPr>
        <w:t>environmental sustainability,</w:t>
      </w:r>
      <w:r w:rsidRPr="003F7EA0">
        <w:rPr>
          <w:rFonts w:ascii="Arial" w:hAnsi="Arial" w:cs="Arial"/>
          <w:sz w:val="22"/>
          <w:szCs w:val="22"/>
          <w:lang w:val="en-US"/>
        </w:rPr>
        <w:t xml:space="preserve"> it also has important implications for human health and wellbeing due to the direct and indirect impacts of climate change on the social, environmental and economic determinants of health. Accordingly, SDG 13 has been identified as a critical element to promote health and health inequalities (World Health Organization (WHO), 2023).</w:t>
      </w:r>
    </w:p>
    <w:p w14:paraId="2D970023" w14:textId="77777777" w:rsidR="00932E02" w:rsidRPr="003F7EA0" w:rsidRDefault="00932E02" w:rsidP="003F7EA0">
      <w:pPr>
        <w:spacing w:line="360" w:lineRule="auto"/>
        <w:jc w:val="both"/>
        <w:rPr>
          <w:rFonts w:ascii="Arial" w:hAnsi="Arial" w:cs="Arial"/>
          <w:sz w:val="22"/>
          <w:szCs w:val="22"/>
          <w:lang w:val="en-US"/>
        </w:rPr>
      </w:pPr>
      <w:r w:rsidRPr="003F7EA0">
        <w:rPr>
          <w:rFonts w:ascii="Arial" w:hAnsi="Arial" w:cs="Arial"/>
          <w:sz w:val="22"/>
          <w:szCs w:val="22"/>
          <w:lang w:val="en-US"/>
        </w:rPr>
        <w:t>Climate change is considered one of the most important public health risks in the 21st century. Increased temperature, extreme weather, air pollution, flooding and food insecurity lead to rising mortality, transmission of infectious diseases, respiratory illnesses, cardiovascular diseases and mental health disorders (Intergovernmental Panel on Climate Change (IPCC), 2023). Those with limited resources to cope with environmental hazards, such as older people, children, people with long-term health conditions and low-income communities, are disproportionately affected. (WHO, 2023) This inequitable burden of climate-related health risks provides evidence of the close linkage between environmental sustainability and health equity.</w:t>
      </w:r>
    </w:p>
    <w:p w14:paraId="572E9627" w14:textId="2343A57D" w:rsidR="00932E02" w:rsidRPr="003F7EA0" w:rsidRDefault="00932E02"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SDG 13 and health can be connected through the concept of </w:t>
      </w:r>
      <w:r w:rsidR="00DB1CE3">
        <w:rPr>
          <w:rFonts w:ascii="Arial" w:hAnsi="Arial" w:cs="Arial"/>
          <w:sz w:val="22"/>
          <w:szCs w:val="22"/>
          <w:lang w:val="en-US"/>
        </w:rPr>
        <w:t>planetary health,</w:t>
      </w:r>
      <w:r w:rsidRPr="003F7EA0">
        <w:rPr>
          <w:rFonts w:ascii="Arial" w:hAnsi="Arial" w:cs="Arial"/>
          <w:sz w:val="22"/>
          <w:szCs w:val="22"/>
          <w:lang w:val="en-US"/>
        </w:rPr>
        <w:t xml:space="preserve"> </w:t>
      </w:r>
      <w:r w:rsidR="00DB1CE3">
        <w:rPr>
          <w:rFonts w:ascii="Arial" w:hAnsi="Arial" w:cs="Arial"/>
          <w:sz w:val="22"/>
          <w:szCs w:val="22"/>
          <w:lang w:val="en-US"/>
        </w:rPr>
        <w:t>which is</w:t>
      </w:r>
      <w:r w:rsidRPr="003F7EA0">
        <w:rPr>
          <w:rFonts w:ascii="Arial" w:hAnsi="Arial" w:cs="Arial"/>
          <w:sz w:val="22"/>
          <w:szCs w:val="22"/>
          <w:lang w:val="en-US"/>
        </w:rPr>
        <w:t xml:space="preserve"> the idea that human health is dependent on healthy ecosystems and environmental sustainability (</w:t>
      </w:r>
      <w:proofErr w:type="spellStart"/>
      <w:r w:rsidRPr="003F7EA0">
        <w:rPr>
          <w:rFonts w:ascii="Arial" w:hAnsi="Arial" w:cs="Arial"/>
          <w:sz w:val="22"/>
          <w:szCs w:val="22"/>
          <w:lang w:val="en-US"/>
        </w:rPr>
        <w:t>Whitmee</w:t>
      </w:r>
      <w:proofErr w:type="spellEnd"/>
      <w:r w:rsidRPr="003F7EA0">
        <w:rPr>
          <w:rFonts w:ascii="Arial" w:hAnsi="Arial" w:cs="Arial"/>
          <w:sz w:val="22"/>
          <w:szCs w:val="22"/>
          <w:lang w:val="en-US"/>
        </w:rPr>
        <w:t xml:space="preserve"> et al., 2015). Climate change, the loss of biodiversity and environmental degradation also cause health problems, showing that public health policies need to incorporate environmental </w:t>
      </w:r>
      <w:r w:rsidR="00DB1CE3">
        <w:rPr>
          <w:rFonts w:ascii="Arial" w:hAnsi="Arial" w:cs="Arial"/>
          <w:sz w:val="22"/>
          <w:szCs w:val="22"/>
          <w:lang w:val="en-US"/>
        </w:rPr>
        <w:t>protection and</w:t>
      </w:r>
      <w:r w:rsidRPr="003F7EA0">
        <w:rPr>
          <w:rFonts w:ascii="Arial" w:hAnsi="Arial" w:cs="Arial"/>
          <w:sz w:val="22"/>
          <w:szCs w:val="22"/>
          <w:lang w:val="en-US"/>
        </w:rPr>
        <w:t xml:space="preserve"> social and economic development. Climate change has become a major public health problem in the United Kingdom. Extreme heat and air quality can lead to greater mortality and respiratory illness, and flooding </w:t>
      </w:r>
      <w:r w:rsidR="001B7300">
        <w:rPr>
          <w:rFonts w:ascii="Arial" w:hAnsi="Arial" w:cs="Arial"/>
          <w:sz w:val="22"/>
          <w:szCs w:val="22"/>
          <w:lang w:val="en-US"/>
        </w:rPr>
        <w:t xml:space="preserve">can lead </w:t>
      </w:r>
      <w:r w:rsidRPr="003F7EA0">
        <w:rPr>
          <w:rFonts w:ascii="Arial" w:hAnsi="Arial" w:cs="Arial"/>
          <w:sz w:val="22"/>
          <w:szCs w:val="22"/>
          <w:lang w:val="en-US"/>
        </w:rPr>
        <w:t>to mental health issues like anxiety and depression (UK Health Security Agency, 2024; UK Health Security Agency, 2023).</w:t>
      </w:r>
    </w:p>
    <w:p w14:paraId="4E37C1C1" w14:textId="7848255D" w:rsidR="00932E02" w:rsidRPr="003F7EA0" w:rsidRDefault="00932E02" w:rsidP="003F7EA0">
      <w:pPr>
        <w:spacing w:line="360" w:lineRule="auto"/>
        <w:jc w:val="both"/>
        <w:rPr>
          <w:rFonts w:ascii="Arial" w:hAnsi="Arial" w:cs="Arial"/>
          <w:sz w:val="22"/>
          <w:szCs w:val="22"/>
          <w:lang w:val="en-US"/>
        </w:rPr>
      </w:pPr>
      <w:r w:rsidRPr="003F7EA0">
        <w:rPr>
          <w:rFonts w:ascii="Arial" w:hAnsi="Arial" w:cs="Arial"/>
          <w:sz w:val="22"/>
          <w:szCs w:val="22"/>
          <w:lang w:val="en-US"/>
        </w:rPr>
        <w:t>Increased policy commitment</w:t>
      </w:r>
      <w:r w:rsidR="001B7300">
        <w:rPr>
          <w:rFonts w:ascii="Arial" w:hAnsi="Arial" w:cs="Arial"/>
          <w:sz w:val="22"/>
          <w:szCs w:val="22"/>
          <w:lang w:val="en-US"/>
        </w:rPr>
        <w:t>,</w:t>
      </w:r>
      <w:r w:rsidRPr="003F7EA0">
        <w:rPr>
          <w:rFonts w:ascii="Arial" w:hAnsi="Arial" w:cs="Arial"/>
          <w:sz w:val="22"/>
          <w:szCs w:val="22"/>
          <w:lang w:val="en-US"/>
        </w:rPr>
        <w:t xml:space="preserve"> but progress towards SDG 13 is not uniform. The UK has implemented ambitious policies, such as the legally binding commitment to become net zero by 2050 and the investment in renewable energy. But the Climate Change Committee (2024) states </w:t>
      </w:r>
      <w:r w:rsidR="001B7300">
        <w:rPr>
          <w:rFonts w:ascii="Arial" w:hAnsi="Arial" w:cs="Arial"/>
          <w:sz w:val="22"/>
          <w:szCs w:val="22"/>
          <w:lang w:val="en-US"/>
        </w:rPr>
        <w:t xml:space="preserve">that </w:t>
      </w:r>
      <w:r w:rsidRPr="003F7EA0">
        <w:rPr>
          <w:rFonts w:ascii="Arial" w:hAnsi="Arial" w:cs="Arial"/>
          <w:sz w:val="22"/>
          <w:szCs w:val="22"/>
          <w:lang w:val="en-US"/>
        </w:rPr>
        <w:t>adaptation is not advancing at the same pace as emissions reduction. Similarly, the United Nations (2024) notes that insufficient investments and overall underfunding, weak policy integration and ongoing fossil fuel dependency all hinder the broader health benefits of climate action in many countries.</w:t>
      </w:r>
    </w:p>
    <w:p w14:paraId="423815C6" w14:textId="77777777" w:rsidR="00932E02" w:rsidRPr="003F7EA0" w:rsidRDefault="00932E02" w:rsidP="003F7EA0">
      <w:pPr>
        <w:spacing w:line="360" w:lineRule="auto"/>
        <w:jc w:val="both"/>
        <w:rPr>
          <w:rFonts w:ascii="Arial" w:hAnsi="Arial" w:cs="Arial"/>
          <w:sz w:val="22"/>
          <w:szCs w:val="22"/>
          <w:lang w:val="en-US"/>
        </w:rPr>
      </w:pPr>
    </w:p>
    <w:p w14:paraId="59C1A6CA" w14:textId="77777777" w:rsidR="00932E02" w:rsidRPr="003F7EA0" w:rsidRDefault="00932E02" w:rsidP="003F7EA0">
      <w:pPr>
        <w:spacing w:line="360" w:lineRule="auto"/>
        <w:jc w:val="both"/>
        <w:rPr>
          <w:rFonts w:ascii="Arial" w:hAnsi="Arial" w:cs="Arial"/>
          <w:sz w:val="22"/>
          <w:szCs w:val="22"/>
          <w:lang w:val="en-US"/>
        </w:rPr>
      </w:pPr>
    </w:p>
    <w:p w14:paraId="3D6A2538" w14:textId="175C3492" w:rsidR="00932E02" w:rsidRPr="003F7EA0" w:rsidRDefault="00932E02"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In general, it is needed to better integrate the environmental and public health policies in order to achieve SDG 13. More investment in climate adaptation, </w:t>
      </w:r>
      <w:r w:rsidR="00DB1CE3">
        <w:rPr>
          <w:rFonts w:ascii="Arial" w:hAnsi="Arial" w:cs="Arial"/>
          <w:sz w:val="22"/>
          <w:szCs w:val="22"/>
          <w:lang w:val="en-US"/>
        </w:rPr>
        <w:t>fewer</w:t>
      </w:r>
      <w:r w:rsidRPr="003F7EA0">
        <w:rPr>
          <w:rFonts w:ascii="Arial" w:hAnsi="Arial" w:cs="Arial"/>
          <w:sz w:val="22"/>
          <w:szCs w:val="22"/>
          <w:lang w:val="en-US"/>
        </w:rPr>
        <w:t xml:space="preserve"> inequalities in the environment and the regular use of health impact assessments would bolster the effectiveness of policy. Such measures would not only curb health threats posed by climate change but </w:t>
      </w:r>
      <w:r w:rsidR="001B7300">
        <w:rPr>
          <w:rFonts w:ascii="Arial" w:hAnsi="Arial" w:cs="Arial"/>
          <w:sz w:val="22"/>
          <w:szCs w:val="22"/>
          <w:lang w:val="en-US"/>
        </w:rPr>
        <w:t xml:space="preserve">also </w:t>
      </w:r>
      <w:r w:rsidRPr="003F7EA0">
        <w:rPr>
          <w:rFonts w:ascii="Arial" w:hAnsi="Arial" w:cs="Arial"/>
          <w:sz w:val="22"/>
          <w:szCs w:val="22"/>
          <w:lang w:val="en-US"/>
        </w:rPr>
        <w:t xml:space="preserve">help deliver SDG </w:t>
      </w:r>
      <w:r w:rsidR="00DB1CE3">
        <w:rPr>
          <w:rFonts w:ascii="Arial" w:hAnsi="Arial" w:cs="Arial"/>
          <w:sz w:val="22"/>
          <w:szCs w:val="22"/>
          <w:lang w:val="en-US"/>
        </w:rPr>
        <w:t>3</w:t>
      </w:r>
      <w:r w:rsidRPr="003F7EA0">
        <w:rPr>
          <w:rFonts w:ascii="Arial" w:hAnsi="Arial" w:cs="Arial"/>
          <w:sz w:val="22"/>
          <w:szCs w:val="22"/>
          <w:lang w:val="en-US"/>
        </w:rPr>
        <w:t xml:space="preserve"> through building a healthier and more resilient community.</w:t>
      </w:r>
    </w:p>
    <w:p w14:paraId="23EF82FB" w14:textId="28ED9497" w:rsidR="00E742A3" w:rsidRPr="00823398" w:rsidRDefault="003F7D8A" w:rsidP="00823398">
      <w:pPr>
        <w:pStyle w:val="Heading1"/>
      </w:pPr>
      <w:bookmarkStart w:id="3" w:name="_Toc235370830"/>
      <w:r w:rsidRPr="00823398">
        <w:t>National wellbeing initiatives</w:t>
      </w:r>
      <w:bookmarkEnd w:id="3"/>
    </w:p>
    <w:p w14:paraId="26678900" w14:textId="32E5BE54"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 United Kingdom has had </w:t>
      </w:r>
      <w:r w:rsidR="001B7300">
        <w:rPr>
          <w:rFonts w:ascii="Arial" w:hAnsi="Arial" w:cs="Arial"/>
          <w:sz w:val="22"/>
          <w:szCs w:val="22"/>
          <w:lang w:val="en-US"/>
        </w:rPr>
        <w:t>several</w:t>
      </w:r>
      <w:r w:rsidRPr="003F7EA0">
        <w:rPr>
          <w:rFonts w:ascii="Arial" w:hAnsi="Arial" w:cs="Arial"/>
          <w:sz w:val="22"/>
          <w:szCs w:val="22"/>
          <w:lang w:val="en-US"/>
        </w:rPr>
        <w:t xml:space="preserve"> national </w:t>
      </w:r>
      <w:proofErr w:type="spellStart"/>
      <w:r w:rsidRPr="003F7EA0">
        <w:rPr>
          <w:rFonts w:ascii="Arial" w:hAnsi="Arial" w:cs="Arial"/>
          <w:sz w:val="22"/>
          <w:szCs w:val="22"/>
          <w:lang w:val="en-US"/>
        </w:rPr>
        <w:t>programmes</w:t>
      </w:r>
      <w:proofErr w:type="spellEnd"/>
      <w:r w:rsidRPr="003F7EA0">
        <w:rPr>
          <w:rFonts w:ascii="Arial" w:hAnsi="Arial" w:cs="Arial"/>
          <w:sz w:val="22"/>
          <w:szCs w:val="22"/>
          <w:lang w:val="en-US"/>
        </w:rPr>
        <w:t xml:space="preserve"> in place to promote population health and sustainable development. The two important initiatives are </w:t>
      </w:r>
      <w:r w:rsidR="001B7300">
        <w:rPr>
          <w:rFonts w:ascii="Arial" w:hAnsi="Arial" w:cs="Arial"/>
          <w:sz w:val="22"/>
          <w:szCs w:val="22"/>
          <w:lang w:val="en-US"/>
        </w:rPr>
        <w:t xml:space="preserve">the </w:t>
      </w:r>
      <w:r w:rsidRPr="003F7EA0">
        <w:rPr>
          <w:rFonts w:ascii="Arial" w:hAnsi="Arial" w:cs="Arial"/>
          <w:sz w:val="22"/>
          <w:szCs w:val="22"/>
          <w:lang w:val="en-US"/>
        </w:rPr>
        <w:t xml:space="preserve">UK Net Zero Strategy (2021) and </w:t>
      </w:r>
      <w:r w:rsidR="001B7300">
        <w:rPr>
          <w:rFonts w:ascii="Arial" w:hAnsi="Arial" w:cs="Arial"/>
          <w:sz w:val="22"/>
          <w:szCs w:val="22"/>
          <w:lang w:val="en-US"/>
        </w:rPr>
        <w:t xml:space="preserve">the </w:t>
      </w:r>
      <w:r w:rsidRPr="003F7EA0">
        <w:rPr>
          <w:rFonts w:ascii="Arial" w:hAnsi="Arial" w:cs="Arial"/>
          <w:sz w:val="22"/>
          <w:szCs w:val="22"/>
          <w:lang w:val="en-US"/>
        </w:rPr>
        <w:t xml:space="preserve">NHS Long Term Plan (2019). Both help to support SDG 3 and SDG 13: </w:t>
      </w:r>
      <w:r w:rsidR="00DB1CE3">
        <w:rPr>
          <w:rFonts w:ascii="Arial" w:hAnsi="Arial" w:cs="Arial"/>
          <w:sz w:val="22"/>
          <w:szCs w:val="22"/>
          <w:lang w:val="en-US"/>
        </w:rPr>
        <w:t>improve</w:t>
      </w:r>
      <w:r w:rsidRPr="003F7EA0">
        <w:rPr>
          <w:rFonts w:ascii="Arial" w:hAnsi="Arial" w:cs="Arial"/>
          <w:sz w:val="22"/>
          <w:szCs w:val="22"/>
          <w:lang w:val="en-US"/>
        </w:rPr>
        <w:t xml:space="preserve"> healthcare and </w:t>
      </w:r>
      <w:r w:rsidR="00DB1CE3">
        <w:rPr>
          <w:rFonts w:ascii="Arial" w:hAnsi="Arial" w:cs="Arial"/>
          <w:sz w:val="22"/>
          <w:szCs w:val="22"/>
          <w:lang w:val="en-US"/>
        </w:rPr>
        <w:t>environmental</w:t>
      </w:r>
      <w:r w:rsidRPr="003F7EA0">
        <w:rPr>
          <w:rFonts w:ascii="Arial" w:hAnsi="Arial" w:cs="Arial"/>
          <w:sz w:val="22"/>
          <w:szCs w:val="22"/>
          <w:lang w:val="en-US"/>
        </w:rPr>
        <w:t xml:space="preserve"> sustainability. Although both efforts have made measurable progress, there are implementation challenges that reduce the overall effectiveness.</w:t>
      </w:r>
    </w:p>
    <w:p w14:paraId="58D1904A" w14:textId="5508B342"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 NHS Long Term Plan is focused on the population health agenda, with a strong emphasis on preventative care, integrated care systems (ICSs), digital transformation and increased mental health services (NHS England, 2019). The focus on prevention is a departure from </w:t>
      </w:r>
      <w:r w:rsidR="00DB1CE3">
        <w:rPr>
          <w:rFonts w:ascii="Arial" w:hAnsi="Arial" w:cs="Arial"/>
          <w:sz w:val="22"/>
          <w:szCs w:val="22"/>
          <w:lang w:val="en-US"/>
        </w:rPr>
        <w:t>reactive</w:t>
      </w:r>
      <w:r w:rsidRPr="003F7EA0">
        <w:rPr>
          <w:rFonts w:ascii="Arial" w:hAnsi="Arial" w:cs="Arial"/>
          <w:sz w:val="22"/>
          <w:szCs w:val="22"/>
          <w:lang w:val="en-US"/>
        </w:rPr>
        <w:t xml:space="preserve"> </w:t>
      </w:r>
      <w:r w:rsidR="00DB1CE3">
        <w:rPr>
          <w:rFonts w:ascii="Arial" w:hAnsi="Arial" w:cs="Arial"/>
          <w:sz w:val="22"/>
          <w:szCs w:val="22"/>
          <w:lang w:val="en-US"/>
        </w:rPr>
        <w:t xml:space="preserve">healthcare </w:t>
      </w:r>
      <w:r w:rsidRPr="003F7EA0">
        <w:rPr>
          <w:rFonts w:ascii="Arial" w:hAnsi="Arial" w:cs="Arial"/>
          <w:sz w:val="22"/>
          <w:szCs w:val="22"/>
          <w:lang w:val="en-US"/>
        </w:rPr>
        <w:t xml:space="preserve">to a more proactive, early intervention approach, in line with the principles of the Social Determinants of Health (SDH) framework. For instance, growing investment in services delivered within the community and </w:t>
      </w:r>
      <w:proofErr w:type="spellStart"/>
      <w:r w:rsidRPr="003F7EA0">
        <w:rPr>
          <w:rFonts w:ascii="Arial" w:hAnsi="Arial" w:cs="Arial"/>
          <w:sz w:val="22"/>
          <w:szCs w:val="22"/>
          <w:lang w:val="en-US"/>
        </w:rPr>
        <w:t>personalised</w:t>
      </w:r>
      <w:proofErr w:type="spellEnd"/>
      <w:r w:rsidRPr="003F7EA0">
        <w:rPr>
          <w:rFonts w:ascii="Arial" w:hAnsi="Arial" w:cs="Arial"/>
          <w:sz w:val="22"/>
          <w:szCs w:val="22"/>
          <w:lang w:val="en-US"/>
        </w:rPr>
        <w:t xml:space="preserve"> care has enhanced care </w:t>
      </w:r>
      <w:r w:rsidR="001B7300">
        <w:rPr>
          <w:rFonts w:ascii="Arial" w:hAnsi="Arial" w:cs="Arial"/>
          <w:sz w:val="22"/>
          <w:szCs w:val="22"/>
          <w:lang w:val="en-US"/>
        </w:rPr>
        <w:t>coordination</w:t>
      </w:r>
      <w:r w:rsidRPr="003F7EA0">
        <w:rPr>
          <w:rFonts w:ascii="Arial" w:hAnsi="Arial" w:cs="Arial"/>
          <w:sz w:val="22"/>
          <w:szCs w:val="22"/>
          <w:lang w:val="en-US"/>
        </w:rPr>
        <w:t xml:space="preserve"> for people with long-term </w:t>
      </w:r>
      <w:r w:rsidR="00DB1CE3">
        <w:rPr>
          <w:rFonts w:ascii="Arial" w:hAnsi="Arial" w:cs="Arial"/>
          <w:sz w:val="22"/>
          <w:szCs w:val="22"/>
          <w:lang w:val="en-US"/>
        </w:rPr>
        <w:t>conditions and</w:t>
      </w:r>
      <w:r w:rsidRPr="003F7EA0">
        <w:rPr>
          <w:rFonts w:ascii="Arial" w:hAnsi="Arial" w:cs="Arial"/>
          <w:sz w:val="22"/>
          <w:szCs w:val="22"/>
          <w:lang w:val="en-US"/>
        </w:rPr>
        <w:t xml:space="preserve"> increased access to mental health support (NHS England, 2024). These advances help decrease unnecessary </w:t>
      </w:r>
      <w:proofErr w:type="spellStart"/>
      <w:r w:rsidR="001B7300">
        <w:rPr>
          <w:rFonts w:ascii="Arial" w:hAnsi="Arial" w:cs="Arial"/>
          <w:sz w:val="22"/>
          <w:szCs w:val="22"/>
          <w:lang w:val="en-US"/>
        </w:rPr>
        <w:t>hospitalisations</w:t>
      </w:r>
      <w:proofErr w:type="spellEnd"/>
      <w:r w:rsidRPr="003F7EA0">
        <w:rPr>
          <w:rFonts w:ascii="Arial" w:hAnsi="Arial" w:cs="Arial"/>
          <w:sz w:val="22"/>
          <w:szCs w:val="22"/>
          <w:lang w:val="en-US"/>
        </w:rPr>
        <w:t xml:space="preserve"> and enhance patient health.</w:t>
      </w:r>
    </w:p>
    <w:p w14:paraId="082843B5" w14:textId="5706274F"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Although the scheme has been successful, evidence indicates that it has not sufficiently closed down long-standing health inequalities. The King's Fund (2024) states that staffing deficits, rising demand for services and unequal access continue to severely affect NHS services, leading to long waiting times. Moreover, Marmot et al. (2020) state that health inequalities cannot be eradicated from the healthcare sector without a corresponding investment in education, housing, employment and income security. The NHS Long Term Plan</w:t>
      </w:r>
      <w:r w:rsidR="001B7300">
        <w:rPr>
          <w:rFonts w:ascii="Arial" w:hAnsi="Arial" w:cs="Arial"/>
          <w:sz w:val="22"/>
          <w:szCs w:val="22"/>
          <w:lang w:val="en-US"/>
        </w:rPr>
        <w:t>,</w:t>
      </w:r>
      <w:r w:rsidRPr="003F7EA0">
        <w:rPr>
          <w:rFonts w:ascii="Arial" w:hAnsi="Arial" w:cs="Arial"/>
          <w:sz w:val="22"/>
          <w:szCs w:val="22"/>
          <w:lang w:val="en-US"/>
        </w:rPr>
        <w:t xml:space="preserve"> therefore</w:t>
      </w:r>
      <w:r w:rsidR="001B7300">
        <w:rPr>
          <w:rFonts w:ascii="Arial" w:hAnsi="Arial" w:cs="Arial"/>
          <w:sz w:val="22"/>
          <w:szCs w:val="22"/>
          <w:lang w:val="en-US"/>
        </w:rPr>
        <w:t>,</w:t>
      </w:r>
      <w:r w:rsidRPr="003F7EA0">
        <w:rPr>
          <w:rFonts w:ascii="Arial" w:hAnsi="Arial" w:cs="Arial"/>
          <w:sz w:val="22"/>
          <w:szCs w:val="22"/>
          <w:lang w:val="en-US"/>
        </w:rPr>
        <w:t xml:space="preserve"> strongly supports SDG </w:t>
      </w:r>
      <w:r w:rsidR="00DB1CE3">
        <w:rPr>
          <w:rFonts w:ascii="Arial" w:hAnsi="Arial" w:cs="Arial"/>
          <w:sz w:val="22"/>
          <w:szCs w:val="22"/>
          <w:lang w:val="en-US"/>
        </w:rPr>
        <w:t>3</w:t>
      </w:r>
      <w:r w:rsidRPr="003F7EA0">
        <w:rPr>
          <w:rFonts w:ascii="Arial" w:hAnsi="Arial" w:cs="Arial"/>
          <w:sz w:val="22"/>
          <w:szCs w:val="22"/>
          <w:lang w:val="en-US"/>
        </w:rPr>
        <w:t xml:space="preserve"> but has limited impact </w:t>
      </w:r>
      <w:proofErr w:type="gramStart"/>
      <w:r w:rsidRPr="003F7EA0">
        <w:rPr>
          <w:rFonts w:ascii="Arial" w:hAnsi="Arial" w:cs="Arial"/>
          <w:sz w:val="22"/>
          <w:szCs w:val="22"/>
          <w:lang w:val="en-US"/>
        </w:rPr>
        <w:t>as a result of</w:t>
      </w:r>
      <w:proofErr w:type="gramEnd"/>
      <w:r w:rsidRPr="003F7EA0">
        <w:rPr>
          <w:rFonts w:ascii="Arial" w:hAnsi="Arial" w:cs="Arial"/>
          <w:sz w:val="22"/>
          <w:szCs w:val="22"/>
          <w:lang w:val="en-US"/>
        </w:rPr>
        <w:t xml:space="preserve"> wider socio-economic factors outside of the health system.</w:t>
      </w:r>
    </w:p>
    <w:p w14:paraId="79CC1D74" w14:textId="12F92F40" w:rsidR="00823398"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 UK Net Zero Strategy aims to eliminate greenhouse gas emissions and build healthier and more sustainable communities by investing in renewable energy and cleaner </w:t>
      </w:r>
      <w:r w:rsidR="00DB1CE3">
        <w:rPr>
          <w:rFonts w:ascii="Arial" w:hAnsi="Arial" w:cs="Arial"/>
          <w:sz w:val="22"/>
          <w:szCs w:val="22"/>
          <w:lang w:val="en-US"/>
        </w:rPr>
        <w:t>transport and</w:t>
      </w:r>
      <w:r w:rsidRPr="003F7EA0">
        <w:rPr>
          <w:rFonts w:ascii="Arial" w:hAnsi="Arial" w:cs="Arial"/>
          <w:sz w:val="22"/>
          <w:szCs w:val="22"/>
          <w:lang w:val="en-US"/>
        </w:rPr>
        <w:t xml:space="preserve"> in </w:t>
      </w:r>
      <w:r w:rsidR="001B7300">
        <w:rPr>
          <w:rFonts w:ascii="Arial" w:hAnsi="Arial" w:cs="Arial"/>
          <w:sz w:val="22"/>
          <w:szCs w:val="22"/>
          <w:lang w:val="en-US"/>
        </w:rPr>
        <w:t>energy-efficient</w:t>
      </w:r>
      <w:r w:rsidRPr="003F7EA0">
        <w:rPr>
          <w:rFonts w:ascii="Arial" w:hAnsi="Arial" w:cs="Arial"/>
          <w:sz w:val="22"/>
          <w:szCs w:val="22"/>
          <w:lang w:val="en-US"/>
        </w:rPr>
        <w:t xml:space="preserve"> infrastructure (Department for Energy Security and Net Zero, 2023).</w:t>
      </w:r>
    </w:p>
    <w:p w14:paraId="6350A0FF" w14:textId="2692DF0E"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lastRenderedPageBreak/>
        <w:t>The relationship between environmental policy and public health is close, with improved air quality due to reduced use of fossil fuels that may lead to reduced rates of respiratory and cardiovascular disease (WHO, 2023).</w:t>
      </w:r>
    </w:p>
    <w:p w14:paraId="38F7023C" w14:textId="324E1AF2"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However, the Climate Change Committee (2024) affirms that overall progress towards adaptation and emissions reduction is not consistent by sector, and gaps in implementation are diminishing the effectiveness of the strategy in the </w:t>
      </w:r>
      <w:r w:rsidR="00DB1CE3">
        <w:rPr>
          <w:rFonts w:ascii="Arial" w:hAnsi="Arial" w:cs="Arial"/>
          <w:sz w:val="22"/>
          <w:szCs w:val="22"/>
          <w:lang w:val="en-US"/>
        </w:rPr>
        <w:t>long term.</w:t>
      </w:r>
      <w:r w:rsidRPr="003F7EA0">
        <w:rPr>
          <w:rFonts w:ascii="Arial" w:hAnsi="Arial" w:cs="Arial"/>
          <w:sz w:val="22"/>
          <w:szCs w:val="22"/>
          <w:lang w:val="en-US"/>
        </w:rPr>
        <w:t xml:space="preserve"> Insufficient scale and local implementation of low-carbon transport </w:t>
      </w:r>
      <w:r w:rsidR="001B7300">
        <w:rPr>
          <w:rFonts w:ascii="Arial" w:hAnsi="Arial" w:cs="Arial"/>
          <w:sz w:val="22"/>
          <w:szCs w:val="22"/>
          <w:lang w:val="en-US"/>
        </w:rPr>
        <w:t>have</w:t>
      </w:r>
      <w:r w:rsidRPr="003F7EA0">
        <w:rPr>
          <w:rFonts w:ascii="Arial" w:hAnsi="Arial" w:cs="Arial"/>
          <w:sz w:val="22"/>
          <w:szCs w:val="22"/>
          <w:lang w:val="en-US"/>
        </w:rPr>
        <w:t xml:space="preserve"> restricted the expected public health gains.</w:t>
      </w:r>
    </w:p>
    <w:p w14:paraId="1A3079FC" w14:textId="1503BB0F" w:rsidR="00393CEC" w:rsidRPr="003F7EA0" w:rsidRDefault="00393CEC"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To ensure that both initiatives are more effective, there </w:t>
      </w:r>
      <w:proofErr w:type="gramStart"/>
      <w:r w:rsidRPr="003F7EA0">
        <w:rPr>
          <w:rFonts w:ascii="Arial" w:hAnsi="Arial" w:cs="Arial"/>
          <w:sz w:val="22"/>
          <w:szCs w:val="22"/>
          <w:lang w:val="en-US"/>
        </w:rPr>
        <w:t>has to</w:t>
      </w:r>
      <w:proofErr w:type="gramEnd"/>
      <w:r w:rsidRPr="003F7EA0">
        <w:rPr>
          <w:rFonts w:ascii="Arial" w:hAnsi="Arial" w:cs="Arial"/>
          <w:sz w:val="22"/>
          <w:szCs w:val="22"/>
          <w:lang w:val="en-US"/>
        </w:rPr>
        <w:t xml:space="preserve"> be more collaboration between the healthcare and environmental </w:t>
      </w:r>
      <w:r w:rsidR="00DB1CE3">
        <w:rPr>
          <w:rFonts w:ascii="Arial" w:hAnsi="Arial" w:cs="Arial"/>
          <w:sz w:val="22"/>
          <w:szCs w:val="22"/>
          <w:lang w:val="en-US"/>
        </w:rPr>
        <w:t>sectors and</w:t>
      </w:r>
      <w:r w:rsidRPr="003F7EA0">
        <w:rPr>
          <w:rFonts w:ascii="Arial" w:hAnsi="Arial" w:cs="Arial"/>
          <w:sz w:val="22"/>
          <w:szCs w:val="22"/>
          <w:lang w:val="en-US"/>
        </w:rPr>
        <w:t xml:space="preserve"> between housing and local government </w:t>
      </w:r>
      <w:proofErr w:type="spellStart"/>
      <w:r w:rsidRPr="003F7EA0">
        <w:rPr>
          <w:rFonts w:ascii="Arial" w:hAnsi="Arial" w:cs="Arial"/>
          <w:sz w:val="22"/>
          <w:szCs w:val="22"/>
          <w:lang w:val="en-US"/>
        </w:rPr>
        <w:t>organisations</w:t>
      </w:r>
      <w:proofErr w:type="spellEnd"/>
      <w:r w:rsidRPr="003F7EA0">
        <w:rPr>
          <w:rFonts w:ascii="Arial" w:hAnsi="Arial" w:cs="Arial"/>
          <w:sz w:val="22"/>
          <w:szCs w:val="22"/>
          <w:lang w:val="en-US"/>
        </w:rPr>
        <w:t xml:space="preserve">. More funding for the public health system workforce, prevention measures and digital health system infrastructure would boost the implementation of the NHS Long Term Plan. </w:t>
      </w:r>
      <w:r w:rsidR="001B7300">
        <w:rPr>
          <w:rFonts w:ascii="Arial" w:hAnsi="Arial" w:cs="Arial"/>
          <w:sz w:val="22"/>
          <w:szCs w:val="22"/>
          <w:lang w:val="en-US"/>
        </w:rPr>
        <w:t>Similarly</w:t>
      </w:r>
      <w:r w:rsidRPr="003F7EA0">
        <w:rPr>
          <w:rFonts w:ascii="Arial" w:hAnsi="Arial" w:cs="Arial"/>
          <w:sz w:val="22"/>
          <w:szCs w:val="22"/>
          <w:lang w:val="en-US"/>
        </w:rPr>
        <w:t xml:space="preserve">, ensuring that health impact assessments are part of climate policies and speeding up investment in clean transport, green infrastructure and energy-efficient </w:t>
      </w:r>
      <w:r w:rsidR="00DB1CE3">
        <w:rPr>
          <w:rFonts w:ascii="Arial" w:hAnsi="Arial" w:cs="Arial"/>
          <w:sz w:val="22"/>
          <w:szCs w:val="22"/>
          <w:lang w:val="en-US"/>
        </w:rPr>
        <w:t>housing would</w:t>
      </w:r>
      <w:r w:rsidRPr="003F7EA0">
        <w:rPr>
          <w:rFonts w:ascii="Arial" w:hAnsi="Arial" w:cs="Arial"/>
          <w:sz w:val="22"/>
          <w:szCs w:val="22"/>
          <w:lang w:val="en-US"/>
        </w:rPr>
        <w:t xml:space="preserve"> </w:t>
      </w:r>
      <w:proofErr w:type="spellStart"/>
      <w:r w:rsidR="001B7300">
        <w:rPr>
          <w:rFonts w:ascii="Arial" w:hAnsi="Arial" w:cs="Arial"/>
          <w:sz w:val="22"/>
          <w:szCs w:val="22"/>
          <w:lang w:val="en-US"/>
        </w:rPr>
        <w:t>maximise</w:t>
      </w:r>
      <w:proofErr w:type="spellEnd"/>
      <w:r w:rsidRPr="003F7EA0">
        <w:rPr>
          <w:rFonts w:ascii="Arial" w:hAnsi="Arial" w:cs="Arial"/>
          <w:sz w:val="22"/>
          <w:szCs w:val="22"/>
          <w:lang w:val="en-US"/>
        </w:rPr>
        <w:t xml:space="preserve"> the health benefits of the Net Zero </w:t>
      </w:r>
      <w:r w:rsidR="00DB1CE3">
        <w:rPr>
          <w:rFonts w:ascii="Arial" w:hAnsi="Arial" w:cs="Arial"/>
          <w:sz w:val="22"/>
          <w:szCs w:val="22"/>
          <w:lang w:val="en-US"/>
        </w:rPr>
        <w:t>Strategy,</w:t>
      </w:r>
      <w:r w:rsidRPr="003F7EA0">
        <w:rPr>
          <w:rFonts w:ascii="Arial" w:hAnsi="Arial" w:cs="Arial"/>
          <w:sz w:val="22"/>
          <w:szCs w:val="22"/>
          <w:lang w:val="en-US"/>
        </w:rPr>
        <w:t xml:space="preserve"> at the same time delivering SDG 3 and SDG 13 goals. Such comprehensive strategies would improve the coherence of the policy and help </w:t>
      </w:r>
      <w:proofErr w:type="spellStart"/>
      <w:r w:rsidR="001B7300">
        <w:rPr>
          <w:rFonts w:ascii="Arial" w:hAnsi="Arial" w:cs="Arial"/>
          <w:sz w:val="22"/>
          <w:szCs w:val="22"/>
          <w:lang w:val="en-US"/>
        </w:rPr>
        <w:t>minimise</w:t>
      </w:r>
      <w:proofErr w:type="spellEnd"/>
      <w:r w:rsidRPr="003F7EA0">
        <w:rPr>
          <w:rFonts w:ascii="Arial" w:hAnsi="Arial" w:cs="Arial"/>
          <w:sz w:val="22"/>
          <w:szCs w:val="22"/>
          <w:lang w:val="en-US"/>
        </w:rPr>
        <w:t xml:space="preserve"> the entrenched health disparities in the United Kingdom.</w:t>
      </w:r>
    </w:p>
    <w:p w14:paraId="3F152127" w14:textId="22D68170" w:rsidR="003F7D8A" w:rsidRPr="00823398" w:rsidRDefault="003F7D8A" w:rsidP="00823398">
      <w:pPr>
        <w:pStyle w:val="Heading1"/>
      </w:pPr>
      <w:bookmarkStart w:id="4" w:name="_Toc235370831"/>
      <w:r w:rsidRPr="00823398">
        <w:t>Local wellbeing initiatives</w:t>
      </w:r>
      <w:bookmarkEnd w:id="4"/>
    </w:p>
    <w:p w14:paraId="1538B7C3" w14:textId="77777777" w:rsidR="0064048B" w:rsidRPr="003F7EA0" w:rsidRDefault="0064048B" w:rsidP="003F7EA0">
      <w:pPr>
        <w:spacing w:line="360" w:lineRule="auto"/>
        <w:jc w:val="both"/>
        <w:rPr>
          <w:rFonts w:ascii="Arial" w:hAnsi="Arial" w:cs="Arial"/>
          <w:sz w:val="22"/>
          <w:szCs w:val="22"/>
          <w:lang w:val="en-US"/>
        </w:rPr>
      </w:pPr>
      <w:r w:rsidRPr="003F7EA0">
        <w:rPr>
          <w:rFonts w:ascii="Arial" w:hAnsi="Arial" w:cs="Arial"/>
          <w:sz w:val="22"/>
          <w:szCs w:val="22"/>
          <w:lang w:val="en-US"/>
        </w:rPr>
        <w:t>Effective place-based policies are key to the implementation of national health and sustainability plans at the local level. The Healthy Streets Approach and the London Environment Strategy are both working to protect and enhance public health and environmental sustainability in London, thereby helping to achieve SDG 3 and SDG 13. But they are affected by funding, implementation capability and local socio-economic conditions.</w:t>
      </w:r>
    </w:p>
    <w:p w14:paraId="44041FD7" w14:textId="6F2D9FC2" w:rsidR="0064048B" w:rsidRDefault="0064048B" w:rsidP="003F7EA0">
      <w:pPr>
        <w:spacing w:line="360" w:lineRule="auto"/>
        <w:jc w:val="both"/>
        <w:rPr>
          <w:rFonts w:ascii="Arial" w:hAnsi="Arial" w:cs="Arial"/>
          <w:sz w:val="22"/>
          <w:szCs w:val="22"/>
          <w:lang w:val="en-US"/>
        </w:rPr>
      </w:pPr>
      <w:r w:rsidRPr="003F7EA0">
        <w:rPr>
          <w:rFonts w:ascii="Arial" w:hAnsi="Arial" w:cs="Arial"/>
          <w:sz w:val="22"/>
          <w:szCs w:val="22"/>
          <w:lang w:val="en-US"/>
        </w:rPr>
        <w:t>Transport for London (TfL) has introduced the Healthy Streets Approach</w:t>
      </w:r>
      <w:r w:rsidR="001B7300">
        <w:rPr>
          <w:rFonts w:ascii="Arial" w:hAnsi="Arial" w:cs="Arial"/>
          <w:sz w:val="22"/>
          <w:szCs w:val="22"/>
          <w:lang w:val="en-US"/>
        </w:rPr>
        <w:t>,</w:t>
      </w:r>
      <w:r w:rsidRPr="003F7EA0">
        <w:rPr>
          <w:rFonts w:ascii="Arial" w:hAnsi="Arial" w:cs="Arial"/>
          <w:sz w:val="22"/>
          <w:szCs w:val="22"/>
          <w:lang w:val="en-US"/>
        </w:rPr>
        <w:t xml:space="preserve"> which encourages people to walk, cycle and use public transport instead of a car. The scheme helps to promote a healthy lifestyle through active travel, which has a positive impact on physical activity, air </w:t>
      </w:r>
      <w:r w:rsidR="00DB1CE3">
        <w:rPr>
          <w:rFonts w:ascii="Arial" w:hAnsi="Arial" w:cs="Arial"/>
          <w:sz w:val="22"/>
          <w:szCs w:val="22"/>
          <w:lang w:val="en-US"/>
        </w:rPr>
        <w:t>quality and</w:t>
      </w:r>
      <w:r w:rsidRPr="003F7EA0">
        <w:rPr>
          <w:rFonts w:ascii="Arial" w:hAnsi="Arial" w:cs="Arial"/>
          <w:sz w:val="22"/>
          <w:szCs w:val="22"/>
          <w:lang w:val="en-US"/>
        </w:rPr>
        <w:t xml:space="preserve"> mental wellbeing and lowers the risk of obesity and cardiovascular disease (Public Health England, 2016). However, there is </w:t>
      </w:r>
      <w:r w:rsidR="001B7300">
        <w:rPr>
          <w:rFonts w:ascii="Arial" w:hAnsi="Arial" w:cs="Arial"/>
          <w:sz w:val="22"/>
          <w:szCs w:val="22"/>
          <w:lang w:val="en-US"/>
        </w:rPr>
        <w:t>no</w:t>
      </w:r>
      <w:r w:rsidRPr="003F7EA0">
        <w:rPr>
          <w:rFonts w:ascii="Arial" w:hAnsi="Arial" w:cs="Arial"/>
          <w:sz w:val="22"/>
          <w:szCs w:val="22"/>
          <w:lang w:val="en-US"/>
        </w:rPr>
        <w:t xml:space="preserve"> consistent approach across London boroughs. In some areas, where there is less investment in walking and cycling infrastructure, participation is lower, limiting the impact of the initiative and potentially exacerbating health inequalities (Greater London Authority, 2023).</w:t>
      </w:r>
    </w:p>
    <w:p w14:paraId="407E56C5" w14:textId="77777777" w:rsidR="00823398" w:rsidRPr="003F7EA0" w:rsidRDefault="00823398" w:rsidP="003F7EA0">
      <w:pPr>
        <w:spacing w:line="360" w:lineRule="auto"/>
        <w:jc w:val="both"/>
        <w:rPr>
          <w:rFonts w:ascii="Arial" w:hAnsi="Arial" w:cs="Arial"/>
          <w:sz w:val="22"/>
          <w:szCs w:val="22"/>
          <w:lang w:val="en-US"/>
        </w:rPr>
      </w:pPr>
    </w:p>
    <w:p w14:paraId="44619302" w14:textId="6C8A6E73" w:rsidR="0064048B" w:rsidRPr="003F7EA0" w:rsidRDefault="0064048B"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 London Environment Strategy also aims at tackling air quality and enhancing green spaces and climate resilience (Greater London Authority, 2018). The connection between </w:t>
      </w:r>
      <w:r w:rsidRPr="003F7EA0">
        <w:rPr>
          <w:rFonts w:ascii="Arial" w:hAnsi="Arial" w:cs="Arial"/>
          <w:sz w:val="22"/>
          <w:szCs w:val="22"/>
          <w:lang w:val="en-US"/>
        </w:rPr>
        <w:lastRenderedPageBreak/>
        <w:t>exposures to green space and various mental health benefits</w:t>
      </w:r>
      <w:r w:rsidR="001B7300">
        <w:rPr>
          <w:rFonts w:ascii="Arial" w:hAnsi="Arial" w:cs="Arial"/>
          <w:sz w:val="22"/>
          <w:szCs w:val="22"/>
          <w:lang w:val="en-US"/>
        </w:rPr>
        <w:t>,</w:t>
      </w:r>
      <w:r w:rsidRPr="003F7EA0">
        <w:rPr>
          <w:rFonts w:ascii="Arial" w:hAnsi="Arial" w:cs="Arial"/>
          <w:sz w:val="22"/>
          <w:szCs w:val="22"/>
          <w:lang w:val="en-US"/>
        </w:rPr>
        <w:t xml:space="preserve"> or increased physical activity and decreased exposure to environmental hazards</w:t>
      </w:r>
      <w:r w:rsidR="001B7300">
        <w:rPr>
          <w:rFonts w:ascii="Arial" w:hAnsi="Arial" w:cs="Arial"/>
          <w:sz w:val="22"/>
          <w:szCs w:val="22"/>
          <w:lang w:val="en-US"/>
        </w:rPr>
        <w:t>,</w:t>
      </w:r>
      <w:r w:rsidRPr="003F7EA0">
        <w:rPr>
          <w:rFonts w:ascii="Arial" w:hAnsi="Arial" w:cs="Arial"/>
          <w:sz w:val="22"/>
          <w:szCs w:val="22"/>
          <w:lang w:val="en-US"/>
        </w:rPr>
        <w:t xml:space="preserve"> has been established (World Health Organization Regional Office for Europe, 2021).</w:t>
      </w:r>
    </w:p>
    <w:p w14:paraId="3CE82897" w14:textId="5BD98F76" w:rsidR="0064048B" w:rsidRPr="003F7EA0" w:rsidRDefault="0064048B" w:rsidP="003F7EA0">
      <w:pPr>
        <w:spacing w:line="360" w:lineRule="auto"/>
        <w:jc w:val="both"/>
        <w:rPr>
          <w:rFonts w:ascii="Arial" w:hAnsi="Arial" w:cs="Arial"/>
          <w:sz w:val="22"/>
          <w:szCs w:val="22"/>
          <w:lang w:val="en-US"/>
        </w:rPr>
      </w:pPr>
      <w:r w:rsidRPr="003F7EA0">
        <w:rPr>
          <w:rFonts w:ascii="Arial" w:hAnsi="Arial" w:cs="Arial"/>
          <w:sz w:val="22"/>
          <w:szCs w:val="22"/>
          <w:lang w:val="en-US"/>
        </w:rPr>
        <w:t>Despite the improvement in air quality in many places, there remains a lack of equitable access to quality green spaces and disparities between boroughs in terms of resources of local authorities, which continue to influence implementation and outcomes on health (Greater London Authority, 2023).</w:t>
      </w:r>
    </w:p>
    <w:p w14:paraId="4125C061" w14:textId="77777777" w:rsidR="0064048B" w:rsidRPr="003F7EA0" w:rsidRDefault="0064048B" w:rsidP="003F7EA0">
      <w:pPr>
        <w:spacing w:line="360" w:lineRule="auto"/>
        <w:jc w:val="both"/>
        <w:rPr>
          <w:rFonts w:ascii="Arial" w:hAnsi="Arial" w:cs="Arial"/>
          <w:sz w:val="22"/>
          <w:szCs w:val="22"/>
          <w:lang w:val="en-US"/>
        </w:rPr>
      </w:pPr>
      <w:r w:rsidRPr="003F7EA0">
        <w:rPr>
          <w:rFonts w:ascii="Arial" w:hAnsi="Arial" w:cs="Arial"/>
          <w:sz w:val="22"/>
          <w:szCs w:val="22"/>
          <w:lang w:val="en-US"/>
        </w:rPr>
        <w:t xml:space="preserve">There is a need for better co-operation between local authorities, health services and community </w:t>
      </w:r>
      <w:proofErr w:type="spellStart"/>
      <w:r w:rsidRPr="003F7EA0">
        <w:rPr>
          <w:rFonts w:ascii="Arial" w:hAnsi="Arial" w:cs="Arial"/>
          <w:sz w:val="22"/>
          <w:szCs w:val="22"/>
          <w:lang w:val="en-US"/>
        </w:rPr>
        <w:t>organisations</w:t>
      </w:r>
      <w:proofErr w:type="spellEnd"/>
      <w:r w:rsidRPr="003F7EA0">
        <w:rPr>
          <w:rFonts w:ascii="Arial" w:hAnsi="Arial" w:cs="Arial"/>
          <w:sz w:val="22"/>
          <w:szCs w:val="22"/>
          <w:lang w:val="en-US"/>
        </w:rPr>
        <w:t xml:space="preserve"> to enhance both measures. Health inequalities are the highest in deprived areas, with increased investment in these areas; public engagement would be enhanced through increased investment in active travel facilities and through residents being part of the design process. Incorporating health equity assessments in transport and environmental planning should complement the efforts of decision-making and further strengthen progress towards SDG 3 and SDG 13.</w:t>
      </w:r>
    </w:p>
    <w:p w14:paraId="113E7D85" w14:textId="77777777" w:rsidR="00DB1CE3" w:rsidRDefault="00DB1CE3" w:rsidP="00823398">
      <w:pPr>
        <w:pStyle w:val="Heading1"/>
      </w:pPr>
      <w:bookmarkStart w:id="5" w:name="_Toc235370832"/>
    </w:p>
    <w:p w14:paraId="3D75BD38" w14:textId="77777777" w:rsidR="00DB1CE3" w:rsidRDefault="00DB1CE3" w:rsidP="00823398">
      <w:pPr>
        <w:pStyle w:val="Heading1"/>
      </w:pPr>
    </w:p>
    <w:p w14:paraId="4AE85D03" w14:textId="77777777" w:rsidR="00DB1CE3" w:rsidRDefault="00DB1CE3" w:rsidP="00823398">
      <w:pPr>
        <w:pStyle w:val="Heading1"/>
      </w:pPr>
    </w:p>
    <w:p w14:paraId="28D17859" w14:textId="77777777" w:rsidR="00DB1CE3" w:rsidRDefault="00DB1CE3" w:rsidP="00823398">
      <w:pPr>
        <w:pStyle w:val="Heading1"/>
      </w:pPr>
    </w:p>
    <w:p w14:paraId="10DA30C1" w14:textId="77777777" w:rsidR="00DB1CE3" w:rsidRDefault="00DB1CE3" w:rsidP="00823398">
      <w:pPr>
        <w:pStyle w:val="Heading1"/>
      </w:pPr>
    </w:p>
    <w:p w14:paraId="4BE13EEE" w14:textId="77777777" w:rsidR="00DB1CE3" w:rsidRDefault="00DB1CE3" w:rsidP="00823398">
      <w:pPr>
        <w:pStyle w:val="Heading1"/>
      </w:pPr>
    </w:p>
    <w:p w14:paraId="51C48890" w14:textId="77777777" w:rsidR="00DB1CE3" w:rsidRDefault="00DB1CE3" w:rsidP="00823398">
      <w:pPr>
        <w:pStyle w:val="Heading1"/>
      </w:pPr>
    </w:p>
    <w:p w14:paraId="5E4383E9" w14:textId="77777777" w:rsidR="00DB1CE3" w:rsidRPr="00DB1CE3" w:rsidRDefault="00DB1CE3" w:rsidP="00DB1CE3"/>
    <w:p w14:paraId="4FA43B3C" w14:textId="1B381684" w:rsidR="003F7D8A" w:rsidRPr="00823398" w:rsidRDefault="003F7D8A" w:rsidP="00823398">
      <w:pPr>
        <w:pStyle w:val="Heading1"/>
      </w:pPr>
      <w:r w:rsidRPr="00823398">
        <w:lastRenderedPageBreak/>
        <w:t>Conclusion</w:t>
      </w:r>
      <w:bookmarkEnd w:id="5"/>
    </w:p>
    <w:p w14:paraId="411036A9" w14:textId="6B4B0805" w:rsidR="00722B09" w:rsidRPr="003F7EA0" w:rsidRDefault="00393CEC" w:rsidP="003F7EA0">
      <w:pPr>
        <w:spacing w:line="360" w:lineRule="auto"/>
        <w:jc w:val="both"/>
        <w:rPr>
          <w:rFonts w:ascii="Arial" w:hAnsi="Arial" w:cs="Arial"/>
          <w:sz w:val="22"/>
          <w:szCs w:val="22"/>
        </w:rPr>
      </w:pPr>
      <w:r w:rsidRPr="003F7EA0">
        <w:rPr>
          <w:rFonts w:ascii="Arial" w:hAnsi="Arial" w:cs="Arial"/>
          <w:sz w:val="22"/>
          <w:szCs w:val="22"/>
        </w:rPr>
        <w:t xml:space="preserve">This report has taken a critical approach to the connections between </w:t>
      </w:r>
      <w:r w:rsidR="00DB1CE3">
        <w:rPr>
          <w:rFonts w:ascii="Arial" w:hAnsi="Arial" w:cs="Arial"/>
          <w:sz w:val="22"/>
          <w:szCs w:val="22"/>
        </w:rPr>
        <w:t>sustainable development</w:t>
      </w:r>
      <w:r w:rsidRPr="003F7EA0">
        <w:rPr>
          <w:rFonts w:ascii="Arial" w:hAnsi="Arial" w:cs="Arial"/>
          <w:sz w:val="22"/>
          <w:szCs w:val="22"/>
        </w:rPr>
        <w:t xml:space="preserve"> and </w:t>
      </w:r>
      <w:r w:rsidR="00DB1CE3">
        <w:rPr>
          <w:rFonts w:ascii="Arial" w:hAnsi="Arial" w:cs="Arial"/>
          <w:sz w:val="22"/>
          <w:szCs w:val="22"/>
        </w:rPr>
        <w:t>health</w:t>
      </w:r>
      <w:r w:rsidRPr="003F7EA0">
        <w:rPr>
          <w:rFonts w:ascii="Arial" w:hAnsi="Arial" w:cs="Arial"/>
          <w:sz w:val="22"/>
          <w:szCs w:val="22"/>
        </w:rPr>
        <w:t xml:space="preserve"> and </w:t>
      </w:r>
      <w:r w:rsidR="00DB1CE3">
        <w:rPr>
          <w:rFonts w:ascii="Arial" w:hAnsi="Arial" w:cs="Arial"/>
          <w:sz w:val="22"/>
          <w:szCs w:val="22"/>
        </w:rPr>
        <w:t>wellbeing,</w:t>
      </w:r>
      <w:r w:rsidRPr="003F7EA0">
        <w:rPr>
          <w:rFonts w:ascii="Arial" w:hAnsi="Arial" w:cs="Arial"/>
          <w:sz w:val="22"/>
          <w:szCs w:val="22"/>
        </w:rPr>
        <w:t xml:space="preserve"> in this context focusing on SDG 3 (Good Health and Wellbeing) and SDG 13 (Climate Action). The discussion illustrated that a health promotion strategy needs to be comprehensive and multi-sectoral, encompassing the social, economic and environmental determinants of health as well as the provision of health services. The assessment of national and local initiatives has raised awareness of the value of steps taken to encourage health and sustainability in the United Kingdom</w:t>
      </w:r>
      <w:r w:rsidR="001B7300">
        <w:rPr>
          <w:rFonts w:ascii="Arial" w:hAnsi="Arial" w:cs="Arial"/>
          <w:sz w:val="22"/>
          <w:szCs w:val="22"/>
        </w:rPr>
        <w:t>,</w:t>
      </w:r>
      <w:r w:rsidRPr="003F7EA0">
        <w:rPr>
          <w:rFonts w:ascii="Arial" w:hAnsi="Arial" w:cs="Arial"/>
          <w:sz w:val="22"/>
          <w:szCs w:val="22"/>
        </w:rPr>
        <w:t xml:space="preserve"> as well as key barriers to progress, including inequalities in health, challenges to implementation and resource limitations. Better cross-sector collaboration, more focus on prevention, and integration of health into sustainability policies will improve the effectiveness of policies and contribute to the health and wellbeing of past, present and future generations.</w:t>
      </w:r>
    </w:p>
    <w:p w14:paraId="7047D3A2" w14:textId="77777777" w:rsidR="00285B68" w:rsidRPr="003F7EA0" w:rsidRDefault="00285B68" w:rsidP="003F7EA0">
      <w:pPr>
        <w:spacing w:line="360" w:lineRule="auto"/>
        <w:jc w:val="both"/>
        <w:rPr>
          <w:rFonts w:ascii="Arial" w:hAnsi="Arial" w:cs="Arial"/>
          <w:sz w:val="22"/>
          <w:szCs w:val="22"/>
        </w:rPr>
      </w:pPr>
    </w:p>
    <w:p w14:paraId="06C60856" w14:textId="77777777" w:rsidR="00285B68" w:rsidRPr="003F7EA0" w:rsidRDefault="00285B68" w:rsidP="003F7EA0">
      <w:pPr>
        <w:spacing w:line="360" w:lineRule="auto"/>
        <w:jc w:val="both"/>
        <w:rPr>
          <w:rFonts w:ascii="Arial" w:hAnsi="Arial" w:cs="Arial"/>
          <w:sz w:val="22"/>
          <w:szCs w:val="22"/>
        </w:rPr>
      </w:pPr>
    </w:p>
    <w:p w14:paraId="69C195C7" w14:textId="77777777" w:rsidR="00285B68" w:rsidRPr="003F7EA0" w:rsidRDefault="00285B68" w:rsidP="003F7EA0">
      <w:pPr>
        <w:spacing w:line="360" w:lineRule="auto"/>
        <w:jc w:val="both"/>
        <w:rPr>
          <w:rFonts w:ascii="Arial" w:hAnsi="Arial" w:cs="Arial"/>
          <w:sz w:val="22"/>
          <w:szCs w:val="22"/>
        </w:rPr>
      </w:pPr>
    </w:p>
    <w:p w14:paraId="22D38269" w14:textId="77777777" w:rsidR="00285B68" w:rsidRPr="003F7EA0" w:rsidRDefault="00285B68" w:rsidP="003F7EA0">
      <w:pPr>
        <w:spacing w:line="360" w:lineRule="auto"/>
        <w:jc w:val="both"/>
        <w:rPr>
          <w:rFonts w:ascii="Arial" w:hAnsi="Arial" w:cs="Arial"/>
          <w:sz w:val="22"/>
          <w:szCs w:val="22"/>
        </w:rPr>
      </w:pPr>
    </w:p>
    <w:p w14:paraId="2A7E3364" w14:textId="77777777" w:rsidR="00DB1CE3" w:rsidRDefault="00DB1CE3" w:rsidP="00823398">
      <w:pPr>
        <w:pStyle w:val="Heading1"/>
      </w:pPr>
      <w:bookmarkStart w:id="6" w:name="_Toc235370833"/>
    </w:p>
    <w:p w14:paraId="5A606B1E" w14:textId="77777777" w:rsidR="00DB1CE3" w:rsidRDefault="00DB1CE3" w:rsidP="00823398">
      <w:pPr>
        <w:pStyle w:val="Heading1"/>
      </w:pPr>
    </w:p>
    <w:p w14:paraId="5CC087D1" w14:textId="77777777" w:rsidR="00DB1CE3" w:rsidRPr="00DB1CE3" w:rsidRDefault="00DB1CE3" w:rsidP="00DB1CE3"/>
    <w:p w14:paraId="7D951B31" w14:textId="77777777" w:rsidR="00DB1CE3" w:rsidRDefault="00DB1CE3" w:rsidP="00823398">
      <w:pPr>
        <w:pStyle w:val="Heading1"/>
      </w:pPr>
    </w:p>
    <w:p w14:paraId="337521E0" w14:textId="77777777" w:rsidR="00DB1CE3" w:rsidRDefault="00DB1CE3" w:rsidP="00823398">
      <w:pPr>
        <w:pStyle w:val="Heading1"/>
      </w:pPr>
    </w:p>
    <w:p w14:paraId="3AD11354" w14:textId="77777777" w:rsidR="00DB1CE3" w:rsidRDefault="00DB1CE3" w:rsidP="00DB1CE3"/>
    <w:p w14:paraId="70C5289D" w14:textId="77777777" w:rsidR="00DB1CE3" w:rsidRPr="00DB1CE3" w:rsidRDefault="00DB1CE3" w:rsidP="00DB1CE3"/>
    <w:p w14:paraId="53691305" w14:textId="6A46A6AD" w:rsidR="003F7D8A" w:rsidRPr="00823398" w:rsidRDefault="003F7D8A" w:rsidP="00823398">
      <w:pPr>
        <w:pStyle w:val="Heading1"/>
      </w:pPr>
      <w:r w:rsidRPr="00823398">
        <w:lastRenderedPageBreak/>
        <w:t>References</w:t>
      </w:r>
      <w:bookmarkEnd w:id="6"/>
    </w:p>
    <w:p w14:paraId="2E7C11A7" w14:textId="0C0CA1B4"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 xml:space="preserve">Climate Change Committee (2024) Progress in reducing emissions: 2024 Report to Parliament. London: Climate Change Committee. Available at: </w:t>
      </w:r>
      <w:hyperlink r:id="rId8" w:history="1">
        <w:r w:rsidR="001B7300" w:rsidRPr="007459A7">
          <w:rPr>
            <w:rStyle w:val="Hyperlink"/>
            <w:rFonts w:ascii="Arial" w:hAnsi="Arial" w:cs="Arial"/>
            <w:sz w:val="22"/>
            <w:szCs w:val="22"/>
            <w:lang w:val="en-US"/>
          </w:rPr>
          <w:t>https://www.theccc.org.uk/</w:t>
        </w:r>
      </w:hyperlink>
      <w:r w:rsidR="001B7300">
        <w:rPr>
          <w:rFonts w:ascii="Arial" w:hAnsi="Arial" w:cs="Arial"/>
          <w:sz w:val="22"/>
          <w:szCs w:val="22"/>
          <w:lang w:val="en-US"/>
        </w:rPr>
        <w:t xml:space="preserve"> </w:t>
      </w:r>
      <w:r w:rsidRPr="00CF312E">
        <w:rPr>
          <w:rFonts w:ascii="Arial" w:hAnsi="Arial" w:cs="Arial"/>
          <w:sz w:val="22"/>
          <w:szCs w:val="22"/>
          <w:lang w:val="en-US"/>
        </w:rPr>
        <w:t>(Accessed: 10 July 2026).</w:t>
      </w:r>
    </w:p>
    <w:p w14:paraId="5A41F220" w14:textId="61152716"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 xml:space="preserve">Department for Energy Security and Net Zero (2023) Powering Up Britain. London: HM Government. Available at: </w:t>
      </w:r>
      <w:hyperlink r:id="rId9" w:history="1">
        <w:r w:rsidR="001B7300" w:rsidRPr="007459A7">
          <w:rPr>
            <w:rStyle w:val="Hyperlink"/>
            <w:rFonts w:ascii="Arial" w:hAnsi="Arial" w:cs="Arial"/>
            <w:sz w:val="22"/>
            <w:szCs w:val="22"/>
            <w:lang w:val="en-US"/>
          </w:rPr>
          <w:t>https://www.gov.uk/government/publications/powering-up-britain</w:t>
        </w:r>
      </w:hyperlink>
      <w:r w:rsidR="001B7300">
        <w:rPr>
          <w:rFonts w:ascii="Arial" w:hAnsi="Arial" w:cs="Arial"/>
          <w:sz w:val="22"/>
          <w:szCs w:val="22"/>
          <w:lang w:val="en-US"/>
        </w:rPr>
        <w:t xml:space="preserve"> </w:t>
      </w:r>
      <w:r w:rsidRPr="00CF312E">
        <w:rPr>
          <w:rFonts w:ascii="Arial" w:hAnsi="Arial" w:cs="Arial"/>
          <w:sz w:val="22"/>
          <w:szCs w:val="22"/>
          <w:lang w:val="en-US"/>
        </w:rPr>
        <w:t>(Accessed: 1</w:t>
      </w:r>
      <w:r>
        <w:rPr>
          <w:rFonts w:ascii="Arial" w:hAnsi="Arial" w:cs="Arial"/>
          <w:sz w:val="22"/>
          <w:szCs w:val="22"/>
          <w:lang w:val="en-US"/>
        </w:rPr>
        <w:t>4</w:t>
      </w:r>
      <w:r w:rsidRPr="00CF312E">
        <w:rPr>
          <w:rFonts w:ascii="Arial" w:hAnsi="Arial" w:cs="Arial"/>
          <w:sz w:val="22"/>
          <w:szCs w:val="22"/>
          <w:lang w:val="en-US"/>
        </w:rPr>
        <w:t xml:space="preserve"> July 2026).</w:t>
      </w:r>
    </w:p>
    <w:p w14:paraId="2EA3E9CB"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Greater London Authority (2018) London Environment Strategy. London: Greater London Authority. Available at: https://www.london.gov.uk/programmes-and-strategies/environment-and-climate-change/london-environment-strategy (Accessed: 12 July 2026).</w:t>
      </w:r>
    </w:p>
    <w:p w14:paraId="5EF88C5A"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Greater London Authority (2023) London Environment Strategy: Annual Monitoring Report. London: Greater London Authority. Available at: https://www.london.gov.uk/ (Accessed: 13 July 2026).</w:t>
      </w:r>
    </w:p>
    <w:p w14:paraId="63C1635E"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Intergovernmental Panel on Climate Change (2023) Climate Change 2023: Synthesis Report. Geneva: IPCC. Available at: https://www.ipcc.ch/report/ar6/syr/ (Accessed: 14 July 2026).</w:t>
      </w:r>
    </w:p>
    <w:p w14:paraId="6B6300F2"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Marmot, M., Allen, J., Boyce, T., Goldblatt, P. and Morrison, J. (2020) Health Equity in England: The Marmot Review 10 Years On. London: Institute of Health Equity.</w:t>
      </w:r>
    </w:p>
    <w:p w14:paraId="324E95B8" w14:textId="19E81D8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NHS England (2019) The NHS Long Term Plan. London: NHS England. Available at: https://www.longtermplan.nhs.uk/ (Accessed: 1</w:t>
      </w:r>
      <w:r>
        <w:rPr>
          <w:rFonts w:ascii="Arial" w:hAnsi="Arial" w:cs="Arial"/>
          <w:sz w:val="22"/>
          <w:szCs w:val="22"/>
          <w:lang w:val="en-US"/>
        </w:rPr>
        <w:t>6</w:t>
      </w:r>
      <w:r w:rsidRPr="00CF312E">
        <w:rPr>
          <w:rFonts w:ascii="Arial" w:hAnsi="Arial" w:cs="Arial"/>
          <w:sz w:val="22"/>
          <w:szCs w:val="22"/>
          <w:lang w:val="en-US"/>
        </w:rPr>
        <w:t xml:space="preserve"> July 2026).</w:t>
      </w:r>
    </w:p>
    <w:p w14:paraId="23D50F50"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NHS England (2024) NHS Long Term Plan: Annual Update. London: NHS England. Available at: https://www.england.nhs.uk/long-term-plan/ (Accessed: 16 July 2026).</w:t>
      </w:r>
    </w:p>
    <w:p w14:paraId="40F3647F"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Office for Health Improvement and Disparities (2023) Public Health Outcomes Framework. London: Department of Health and Social Care. Available at: https://fingertips.phe.org.uk/profile/public-health-outcomes-framework (Accessed: 17 July 2026).</w:t>
      </w:r>
    </w:p>
    <w:p w14:paraId="7E429C2B"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Public Health England (2016) Working Together to Promote Active Travel. London: Public Health England.</w:t>
      </w:r>
    </w:p>
    <w:p w14:paraId="070ADE5F"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The King's Fund (2024) The NHS in a nutshell. London: The King's Fund. Available at: https://www.kingsfund.org.uk/ (Accessed: 10 July 2026).</w:t>
      </w:r>
    </w:p>
    <w:p w14:paraId="47019CCE" w14:textId="77777777" w:rsidR="00CF312E" w:rsidRPr="00CF312E" w:rsidRDefault="00CF312E" w:rsidP="00CF312E">
      <w:pPr>
        <w:spacing w:line="360" w:lineRule="auto"/>
        <w:jc w:val="both"/>
        <w:rPr>
          <w:rFonts w:ascii="Arial" w:hAnsi="Arial" w:cs="Arial"/>
          <w:sz w:val="22"/>
          <w:szCs w:val="22"/>
          <w:lang w:val="en-US"/>
        </w:rPr>
      </w:pPr>
    </w:p>
    <w:p w14:paraId="23E970D1"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lastRenderedPageBreak/>
        <w:t>Transport for London (2017) Healthy Streets for London. London: Transport for London. Available at: https://tfl.gov.uk/corporate/about-tfl/how-we-work/planning-for-the-future/healthy-streets (Accessed: 11 July 2026).</w:t>
      </w:r>
    </w:p>
    <w:p w14:paraId="1E0A53FF"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UK Health Security Agency (2023) Health Effects of Climate Change (HECC) in the UK. London: UK Health Security Agency. Available at: https://www.gov.uk/government/organisations/uk-health-security-agency (Accessed: 12 July 2026).</w:t>
      </w:r>
    </w:p>
    <w:p w14:paraId="2F4964B7" w14:textId="3406F8FA"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UK Health Security Agency (2024) Adverse Weather and Health Plan for England. London: UK Health Security Agency. Available at: https://www.gov.uk/government/publications/adverse-weather-and-health-plan (Accessed: 1</w:t>
      </w:r>
      <w:r>
        <w:rPr>
          <w:rFonts w:ascii="Arial" w:hAnsi="Arial" w:cs="Arial"/>
          <w:sz w:val="22"/>
          <w:szCs w:val="22"/>
          <w:lang w:val="en-US"/>
        </w:rPr>
        <w:t>2</w:t>
      </w:r>
      <w:r w:rsidRPr="00CF312E">
        <w:rPr>
          <w:rFonts w:ascii="Arial" w:hAnsi="Arial" w:cs="Arial"/>
          <w:sz w:val="22"/>
          <w:szCs w:val="22"/>
          <w:lang w:val="en-US"/>
        </w:rPr>
        <w:t xml:space="preserve"> July 2026).</w:t>
      </w:r>
    </w:p>
    <w:p w14:paraId="5C6D0629" w14:textId="795CBE65"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United Nations (2015) Transforming our world: The 2030 Agenda for Sustainable Development. New York: United Nations. Available at: https://sdgs.un.org/2030agenda (Accessed: 1</w:t>
      </w:r>
      <w:r>
        <w:rPr>
          <w:rFonts w:ascii="Arial" w:hAnsi="Arial" w:cs="Arial"/>
          <w:sz w:val="22"/>
          <w:szCs w:val="22"/>
          <w:lang w:val="en-US"/>
        </w:rPr>
        <w:t>2</w:t>
      </w:r>
      <w:r w:rsidRPr="00CF312E">
        <w:rPr>
          <w:rFonts w:ascii="Arial" w:hAnsi="Arial" w:cs="Arial"/>
          <w:sz w:val="22"/>
          <w:szCs w:val="22"/>
          <w:lang w:val="en-US"/>
        </w:rPr>
        <w:t xml:space="preserve"> July 2026).</w:t>
      </w:r>
    </w:p>
    <w:p w14:paraId="4EB37879"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United Nations (2024) The Sustainable Development Goals Report 2024. New York: United Nations. Available at: https://unstats.un.org/sdgs/report/2024/ (Accessed: 15 July 2026).</w:t>
      </w:r>
    </w:p>
    <w:p w14:paraId="62241FC9" w14:textId="18BE81EE" w:rsidR="00CF312E" w:rsidRPr="00CF312E" w:rsidRDefault="00CF312E" w:rsidP="00CF312E">
      <w:pPr>
        <w:spacing w:line="360" w:lineRule="auto"/>
        <w:jc w:val="both"/>
        <w:rPr>
          <w:rFonts w:ascii="Arial" w:hAnsi="Arial" w:cs="Arial"/>
          <w:sz w:val="22"/>
          <w:szCs w:val="22"/>
          <w:lang w:val="en-US"/>
        </w:rPr>
      </w:pPr>
      <w:proofErr w:type="spellStart"/>
      <w:r w:rsidRPr="00CF312E">
        <w:rPr>
          <w:rFonts w:ascii="Arial" w:hAnsi="Arial" w:cs="Arial"/>
          <w:sz w:val="22"/>
          <w:szCs w:val="22"/>
          <w:lang w:val="en-US"/>
        </w:rPr>
        <w:t>Whitmee</w:t>
      </w:r>
      <w:proofErr w:type="spellEnd"/>
      <w:r w:rsidRPr="00CF312E">
        <w:rPr>
          <w:rFonts w:ascii="Arial" w:hAnsi="Arial" w:cs="Arial"/>
          <w:sz w:val="22"/>
          <w:szCs w:val="22"/>
          <w:lang w:val="en-US"/>
        </w:rPr>
        <w:t xml:space="preserve">, S., Haines, A., Beyrer, C., Boltz, F., Capon, A.G., Dias, B.F.S., Ezeh, A., Frumkin, H., Gong, P., Head, P. and Horton, R. (2015) ‘Safeguarding human health in the Anthropocene epoch: Report of </w:t>
      </w:r>
      <w:r w:rsidR="00DB1CE3">
        <w:rPr>
          <w:rFonts w:ascii="Arial" w:hAnsi="Arial" w:cs="Arial"/>
          <w:sz w:val="22"/>
          <w:szCs w:val="22"/>
          <w:lang w:val="en-US"/>
        </w:rPr>
        <w:t>the</w:t>
      </w:r>
      <w:r w:rsidRPr="00CF312E">
        <w:rPr>
          <w:rFonts w:ascii="Arial" w:hAnsi="Arial" w:cs="Arial"/>
          <w:sz w:val="22"/>
          <w:szCs w:val="22"/>
          <w:lang w:val="en-US"/>
        </w:rPr>
        <w:t xml:space="preserve"> Rockefeller Foundation–Lancet Commission on planetary health’, The Lancet, 386(10007), pp. 1973–2028.</w:t>
      </w:r>
    </w:p>
    <w:p w14:paraId="39C71FD2"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World Health Organization (2021) Health promotion glossary of terms 2021. Geneva: World Health Organization. Available at: https://www.who.int/publications/i/item/9789240038349 (Accessed: 16 July 2026).</w:t>
      </w:r>
    </w:p>
    <w:p w14:paraId="0D97CFEA"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World Health Organization (2021) Social determinants of health. Geneva: World Health Organization. Available at: https://www.who.int/health-topics/social-determinants-of-health (Accessed: 17 July 2026).</w:t>
      </w:r>
    </w:p>
    <w:p w14:paraId="4581AB9B"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World Health Organization (2022) Mental Health and COVID-19: Early evidence of the pandemic's impact. Geneva: World Health Organization.</w:t>
      </w:r>
    </w:p>
    <w:p w14:paraId="330383B2"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t>World Health Organization (2023) Climate change and health. Geneva: World Health Organization. Available at: https://www.who.int/news-room/fact-sheets/detail/climate-change-and-health (Accessed: 10 July 2026).</w:t>
      </w:r>
    </w:p>
    <w:p w14:paraId="3879D3CE" w14:textId="77777777" w:rsidR="00CF312E" w:rsidRPr="00CF312E" w:rsidRDefault="00CF312E" w:rsidP="00CF312E">
      <w:pPr>
        <w:spacing w:line="360" w:lineRule="auto"/>
        <w:jc w:val="both"/>
        <w:rPr>
          <w:rFonts w:ascii="Arial" w:hAnsi="Arial" w:cs="Arial"/>
          <w:sz w:val="22"/>
          <w:szCs w:val="22"/>
          <w:lang w:val="en-US"/>
        </w:rPr>
      </w:pPr>
      <w:r w:rsidRPr="00CF312E">
        <w:rPr>
          <w:rFonts w:ascii="Arial" w:hAnsi="Arial" w:cs="Arial"/>
          <w:sz w:val="22"/>
          <w:szCs w:val="22"/>
          <w:lang w:val="en-US"/>
        </w:rPr>
        <w:lastRenderedPageBreak/>
        <w:t>World Health Organization (2023) World Health Statistics 2023: Monitoring health for the SDGs. Geneva: World Health Organization.</w:t>
      </w:r>
    </w:p>
    <w:p w14:paraId="7BC5D73A" w14:textId="2A17406E" w:rsidR="00A4238A" w:rsidRPr="003F7EA0" w:rsidRDefault="00CF312E" w:rsidP="00CF312E">
      <w:pPr>
        <w:spacing w:line="360" w:lineRule="auto"/>
        <w:jc w:val="both"/>
        <w:rPr>
          <w:rFonts w:ascii="Arial" w:hAnsi="Arial" w:cs="Arial"/>
          <w:sz w:val="22"/>
          <w:szCs w:val="22"/>
        </w:rPr>
      </w:pPr>
      <w:r w:rsidRPr="00CF312E">
        <w:rPr>
          <w:rFonts w:ascii="Arial" w:hAnsi="Arial" w:cs="Arial"/>
          <w:sz w:val="22"/>
          <w:szCs w:val="22"/>
          <w:lang w:val="en-US"/>
        </w:rPr>
        <w:t>World Health Organization Regional Office for Europe (2021) Urban Green Spaces and Health: A Review of Evidence. Copenhagen: WHO Regional Office for Europe.</w:t>
      </w:r>
    </w:p>
    <w:sectPr w:rsidR="00A4238A" w:rsidRPr="003F7E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E3946" w14:textId="77777777" w:rsidR="00363B0A" w:rsidRDefault="00363B0A" w:rsidP="00E205FE">
      <w:pPr>
        <w:spacing w:after="0" w:line="240" w:lineRule="auto"/>
      </w:pPr>
      <w:r>
        <w:separator/>
      </w:r>
    </w:p>
  </w:endnote>
  <w:endnote w:type="continuationSeparator" w:id="0">
    <w:p w14:paraId="24D1BAB6" w14:textId="77777777" w:rsidR="00363B0A" w:rsidRDefault="00363B0A" w:rsidP="00E20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E39D4" w14:textId="77777777" w:rsidR="00363B0A" w:rsidRDefault="00363B0A" w:rsidP="00E205FE">
      <w:pPr>
        <w:spacing w:after="0" w:line="240" w:lineRule="auto"/>
      </w:pPr>
      <w:r>
        <w:separator/>
      </w:r>
    </w:p>
  </w:footnote>
  <w:footnote w:type="continuationSeparator" w:id="0">
    <w:p w14:paraId="02431D1E" w14:textId="77777777" w:rsidR="00363B0A" w:rsidRDefault="00363B0A" w:rsidP="00E205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45BC2"/>
    <w:rsid w:val="00046D66"/>
    <w:rsid w:val="00074B78"/>
    <w:rsid w:val="00077732"/>
    <w:rsid w:val="00082514"/>
    <w:rsid w:val="001B7300"/>
    <w:rsid w:val="001C4C98"/>
    <w:rsid w:val="00251275"/>
    <w:rsid w:val="00260D7A"/>
    <w:rsid w:val="00285B68"/>
    <w:rsid w:val="002E57F6"/>
    <w:rsid w:val="003216FA"/>
    <w:rsid w:val="00327A12"/>
    <w:rsid w:val="003540B5"/>
    <w:rsid w:val="00363B0A"/>
    <w:rsid w:val="00393CEC"/>
    <w:rsid w:val="003F4266"/>
    <w:rsid w:val="003F7D8A"/>
    <w:rsid w:val="003F7EA0"/>
    <w:rsid w:val="0055231A"/>
    <w:rsid w:val="005627D7"/>
    <w:rsid w:val="00566238"/>
    <w:rsid w:val="005E2271"/>
    <w:rsid w:val="005F3643"/>
    <w:rsid w:val="0064048B"/>
    <w:rsid w:val="00657047"/>
    <w:rsid w:val="00722B09"/>
    <w:rsid w:val="007428DA"/>
    <w:rsid w:val="007B2318"/>
    <w:rsid w:val="00823398"/>
    <w:rsid w:val="00932E02"/>
    <w:rsid w:val="009507DB"/>
    <w:rsid w:val="009A0559"/>
    <w:rsid w:val="00A1672B"/>
    <w:rsid w:val="00A35EE2"/>
    <w:rsid w:val="00A4238A"/>
    <w:rsid w:val="00A846EA"/>
    <w:rsid w:val="00AA2A1E"/>
    <w:rsid w:val="00AA377B"/>
    <w:rsid w:val="00B2763B"/>
    <w:rsid w:val="00C61F3D"/>
    <w:rsid w:val="00CE10E9"/>
    <w:rsid w:val="00CF312E"/>
    <w:rsid w:val="00DB1CE3"/>
    <w:rsid w:val="00E205FE"/>
    <w:rsid w:val="00E312CF"/>
    <w:rsid w:val="00E742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7F6"/>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character" w:styleId="Hyperlink">
    <w:name w:val="Hyperlink"/>
    <w:basedOn w:val="DefaultParagraphFont"/>
    <w:uiPriority w:val="99"/>
    <w:unhideWhenUsed/>
    <w:rsid w:val="002E57F6"/>
    <w:rPr>
      <w:color w:val="467886" w:themeColor="hyperlink"/>
      <w:u w:val="single"/>
    </w:rPr>
  </w:style>
  <w:style w:type="character" w:styleId="UnresolvedMention">
    <w:name w:val="Unresolved Mention"/>
    <w:basedOn w:val="DefaultParagraphFont"/>
    <w:uiPriority w:val="99"/>
    <w:semiHidden/>
    <w:unhideWhenUsed/>
    <w:rsid w:val="002E57F6"/>
    <w:rPr>
      <w:color w:val="605E5C"/>
      <w:shd w:val="clear" w:color="auto" w:fill="E1DFDD"/>
    </w:rPr>
  </w:style>
  <w:style w:type="paragraph" w:styleId="TOCHeading">
    <w:name w:val="TOC Heading"/>
    <w:basedOn w:val="Heading1"/>
    <w:next w:val="Normal"/>
    <w:uiPriority w:val="39"/>
    <w:unhideWhenUsed/>
    <w:qFormat/>
    <w:rsid w:val="00327A1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27A12"/>
    <w:pPr>
      <w:spacing w:after="100"/>
    </w:pPr>
  </w:style>
  <w:style w:type="paragraph" w:styleId="Header">
    <w:name w:val="header"/>
    <w:basedOn w:val="Normal"/>
    <w:link w:val="HeaderChar"/>
    <w:uiPriority w:val="99"/>
    <w:unhideWhenUsed/>
    <w:rsid w:val="00E20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5FE"/>
  </w:style>
  <w:style w:type="paragraph" w:styleId="Footer">
    <w:name w:val="footer"/>
    <w:basedOn w:val="Normal"/>
    <w:link w:val="FooterChar"/>
    <w:uiPriority w:val="99"/>
    <w:unhideWhenUsed/>
    <w:rsid w:val="00E20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74883">
      <w:bodyDiv w:val="1"/>
      <w:marLeft w:val="0"/>
      <w:marRight w:val="0"/>
      <w:marTop w:val="0"/>
      <w:marBottom w:val="0"/>
      <w:divBdr>
        <w:top w:val="none" w:sz="0" w:space="0" w:color="auto"/>
        <w:left w:val="none" w:sz="0" w:space="0" w:color="auto"/>
        <w:bottom w:val="none" w:sz="0" w:space="0" w:color="auto"/>
        <w:right w:val="none" w:sz="0" w:space="0" w:color="auto"/>
      </w:divBdr>
    </w:div>
    <w:div w:id="188691125">
      <w:bodyDiv w:val="1"/>
      <w:marLeft w:val="0"/>
      <w:marRight w:val="0"/>
      <w:marTop w:val="0"/>
      <w:marBottom w:val="0"/>
      <w:divBdr>
        <w:top w:val="none" w:sz="0" w:space="0" w:color="auto"/>
        <w:left w:val="none" w:sz="0" w:space="0" w:color="auto"/>
        <w:bottom w:val="none" w:sz="0" w:space="0" w:color="auto"/>
        <w:right w:val="none" w:sz="0" w:space="0" w:color="auto"/>
      </w:divBdr>
    </w:div>
    <w:div w:id="189268894">
      <w:bodyDiv w:val="1"/>
      <w:marLeft w:val="0"/>
      <w:marRight w:val="0"/>
      <w:marTop w:val="0"/>
      <w:marBottom w:val="0"/>
      <w:divBdr>
        <w:top w:val="none" w:sz="0" w:space="0" w:color="auto"/>
        <w:left w:val="none" w:sz="0" w:space="0" w:color="auto"/>
        <w:bottom w:val="none" w:sz="0" w:space="0" w:color="auto"/>
        <w:right w:val="none" w:sz="0" w:space="0" w:color="auto"/>
      </w:divBdr>
    </w:div>
    <w:div w:id="239677423">
      <w:bodyDiv w:val="1"/>
      <w:marLeft w:val="0"/>
      <w:marRight w:val="0"/>
      <w:marTop w:val="0"/>
      <w:marBottom w:val="0"/>
      <w:divBdr>
        <w:top w:val="none" w:sz="0" w:space="0" w:color="auto"/>
        <w:left w:val="none" w:sz="0" w:space="0" w:color="auto"/>
        <w:bottom w:val="none" w:sz="0" w:space="0" w:color="auto"/>
        <w:right w:val="none" w:sz="0" w:space="0" w:color="auto"/>
      </w:divBdr>
    </w:div>
    <w:div w:id="301496334">
      <w:bodyDiv w:val="1"/>
      <w:marLeft w:val="0"/>
      <w:marRight w:val="0"/>
      <w:marTop w:val="0"/>
      <w:marBottom w:val="0"/>
      <w:divBdr>
        <w:top w:val="none" w:sz="0" w:space="0" w:color="auto"/>
        <w:left w:val="none" w:sz="0" w:space="0" w:color="auto"/>
        <w:bottom w:val="none" w:sz="0" w:space="0" w:color="auto"/>
        <w:right w:val="none" w:sz="0" w:space="0" w:color="auto"/>
      </w:divBdr>
    </w:div>
    <w:div w:id="315188796">
      <w:bodyDiv w:val="1"/>
      <w:marLeft w:val="0"/>
      <w:marRight w:val="0"/>
      <w:marTop w:val="0"/>
      <w:marBottom w:val="0"/>
      <w:divBdr>
        <w:top w:val="none" w:sz="0" w:space="0" w:color="auto"/>
        <w:left w:val="none" w:sz="0" w:space="0" w:color="auto"/>
        <w:bottom w:val="none" w:sz="0" w:space="0" w:color="auto"/>
        <w:right w:val="none" w:sz="0" w:space="0" w:color="auto"/>
      </w:divBdr>
    </w:div>
    <w:div w:id="371467795">
      <w:bodyDiv w:val="1"/>
      <w:marLeft w:val="0"/>
      <w:marRight w:val="0"/>
      <w:marTop w:val="0"/>
      <w:marBottom w:val="0"/>
      <w:divBdr>
        <w:top w:val="none" w:sz="0" w:space="0" w:color="auto"/>
        <w:left w:val="none" w:sz="0" w:space="0" w:color="auto"/>
        <w:bottom w:val="none" w:sz="0" w:space="0" w:color="auto"/>
        <w:right w:val="none" w:sz="0" w:space="0" w:color="auto"/>
      </w:divBdr>
    </w:div>
    <w:div w:id="408429598">
      <w:bodyDiv w:val="1"/>
      <w:marLeft w:val="0"/>
      <w:marRight w:val="0"/>
      <w:marTop w:val="0"/>
      <w:marBottom w:val="0"/>
      <w:divBdr>
        <w:top w:val="none" w:sz="0" w:space="0" w:color="auto"/>
        <w:left w:val="none" w:sz="0" w:space="0" w:color="auto"/>
        <w:bottom w:val="none" w:sz="0" w:space="0" w:color="auto"/>
        <w:right w:val="none" w:sz="0" w:space="0" w:color="auto"/>
      </w:divBdr>
    </w:div>
    <w:div w:id="521824114">
      <w:bodyDiv w:val="1"/>
      <w:marLeft w:val="0"/>
      <w:marRight w:val="0"/>
      <w:marTop w:val="0"/>
      <w:marBottom w:val="0"/>
      <w:divBdr>
        <w:top w:val="none" w:sz="0" w:space="0" w:color="auto"/>
        <w:left w:val="none" w:sz="0" w:space="0" w:color="auto"/>
        <w:bottom w:val="none" w:sz="0" w:space="0" w:color="auto"/>
        <w:right w:val="none" w:sz="0" w:space="0" w:color="auto"/>
      </w:divBdr>
    </w:div>
    <w:div w:id="644890510">
      <w:bodyDiv w:val="1"/>
      <w:marLeft w:val="0"/>
      <w:marRight w:val="0"/>
      <w:marTop w:val="0"/>
      <w:marBottom w:val="0"/>
      <w:divBdr>
        <w:top w:val="none" w:sz="0" w:space="0" w:color="auto"/>
        <w:left w:val="none" w:sz="0" w:space="0" w:color="auto"/>
        <w:bottom w:val="none" w:sz="0" w:space="0" w:color="auto"/>
        <w:right w:val="none" w:sz="0" w:space="0" w:color="auto"/>
      </w:divBdr>
    </w:div>
    <w:div w:id="678888775">
      <w:bodyDiv w:val="1"/>
      <w:marLeft w:val="0"/>
      <w:marRight w:val="0"/>
      <w:marTop w:val="0"/>
      <w:marBottom w:val="0"/>
      <w:divBdr>
        <w:top w:val="none" w:sz="0" w:space="0" w:color="auto"/>
        <w:left w:val="none" w:sz="0" w:space="0" w:color="auto"/>
        <w:bottom w:val="none" w:sz="0" w:space="0" w:color="auto"/>
        <w:right w:val="none" w:sz="0" w:space="0" w:color="auto"/>
      </w:divBdr>
    </w:div>
    <w:div w:id="766729665">
      <w:bodyDiv w:val="1"/>
      <w:marLeft w:val="0"/>
      <w:marRight w:val="0"/>
      <w:marTop w:val="0"/>
      <w:marBottom w:val="0"/>
      <w:divBdr>
        <w:top w:val="none" w:sz="0" w:space="0" w:color="auto"/>
        <w:left w:val="none" w:sz="0" w:space="0" w:color="auto"/>
        <w:bottom w:val="none" w:sz="0" w:space="0" w:color="auto"/>
        <w:right w:val="none" w:sz="0" w:space="0" w:color="auto"/>
      </w:divBdr>
    </w:div>
    <w:div w:id="1014382001">
      <w:bodyDiv w:val="1"/>
      <w:marLeft w:val="0"/>
      <w:marRight w:val="0"/>
      <w:marTop w:val="0"/>
      <w:marBottom w:val="0"/>
      <w:divBdr>
        <w:top w:val="none" w:sz="0" w:space="0" w:color="auto"/>
        <w:left w:val="none" w:sz="0" w:space="0" w:color="auto"/>
        <w:bottom w:val="none" w:sz="0" w:space="0" w:color="auto"/>
        <w:right w:val="none" w:sz="0" w:space="0" w:color="auto"/>
      </w:divBdr>
    </w:div>
    <w:div w:id="1015309041">
      <w:bodyDiv w:val="1"/>
      <w:marLeft w:val="0"/>
      <w:marRight w:val="0"/>
      <w:marTop w:val="0"/>
      <w:marBottom w:val="0"/>
      <w:divBdr>
        <w:top w:val="none" w:sz="0" w:space="0" w:color="auto"/>
        <w:left w:val="none" w:sz="0" w:space="0" w:color="auto"/>
        <w:bottom w:val="none" w:sz="0" w:space="0" w:color="auto"/>
        <w:right w:val="none" w:sz="0" w:space="0" w:color="auto"/>
      </w:divBdr>
    </w:div>
    <w:div w:id="1075393155">
      <w:bodyDiv w:val="1"/>
      <w:marLeft w:val="0"/>
      <w:marRight w:val="0"/>
      <w:marTop w:val="0"/>
      <w:marBottom w:val="0"/>
      <w:divBdr>
        <w:top w:val="none" w:sz="0" w:space="0" w:color="auto"/>
        <w:left w:val="none" w:sz="0" w:space="0" w:color="auto"/>
        <w:bottom w:val="none" w:sz="0" w:space="0" w:color="auto"/>
        <w:right w:val="none" w:sz="0" w:space="0" w:color="auto"/>
      </w:divBdr>
    </w:div>
    <w:div w:id="1235700437">
      <w:bodyDiv w:val="1"/>
      <w:marLeft w:val="0"/>
      <w:marRight w:val="0"/>
      <w:marTop w:val="0"/>
      <w:marBottom w:val="0"/>
      <w:divBdr>
        <w:top w:val="none" w:sz="0" w:space="0" w:color="auto"/>
        <w:left w:val="none" w:sz="0" w:space="0" w:color="auto"/>
        <w:bottom w:val="none" w:sz="0" w:space="0" w:color="auto"/>
        <w:right w:val="none" w:sz="0" w:space="0" w:color="auto"/>
      </w:divBdr>
    </w:div>
    <w:div w:id="1249384724">
      <w:bodyDiv w:val="1"/>
      <w:marLeft w:val="0"/>
      <w:marRight w:val="0"/>
      <w:marTop w:val="0"/>
      <w:marBottom w:val="0"/>
      <w:divBdr>
        <w:top w:val="none" w:sz="0" w:space="0" w:color="auto"/>
        <w:left w:val="none" w:sz="0" w:space="0" w:color="auto"/>
        <w:bottom w:val="none" w:sz="0" w:space="0" w:color="auto"/>
        <w:right w:val="none" w:sz="0" w:space="0" w:color="auto"/>
      </w:divBdr>
    </w:div>
    <w:div w:id="1267497003">
      <w:bodyDiv w:val="1"/>
      <w:marLeft w:val="0"/>
      <w:marRight w:val="0"/>
      <w:marTop w:val="0"/>
      <w:marBottom w:val="0"/>
      <w:divBdr>
        <w:top w:val="none" w:sz="0" w:space="0" w:color="auto"/>
        <w:left w:val="none" w:sz="0" w:space="0" w:color="auto"/>
        <w:bottom w:val="none" w:sz="0" w:space="0" w:color="auto"/>
        <w:right w:val="none" w:sz="0" w:space="0" w:color="auto"/>
      </w:divBdr>
    </w:div>
    <w:div w:id="1393044125">
      <w:bodyDiv w:val="1"/>
      <w:marLeft w:val="0"/>
      <w:marRight w:val="0"/>
      <w:marTop w:val="0"/>
      <w:marBottom w:val="0"/>
      <w:divBdr>
        <w:top w:val="none" w:sz="0" w:space="0" w:color="auto"/>
        <w:left w:val="none" w:sz="0" w:space="0" w:color="auto"/>
        <w:bottom w:val="none" w:sz="0" w:space="0" w:color="auto"/>
        <w:right w:val="none" w:sz="0" w:space="0" w:color="auto"/>
      </w:divBdr>
    </w:div>
    <w:div w:id="1793281726">
      <w:bodyDiv w:val="1"/>
      <w:marLeft w:val="0"/>
      <w:marRight w:val="0"/>
      <w:marTop w:val="0"/>
      <w:marBottom w:val="0"/>
      <w:divBdr>
        <w:top w:val="none" w:sz="0" w:space="0" w:color="auto"/>
        <w:left w:val="none" w:sz="0" w:space="0" w:color="auto"/>
        <w:bottom w:val="none" w:sz="0" w:space="0" w:color="auto"/>
        <w:right w:val="none" w:sz="0" w:space="0" w:color="auto"/>
      </w:divBdr>
    </w:div>
    <w:div w:id="1829593482">
      <w:bodyDiv w:val="1"/>
      <w:marLeft w:val="0"/>
      <w:marRight w:val="0"/>
      <w:marTop w:val="0"/>
      <w:marBottom w:val="0"/>
      <w:divBdr>
        <w:top w:val="none" w:sz="0" w:space="0" w:color="auto"/>
        <w:left w:val="none" w:sz="0" w:space="0" w:color="auto"/>
        <w:bottom w:val="none" w:sz="0" w:space="0" w:color="auto"/>
        <w:right w:val="none" w:sz="0" w:space="0" w:color="auto"/>
      </w:divBdr>
    </w:div>
    <w:div w:id="1911427540">
      <w:bodyDiv w:val="1"/>
      <w:marLeft w:val="0"/>
      <w:marRight w:val="0"/>
      <w:marTop w:val="0"/>
      <w:marBottom w:val="0"/>
      <w:divBdr>
        <w:top w:val="none" w:sz="0" w:space="0" w:color="auto"/>
        <w:left w:val="none" w:sz="0" w:space="0" w:color="auto"/>
        <w:bottom w:val="none" w:sz="0" w:space="0" w:color="auto"/>
        <w:right w:val="none" w:sz="0" w:space="0" w:color="auto"/>
      </w:divBdr>
    </w:div>
    <w:div w:id="1950701228">
      <w:bodyDiv w:val="1"/>
      <w:marLeft w:val="0"/>
      <w:marRight w:val="0"/>
      <w:marTop w:val="0"/>
      <w:marBottom w:val="0"/>
      <w:divBdr>
        <w:top w:val="none" w:sz="0" w:space="0" w:color="auto"/>
        <w:left w:val="none" w:sz="0" w:space="0" w:color="auto"/>
        <w:bottom w:val="none" w:sz="0" w:space="0" w:color="auto"/>
        <w:right w:val="none" w:sz="0" w:space="0" w:color="auto"/>
      </w:divBdr>
    </w:div>
    <w:div w:id="203503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cc.org.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powering-up-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352A8-DDF1-456C-B126-25184BAEE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Althea Freeman (2228968)</cp:lastModifiedBy>
  <cp:revision>7</cp:revision>
  <dcterms:created xsi:type="dcterms:W3CDTF">2026-07-19T21:00:00Z</dcterms:created>
  <dcterms:modified xsi:type="dcterms:W3CDTF">2026-07-21T11:00:00Z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e7a76223-c933-4418-a081-8029a3d8dba5</vt:lpwstr>
  </property>
</Properties>
</file>