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9AF09" w14:textId="77777777" w:rsidR="00E10195" w:rsidRDefault="00E10195" w:rsidP="00E10195">
      <w:pPr>
        <w:rPr>
          <w:b/>
          <w:bCs/>
        </w:rPr>
      </w:pPr>
    </w:p>
    <w:p w14:paraId="7D7CDD42" w14:textId="5560040D" w:rsidR="00E10195" w:rsidRPr="00774E09" w:rsidRDefault="00774E09" w:rsidP="00E10195">
      <w:r w:rsidRPr="00074402">
        <w:rPr>
          <w:rFonts w:ascii="Arial" w:hAnsi="Arial" w:cs="Arial"/>
          <w:noProof/>
          <w:szCs w:val="24"/>
        </w:rPr>
        <w:drawing>
          <wp:anchor distT="0" distB="0" distL="114300" distR="114300" simplePos="0" relativeHeight="251659264" behindDoc="0" locked="0" layoutInCell="1" allowOverlap="1" wp14:anchorId="5F8850F8" wp14:editId="65D2A545">
            <wp:simplePos x="0" y="0"/>
            <wp:positionH relativeFrom="column">
              <wp:posOffset>-400050</wp:posOffset>
            </wp:positionH>
            <wp:positionV relativeFrom="paragraph">
              <wp:posOffset>-545465</wp:posOffset>
            </wp:positionV>
            <wp:extent cx="2453640" cy="1295400"/>
            <wp:effectExtent l="0" t="0" r="381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53640" cy="1295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96A8AC" w14:textId="77777777" w:rsidR="00E10195" w:rsidRDefault="00E10195" w:rsidP="00E10195">
      <w:pPr>
        <w:jc w:val="center"/>
        <w:rPr>
          <w:b/>
          <w:bCs/>
        </w:rPr>
      </w:pPr>
    </w:p>
    <w:p w14:paraId="7E0B71BE" w14:textId="77777777" w:rsidR="00774E09" w:rsidRDefault="00E10195" w:rsidP="00E10195">
      <w:pPr>
        <w:jc w:val="center"/>
        <w:rPr>
          <w:b/>
          <w:bCs/>
          <w:sz w:val="32"/>
          <w:szCs w:val="30"/>
        </w:rPr>
      </w:pPr>
      <w:r w:rsidRPr="00E10195">
        <w:rPr>
          <w:b/>
          <w:bCs/>
          <w:sz w:val="32"/>
          <w:szCs w:val="30"/>
        </w:rPr>
        <w:t>Assignment Title: Report on a Health Issue: Whooping Cough</w:t>
      </w:r>
    </w:p>
    <w:p w14:paraId="26D1AE9F" w14:textId="48910220" w:rsidR="00E10195" w:rsidRPr="00E10195" w:rsidRDefault="00E10195" w:rsidP="00E10195">
      <w:pPr>
        <w:jc w:val="center"/>
        <w:rPr>
          <w:b/>
          <w:bCs/>
          <w:sz w:val="32"/>
          <w:szCs w:val="30"/>
        </w:rPr>
      </w:pPr>
      <w:r w:rsidRPr="00E10195">
        <w:rPr>
          <w:b/>
          <w:bCs/>
          <w:sz w:val="32"/>
          <w:szCs w:val="30"/>
        </w:rPr>
        <w:t xml:space="preserve"> (Pertussis)</w:t>
      </w:r>
    </w:p>
    <w:p w14:paraId="42DC0AA2" w14:textId="24C88D3B" w:rsidR="00774E09" w:rsidRPr="00774E09" w:rsidRDefault="00774E09" w:rsidP="00776DDE">
      <w:pPr>
        <w:rPr>
          <w:b/>
          <w:bCs/>
          <w:sz w:val="26"/>
          <w:szCs w:val="24"/>
        </w:rPr>
      </w:pPr>
    </w:p>
    <w:p w14:paraId="0E90C22B" w14:textId="667F2985" w:rsidR="00774E09" w:rsidRPr="00C83A82" w:rsidRDefault="00774E09" w:rsidP="00774E09">
      <w:pPr>
        <w:tabs>
          <w:tab w:val="left" w:pos="6540"/>
        </w:tabs>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Mariuza Aguiar</w:t>
      </w:r>
    </w:p>
    <w:p w14:paraId="6275B2E0" w14:textId="2EFB0F52" w:rsidR="00774E09" w:rsidRPr="00C83A82" w:rsidRDefault="00774E09" w:rsidP="00774E09">
      <w:pPr>
        <w:tabs>
          <w:tab w:val="left" w:pos="6540"/>
        </w:tabs>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2440642</w:t>
      </w:r>
    </w:p>
    <w:p w14:paraId="585C319C" w14:textId="41926B0B" w:rsidR="00774E09" w:rsidRPr="00C83A82" w:rsidRDefault="00774E09" w:rsidP="00774E09">
      <w:pPr>
        <w:tabs>
          <w:tab w:val="left" w:pos="6540"/>
        </w:tabs>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Pr>
          <w:rFonts w:ascii="Arial" w:hAnsi="Arial" w:cs="Arial"/>
          <w:sz w:val="28"/>
          <w:szCs w:val="28"/>
          <w:lang w:val="nl-NL"/>
        </w:rPr>
        <w:t>Introduction to Public Health</w:t>
      </w:r>
    </w:p>
    <w:p w14:paraId="63E81FA3" w14:textId="73FE985D" w:rsidR="00774E09" w:rsidRPr="0020413D" w:rsidRDefault="00774E09" w:rsidP="00774E09">
      <w:pPr>
        <w:tabs>
          <w:tab w:val="left" w:pos="6540"/>
        </w:tabs>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LCHS4008</w:t>
      </w:r>
    </w:p>
    <w:p w14:paraId="72DC5A85" w14:textId="0E205FD8" w:rsidR="00774E09" w:rsidRDefault="00774E09" w:rsidP="00774E09">
      <w:pPr>
        <w:sectPr w:rsidR="00774E09" w:rsidSect="00774E09">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Pr>
          <w:rFonts w:ascii="Arial" w:hAnsi="Arial" w:cs="Arial"/>
          <w:b/>
          <w:bCs/>
          <w:sz w:val="28"/>
          <w:szCs w:val="28"/>
        </w:rPr>
        <w:t>:  Jolly Nwankw</w:t>
      </w:r>
      <w:r w:rsidR="00776DDE">
        <w:rPr>
          <w:rFonts w:ascii="Arial" w:hAnsi="Arial" w:cs="Arial"/>
          <w:b/>
          <w:bCs/>
          <w:sz w:val="28"/>
          <w:szCs w:val="28"/>
        </w:rPr>
        <w:t>o</w:t>
      </w:r>
    </w:p>
    <w:p w14:paraId="35DE73E8" w14:textId="013E4B3B" w:rsidR="00776DDE" w:rsidRPr="00776DDE" w:rsidRDefault="00776DDE" w:rsidP="00776DDE">
      <w:pPr>
        <w:rPr>
          <w:b/>
          <w:bCs/>
        </w:rPr>
      </w:pPr>
    </w:p>
    <w:p w14:paraId="1A923917" w14:textId="5D1B3769" w:rsidR="00E10195" w:rsidRPr="00776DDE" w:rsidRDefault="00CF1671" w:rsidP="00774E09">
      <w:pPr>
        <w:spacing w:after="160" w:line="259" w:lineRule="auto"/>
        <w:jc w:val="left"/>
        <w:rPr>
          <w:b/>
          <w:bCs/>
          <w:sz w:val="28"/>
          <w:szCs w:val="28"/>
        </w:rPr>
      </w:pPr>
      <w:r>
        <w:br w:type="page"/>
      </w:r>
      <w:bookmarkStart w:id="1" w:name="_Toc215667986"/>
      <w:r w:rsidR="00E10195" w:rsidRPr="00776DDE">
        <w:rPr>
          <w:b/>
          <w:bCs/>
          <w:sz w:val="28"/>
          <w:szCs w:val="28"/>
        </w:rPr>
        <w:t>Introduction</w:t>
      </w:r>
      <w:bookmarkEnd w:id="1"/>
    </w:p>
    <w:p w14:paraId="76A4E159" w14:textId="43A148A8" w:rsidR="00E10195" w:rsidRDefault="00E10195" w:rsidP="00E10195">
      <w:r w:rsidRPr="00E10195">
        <w:t xml:space="preserve">Whooping Cough, or pertussis, is a highly contagious respiratory infection caused by the bacteria Bordetella pertussis, which results in long periods of coughing fits and characteristic inspiratory "whoop" sounds (Fullen et al. 2020). Symptoms usually start as a mild cold illness but then swiftly move to a severe paroxysmal cough, vomiting after coughing and difficulty breathing especially in infants (Sheng et al., 2025). Globally, pertussis continues to be a neglected burden of disease, costing millions of estimated cases annually despite extensive use of vaccination programmes (Nie et al, 2024). </w:t>
      </w:r>
      <w:r>
        <w:t>Recent analyses reveal varying levels of trend and also reinforce issues of ongoing transmission across all levels of socio-economic status (Bricks, Vargas-Zambrano and Macina, 2024).</w:t>
      </w:r>
      <w:r w:rsidRPr="00E10195">
        <w:t xml:space="preserve"> In the UK, surveillance data suggest some significant changes in incidence, with fewer cases occurring around the time of the restrictions imposed by the pandemic, which were followed by the early signs of resurgence as society resumed social mixing (Tessier et al., 2022).</w:t>
      </w:r>
    </w:p>
    <w:p w14:paraId="2E6603CD" w14:textId="77777777" w:rsidR="00E10195" w:rsidRPr="00776DDE" w:rsidRDefault="00E10195" w:rsidP="00E10195">
      <w:pPr>
        <w:pStyle w:val="Heading1"/>
        <w:rPr>
          <w:sz w:val="28"/>
          <w:szCs w:val="28"/>
        </w:rPr>
      </w:pPr>
      <w:bookmarkStart w:id="2" w:name="_Toc215667987"/>
      <w:r w:rsidRPr="00776DDE">
        <w:rPr>
          <w:sz w:val="28"/>
          <w:szCs w:val="28"/>
        </w:rPr>
        <w:t>Consequences of Whooping Cough on the Community</w:t>
      </w:r>
      <w:bookmarkEnd w:id="2"/>
    </w:p>
    <w:p w14:paraId="1AAC9BAD" w14:textId="77777777" w:rsidR="00E10195" w:rsidRDefault="00E10195" w:rsidP="00E10195">
      <w:r>
        <w:t>Whooping Cough has substantial consequences amongst all age groups, with the most severe consequences occurring in infants who are too young to be fully vaccinated which places them at the highest risk of complications, hospitalisation and mortality (Sheng et al., 2025). Young children have long bouts of coughing that interfere with sleep, feeding and attending school, which may increase family stress and caretaking pressure (Fullen et al, 2020). Adults and adolescents, while often having less severe symptoms, play the dual role of a major reservoir of infection and contribute to silent community transmission which puts vulnerable members of households at risk of acquiring the infection (Bricks, Vargas-Zambrano and Macina, 2024). Older people are also affected, where chronic cough and the risk of secondaries may result in reduced mobility and functional deterioration (Harrington et al, 2023). In sum, these impacts underscore the challenge that pertussis poses to a community as opposed to a childhood-limited disease (Macina and Evans, 2021).</w:t>
      </w:r>
    </w:p>
    <w:p w14:paraId="6ADD0B45" w14:textId="77777777" w:rsidR="00E10195" w:rsidRDefault="00E10195" w:rsidP="00E10195">
      <w:r>
        <w:t>Pertussis has considerable threats in community settings such as nurseries, schools and childcare settings where close contact allows for the rapid spread of the disease within unprotected individuals (Nie et al, 2024). Outbreaks in these environments’ dysfunction kids and demand durations of isolation that constrain family members together with unforeseen childcare obligations quiet (Tessier et at, 2022). Transmission within the framework of multi-generational households is especially a concern in which infants can get the infection from those siblings (older children) or adults who have unrecognised symptoms (Walker et al., 2021). Pregnant women and newborns are at an increased risk, so exposure in the household is another major aspect of the health concerns for the protection of communities (Vygen-Bonnet et al., 2020). These patterns suggest the importance of awareness and its protection in a community that go beyond only individual clinical care (Sheng et al., 2025).</w:t>
      </w:r>
    </w:p>
    <w:p w14:paraId="3D064496" w14:textId="77777777" w:rsidR="00E10195" w:rsidRDefault="00E10195" w:rsidP="00E10195">
      <w:r>
        <w:t>The economic and social effects of pertussis further contribute to the effects of inequalities in the communities that have been affected by it, especially among families who lack financial or social support (Walker et al., 2021). Parents may have to take extended leave from work to care for sick children resulting in loss of income and heightened household stress (Bhavsar et al., 2022). Communities with less high uptake of vaccination, which is often correlated to being in a state of deprivation, having limited access through healthcare or having cultural reservations about receiving a vaccine, have more cases of infection and received vaccines, and have more serious effects of the disease as a result (Nie et al., 2024). These intersected vulnerabilities have shown how pertussis perpetuates health inequalities and puts a burden on disadvantaged populations (Bricks, Vargas-Zambrano and Macina, 2024).</w:t>
      </w:r>
    </w:p>
    <w:p w14:paraId="34820556" w14:textId="77777777" w:rsidR="00E10195" w:rsidRPr="00776DDE" w:rsidRDefault="00E10195" w:rsidP="00E10195">
      <w:pPr>
        <w:pStyle w:val="Heading1"/>
        <w:rPr>
          <w:sz w:val="28"/>
          <w:szCs w:val="28"/>
        </w:rPr>
      </w:pPr>
      <w:bookmarkStart w:id="3" w:name="_Toc215667988"/>
      <w:r w:rsidRPr="00776DDE">
        <w:rPr>
          <w:sz w:val="28"/>
          <w:szCs w:val="28"/>
        </w:rPr>
        <w:t>Consequences for the NHS</w:t>
      </w:r>
      <w:bookmarkEnd w:id="3"/>
    </w:p>
    <w:p w14:paraId="7FEB5B58" w14:textId="77777777" w:rsidR="004A64AB" w:rsidRDefault="00E10195" w:rsidP="00E10195">
      <w:r>
        <w:t xml:space="preserve">Whooping Cough brings about immense pressures on NHS as essentially a high percentage of hospital admissions occur in the infants who exhibit severe respiratory symptoms and may have complications like apnoea and pneumonia (Harrington et al., 2023). As there may be the need for specialist paediatric care, oxygen support and longer monitoring, these admissions often incur additional strain on already limited bed capacity (Sheng et al., 2025). Emergency departments have seen an increase in attendance during community outbreaks with parents requesting urgent evaluation for persistent coughing episodes, feeding difficulties and breathing concerns (Fullen et al., 2020). This demand plays a role in the increase in waiting times and workload for clinical staff, especially during the winter, when respiratory infections are more frequent (Tessier et al., 2022). </w:t>
      </w:r>
    </w:p>
    <w:p w14:paraId="7B137BB8" w14:textId="1D6D29DA" w:rsidR="00E10195" w:rsidRDefault="00E10195" w:rsidP="00E10195">
      <w:r>
        <w:t>The NHS immunisation programme is also under pressure, as a fluctuating incidence will need sustained delivery of routine and maternal pertussis vaccines in order to ensure population protection (Vygen-Bonnet et al., 2020). Ensuring high coverage rates requires constant resources, training of staff and residents (Walker et al., 2021). Addition, the involvement in surveillance led by UKHSA involves the consistent requirement for laboratory reporting of to the confirmation of case and the analysis of the case to track the emerging trends and guide public health responses (Nie et al. 2024. These combined demands demonstrate the huge operational burden that pertussis imposes on NHS services (Bricks, Vargas-Zambrano and Macina, 2024).</w:t>
      </w:r>
    </w:p>
    <w:p w14:paraId="357E4CFD" w14:textId="77777777" w:rsidR="00E10195" w:rsidRPr="00776DDE" w:rsidRDefault="00E10195" w:rsidP="00E10195">
      <w:pPr>
        <w:pStyle w:val="Heading1"/>
        <w:rPr>
          <w:sz w:val="28"/>
          <w:szCs w:val="28"/>
        </w:rPr>
      </w:pPr>
      <w:bookmarkStart w:id="4" w:name="_Toc215667989"/>
      <w:r w:rsidRPr="00776DDE">
        <w:rPr>
          <w:sz w:val="28"/>
          <w:szCs w:val="28"/>
        </w:rPr>
        <w:t>How Whooping Cough is Controlled</w:t>
      </w:r>
      <w:bookmarkEnd w:id="4"/>
    </w:p>
    <w:p w14:paraId="0BF1A4BD" w14:textId="77777777" w:rsidR="004A64AB" w:rsidRDefault="00E10195" w:rsidP="00E10195">
      <w:r>
        <w:t xml:space="preserve">Control of Whooping Cough depends heavily on the national vaccination timing which ensures infants receive 6-in-1 vaccine which is followed by booster doses </w:t>
      </w:r>
      <w:proofErr w:type="gramStart"/>
      <w:r>
        <w:t>in order to</w:t>
      </w:r>
      <w:proofErr w:type="gramEnd"/>
      <w:r>
        <w:t xml:space="preserve"> build up immunity in the care of early childhood (Nie et al., 2024). Maternal vaccination during pregnancy is one important preventive measure that provides newborns with passive antibodies during the highest risk period of life when there is the greatest severity of complications (Vygen-Bonnet et al., 2020). High rates of vaccine uptake are important, because low rates of vaccination will allow for circulation of Bordetella pertussis and ultimately increase the likelihood of community outbreaks (Walker et al. 2021). </w:t>
      </w:r>
    </w:p>
    <w:p w14:paraId="495C4539" w14:textId="3E3AA5EA" w:rsidR="00E10195" w:rsidRDefault="00E10195" w:rsidP="00E10195">
      <w:r>
        <w:t>In addition to immunisation, the isolation of confirmed cases helps to limit transmission to household members, in settings where there are infants or immunocompromised people (Fullen et al., 2020). Contact tracing also helps with identifying secondary cases of the infection and with providing prophylaxis of such individuals in time (Sheng et al., 2025). Public health agencies depend on surveillance systems to maintain the incidence and identify unusual patterns and to guide targeted intervention when there is an increase in the activity (Tessier et al., 2022). Outbreak management also includes fast communication with schools and nurseries and healthcare providers to minim</w:t>
      </w:r>
      <w:r w:rsidR="000601EA">
        <w:t>ise</w:t>
      </w:r>
      <w:r>
        <w:t xml:space="preserve"> opportunities for spread (Bricks, Vargas-Zambrano and Macina, 2024). Community education is also essential because raising awareness of symptoms, advice for vaccination and infection control behaviour is important for the overall efficacy of prevention mechanisms (Macina and Evans, 2021).</w:t>
      </w:r>
    </w:p>
    <w:p w14:paraId="73D88833" w14:textId="77777777" w:rsidR="00E10195" w:rsidRPr="00776DDE" w:rsidRDefault="00E10195" w:rsidP="00E10195">
      <w:pPr>
        <w:pStyle w:val="Heading1"/>
        <w:rPr>
          <w:sz w:val="28"/>
          <w:szCs w:val="28"/>
        </w:rPr>
      </w:pPr>
      <w:bookmarkStart w:id="5" w:name="_Toc215667990"/>
      <w:r w:rsidRPr="00776DDE">
        <w:rPr>
          <w:sz w:val="28"/>
          <w:szCs w:val="28"/>
        </w:rPr>
        <w:t>Factors Affecting Health &amp; Wellbeing of People Affected and Those Around Them</w:t>
      </w:r>
      <w:bookmarkEnd w:id="5"/>
    </w:p>
    <w:p w14:paraId="316910DF" w14:textId="77777777" w:rsidR="004A64AB" w:rsidRDefault="00E10195" w:rsidP="00E10195">
      <w:r>
        <w:t xml:space="preserve">A range of biological, social and environmental factors are behind the health and wellbeing of those affected by Whooping Cough and those around them. Infants, pregnant women and people with weakened immunity are most at risk with respect to their biological vulnerability, because they are more likely to develop severe symptoms and complications that require intensive support (Vygen-Bonnet et al., 2020). Age also has an impact and adolescents and adults are often having mild disease but at the same time inadvertently infecting vulnerable groups (Fullen et al., 2020). Social determinants including overcrowded housing, low income and limited access to healthcare have added to the risk; these social determinants increase exposure to the illness and decrease the opportunity to receive timely medical treatment (Walker et al., 2021). </w:t>
      </w:r>
    </w:p>
    <w:p w14:paraId="54EE0D54" w14:textId="504991BE" w:rsidR="00E10195" w:rsidRDefault="00E10195" w:rsidP="00E10195">
      <w:r>
        <w:t>Communities of socioeconomic disadvantage may also have worse uptake of vaccines, which may be adding further inequalities in disease burden (Nie et al., 2024). Cultural beliefs and lack of trust in healthcare systems play a role on vaccination decisions, which can lead to pockets of susceptibility and local outbreaks (Bricks, Vargas-Zambrano and Macina, 2024). The psychological impact is huge on families with distress due to the prolonged coughing, interfering with their sleep and fears over the health of their infants (Sheng et al., 2025). Environmental factors such as school attendance, nursery contact and work place exposure increase the potential of transmission and pose additional strain on households during outbreaks (Bhavsar et al., 2022). These inter-related influences make the case for how pertussis impacts wellbeing beyond the physical symptoms, and contributes to pre-existing health inequalities (Macina and Evans, 2021).</w:t>
      </w:r>
    </w:p>
    <w:p w14:paraId="4B8232A5" w14:textId="77777777" w:rsidR="00E10195" w:rsidRPr="00776DDE" w:rsidRDefault="00E10195" w:rsidP="00E10195">
      <w:pPr>
        <w:pStyle w:val="Heading1"/>
        <w:rPr>
          <w:sz w:val="28"/>
          <w:szCs w:val="28"/>
        </w:rPr>
      </w:pPr>
      <w:bookmarkStart w:id="6" w:name="_Toc215667991"/>
      <w:r w:rsidRPr="00776DDE">
        <w:rPr>
          <w:sz w:val="28"/>
          <w:szCs w:val="28"/>
        </w:rPr>
        <w:t>Conclusion</w:t>
      </w:r>
      <w:bookmarkEnd w:id="6"/>
    </w:p>
    <w:p w14:paraId="5CDDC9B1" w14:textId="77777777" w:rsidR="00CF1671" w:rsidRPr="00CF1671" w:rsidRDefault="00E10195" w:rsidP="00E10195">
      <w:r>
        <w:t>Whooping Cough is still considered a serious public health issue given its ability to affect people of all ages, but especially infants, who are very vulnerable to serious complications. Its ongoing circulation makes the separate efforts of strong prevention and control measures that protect individuals and lower the broader impact on the community of major concern. Effective vaccination programmes, timely surveillance and transparent public health communication are important factors in keeping the community protected and taking pressure off the health services. The consequences for families, communities and the NHS provide evidence for the need to have an integrated approach to addressing clinical, social and environmental factors. Overall, controlling pertussis requires sustained public health commitment to the protection of wellbeing and reduction of inequalities for the population.</w:t>
      </w:r>
    </w:p>
    <w:p w14:paraId="438F7EC4" w14:textId="77777777" w:rsidR="00CF1671" w:rsidRDefault="00CF1671">
      <w:pPr>
        <w:spacing w:after="160" w:line="259" w:lineRule="auto"/>
        <w:jc w:val="left"/>
      </w:pPr>
      <w:r>
        <w:br w:type="page"/>
      </w:r>
    </w:p>
    <w:p w14:paraId="72FEFB85" w14:textId="77777777" w:rsidR="00CF1671" w:rsidRDefault="00CF1671" w:rsidP="00E10195">
      <w:pPr>
        <w:pStyle w:val="Heading1"/>
      </w:pPr>
      <w:bookmarkStart w:id="7" w:name="_Toc215667992"/>
      <w:r>
        <w:t>References</w:t>
      </w:r>
      <w:bookmarkEnd w:id="7"/>
    </w:p>
    <w:p w14:paraId="3B0400BF" w14:textId="77777777" w:rsidR="00E10195" w:rsidRDefault="00E10195" w:rsidP="00E10195">
      <w:pPr>
        <w:ind w:left="720" w:hanging="720"/>
      </w:pPr>
      <w:r w:rsidRPr="00CF1671">
        <w:t xml:space="preserve">Bhavsar, A., Aris, E., Harrington, L., Simeone, J.C., Ramond, A., Papi, A., Vogelmeier, C.F., Meszaros, K. and Mukherjee, P., </w:t>
      </w:r>
      <w:r>
        <w:t>(</w:t>
      </w:r>
      <w:r w:rsidRPr="00CF1671">
        <w:t>2022</w:t>
      </w:r>
      <w:r>
        <w:t>)</w:t>
      </w:r>
      <w:r w:rsidRPr="00CF1671">
        <w:t xml:space="preserve">. Burden of pertussis in individuals with a diagnosis of asthma: a retrospective database study in England. </w:t>
      </w:r>
      <w:r w:rsidRPr="00CF1671">
        <w:rPr>
          <w:i/>
          <w:iCs/>
        </w:rPr>
        <w:t>Journal of Asthma and Allergy</w:t>
      </w:r>
      <w:r w:rsidRPr="00CF1671">
        <w:t>, 15, pp.35–51. doi:</w:t>
      </w:r>
      <w:r>
        <w:t xml:space="preserve"> </w:t>
      </w:r>
      <w:hyperlink r:id="rId12" w:history="1">
        <w:r w:rsidRPr="00672ED3">
          <w:rPr>
            <w:rStyle w:val="Hyperlink"/>
          </w:rPr>
          <w:t>https://dx.doi.org/10.2147/JAA.S335960</w:t>
        </w:r>
      </w:hyperlink>
    </w:p>
    <w:p w14:paraId="239D7ABA" w14:textId="77777777" w:rsidR="00E10195" w:rsidRDefault="00E10195" w:rsidP="00E10195">
      <w:pPr>
        <w:ind w:left="720" w:hanging="720"/>
      </w:pPr>
      <w:r w:rsidRPr="00CF1671">
        <w:t xml:space="preserve">Bricks, L.F., Vargas-Zambrano, J.C. and Macina, D., </w:t>
      </w:r>
      <w:r>
        <w:t>(</w:t>
      </w:r>
      <w:r w:rsidRPr="00CF1671">
        <w:t>2024</w:t>
      </w:r>
      <w:r>
        <w:t>)</w:t>
      </w:r>
      <w:r w:rsidRPr="00CF1671">
        <w:t xml:space="preserve">. Epidemiology of pertussis after the COVID-19 pandemic: analysis of the factors involved in the resurgence of the disease in high-, middle-, and low-income countries. </w:t>
      </w:r>
      <w:r w:rsidRPr="00CF1671">
        <w:rPr>
          <w:i/>
          <w:iCs/>
        </w:rPr>
        <w:t>Vaccines</w:t>
      </w:r>
      <w:r w:rsidRPr="00CF1671">
        <w:t>, 12(12), 1346. doi:</w:t>
      </w:r>
      <w:r>
        <w:t xml:space="preserve"> </w:t>
      </w:r>
      <w:hyperlink r:id="rId13" w:history="1">
        <w:r w:rsidRPr="00672ED3">
          <w:rPr>
            <w:rStyle w:val="Hyperlink"/>
          </w:rPr>
          <w:t>https://dx.doi.org/10.3390/vaccines12121346</w:t>
        </w:r>
      </w:hyperlink>
    </w:p>
    <w:p w14:paraId="6B79F527" w14:textId="77777777" w:rsidR="00E10195" w:rsidRDefault="00E10195" w:rsidP="00E10195">
      <w:pPr>
        <w:ind w:left="720" w:hanging="720"/>
      </w:pPr>
      <w:r w:rsidRPr="00CF1671">
        <w:t xml:space="preserve">Fullen, A.R., Yount, K.S., Dubey, P. and Deora, R., </w:t>
      </w:r>
      <w:r>
        <w:t>(</w:t>
      </w:r>
      <w:r w:rsidRPr="00CF1671">
        <w:t>2020</w:t>
      </w:r>
      <w:r>
        <w:t>)</w:t>
      </w:r>
      <w:r w:rsidRPr="00CF1671">
        <w:t xml:space="preserve">. Whoop! There it is: the surprising resurgence of pertussis. </w:t>
      </w:r>
      <w:r w:rsidRPr="00CF1671">
        <w:rPr>
          <w:i/>
          <w:iCs/>
        </w:rPr>
        <w:t>PLOS Pathogens</w:t>
      </w:r>
      <w:r w:rsidRPr="00CF1671">
        <w:t>, 16(9), e1008625. doi:</w:t>
      </w:r>
      <w:r>
        <w:t xml:space="preserve"> </w:t>
      </w:r>
      <w:hyperlink r:id="rId14" w:history="1">
        <w:r w:rsidRPr="00672ED3">
          <w:rPr>
            <w:rStyle w:val="Hyperlink"/>
          </w:rPr>
          <w:t>https://dx.doi.org/10.1371/journal.ppat.1008625</w:t>
        </w:r>
      </w:hyperlink>
    </w:p>
    <w:p w14:paraId="40BED33A" w14:textId="77777777" w:rsidR="00E10195" w:rsidRDefault="00E10195" w:rsidP="00E10195">
      <w:pPr>
        <w:ind w:left="720" w:hanging="720"/>
      </w:pPr>
      <w:r w:rsidRPr="00CF1671">
        <w:t xml:space="preserve">Harrington, L., Aris, E., Bhavsar, A., Simeone, J.C., Ramond, A., Papi, A., Vogelmeier, C.F., Meszaros, K., Lambrelli, D. and Mukherjee, P., </w:t>
      </w:r>
      <w:r>
        <w:t>(</w:t>
      </w:r>
      <w:r w:rsidRPr="00CF1671">
        <w:t>2023</w:t>
      </w:r>
      <w:r>
        <w:t>)</w:t>
      </w:r>
      <w:r w:rsidRPr="00CF1671">
        <w:t xml:space="preserve">. Burden of pertussis in adults aged 50 years and older: a retrospective database study in England. </w:t>
      </w:r>
      <w:r w:rsidRPr="00CF1671">
        <w:rPr>
          <w:i/>
          <w:iCs/>
        </w:rPr>
        <w:t>Infectious Diseases and Therapy</w:t>
      </w:r>
      <w:r w:rsidRPr="00CF1671">
        <w:t>, 12(4), pp.1103–1118. doi:</w:t>
      </w:r>
      <w:r>
        <w:t xml:space="preserve"> </w:t>
      </w:r>
      <w:hyperlink r:id="rId15" w:history="1">
        <w:r w:rsidRPr="00672ED3">
          <w:rPr>
            <w:rStyle w:val="Hyperlink"/>
          </w:rPr>
          <w:t>https://dx.doi.org/10.1007/s40121-023-00774-5</w:t>
        </w:r>
      </w:hyperlink>
    </w:p>
    <w:p w14:paraId="73BA2DDC" w14:textId="77777777" w:rsidR="00E10195" w:rsidRDefault="00E10195" w:rsidP="00E10195">
      <w:pPr>
        <w:ind w:left="720" w:hanging="720"/>
      </w:pPr>
      <w:r w:rsidRPr="00CF1671">
        <w:t xml:space="preserve">Macina, D. and Evans, K.E., </w:t>
      </w:r>
      <w:r>
        <w:t>(</w:t>
      </w:r>
      <w:r w:rsidRPr="00CF1671">
        <w:t>2021</w:t>
      </w:r>
      <w:r>
        <w:t>)</w:t>
      </w:r>
      <w:r w:rsidRPr="00CF1671">
        <w:t xml:space="preserve">. Pertussis in individuals with co-morbidities: a systematic review. </w:t>
      </w:r>
      <w:r w:rsidRPr="00CF1671">
        <w:rPr>
          <w:i/>
          <w:iCs/>
        </w:rPr>
        <w:t>Infectious Diseases and Therapy</w:t>
      </w:r>
      <w:r w:rsidRPr="00CF1671">
        <w:t>, 10(3), pp.1141–1170. doi:</w:t>
      </w:r>
      <w:r>
        <w:t xml:space="preserve"> </w:t>
      </w:r>
      <w:hyperlink r:id="rId16" w:history="1">
        <w:r w:rsidRPr="00672ED3">
          <w:rPr>
            <w:rStyle w:val="Hyperlink"/>
          </w:rPr>
          <w:t>https://dx.doi.org/10.1007/s40121-021-00465-z</w:t>
        </w:r>
      </w:hyperlink>
    </w:p>
    <w:p w14:paraId="487E504D" w14:textId="77777777" w:rsidR="00E10195" w:rsidRDefault="00E10195" w:rsidP="00E10195">
      <w:pPr>
        <w:ind w:left="720" w:hanging="720"/>
      </w:pPr>
      <w:r w:rsidRPr="00CF1671">
        <w:t xml:space="preserve">Nie, Y., Zhang, Y., Yang, Z., Wang, N., Wang, S., Liu, Y., Jiang, H. and Wu, L., </w:t>
      </w:r>
      <w:r>
        <w:t>(</w:t>
      </w:r>
      <w:r w:rsidRPr="00CF1671">
        <w:t>2024</w:t>
      </w:r>
      <w:r>
        <w:t>)</w:t>
      </w:r>
      <w:r w:rsidRPr="00CF1671">
        <w:t xml:space="preserve">. Global burden of pertussis in 204 countries and territories, from 1990 to 2019: results from the Global Burden of Disease Study 2019. </w:t>
      </w:r>
      <w:r w:rsidRPr="00CF1671">
        <w:rPr>
          <w:i/>
          <w:iCs/>
        </w:rPr>
        <w:t>BMC Public Health</w:t>
      </w:r>
      <w:r w:rsidRPr="00CF1671">
        <w:t>, 24(1), 1453. doi:</w:t>
      </w:r>
      <w:r>
        <w:t xml:space="preserve"> </w:t>
      </w:r>
      <w:hyperlink r:id="rId17" w:history="1">
        <w:r w:rsidRPr="00672ED3">
          <w:rPr>
            <w:rStyle w:val="Hyperlink"/>
          </w:rPr>
          <w:t>https://dx.doi.org/10.1186/s12889-024-18968-y</w:t>
        </w:r>
      </w:hyperlink>
    </w:p>
    <w:p w14:paraId="30DB6BB8" w14:textId="77777777" w:rsidR="00E10195" w:rsidRDefault="00E10195" w:rsidP="00E10195">
      <w:pPr>
        <w:ind w:left="720" w:hanging="720"/>
      </w:pPr>
      <w:r w:rsidRPr="00CF1671">
        <w:t xml:space="preserve">Sheng, Y., Ma, S., Zhou, Q. and Xu, J., </w:t>
      </w:r>
      <w:r>
        <w:t>(</w:t>
      </w:r>
      <w:r w:rsidRPr="00CF1671">
        <w:t>2025</w:t>
      </w:r>
      <w:r>
        <w:t>)</w:t>
      </w:r>
      <w:r w:rsidRPr="00CF1671">
        <w:t xml:space="preserve">. Pertussis resurgence: epidemiological trends, pathogenic mechanisms, and preventive strategies. </w:t>
      </w:r>
      <w:r w:rsidRPr="00CF1671">
        <w:rPr>
          <w:i/>
          <w:iCs/>
        </w:rPr>
        <w:t>Frontiers in Immunology</w:t>
      </w:r>
      <w:r w:rsidRPr="00CF1671">
        <w:t>, 16, 1618883. doi:</w:t>
      </w:r>
      <w:r>
        <w:t xml:space="preserve"> </w:t>
      </w:r>
      <w:hyperlink r:id="rId18" w:history="1">
        <w:r w:rsidRPr="00672ED3">
          <w:rPr>
            <w:rStyle w:val="Hyperlink"/>
          </w:rPr>
          <w:t>https://dx.doi.org/10.3389/fimmu.2025.1618883</w:t>
        </w:r>
      </w:hyperlink>
    </w:p>
    <w:p w14:paraId="6CC05233" w14:textId="77777777" w:rsidR="00E10195" w:rsidRDefault="00E10195" w:rsidP="00E10195">
      <w:pPr>
        <w:ind w:left="720" w:hanging="720"/>
      </w:pPr>
      <w:r w:rsidRPr="00CF1671">
        <w:t xml:space="preserve">Tessier, E., Campbell, H., Ribeiro, S., Rai, Y., Burton, S., Roy, P., Fry, N.K., Litt, D. and Amirthalingam, G., </w:t>
      </w:r>
      <w:r>
        <w:t>(</w:t>
      </w:r>
      <w:r w:rsidRPr="00CF1671">
        <w:t>2022</w:t>
      </w:r>
      <w:r>
        <w:t>)</w:t>
      </w:r>
      <w:r w:rsidRPr="00CF1671">
        <w:t xml:space="preserve">. Impact of the COVID-19 pandemic on </w:t>
      </w:r>
      <w:r w:rsidRPr="00CF1671">
        <w:rPr>
          <w:i/>
          <w:iCs/>
        </w:rPr>
        <w:t>Bordetella pertussis</w:t>
      </w:r>
      <w:r w:rsidRPr="00CF1671">
        <w:t xml:space="preserve"> infections in England. </w:t>
      </w:r>
      <w:r w:rsidRPr="00CF1671">
        <w:rPr>
          <w:i/>
          <w:iCs/>
        </w:rPr>
        <w:t>BMC Public Health</w:t>
      </w:r>
      <w:r w:rsidRPr="00CF1671">
        <w:t>, 22(1), 405. doi:</w:t>
      </w:r>
      <w:r>
        <w:t xml:space="preserve"> </w:t>
      </w:r>
      <w:hyperlink r:id="rId19" w:history="1">
        <w:r w:rsidRPr="00672ED3">
          <w:rPr>
            <w:rStyle w:val="Hyperlink"/>
          </w:rPr>
          <w:t>https://dx.doi.org/10.1186/s12889-022-12830-9</w:t>
        </w:r>
      </w:hyperlink>
    </w:p>
    <w:p w14:paraId="291E5EFF" w14:textId="77777777" w:rsidR="00E10195" w:rsidRDefault="00E10195" w:rsidP="00E10195">
      <w:pPr>
        <w:ind w:left="720" w:hanging="720"/>
      </w:pPr>
      <w:r w:rsidRPr="00CF1671">
        <w:t xml:space="preserve">Vygen-Bonnet, S., Hellenbrand, W., Garbe, E., Henseler, O., Littmann, M., Wagner-Wiening, C., von Kries, R. and Wichmann, O., </w:t>
      </w:r>
      <w:r>
        <w:t>(</w:t>
      </w:r>
      <w:r w:rsidRPr="00CF1671">
        <w:t>2020</w:t>
      </w:r>
      <w:r>
        <w:t>)</w:t>
      </w:r>
      <w:r w:rsidRPr="00CF1671">
        <w:t xml:space="preserve">. Safety and effectiveness of acellular pertussis vaccination during pregnancy: a systematic review. </w:t>
      </w:r>
      <w:r w:rsidRPr="00CF1671">
        <w:rPr>
          <w:i/>
          <w:iCs/>
        </w:rPr>
        <w:t>BMC Infectious Diseases</w:t>
      </w:r>
      <w:r w:rsidRPr="00CF1671">
        <w:t>, 20(1), 136. doi:</w:t>
      </w:r>
      <w:r>
        <w:t xml:space="preserve"> </w:t>
      </w:r>
      <w:hyperlink r:id="rId20" w:history="1">
        <w:r w:rsidRPr="00672ED3">
          <w:rPr>
            <w:rStyle w:val="Hyperlink"/>
          </w:rPr>
          <w:t>https://dx.doi.org/10.1186/s12879-020-4866-1</w:t>
        </w:r>
      </w:hyperlink>
    </w:p>
    <w:p w14:paraId="0D2F28D8" w14:textId="77777777" w:rsidR="00E10195" w:rsidRDefault="00E10195" w:rsidP="00E10195">
      <w:pPr>
        <w:ind w:left="720" w:hanging="720"/>
      </w:pPr>
      <w:r w:rsidRPr="00CF1671">
        <w:t xml:space="preserve">Walker, J.L., Rentsch, C.T., McDonald, H.I., Bak, J., Minassian, C., Amirthalingam, G., Edelstein, M. and Thomas, S., </w:t>
      </w:r>
      <w:r>
        <w:t>(</w:t>
      </w:r>
      <w:r w:rsidRPr="00CF1671">
        <w:t>2021</w:t>
      </w:r>
      <w:r>
        <w:t>)</w:t>
      </w:r>
      <w:r w:rsidRPr="00CF1671">
        <w:t xml:space="preserve">. Social determinants of pertussis and influenza vaccine uptake in pregnancy: a national cohort study in England using electronic health records. </w:t>
      </w:r>
      <w:r w:rsidRPr="00CF1671">
        <w:rPr>
          <w:i/>
          <w:iCs/>
        </w:rPr>
        <w:t>BMJ Open</w:t>
      </w:r>
      <w:r w:rsidRPr="00CF1671">
        <w:t>, 11(6), e046545. doi:</w:t>
      </w:r>
      <w:r>
        <w:t xml:space="preserve"> </w:t>
      </w:r>
      <w:hyperlink r:id="rId21" w:history="1">
        <w:r w:rsidRPr="00672ED3">
          <w:rPr>
            <w:rStyle w:val="Hyperlink"/>
          </w:rPr>
          <w:t>https://dx.doi.org/10.1136/bmjopen-2020-046545</w:t>
        </w:r>
      </w:hyperlink>
    </w:p>
    <w:sectPr w:rsidR="00E10195" w:rsidSect="008E074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FE199" w14:textId="77777777" w:rsidR="00ED3BE5" w:rsidRDefault="00ED3BE5">
      <w:pPr>
        <w:spacing w:after="0" w:line="240" w:lineRule="auto"/>
      </w:pPr>
      <w:r>
        <w:separator/>
      </w:r>
    </w:p>
  </w:endnote>
  <w:endnote w:type="continuationSeparator" w:id="0">
    <w:p w14:paraId="0E27983E" w14:textId="77777777" w:rsidR="00ED3BE5" w:rsidRDefault="00ED3B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047E8A" w14:textId="77777777" w:rsidR="00774E09" w:rsidRDefault="00774E09">
    <w:pPr>
      <w:pStyle w:val="Footer"/>
      <w:jc w:val="right"/>
    </w:pPr>
  </w:p>
  <w:p w14:paraId="75772CDA" w14:textId="77777777" w:rsidR="00774E09" w:rsidRDefault="00774E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E8213C" w14:textId="77777777" w:rsidR="00ED3BE5" w:rsidRDefault="00ED3BE5">
      <w:pPr>
        <w:spacing w:after="0" w:line="240" w:lineRule="auto"/>
      </w:pPr>
      <w:r>
        <w:separator/>
      </w:r>
    </w:p>
  </w:footnote>
  <w:footnote w:type="continuationSeparator" w:id="0">
    <w:p w14:paraId="2FA83E96" w14:textId="77777777" w:rsidR="00ED3BE5" w:rsidRDefault="00ED3B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5F04E6" w14:textId="77777777" w:rsidR="00774E09" w:rsidRDefault="00774E09" w:rsidP="00BE6BE0">
    <w:pPr>
      <w:pStyle w:val="Header"/>
      <w:ind w:left="11520"/>
    </w:pPr>
    <w:r>
      <w:rPr>
        <w:noProof/>
      </w:rPr>
      <w:drawing>
        <wp:inline distT="0" distB="0" distL="0" distR="0" wp14:anchorId="531A59CC" wp14:editId="34F3BF73">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F0E2A"/>
    <w:multiLevelType w:val="multilevel"/>
    <w:tmpl w:val="0C5A2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D8012E"/>
    <w:multiLevelType w:val="multilevel"/>
    <w:tmpl w:val="FC563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1E555B"/>
    <w:multiLevelType w:val="multilevel"/>
    <w:tmpl w:val="9D2AD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AC229A"/>
    <w:multiLevelType w:val="multilevel"/>
    <w:tmpl w:val="3480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F90A23"/>
    <w:multiLevelType w:val="multilevel"/>
    <w:tmpl w:val="06A07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AE0437"/>
    <w:multiLevelType w:val="multilevel"/>
    <w:tmpl w:val="C41E5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8E7457"/>
    <w:multiLevelType w:val="multilevel"/>
    <w:tmpl w:val="12489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CE1DE4"/>
    <w:multiLevelType w:val="multilevel"/>
    <w:tmpl w:val="D81AF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FB1646"/>
    <w:multiLevelType w:val="multilevel"/>
    <w:tmpl w:val="3E62B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A60EBF"/>
    <w:multiLevelType w:val="multilevel"/>
    <w:tmpl w:val="C9EC1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2045369">
    <w:abstractNumId w:val="2"/>
  </w:num>
  <w:num w:numId="2" w16cid:durableId="712075042">
    <w:abstractNumId w:val="8"/>
  </w:num>
  <w:num w:numId="3" w16cid:durableId="369843678">
    <w:abstractNumId w:val="4"/>
  </w:num>
  <w:num w:numId="4" w16cid:durableId="871770031">
    <w:abstractNumId w:val="6"/>
  </w:num>
  <w:num w:numId="5" w16cid:durableId="144854375">
    <w:abstractNumId w:val="1"/>
  </w:num>
  <w:num w:numId="6" w16cid:durableId="351492438">
    <w:abstractNumId w:val="3"/>
  </w:num>
  <w:num w:numId="7" w16cid:durableId="1066685857">
    <w:abstractNumId w:val="0"/>
  </w:num>
  <w:num w:numId="8" w16cid:durableId="3561103">
    <w:abstractNumId w:val="5"/>
  </w:num>
  <w:num w:numId="9" w16cid:durableId="1191796530">
    <w:abstractNumId w:val="9"/>
  </w:num>
  <w:num w:numId="10" w16cid:durableId="9571076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671"/>
    <w:rsid w:val="000601EA"/>
    <w:rsid w:val="00080448"/>
    <w:rsid w:val="000B7E0D"/>
    <w:rsid w:val="00137835"/>
    <w:rsid w:val="00173F6C"/>
    <w:rsid w:val="001A02F1"/>
    <w:rsid w:val="001D1045"/>
    <w:rsid w:val="002A05A6"/>
    <w:rsid w:val="00311FD5"/>
    <w:rsid w:val="003449CB"/>
    <w:rsid w:val="004350DC"/>
    <w:rsid w:val="004652B9"/>
    <w:rsid w:val="004A64AB"/>
    <w:rsid w:val="005417CA"/>
    <w:rsid w:val="00654C99"/>
    <w:rsid w:val="00774E09"/>
    <w:rsid w:val="00776DDE"/>
    <w:rsid w:val="0087493E"/>
    <w:rsid w:val="008E0743"/>
    <w:rsid w:val="00A4562A"/>
    <w:rsid w:val="00AA7C17"/>
    <w:rsid w:val="00AC5361"/>
    <w:rsid w:val="00BA14D6"/>
    <w:rsid w:val="00BC4CAB"/>
    <w:rsid w:val="00C25147"/>
    <w:rsid w:val="00C51FEB"/>
    <w:rsid w:val="00C95BA2"/>
    <w:rsid w:val="00CF1671"/>
    <w:rsid w:val="00D05681"/>
    <w:rsid w:val="00D10297"/>
    <w:rsid w:val="00D71F8F"/>
    <w:rsid w:val="00E10195"/>
    <w:rsid w:val="00E113EB"/>
    <w:rsid w:val="00ED3BE5"/>
    <w:rsid w:val="00F05848"/>
    <w:rsid w:val="00F70F2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B1C125"/>
  <w15:chartTrackingRefBased/>
  <w15:docId w15:val="{2F4C6547-CCA5-4A36-9C19-99B1766B0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C99"/>
    <w:pPr>
      <w:spacing w:after="200" w:line="360" w:lineRule="auto"/>
      <w:jc w:val="both"/>
    </w:pPr>
    <w:rPr>
      <w:rFonts w:ascii="Times New Roman" w:hAnsi="Times New Roman"/>
      <w:sz w:val="24"/>
      <w14:ligatures w14:val="none"/>
    </w:rPr>
  </w:style>
  <w:style w:type="paragraph" w:styleId="Heading1">
    <w:name w:val="heading 1"/>
    <w:basedOn w:val="Normal"/>
    <w:next w:val="Normal"/>
    <w:link w:val="Heading1Char"/>
    <w:uiPriority w:val="9"/>
    <w:qFormat/>
    <w:rsid w:val="00BA14D6"/>
    <w:pPr>
      <w:keepNext/>
      <w:keepLines/>
      <w:spacing w:before="240" w:after="0"/>
      <w:outlineLvl w:val="0"/>
    </w:pPr>
    <w:rPr>
      <w:rFonts w:eastAsiaTheme="majorEastAsia" w:cstheme="majorBidi"/>
      <w:b/>
      <w:szCs w:val="32"/>
      <w14:ligatures w14:val="standardContextual"/>
    </w:rPr>
  </w:style>
  <w:style w:type="paragraph" w:styleId="Heading2">
    <w:name w:val="heading 2"/>
    <w:basedOn w:val="Normal"/>
    <w:next w:val="Normal"/>
    <w:link w:val="Heading2Char"/>
    <w:uiPriority w:val="9"/>
    <w:unhideWhenUsed/>
    <w:qFormat/>
    <w:rsid w:val="00BA14D6"/>
    <w:pPr>
      <w:keepNext/>
      <w:keepLines/>
      <w:spacing w:before="40" w:after="0"/>
      <w:outlineLvl w:val="1"/>
    </w:pPr>
    <w:rPr>
      <w:rFonts w:eastAsiaTheme="majorEastAsia" w:cstheme="majorBidi"/>
      <w:b/>
      <w:i/>
      <w:szCs w:val="26"/>
      <w14:ligatures w14:val="standardContextual"/>
    </w:rPr>
  </w:style>
  <w:style w:type="paragraph" w:styleId="Heading3">
    <w:name w:val="heading 3"/>
    <w:basedOn w:val="Normal"/>
    <w:next w:val="Normal"/>
    <w:link w:val="Heading3Char"/>
    <w:uiPriority w:val="9"/>
    <w:unhideWhenUsed/>
    <w:qFormat/>
    <w:rsid w:val="003449CB"/>
    <w:pPr>
      <w:keepNext/>
      <w:keepLines/>
      <w:spacing w:before="40" w:after="0"/>
      <w:outlineLvl w:val="2"/>
    </w:pPr>
    <w:rPr>
      <w:rFonts w:eastAsiaTheme="majorEastAsia" w:cstheme="majorBidi"/>
      <w:b/>
      <w:szCs w:val="24"/>
      <w14:ligatures w14:val="standardContextual"/>
    </w:rPr>
  </w:style>
  <w:style w:type="paragraph" w:styleId="Heading4">
    <w:name w:val="heading 4"/>
    <w:basedOn w:val="Normal"/>
    <w:next w:val="Normal"/>
    <w:link w:val="Heading4Char"/>
    <w:uiPriority w:val="9"/>
    <w:semiHidden/>
    <w:unhideWhenUsed/>
    <w:qFormat/>
    <w:rsid w:val="00CF167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F167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F167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F167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F167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F167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4D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BA14D6"/>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3449CB"/>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CF1671"/>
    <w:rPr>
      <w:rFonts w:eastAsiaTheme="majorEastAsia" w:cstheme="majorBidi"/>
      <w:i/>
      <w:iCs/>
      <w:color w:val="2F5496" w:themeColor="accent1" w:themeShade="BF"/>
      <w:sz w:val="24"/>
      <w14:ligatures w14:val="none"/>
    </w:rPr>
  </w:style>
  <w:style w:type="character" w:customStyle="1" w:styleId="Heading5Char">
    <w:name w:val="Heading 5 Char"/>
    <w:basedOn w:val="DefaultParagraphFont"/>
    <w:link w:val="Heading5"/>
    <w:uiPriority w:val="9"/>
    <w:semiHidden/>
    <w:rsid w:val="00CF1671"/>
    <w:rPr>
      <w:rFonts w:eastAsiaTheme="majorEastAsia" w:cstheme="majorBidi"/>
      <w:color w:val="2F5496" w:themeColor="accent1" w:themeShade="BF"/>
      <w:sz w:val="24"/>
      <w14:ligatures w14:val="none"/>
    </w:rPr>
  </w:style>
  <w:style w:type="character" w:customStyle="1" w:styleId="Heading6Char">
    <w:name w:val="Heading 6 Char"/>
    <w:basedOn w:val="DefaultParagraphFont"/>
    <w:link w:val="Heading6"/>
    <w:uiPriority w:val="9"/>
    <w:semiHidden/>
    <w:rsid w:val="00CF1671"/>
    <w:rPr>
      <w:rFonts w:eastAsiaTheme="majorEastAsia" w:cstheme="majorBidi"/>
      <w:i/>
      <w:iCs/>
      <w:color w:val="595959" w:themeColor="text1" w:themeTint="A6"/>
      <w:sz w:val="24"/>
      <w14:ligatures w14:val="none"/>
    </w:rPr>
  </w:style>
  <w:style w:type="character" w:customStyle="1" w:styleId="Heading7Char">
    <w:name w:val="Heading 7 Char"/>
    <w:basedOn w:val="DefaultParagraphFont"/>
    <w:link w:val="Heading7"/>
    <w:uiPriority w:val="9"/>
    <w:semiHidden/>
    <w:rsid w:val="00CF1671"/>
    <w:rPr>
      <w:rFonts w:eastAsiaTheme="majorEastAsia" w:cstheme="majorBidi"/>
      <w:color w:val="595959" w:themeColor="text1" w:themeTint="A6"/>
      <w:sz w:val="24"/>
      <w14:ligatures w14:val="none"/>
    </w:rPr>
  </w:style>
  <w:style w:type="character" w:customStyle="1" w:styleId="Heading8Char">
    <w:name w:val="Heading 8 Char"/>
    <w:basedOn w:val="DefaultParagraphFont"/>
    <w:link w:val="Heading8"/>
    <w:uiPriority w:val="9"/>
    <w:semiHidden/>
    <w:rsid w:val="00CF1671"/>
    <w:rPr>
      <w:rFonts w:eastAsiaTheme="majorEastAsia" w:cstheme="majorBidi"/>
      <w:i/>
      <w:iCs/>
      <w:color w:val="272727" w:themeColor="text1" w:themeTint="D8"/>
      <w:sz w:val="24"/>
      <w14:ligatures w14:val="none"/>
    </w:rPr>
  </w:style>
  <w:style w:type="character" w:customStyle="1" w:styleId="Heading9Char">
    <w:name w:val="Heading 9 Char"/>
    <w:basedOn w:val="DefaultParagraphFont"/>
    <w:link w:val="Heading9"/>
    <w:uiPriority w:val="9"/>
    <w:semiHidden/>
    <w:rsid w:val="00CF1671"/>
    <w:rPr>
      <w:rFonts w:eastAsiaTheme="majorEastAsia" w:cstheme="majorBidi"/>
      <w:color w:val="272727" w:themeColor="text1" w:themeTint="D8"/>
      <w:sz w:val="24"/>
      <w14:ligatures w14:val="none"/>
    </w:rPr>
  </w:style>
  <w:style w:type="paragraph" w:styleId="Title">
    <w:name w:val="Title"/>
    <w:basedOn w:val="Normal"/>
    <w:next w:val="Normal"/>
    <w:link w:val="TitleChar"/>
    <w:uiPriority w:val="10"/>
    <w:qFormat/>
    <w:rsid w:val="00CF16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671"/>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CF167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671"/>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CF167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F1671"/>
    <w:rPr>
      <w:rFonts w:ascii="Times New Roman" w:hAnsi="Times New Roman"/>
      <w:i/>
      <w:iCs/>
      <w:color w:val="404040" w:themeColor="text1" w:themeTint="BF"/>
      <w:sz w:val="24"/>
      <w14:ligatures w14:val="none"/>
    </w:rPr>
  </w:style>
  <w:style w:type="paragraph" w:styleId="ListParagraph">
    <w:name w:val="List Paragraph"/>
    <w:basedOn w:val="Normal"/>
    <w:uiPriority w:val="34"/>
    <w:qFormat/>
    <w:rsid w:val="00CF1671"/>
    <w:pPr>
      <w:ind w:left="720"/>
      <w:contextualSpacing/>
    </w:pPr>
  </w:style>
  <w:style w:type="character" w:styleId="IntenseEmphasis">
    <w:name w:val="Intense Emphasis"/>
    <w:basedOn w:val="DefaultParagraphFont"/>
    <w:uiPriority w:val="21"/>
    <w:qFormat/>
    <w:rsid w:val="00CF1671"/>
    <w:rPr>
      <w:i/>
      <w:iCs/>
      <w:color w:val="2F5496" w:themeColor="accent1" w:themeShade="BF"/>
    </w:rPr>
  </w:style>
  <w:style w:type="paragraph" w:styleId="IntenseQuote">
    <w:name w:val="Intense Quote"/>
    <w:basedOn w:val="Normal"/>
    <w:next w:val="Normal"/>
    <w:link w:val="IntenseQuoteChar"/>
    <w:uiPriority w:val="30"/>
    <w:qFormat/>
    <w:rsid w:val="00CF167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1671"/>
    <w:rPr>
      <w:rFonts w:ascii="Times New Roman" w:hAnsi="Times New Roman"/>
      <w:i/>
      <w:iCs/>
      <w:color w:val="2F5496" w:themeColor="accent1" w:themeShade="BF"/>
      <w:sz w:val="24"/>
      <w14:ligatures w14:val="none"/>
    </w:rPr>
  </w:style>
  <w:style w:type="character" w:styleId="IntenseReference">
    <w:name w:val="Intense Reference"/>
    <w:basedOn w:val="DefaultParagraphFont"/>
    <w:uiPriority w:val="32"/>
    <w:qFormat/>
    <w:rsid w:val="00CF1671"/>
    <w:rPr>
      <w:b/>
      <w:bCs/>
      <w:smallCaps/>
      <w:color w:val="2F5496" w:themeColor="accent1" w:themeShade="BF"/>
      <w:spacing w:val="5"/>
    </w:rPr>
  </w:style>
  <w:style w:type="character" w:styleId="Hyperlink">
    <w:name w:val="Hyperlink"/>
    <w:basedOn w:val="DefaultParagraphFont"/>
    <w:uiPriority w:val="99"/>
    <w:unhideWhenUsed/>
    <w:rsid w:val="00CF1671"/>
    <w:rPr>
      <w:color w:val="0563C1" w:themeColor="hyperlink"/>
      <w:u w:val="single"/>
    </w:rPr>
  </w:style>
  <w:style w:type="character" w:styleId="UnresolvedMention">
    <w:name w:val="Unresolved Mention"/>
    <w:basedOn w:val="DefaultParagraphFont"/>
    <w:uiPriority w:val="99"/>
    <w:semiHidden/>
    <w:unhideWhenUsed/>
    <w:rsid w:val="00CF1671"/>
    <w:rPr>
      <w:color w:val="605E5C"/>
      <w:shd w:val="clear" w:color="auto" w:fill="E1DFDD"/>
    </w:rPr>
  </w:style>
  <w:style w:type="paragraph" w:styleId="TOCHeading">
    <w:name w:val="TOC Heading"/>
    <w:basedOn w:val="Heading1"/>
    <w:next w:val="Normal"/>
    <w:uiPriority w:val="39"/>
    <w:unhideWhenUsed/>
    <w:qFormat/>
    <w:rsid w:val="00E10195"/>
    <w:pPr>
      <w:spacing w:line="259" w:lineRule="auto"/>
      <w:jc w:val="left"/>
      <w:outlineLvl w:val="9"/>
    </w:pPr>
    <w:rPr>
      <w:rFonts w:asciiTheme="majorHAnsi" w:hAnsiTheme="majorHAnsi"/>
      <w:b w:val="0"/>
      <w:color w:val="2F5496" w:themeColor="accent1" w:themeShade="BF"/>
      <w:sz w:val="32"/>
      <w:lang w:val="en-US"/>
      <w14:ligatures w14:val="none"/>
    </w:rPr>
  </w:style>
  <w:style w:type="paragraph" w:styleId="TOC1">
    <w:name w:val="toc 1"/>
    <w:basedOn w:val="Normal"/>
    <w:next w:val="Normal"/>
    <w:autoRedefine/>
    <w:uiPriority w:val="39"/>
    <w:unhideWhenUsed/>
    <w:rsid w:val="00E10195"/>
    <w:pPr>
      <w:spacing w:after="100"/>
    </w:pPr>
  </w:style>
  <w:style w:type="paragraph" w:styleId="Header">
    <w:name w:val="header"/>
    <w:basedOn w:val="Normal"/>
    <w:link w:val="HeaderChar"/>
    <w:uiPriority w:val="99"/>
    <w:unhideWhenUsed/>
    <w:rsid w:val="00774E09"/>
    <w:pPr>
      <w:tabs>
        <w:tab w:val="center" w:pos="4513"/>
        <w:tab w:val="right" w:pos="9026"/>
      </w:tabs>
      <w:spacing w:after="0" w:line="240" w:lineRule="auto"/>
      <w:jc w:val="left"/>
    </w:pPr>
    <w:rPr>
      <w:rFonts w:asciiTheme="minorHAnsi" w:eastAsiaTheme="minorEastAsia" w:hAnsiTheme="minorHAnsi"/>
      <w:sz w:val="22"/>
      <w:lang w:eastAsia="zh-CN"/>
    </w:rPr>
  </w:style>
  <w:style w:type="character" w:customStyle="1" w:styleId="HeaderChar">
    <w:name w:val="Header Char"/>
    <w:basedOn w:val="DefaultParagraphFont"/>
    <w:link w:val="Header"/>
    <w:uiPriority w:val="99"/>
    <w:rsid w:val="00774E09"/>
    <w:rPr>
      <w:rFonts w:eastAsiaTheme="minorEastAsia"/>
      <w:lang w:eastAsia="zh-CN"/>
      <w14:ligatures w14:val="none"/>
    </w:rPr>
  </w:style>
  <w:style w:type="paragraph" w:styleId="Footer">
    <w:name w:val="footer"/>
    <w:basedOn w:val="Normal"/>
    <w:link w:val="FooterChar"/>
    <w:uiPriority w:val="99"/>
    <w:unhideWhenUsed/>
    <w:rsid w:val="00774E09"/>
    <w:pPr>
      <w:tabs>
        <w:tab w:val="center" w:pos="4513"/>
        <w:tab w:val="right" w:pos="9026"/>
      </w:tabs>
      <w:spacing w:after="0" w:line="240" w:lineRule="auto"/>
      <w:jc w:val="left"/>
    </w:pPr>
    <w:rPr>
      <w:rFonts w:asciiTheme="minorHAnsi" w:eastAsiaTheme="minorEastAsia" w:hAnsiTheme="minorHAnsi"/>
      <w:sz w:val="22"/>
      <w:lang w:eastAsia="zh-CN"/>
    </w:rPr>
  </w:style>
  <w:style w:type="character" w:customStyle="1" w:styleId="FooterChar">
    <w:name w:val="Footer Char"/>
    <w:basedOn w:val="DefaultParagraphFont"/>
    <w:link w:val="Footer"/>
    <w:uiPriority w:val="99"/>
    <w:rsid w:val="00774E09"/>
    <w:rPr>
      <w:rFonts w:eastAsiaTheme="minorEastAsia"/>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x.doi.org/10.3390/vaccines12121346" TargetMode="External"/><Relationship Id="rId18" Type="http://schemas.openxmlformats.org/officeDocument/2006/relationships/hyperlink" Target="https://dx.doi.org/10.3389/fimmu.2025.1618883" TargetMode="External"/><Relationship Id="rId3" Type="http://schemas.openxmlformats.org/officeDocument/2006/relationships/styles" Target="styles.xml"/><Relationship Id="rId21" Type="http://schemas.openxmlformats.org/officeDocument/2006/relationships/hyperlink" Target="https://dx.doi.org/10.1136/bmjopen-2020-046545" TargetMode="External"/><Relationship Id="rId7" Type="http://schemas.openxmlformats.org/officeDocument/2006/relationships/endnotes" Target="endnotes.xml"/><Relationship Id="rId12" Type="http://schemas.openxmlformats.org/officeDocument/2006/relationships/hyperlink" Target="https://dx.doi.org/10.2147/JAA.S335960" TargetMode="External"/><Relationship Id="rId17" Type="http://schemas.openxmlformats.org/officeDocument/2006/relationships/hyperlink" Target="https://dx.doi.org/10.1186/s12889-024-18968-y" TargetMode="External"/><Relationship Id="rId2" Type="http://schemas.openxmlformats.org/officeDocument/2006/relationships/numbering" Target="numbering.xml"/><Relationship Id="rId16" Type="http://schemas.openxmlformats.org/officeDocument/2006/relationships/hyperlink" Target="https://dx.doi.org/10.1007/s40121-021-00465-z" TargetMode="External"/><Relationship Id="rId20" Type="http://schemas.openxmlformats.org/officeDocument/2006/relationships/hyperlink" Target="https://dx.doi.org/10.1186/s12879-020-486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x.doi.org/10.1007/s40121-023-00774-5" TargetMode="Externa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dx.doi.org/10.1186/s12889-022-12830-9"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x.doi.org/10.1371/journal.ppat.1008625"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471C62-2E94-4E12-948D-104C1FACC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2076</Words>
  <Characters>11835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MT_Prod-05</dc:creator>
  <cp:keywords/>
  <dc:description/>
  <cp:lastModifiedBy>Mariuza Nankervis</cp:lastModifiedBy>
  <cp:revision>2</cp:revision>
  <dcterms:created xsi:type="dcterms:W3CDTF">2025-12-10T14:07:00Z</dcterms:created>
  <dcterms:modified xsi:type="dcterms:W3CDTF">2025-12-10T14:07:00Z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5784fb11-8bdc-42ae-864b-6b51be2325bd</vt:lpwstr>
  </property>
</Properties>
</file>