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cs="Times New Roman"/>
          <w:sz w:val="24"/>
          <w:szCs w:val="24"/>
          <w:lang w:val="en-US" w:eastAsia="zh-CN"/>
        </w:rPr>
        <w:sectPr>
          <w:pgSz w:w="11906" w:h="16838"/>
          <w:pgMar w:top="1440" w:right="1800" w:bottom="1440" w:left="1800" w:header="851" w:footer="992" w:gutter="0"/>
          <w:cols w:space="425" w:num="1"/>
          <w:docGrid w:type="lines" w:linePitch="312" w:charSpace="0"/>
        </w:sectPr>
      </w:pPr>
      <w:r>
        <w:rPr>
          <w:rFonts w:hint="eastAsia"/>
          <w:lang w:val="en-US" w:eastAsia="zh-CN"/>
        </w:rPr>
        <w:t xml:space="preserve"> </w:t>
      </w:r>
      <w:r>
        <w:rPr>
          <w:rFonts w:hint="default" w:ascii="Times New Roman" w:hAnsi="Times New Roman" w:cs="Times New Roman"/>
          <w:sz w:val="24"/>
          <w:szCs w:val="24"/>
          <w:lang w:val="en-US" w:eastAsia="zh-CN"/>
        </w:rPr>
        <w:t xml:space="preserve"> </w:t>
      </w:r>
    </w:p>
    <w:p>
      <w:pPr>
        <w:spacing w:line="360" w:lineRule="auto"/>
        <w:jc w:val="center"/>
        <w:rPr>
          <w:rFonts w:hint="default" w:ascii="Times New Roman" w:hAnsi="Times New Roman" w:cs="Times New Roman"/>
          <w:b/>
          <w:sz w:val="28"/>
          <w:szCs w:val="28"/>
          <w:lang w:val="en-US" w:eastAsia="zh-CN"/>
        </w:rPr>
      </w:pPr>
      <w:r>
        <w:rPr>
          <w:rFonts w:hint="default" w:ascii="Times New Roman" w:hAnsi="Times New Roman" w:cs="Times New Roman"/>
          <w:b/>
          <w:sz w:val="28"/>
          <w:szCs w:val="28"/>
          <w:lang w:val="en-US" w:eastAsia="zh-CN"/>
        </w:rPr>
        <w:t>Research Proposal</w:t>
      </w:r>
    </w:p>
    <w:p>
      <w:pPr>
        <w:rPr>
          <w:rFonts w:hint="eastAsia" w:ascii="Times New Roman" w:hAnsi="Times New Roman" w:cs="Times New Roman"/>
          <w:sz w:val="28"/>
          <w:szCs w:val="28"/>
          <w:lang w:val="en-US" w:eastAsia="zh-CN"/>
        </w:rPr>
      </w:pPr>
    </w:p>
    <w:p>
      <w:pPr>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The effect of Digital Marketing on Traditional Produce market traders</w:t>
      </w:r>
    </w:p>
    <w:p>
      <w:pPr>
        <w:rPr>
          <w:rFonts w:hint="default" w:ascii="Times New Roman" w:hAnsi="Times New Roman" w:cs="Times New Roman"/>
          <w:sz w:val="28"/>
          <w:szCs w:val="28"/>
          <w:lang w:val="en-US" w:eastAsia="zh-CN"/>
        </w:rPr>
      </w:pPr>
    </w:p>
    <w:p>
      <w:pPr>
        <w:spacing w:line="360" w:lineRule="auto"/>
        <w:jc w:val="center"/>
        <w:rPr>
          <w:rFonts w:hint="default" w:ascii="Times New Roman" w:hAnsi="Times New Roman" w:cs="Times New Roman"/>
          <w:b/>
          <w:sz w:val="28"/>
          <w:szCs w:val="28"/>
          <w:lang w:val="en-US" w:eastAsia="zh-CN"/>
        </w:rPr>
      </w:pPr>
      <w:r>
        <w:rPr>
          <w:rFonts w:hint="default" w:ascii="Times New Roman" w:hAnsi="Times New Roman" w:cs="Times New Roman"/>
          <w:b/>
          <w:sz w:val="28"/>
          <w:szCs w:val="28"/>
          <w:lang w:val="en-US" w:eastAsia="zh-CN"/>
        </w:rPr>
        <w:t>2008082</w:t>
      </w:r>
    </w:p>
    <w:p>
      <w:pPr>
        <w:spacing w:line="360" w:lineRule="auto"/>
        <w:jc w:val="center"/>
        <w:rPr>
          <w:rFonts w:hint="eastAsia" w:ascii="Times New Roman" w:hAnsi="Times New Roman" w:cs="Times New Roman"/>
          <w:b/>
          <w:sz w:val="28"/>
          <w:szCs w:val="28"/>
          <w:lang w:val="en-US" w:eastAsia="zh-CN"/>
        </w:rPr>
      </w:pPr>
      <w:r>
        <w:rPr>
          <w:rFonts w:hint="eastAsia" w:ascii="Times New Roman" w:hAnsi="Times New Roman" w:cs="Times New Roman"/>
          <w:b/>
          <w:sz w:val="28"/>
          <w:szCs w:val="28"/>
          <w:lang w:val="en-US" w:eastAsia="zh-CN"/>
        </w:rPr>
        <w:t>Deng Yixuan</w:t>
      </w:r>
    </w:p>
    <w:p>
      <w:pPr>
        <w:spacing w:line="360" w:lineRule="auto"/>
        <w:jc w:val="center"/>
        <w:rPr>
          <w:rFonts w:hint="eastAsia" w:ascii="Times New Roman" w:hAnsi="Times New Roman" w:cs="Times New Roman"/>
          <w:b/>
          <w:sz w:val="28"/>
          <w:szCs w:val="28"/>
          <w:lang w:val="en-US" w:eastAsia="zh-CN"/>
        </w:rPr>
      </w:pPr>
      <w:r>
        <w:rPr>
          <w:rFonts w:hint="eastAsia" w:ascii="Times New Roman" w:hAnsi="Times New Roman" w:cs="Times New Roman"/>
          <w:b/>
          <w:sz w:val="28"/>
          <w:szCs w:val="28"/>
          <w:lang w:val="en-US" w:eastAsia="zh-CN"/>
        </w:rPr>
        <w:t>Submitted data: 29</w:t>
      </w:r>
      <w:r>
        <w:rPr>
          <w:rFonts w:hint="eastAsia" w:ascii="Times New Roman" w:hAnsi="Times New Roman" w:cs="Times New Roman"/>
          <w:b/>
          <w:sz w:val="28"/>
          <w:szCs w:val="28"/>
          <w:vertAlign w:val="superscript"/>
          <w:lang w:val="en-US" w:eastAsia="zh-CN"/>
        </w:rPr>
        <w:t>th</w:t>
      </w:r>
      <w:r>
        <w:rPr>
          <w:rFonts w:hint="eastAsia" w:ascii="Times New Roman" w:hAnsi="Times New Roman" w:cs="Times New Roman"/>
          <w:b/>
          <w:sz w:val="28"/>
          <w:szCs w:val="28"/>
          <w:lang w:val="en-US" w:eastAsia="zh-CN"/>
        </w:rPr>
        <w:t xml:space="preserve"> November,2020</w:t>
      </w:r>
    </w:p>
    <w:p>
      <w:pPr>
        <w:spacing w:line="360" w:lineRule="auto"/>
        <w:jc w:val="center"/>
        <w:rPr>
          <w:rFonts w:hint="default" w:ascii="Times New Roman" w:hAnsi="Times New Roman" w:cs="Times New Roman"/>
          <w:b/>
          <w:sz w:val="28"/>
          <w:szCs w:val="28"/>
          <w:lang w:val="en-US" w:eastAsia="zh-CN"/>
        </w:rPr>
      </w:pPr>
      <w:r>
        <w:rPr>
          <w:rFonts w:hint="eastAsia" w:ascii="Times New Roman" w:hAnsi="Times New Roman" w:cs="Times New Roman"/>
          <w:b/>
          <w:sz w:val="28"/>
          <w:szCs w:val="28"/>
          <w:lang w:val="en-US" w:eastAsia="zh-CN"/>
        </w:rPr>
        <w:t>For Caroline Jaward</w:t>
      </w:r>
    </w:p>
    <w:p>
      <w:pPr>
        <w:rPr>
          <w:rFonts w:hint="default" w:ascii="Times New Roman" w:hAnsi="Times New Roman" w:cs="Times New Roman"/>
          <w:sz w:val="28"/>
          <w:szCs w:val="28"/>
          <w:lang w:val="en-US" w:eastAsia="zh-CN"/>
        </w:rPr>
      </w:pPr>
    </w:p>
    <w:p>
      <w:pPr>
        <w:rPr>
          <w:rFonts w:hint="default" w:ascii="Times New Roman" w:hAnsi="Times New Roman" w:cs="Times New Roman"/>
          <w:sz w:val="28"/>
          <w:szCs w:val="28"/>
          <w:lang w:val="en-US" w:eastAsia="zh-CN"/>
        </w:rPr>
      </w:pPr>
    </w:p>
    <w:p>
      <w:pPr>
        <w:spacing w:line="360" w:lineRule="auto"/>
        <w:jc w:val="center"/>
        <w:rPr>
          <w:rFonts w:hint="default" w:ascii="Times New Roman" w:hAnsi="Times New Roman" w:cs="Times New Roman"/>
          <w:b/>
          <w:sz w:val="28"/>
          <w:szCs w:val="28"/>
        </w:rPr>
      </w:pPr>
      <w:r>
        <w:rPr>
          <w:rFonts w:hint="default" w:ascii="Times New Roman" w:hAnsi="Times New Roman" w:cs="Times New Roman"/>
          <w:b/>
          <w:sz w:val="28"/>
          <w:szCs w:val="28"/>
        </w:rPr>
        <w:t>University of Wales Trinity Saint David</w:t>
      </w:r>
    </w:p>
    <w:p>
      <w:pPr>
        <w:spacing w:line="360" w:lineRule="auto"/>
        <w:jc w:val="center"/>
        <w:rPr>
          <w:rFonts w:hint="default" w:ascii="Times New Roman" w:hAnsi="Times New Roman" w:cs="Times New Roman" w:eastAsiaTheme="minorEastAsia"/>
          <w:b/>
          <w:sz w:val="28"/>
          <w:szCs w:val="28"/>
          <w:lang w:val="en-US" w:eastAsia="zh-CN"/>
        </w:rPr>
      </w:pPr>
      <w:r>
        <w:rPr>
          <w:rFonts w:hint="default" w:ascii="Times New Roman" w:hAnsi="Times New Roman" w:cs="Times New Roman"/>
          <w:b/>
          <w:sz w:val="28"/>
          <w:szCs w:val="28"/>
        </w:rPr>
        <w:t xml:space="preserve">BA </w:t>
      </w:r>
      <w:r>
        <w:rPr>
          <w:rFonts w:hint="default" w:ascii="Times New Roman" w:hAnsi="Times New Roman" w:cs="Times New Roman"/>
          <w:b/>
          <w:sz w:val="28"/>
          <w:szCs w:val="28"/>
          <w:lang w:val="en-US" w:eastAsia="zh-CN"/>
        </w:rPr>
        <w:t>international finance</w:t>
      </w:r>
    </w:p>
    <w:p>
      <w:pPr>
        <w:rPr>
          <w:rFonts w:hint="default" w:ascii="Times New Roman" w:hAnsi="Times New Roman" w:cs="Times New Roman"/>
          <w:sz w:val="28"/>
          <w:szCs w:val="28"/>
          <w:lang w:val="en-US" w:eastAsia="zh-CN"/>
        </w:rPr>
        <w:sectPr>
          <w:pgSz w:w="11906" w:h="16838"/>
          <w:pgMar w:top="1440" w:right="1800" w:bottom="1440" w:left="1800" w:header="851" w:footer="992" w:gutter="0"/>
          <w:cols w:space="425" w:num="1"/>
          <w:docGrid w:type="lines" w:linePitch="312" w:charSpace="0"/>
        </w:sectPr>
      </w:pPr>
    </w:p>
    <w:p>
      <w:pPr>
        <w:ind w:firstLine="2800" w:firstLineChars="1000"/>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Table of contents</w:t>
      </w:r>
    </w:p>
    <w:p>
      <w:pPr>
        <w:pStyle w:val="4"/>
        <w:tabs>
          <w:tab w:val="right" w:leader="middleDot" w:pos="8306"/>
        </w:tabs>
        <w:rPr>
          <w:rFonts w:hint="default" w:ascii="Times New Roman" w:hAnsi="Times New Roman" w:cs="Times New Roman"/>
          <w:sz w:val="24"/>
          <w:szCs w:val="24"/>
        </w:rPr>
      </w:pPr>
      <w:r>
        <w:rPr>
          <w:rFonts w:hint="default" w:ascii="Times New Roman" w:hAnsi="Times New Roman" w:cs="Times New Roman"/>
          <w:sz w:val="28"/>
          <w:szCs w:val="28"/>
          <w:lang w:val="en-US" w:eastAsia="zh-CN"/>
        </w:rPr>
        <w:fldChar w:fldCharType="begin"/>
      </w:r>
      <w:r>
        <w:rPr>
          <w:rFonts w:hint="default" w:ascii="Times New Roman" w:hAnsi="Times New Roman" w:cs="Times New Roman"/>
          <w:sz w:val="28"/>
          <w:szCs w:val="28"/>
          <w:lang w:val="en-US" w:eastAsia="zh-CN"/>
        </w:rPr>
        <w:instrText xml:space="preserve">TOC \o "1-1" \h \u </w:instrText>
      </w:r>
      <w:r>
        <w:rPr>
          <w:rFonts w:hint="default" w:ascii="Times New Roman" w:hAnsi="Times New Roman" w:cs="Times New Roman"/>
          <w:sz w:val="28"/>
          <w:szCs w:val="28"/>
          <w:lang w:val="en-US" w:eastAsia="zh-CN"/>
        </w:rPr>
        <w:fldChar w:fldCharType="separate"/>
      </w: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_Toc24501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1.0 Title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_Toc24501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middle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_Toc15133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2.0 The research question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_Toc15133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middle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_Toc2733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3.0 background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_Toc2733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middle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_Toc29206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3.1 the need of market competition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_Toc29206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middle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_Toc1859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3.2 The conflict between supply and demand reality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_Toc1859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middle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_Toc15474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3.3 The development of emerging industries is inevitable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_Toc15474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middle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_Toc31222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4.0 The mainly aim</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_Toc31222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middle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_Toc14503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4.1 The analyze current situation of produce industry promotion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_Toc14503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middle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_Toc11146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4.2 Studies produce industry promotion to the sale influences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_Toc11146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middle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_Toc18409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4.3 Suggestions are given to strengthen the combination of online and offline promotion of produce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_Toc18409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middle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_Toc19938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5.0 Literature review</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_Toc19938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middle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_Toc15401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6.0 Research technology method and principle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_Toc15401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middle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_Toc31862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6.1 survey method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_Toc31862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middle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_Toc14103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6.2 observational method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_Toc14103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middle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_Toc32203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6.3. field survey method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_Toc32203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middleDot" w:pos="8306"/>
        </w:tabs>
        <w:rPr>
          <w:rFonts w:hint="default" w:ascii="Times New Roman" w:hAnsi="Times New Roman" w:cs="Times New Roman"/>
          <w:sz w:val="24"/>
          <w:szCs w:val="24"/>
        </w:rPr>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_Toc19034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6.4. comparative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_Toc19034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pStyle w:val="4"/>
        <w:tabs>
          <w:tab w:val="right" w:leader="middleDot" w:pos="8306"/>
        </w:tabs>
      </w:pPr>
      <w:r>
        <w:rPr>
          <w:rFonts w:hint="default" w:ascii="Times New Roman" w:hAnsi="Times New Roman" w:cs="Times New Roman"/>
          <w:sz w:val="24"/>
          <w:szCs w:val="24"/>
          <w:lang w:val="en-US" w:eastAsia="zh-CN"/>
        </w:rPr>
        <w:fldChar w:fldCharType="begin"/>
      </w:r>
      <w:r>
        <w:rPr>
          <w:rFonts w:hint="default" w:ascii="Times New Roman" w:hAnsi="Times New Roman" w:cs="Times New Roman"/>
          <w:sz w:val="24"/>
          <w:szCs w:val="24"/>
          <w:lang w:val="en-US" w:eastAsia="zh-CN"/>
        </w:rPr>
        <w:instrText xml:space="preserve"> HYPERLINK \l _Toc13654 </w:instrText>
      </w:r>
      <w:r>
        <w:rPr>
          <w:rFonts w:hint="default" w:ascii="Times New Roman" w:hAnsi="Times New Roman" w:cs="Times New Roman"/>
          <w:sz w:val="24"/>
          <w:szCs w:val="24"/>
          <w:lang w:val="en-US" w:eastAsia="zh-CN"/>
        </w:rPr>
        <w:fldChar w:fldCharType="separate"/>
      </w:r>
      <w:r>
        <w:rPr>
          <w:rFonts w:hint="default" w:ascii="Times New Roman" w:hAnsi="Times New Roman" w:cs="Times New Roman"/>
          <w:sz w:val="24"/>
          <w:szCs w:val="24"/>
          <w:lang w:val="en-US" w:eastAsia="zh-CN"/>
        </w:rPr>
        <w:t>7.0 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_Toc13654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lang w:val="en-US" w:eastAsia="zh-CN"/>
        </w:rPr>
        <w:fldChar w:fldCharType="end"/>
      </w:r>
    </w:p>
    <w:p>
      <w:pPr>
        <w:rPr>
          <w:rFonts w:hint="default" w:ascii="Times New Roman" w:hAnsi="Times New Roman" w:cs="Times New Roman"/>
          <w:sz w:val="28"/>
          <w:szCs w:val="28"/>
          <w:lang w:val="en-US" w:eastAsia="zh-CN"/>
        </w:rPr>
        <w:sectPr>
          <w:pgSz w:w="11906" w:h="16838"/>
          <w:pgMar w:top="1440" w:right="1800" w:bottom="1440" w:left="1800" w:header="851" w:footer="992" w:gutter="0"/>
          <w:cols w:space="425" w:num="1"/>
          <w:docGrid w:type="lines" w:linePitch="312" w:charSpace="0"/>
        </w:sectPr>
      </w:pPr>
      <w:r>
        <w:rPr>
          <w:rFonts w:hint="default" w:ascii="Times New Roman" w:hAnsi="Times New Roman" w:cs="Times New Roman"/>
          <w:szCs w:val="28"/>
          <w:lang w:val="en-US" w:eastAsia="zh-CN"/>
        </w:rPr>
        <w:fldChar w:fldCharType="end"/>
      </w: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8"/>
          <w:szCs w:val="28"/>
          <w:lang w:val="en-US" w:eastAsia="zh-CN"/>
        </w:rPr>
      </w:pPr>
      <w:bookmarkStart w:id="0" w:name="_Toc24501"/>
      <w:r>
        <w:rPr>
          <w:rFonts w:hint="default" w:ascii="Times New Roman" w:hAnsi="Times New Roman" w:cs="Times New Roman"/>
          <w:sz w:val="28"/>
          <w:szCs w:val="28"/>
          <w:lang w:val="en-US" w:eastAsia="zh-CN"/>
        </w:rPr>
        <w:t>1.0 Title</w:t>
      </w:r>
      <w:bookmarkEnd w:id="0"/>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The </w:t>
      </w:r>
      <w:r>
        <w:rPr>
          <w:rFonts w:hint="eastAsia" w:ascii="Times New Roman" w:hAnsi="Times New Roman" w:cs="Times New Roman"/>
          <w:sz w:val="24"/>
          <w:szCs w:val="24"/>
          <w:lang w:val="en-US" w:eastAsia="zh-CN"/>
        </w:rPr>
        <w:t>effect of Digital Marketing</w:t>
      </w:r>
      <w:r>
        <w:rPr>
          <w:rFonts w:hint="default" w:ascii="Times New Roman" w:hAnsi="Times New Roman" w:cs="Times New Roman"/>
          <w:sz w:val="24"/>
          <w:szCs w:val="24"/>
          <w:lang w:val="en-US" w:eastAsia="zh-CN"/>
        </w:rPr>
        <w:t xml:space="preserve"> on </w:t>
      </w:r>
      <w:r>
        <w:rPr>
          <w:rFonts w:hint="eastAsia" w:ascii="Times New Roman" w:hAnsi="Times New Roman" w:cs="Times New Roman"/>
          <w:sz w:val="24"/>
          <w:szCs w:val="24"/>
          <w:lang w:val="en-US" w:eastAsia="zh-CN"/>
        </w:rPr>
        <w:t>Traditional Produce</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 xml:space="preserve">market </w:t>
      </w:r>
      <w:r>
        <w:rPr>
          <w:rFonts w:hint="default" w:ascii="Times New Roman" w:hAnsi="Times New Roman" w:cs="Times New Roman"/>
          <w:sz w:val="24"/>
          <w:szCs w:val="24"/>
          <w:lang w:val="en-US" w:eastAsia="zh-CN"/>
        </w:rPr>
        <w:t>trad</w:t>
      </w:r>
      <w:r>
        <w:rPr>
          <w:rFonts w:hint="eastAsia" w:ascii="Times New Roman" w:hAnsi="Times New Roman" w:cs="Times New Roman"/>
          <w:sz w:val="24"/>
          <w:szCs w:val="24"/>
          <w:lang w:val="en-US" w:eastAsia="zh-CN"/>
        </w:rPr>
        <w:t>ers</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8"/>
          <w:szCs w:val="28"/>
          <w:lang w:val="en-US" w:eastAsia="zh-CN"/>
        </w:rPr>
      </w:pPr>
      <w:bookmarkStart w:id="1" w:name="_Toc15133"/>
      <w:r>
        <w:rPr>
          <w:rFonts w:hint="default" w:ascii="Times New Roman" w:hAnsi="Times New Roman" w:cs="Times New Roman"/>
          <w:sz w:val="28"/>
          <w:szCs w:val="28"/>
          <w:lang w:val="en-US" w:eastAsia="zh-CN"/>
        </w:rPr>
        <w:t>2.0 The research question</w:t>
      </w:r>
      <w:bookmarkEnd w:id="1"/>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Research on produce market online and offline promotion</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8"/>
          <w:szCs w:val="28"/>
          <w:lang w:val="en-US" w:eastAsia="zh-CN"/>
        </w:rPr>
      </w:pPr>
      <w:bookmarkStart w:id="2" w:name="_Toc2733"/>
      <w:r>
        <w:rPr>
          <w:rFonts w:hint="default" w:ascii="Times New Roman" w:hAnsi="Times New Roman" w:cs="Times New Roman"/>
          <w:sz w:val="28"/>
          <w:szCs w:val="28"/>
          <w:lang w:val="en-US" w:eastAsia="zh-CN"/>
        </w:rPr>
        <w:t>3.0 background</w:t>
      </w:r>
      <w:bookmarkEnd w:id="2"/>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With the developm</w:t>
      </w:r>
      <w:r>
        <w:rPr>
          <w:rFonts w:hint="eastAsia" w:ascii="Times New Roman" w:hAnsi="Times New Roman" w:cs="Times New Roman"/>
          <w:sz w:val="24"/>
          <w:szCs w:val="24"/>
          <w:lang w:val="en-US" w:eastAsia="zh-CN"/>
        </w:rPr>
        <w:t>e</w:t>
      </w:r>
      <w:r>
        <w:rPr>
          <w:rFonts w:hint="default" w:ascii="Times New Roman" w:hAnsi="Times New Roman" w:cs="Times New Roman"/>
          <w:sz w:val="24"/>
          <w:szCs w:val="24"/>
          <w:lang w:val="en-US" w:eastAsia="zh-CN"/>
        </w:rPr>
        <w:t xml:space="preserve">nt of </w:t>
      </w:r>
      <w:r>
        <w:rPr>
          <w:rFonts w:hint="eastAsia" w:ascii="Times New Roman" w:hAnsi="Times New Roman" w:cs="Times New Roman"/>
          <w:sz w:val="24"/>
          <w:szCs w:val="24"/>
          <w:lang w:val="en-US" w:eastAsia="zh-CN"/>
        </w:rPr>
        <w:t>network technology revolution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Internet communication has joined the media camp, making today</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s society an ocean of information. The dissemination of information has broken the limits of hell, broken through the inherent thinking mode, and innovated the business philosophy. Premier Li Keqiang put forward the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Internet Plus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action plan for the first time at the National People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Congress in 2015.</w:t>
      </w: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8"/>
          <w:szCs w:val="28"/>
          <w:lang w:val="en-US" w:eastAsia="zh-CN"/>
        </w:rPr>
      </w:pPr>
      <w:bookmarkStart w:id="3" w:name="_Toc29206"/>
      <w:r>
        <w:rPr>
          <w:rFonts w:hint="default" w:ascii="Times New Roman" w:hAnsi="Times New Roman" w:cs="Times New Roman"/>
          <w:sz w:val="28"/>
          <w:szCs w:val="28"/>
          <w:lang w:val="en-US" w:eastAsia="zh-CN"/>
        </w:rPr>
        <w:t>3.1 the need of market competition</w:t>
      </w:r>
      <w:bookmarkEnd w:id="3"/>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Produces not only to face the choice of consumers, but also face competition of the same industry and similar products competition. Weather it can win the competition, weather brand standing for a longer time,about the production, management, promotion and so on like other goods, quality, service, price not less. There is a not ignore, the process of winning the competition is the process of brand competition.</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8"/>
          <w:szCs w:val="28"/>
          <w:lang w:val="en-US" w:eastAsia="zh-CN"/>
        </w:rPr>
      </w:pPr>
      <w:bookmarkStart w:id="4" w:name="_Toc1859"/>
      <w:r>
        <w:rPr>
          <w:rFonts w:hint="default" w:ascii="Times New Roman" w:hAnsi="Times New Roman" w:cs="Times New Roman"/>
          <w:sz w:val="28"/>
          <w:szCs w:val="28"/>
          <w:lang w:val="en-US" w:eastAsia="zh-CN"/>
        </w:rPr>
        <w:t>3.2 The conflict between supply and demand reality</w:t>
      </w:r>
      <w:bookmarkEnd w:id="4"/>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product producer and runs can provide kind of products consumed by all kinds of people. One side is rich, high quality producer, the other is not equity, there is a information between production and consumption of fault, causing a large number of product deep street, The farmers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hard worker go to waste. Only increase awareness of marketing produce, through combination of online and offline promotion, breaking the information communication obstacles to let product information go before the product, let sales follow closely after the promotion,let the flow of market information more rapid, pace in order to avoid crops heap rot.</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8"/>
          <w:szCs w:val="28"/>
          <w:lang w:val="en-US" w:eastAsia="zh-CN"/>
        </w:rPr>
      </w:pPr>
      <w:bookmarkStart w:id="5" w:name="_Toc15474"/>
      <w:r>
        <w:rPr>
          <w:rFonts w:hint="default" w:ascii="Times New Roman" w:hAnsi="Times New Roman" w:cs="Times New Roman"/>
          <w:sz w:val="28"/>
          <w:szCs w:val="28"/>
          <w:lang w:val="en-US" w:eastAsia="zh-CN"/>
        </w:rPr>
        <w:t>3.3 The development of emerging industries is inevitable</w:t>
      </w:r>
      <w:bookmarkEnd w:id="5"/>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Emerging channels such as electronic business and network marketing, suddney almost cover all categories of acommodities, make with new marketing produces, open up new markets and formats are urgent, is of great significance.</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Cs w:val="24"/>
          <w:lang w:val="en-US" w:eastAsia="zh-CN"/>
        </w:rPr>
      </w:pPr>
      <w:bookmarkStart w:id="6" w:name="_Toc31222"/>
      <w:r>
        <w:rPr>
          <w:rFonts w:hint="default" w:ascii="Times New Roman" w:hAnsi="Times New Roman" w:cs="Times New Roman"/>
          <w:sz w:val="28"/>
          <w:szCs w:val="28"/>
          <w:lang w:val="en-US" w:eastAsia="zh-CN"/>
        </w:rPr>
        <w:t>4.0 The mainly aim</w:t>
      </w:r>
      <w:bookmarkEnd w:id="6"/>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8"/>
          <w:szCs w:val="28"/>
          <w:lang w:val="en-US" w:eastAsia="zh-CN"/>
        </w:rPr>
      </w:pPr>
      <w:bookmarkStart w:id="7" w:name="_Toc14503"/>
      <w:r>
        <w:rPr>
          <w:rFonts w:hint="default" w:ascii="Times New Roman" w:hAnsi="Times New Roman" w:cs="Times New Roman"/>
          <w:sz w:val="28"/>
          <w:szCs w:val="28"/>
          <w:lang w:val="en-US" w:eastAsia="zh-CN"/>
        </w:rPr>
        <w:t>4.1 The analyze current situation of produce industry promotion</w:t>
      </w:r>
      <w:bookmarkEnd w:id="7"/>
      <w:r>
        <w:rPr>
          <w:rFonts w:hint="default" w:ascii="Times New Roman" w:hAnsi="Times New Roman" w:cs="Times New Roman"/>
          <w:sz w:val="28"/>
          <w:szCs w:val="28"/>
          <w:lang w:val="en-US" w:eastAsia="zh-CN"/>
        </w:rPr>
        <w:t xml:space="preserve"> </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LOOMIS and BEEGLE (1956), Rural Social Systems and Adult Education: A committee report, Rogers: Diffusion of innovation, such as published one after another. These scholars have played a very profound role in the development of agriculture.</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China, in the field of agricultural information, whether to collect, publish, or feedback, evaluation are pretty bay after demand of market and development of agricultural production. More is according to market for fine belt after reaction, so often appear garment product quality and price, should be the phenomenon of big ups and downs, a year after it is information, lack of information sharing, information platform of behind the bitter of course, the construction of our country attraches great importance to the agricultural value of breath early network, as early as the eighty. The agricultural information center has been established in the 1990s, the national agricultural information website also arrise at the historical moment. Subsequently, these agricultural network, popularization mode with the color of administrative system formed a three-level network of province city and country, and covered various information such as agricultural, forestry anymore animal husbandry vice, production, processing and circulation of agricultural products.</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8"/>
          <w:szCs w:val="28"/>
          <w:lang w:val="en-US" w:eastAsia="zh-CN"/>
        </w:rPr>
      </w:pPr>
      <w:bookmarkStart w:id="8" w:name="_Toc11146"/>
      <w:r>
        <w:rPr>
          <w:rFonts w:hint="default" w:ascii="Times New Roman" w:hAnsi="Times New Roman" w:cs="Times New Roman"/>
          <w:sz w:val="28"/>
          <w:szCs w:val="28"/>
          <w:lang w:val="en-US" w:eastAsia="zh-CN"/>
        </w:rPr>
        <w:t>4.2 Studies produce industry promotion to the sale influences</w:t>
      </w:r>
      <w:bookmarkEnd w:id="8"/>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Traditional marketing conception restricts development of agricultural product promotion in China. Many self-employed people use the way of network marketing to break the traditional store consciousness, the market in the eyes of operators is no longer regional, the flow of people and the concept of goods in and out. In the eyes of network marketers, websites, traffic, third-party payment, logistics speed is the business of modern business. </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But unfortunately, in the network marketing aspect, the city and the countryside are very different, this kind of difference not only refers to the network construction, the computer application, more is the network marketing consciousness.</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the eyes of more rural people, games, news, movies are the Internet, doing business, trading or market can be relied on, this is the agricultural products network marketing difficulties. (Huo Wenzhuan, Li Shibao, 2006) </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On the one hand, agricultural producers need to change their awareness of agricultural marketing, actively contact with network marketing methods, and gradually use them skillfully. On the other hand, buyers of agricultural products also need to change the traditional way of thinking. And in cities, most people aren't </w:t>
      </w:r>
      <w:r>
        <w:rPr>
          <w:rFonts w:hint="eastAsia" w:ascii="Times New Roman" w:hAnsi="Times New Roman" w:cs="Times New Roman"/>
          <w:sz w:val="24"/>
          <w:szCs w:val="24"/>
          <w:lang w:val="en-US" w:eastAsia="zh-CN"/>
        </w:rPr>
        <w:t>adopt to</w:t>
      </w:r>
      <w:r>
        <w:rPr>
          <w:rFonts w:hint="default" w:ascii="Times New Roman" w:hAnsi="Times New Roman" w:cs="Times New Roman"/>
          <w:sz w:val="24"/>
          <w:szCs w:val="24"/>
          <w:lang w:val="en-US" w:eastAsia="zh-CN"/>
        </w:rPr>
        <w:t xml:space="preserve"> buying agricultural products by downloading </w:t>
      </w:r>
      <w:r>
        <w:rPr>
          <w:rFonts w:hint="eastAsia" w:ascii="Times New Roman" w:hAnsi="Times New Roman" w:cs="Times New Roman"/>
          <w:sz w:val="24"/>
          <w:szCs w:val="24"/>
          <w:lang w:val="en-US" w:eastAsia="zh-CN"/>
        </w:rPr>
        <w:t>A</w:t>
      </w:r>
      <w:r>
        <w:rPr>
          <w:rFonts w:hint="default" w:ascii="Times New Roman" w:hAnsi="Times New Roman" w:cs="Times New Roman"/>
          <w:sz w:val="24"/>
          <w:szCs w:val="24"/>
          <w:lang w:val="en-US" w:eastAsia="zh-CN"/>
        </w:rPr>
        <w:t>pp and other online software</w:t>
      </w:r>
      <w:r>
        <w:rPr>
          <w:rFonts w:hint="eastAsia" w:ascii="Times New Roman" w:hAnsi="Times New Roman" w:cs="Times New Roman"/>
          <w:sz w:val="24"/>
          <w:szCs w:val="24"/>
          <w:lang w:val="en-US" w:eastAsia="zh-CN"/>
        </w:rPr>
        <w:t>. In our mobile network software, you can see rice, seasoning and other storage time allowed agricultural products, and within two hours to deliver home, and then the promise of payment, but the volume has not been up, because the majority of agricultural products purchased through the Internet is young people, but young people consume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is little. Most people who really control the power of a household purchase don't like, don' t get used to, or even know how to buy online.The two aspects of sales and purchase are not enthusiastic attitude towards network marketing, which forms the gradual departure of purchase and marketing system and network. The strangeness of the two ends of the supply chain to the network platform and network channel is the main factor restricting the concept of agricultural product marketing.</w:t>
      </w: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8"/>
          <w:szCs w:val="28"/>
          <w:lang w:val="en-US" w:eastAsia="zh-CN"/>
        </w:rPr>
      </w:pPr>
      <w:bookmarkStart w:id="9" w:name="_Toc18409"/>
      <w:r>
        <w:rPr>
          <w:rFonts w:hint="default" w:ascii="Times New Roman" w:hAnsi="Times New Roman" w:cs="Times New Roman"/>
          <w:sz w:val="28"/>
          <w:szCs w:val="28"/>
          <w:lang w:val="en-US" w:eastAsia="zh-CN"/>
        </w:rPr>
        <w:t>4.3 Suggestions are given to strengthen the combination of online and offline promotion of produce</w:t>
      </w:r>
      <w:bookmarkEnd w:id="9"/>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Fully consider the consumer's user experience, attract attention through online mode, import traffic, and then strengthen the consumer sense through offline physical stores</w:t>
      </w:r>
      <w:r>
        <w:rPr>
          <w:rFonts w:hint="eastAsia" w:ascii="Times New Roman" w:hAnsi="Times New Roman" w:cs="Times New Roman"/>
          <w:sz w:val="24"/>
          <w:szCs w:val="24"/>
          <w:lang w:val="en-US" w:eastAsia="zh-CN"/>
        </w:rPr>
        <w:t>.</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existence of physical stores can enhance consumers' sense of trust and enable consumers to determine where they buy products, which trust they need because they are usually related to health, is very important for marketing. (Chen Dingchun,2007)</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Physical stores are a good supplement to online stores, can strengthen the publicity effect, but also can take advantage of the advantages near the residents' life circle, actively carry out offline activities.</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For a transaction, starting online and completing offline, this is O2O(online to offline) simple explanation. For agricultural enterprises and operators, the existing offline resources are very rich, only to increase the physical stores near the consumer terminal, you can complete the middle and offline part of the O2O. What needs to be improved is the online part, not only the content displayed online, but also the online marketing ideas and means.</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8"/>
          <w:szCs w:val="28"/>
          <w:lang w:val="en-US" w:eastAsia="zh-CN"/>
        </w:rPr>
      </w:pPr>
      <w:bookmarkStart w:id="10" w:name="_Toc19938"/>
      <w:r>
        <w:rPr>
          <w:rFonts w:hint="default" w:ascii="Times New Roman" w:hAnsi="Times New Roman" w:cs="Times New Roman"/>
          <w:sz w:val="28"/>
          <w:szCs w:val="28"/>
          <w:lang w:val="en-US" w:eastAsia="zh-CN"/>
        </w:rPr>
        <w:t>5.0 Literature review</w:t>
      </w:r>
      <w:bookmarkEnd w:id="10"/>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The digitalized world brings new concepts with it in its way</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(Association&amp;Resources,2018) As we all know, </w:t>
      </w:r>
      <w:r>
        <w:rPr>
          <w:rFonts w:hint="default" w:ascii="Times New Roman" w:hAnsi="Times New Roman" w:cs="Times New Roman"/>
          <w:sz w:val="24"/>
          <w:szCs w:val="24"/>
          <w:lang w:val="en-US" w:eastAsia="zh-CN"/>
        </w:rPr>
        <w:t>Caracota, Ravi and Andrew b. Winston</w:t>
      </w:r>
      <w:r>
        <w:rPr>
          <w:rFonts w:hint="eastAsia" w:ascii="Times New Roman" w:hAnsi="Times New Roman" w:cs="Times New Roman"/>
          <w:sz w:val="24"/>
          <w:szCs w:val="24"/>
          <w:lang w:val="en-US" w:eastAsia="zh-CN"/>
        </w:rPr>
        <w:t xml:space="preserve"> are famous scholars in the field of e-commerce in the United State, they jointly studied and published frontier of e-commerce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E-commerce is a modern business method, which can meet the needs of government organzations, manufacturers and consumers to reduce cost by improving the quality of products and services and increasing the speed of service delivery</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this kind of view in the computer network to check the way of content information to be applied. In short, e-commercial links the information, products and services of both parties through the computer network, which is the only the current formal and the future development, we don</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t know.</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recent years, American scholar f.markrup has studied the importance and presentation of information activities in economic activities, that is combination and promotion of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online and offline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between economic industry and media industry.</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Carlin Roma and other scholars have studied decision-making system and uses method of 020 e-commerce platform.</w:t>
      </w: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Jeff Hopkins studied relevant situations of the American farmers using the Internet and e-commerce for farmer management, including what kind of activities, farmers mainly carried out when they used Internet and e-commerce and some farmers preferred to connect cities and villages through Internet. Scholars focused on the differences in the utilization rate of the Internet, it also describes the future use of information technology in American farmers.</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Love Lule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discussion mainly focuses on the significance of e-commerce for agricultural production、trade and the background of its application and development</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his research, Nick manderov pointed out three main factors that effect the application of e-commerce in produce, trade and circulation. They are industry structure, product complexity and high threshold of transaction.</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foreign countries, especially in agricultural developed country. The research on marketing promotion and e-commerce mode of produce, especially application of 020 in agricultural field, is mainly reflected in the support of the government, the research 、training and service of universities.</w:t>
      </w: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Jason Bowden</w:t>
      </w:r>
      <w:r>
        <w:rPr>
          <w:rFonts w:hint="eastAsia" w:ascii="Times New Roman" w:hAnsi="Times New Roman" w:cs="Times New Roman"/>
          <w:sz w:val="24"/>
          <w:szCs w:val="24"/>
          <w:lang w:val="en-US" w:eastAsia="zh-CN"/>
        </w:rPr>
        <w:t xml:space="preserve"> wrote an article on 9 June 2014 The title of article is Position yourself as a digital marketing specialist. He did research on online promotion methods</w:t>
      </w:r>
    </w:p>
    <w:p>
      <w:pPr>
        <w:pageBreakBefore w:val="0"/>
        <w:widowControl w:val="0"/>
        <w:numPr>
          <w:ilvl w:val="0"/>
          <w:numId w:val="1"/>
        </w:numPr>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Self-built website     2. Forum blog promotion 3.cooperate with other well-known websites  4. send emails in group     5.mobile phone information release  6.video information release  7.online activity planning 8. cooperate with well-known websites</w:t>
      </w:r>
    </w:p>
    <w:p>
      <w:pPr>
        <w:pageBreakBefore w:val="0"/>
        <w:widowControl w:val="0"/>
        <w:numPr>
          <w:numId w:val="0"/>
        </w:numPr>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8"/>
          <w:szCs w:val="28"/>
          <w:lang w:val="en-US" w:eastAsia="zh-CN"/>
        </w:rPr>
      </w:pPr>
      <w:bookmarkStart w:id="11" w:name="_Toc15401"/>
      <w:r>
        <w:rPr>
          <w:rFonts w:hint="default" w:ascii="Times New Roman" w:hAnsi="Times New Roman" w:cs="Times New Roman"/>
          <w:sz w:val="28"/>
          <w:szCs w:val="28"/>
          <w:lang w:val="en-US" w:eastAsia="zh-CN"/>
        </w:rPr>
        <w:t>6.0 Research technology method and principle</w:t>
      </w:r>
      <w:bookmarkEnd w:id="11"/>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8"/>
          <w:szCs w:val="28"/>
          <w:lang w:val="en-US" w:eastAsia="zh-CN"/>
        </w:rPr>
      </w:pPr>
      <w:bookmarkStart w:id="12" w:name="_Toc31862"/>
      <w:r>
        <w:rPr>
          <w:rFonts w:hint="default" w:ascii="Times New Roman" w:hAnsi="Times New Roman" w:cs="Times New Roman"/>
          <w:sz w:val="28"/>
          <w:szCs w:val="28"/>
          <w:lang w:val="en-US" w:eastAsia="zh-CN"/>
        </w:rPr>
        <w:t>6.1 survey method</w:t>
      </w:r>
      <w:bookmarkEnd w:id="12"/>
    </w:p>
    <w:p>
      <w:pPr>
        <w:pageBreakBefore w:val="0"/>
        <w:widowControl w:val="0"/>
        <w:numPr>
          <w:numId w:val="0"/>
        </w:numPr>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order to understand the facts of the promotion of agricultural products and analyze the facts to draw conclusions, confirm the problems existing in the actual operation, in order to put forward Suggestions for improvement in the research.</w:t>
      </w:r>
    </w:p>
    <w:p>
      <w:pPr>
        <w:pStyle w:val="2"/>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Cs w:val="24"/>
          <w:lang w:val="en-US" w:eastAsia="zh-CN"/>
        </w:rPr>
      </w:pPr>
      <w:bookmarkStart w:id="13" w:name="_Toc14103"/>
      <w:r>
        <w:rPr>
          <w:rFonts w:hint="default" w:ascii="Times New Roman" w:hAnsi="Times New Roman" w:cs="Times New Roman"/>
          <w:sz w:val="28"/>
          <w:szCs w:val="28"/>
          <w:lang w:val="en-US" w:eastAsia="zh-CN"/>
        </w:rPr>
        <w:t>6.2 observational method</w:t>
      </w:r>
      <w:bookmarkEnd w:id="13"/>
    </w:p>
    <w:p>
      <w:pPr>
        <w:pageBreakBefore w:val="0"/>
        <w:widowControl w:val="0"/>
        <w:numPr>
          <w:numId w:val="0"/>
        </w:numPr>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the process of research, through collect a great deal of literature review, survey and observation relevant documents and data through agricultural sector.</w:t>
      </w: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8"/>
          <w:szCs w:val="28"/>
          <w:lang w:val="en-US" w:eastAsia="zh-CN"/>
        </w:rPr>
      </w:pPr>
      <w:bookmarkStart w:id="14" w:name="_Toc32203"/>
      <w:r>
        <w:rPr>
          <w:rFonts w:hint="default" w:ascii="Times New Roman" w:hAnsi="Times New Roman" w:cs="Times New Roman"/>
          <w:sz w:val="28"/>
          <w:szCs w:val="28"/>
          <w:lang w:val="en-US" w:eastAsia="zh-CN"/>
        </w:rPr>
        <w:t>6.3. field survey method</w:t>
      </w:r>
      <w:bookmarkEnd w:id="14"/>
    </w:p>
    <w:p>
      <w:pPr>
        <w:pageBreakBefore w:val="0"/>
        <w:widowControl w:val="0"/>
        <w:numPr>
          <w:numId w:val="0"/>
        </w:numPr>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Visit some sector including website of Wuhan Agricultural Sector, Wuhan Radio and Television station, it adopt the method of quantitative and qualitative analysis combination. At first, collect a large number of datas, establish data mode to quantitative analyse. According to survey data, you can make judgement to relevant Internet platform and development direction.</w:t>
      </w:r>
    </w:p>
    <w:p>
      <w:pPr>
        <w:pStyle w:val="2"/>
        <w:pageBreakBefore w:val="0"/>
        <w:widowControl w:val="0"/>
        <w:kinsoku/>
        <w:wordWrap/>
        <w:overflowPunct/>
        <w:topLinePunct w:val="0"/>
        <w:autoSpaceDE/>
        <w:autoSpaceDN/>
        <w:bidi w:val="0"/>
        <w:adjustRightInd/>
        <w:snapToGrid/>
        <w:spacing w:line="30" w:lineRule="atLeast"/>
        <w:textAlignment w:val="auto"/>
        <w:rPr>
          <w:rFonts w:hint="eastAsia" w:ascii="Times New Roman" w:hAnsi="Times New Roman" w:cs="Times New Roman"/>
          <w:szCs w:val="24"/>
          <w:lang w:val="en-US" w:eastAsia="zh-CN"/>
        </w:rPr>
      </w:pPr>
      <w:bookmarkStart w:id="15" w:name="_Toc19034"/>
      <w:r>
        <w:rPr>
          <w:rFonts w:hint="default" w:ascii="Times New Roman" w:hAnsi="Times New Roman" w:cs="Times New Roman"/>
          <w:sz w:val="28"/>
          <w:szCs w:val="28"/>
          <w:lang w:val="en-US" w:eastAsia="zh-CN"/>
        </w:rPr>
        <w:t>6.4. comparative analysis</w:t>
      </w:r>
      <w:bookmarkEnd w:id="15"/>
    </w:p>
    <w:p>
      <w:pPr>
        <w:pageBreakBefore w:val="0"/>
        <w:widowControl w:val="0"/>
        <w:numPr>
          <w:numId w:val="0"/>
        </w:numPr>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Through the investigation of some farm enterprises in Yuancheng District of Wuhan City, the past and present situation are compared and analyzed.</w:t>
      </w:r>
    </w:p>
    <w:p>
      <w:pPr>
        <w:pageBreakBefore w:val="0"/>
        <w:widowControl w:val="0"/>
        <w:numPr>
          <w:numId w:val="0"/>
        </w:numPr>
        <w:kinsoku/>
        <w:wordWrap/>
        <w:overflowPunct/>
        <w:topLinePunct w:val="0"/>
        <w:autoSpaceDE/>
        <w:autoSpaceDN/>
        <w:bidi w:val="0"/>
        <w:adjustRightInd/>
        <w:snapToGrid/>
        <w:spacing w:line="30" w:lineRule="atLeast"/>
        <w:textAlignment w:val="auto"/>
        <w:rPr>
          <w:rFonts w:hint="eastAsia"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8"/>
          <w:szCs w:val="28"/>
          <w:lang w:val="en-US" w:eastAsia="zh-CN"/>
        </w:rPr>
      </w:pPr>
      <w:bookmarkStart w:id="16" w:name="_Toc13654"/>
      <w:r>
        <w:rPr>
          <w:rFonts w:hint="default" w:ascii="Times New Roman" w:hAnsi="Times New Roman" w:cs="Times New Roman"/>
          <w:sz w:val="28"/>
          <w:szCs w:val="28"/>
          <w:lang w:val="en-US" w:eastAsia="zh-CN"/>
        </w:rPr>
        <w:t>7.0 References</w:t>
      </w:r>
      <w:bookmarkEnd w:id="16"/>
    </w:p>
    <w:p>
      <w:pPr>
        <w:pageBreakBefore w:val="0"/>
        <w:widowControl w:val="0"/>
        <w:numPr>
          <w:numId w:val="0"/>
        </w:numPr>
        <w:kinsoku/>
        <w:wordWrap/>
        <w:overflowPunct/>
        <w:topLinePunct w:val="0"/>
        <w:autoSpaceDE/>
        <w:autoSpaceDN/>
        <w:bidi w:val="0"/>
        <w:adjustRightInd/>
        <w:snapToGrid/>
        <w:spacing w:line="30" w:lineRule="atLeast"/>
        <w:ind w:left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 LOOMIS and BEEGLE (1956) Rural Social Systems and Adult Education: A Committee Report by Charles F. Loomis, chairman, and J. Allan Beegle...</w:t>
      </w:r>
    </w:p>
    <w:p>
      <w:pPr>
        <w:pageBreakBefore w:val="0"/>
        <w:widowControl w:val="0"/>
        <w:numPr>
          <w:numId w:val="0"/>
        </w:numPr>
        <w:kinsoku/>
        <w:wordWrap/>
        <w:overflowPunct/>
        <w:topLinePunct w:val="0"/>
        <w:autoSpaceDE/>
        <w:autoSpaceDN/>
        <w:bidi w:val="0"/>
        <w:adjustRightInd/>
        <w:snapToGrid/>
        <w:spacing w:line="30" w:lineRule="atLeast"/>
        <w:ind w:leftChars="0"/>
        <w:textAlignment w:val="auto"/>
        <w:rPr>
          <w:rFonts w:hint="eastAsia" w:ascii="Times New Roman" w:hAnsi="Times New Roman" w:cs="Times New Roman"/>
          <w:sz w:val="24"/>
          <w:szCs w:val="24"/>
          <w:lang w:val="en-US" w:eastAsia="zh-CN"/>
        </w:rPr>
      </w:pPr>
    </w:p>
    <w:p>
      <w:pPr>
        <w:pageBreakBefore w:val="0"/>
        <w:widowControl w:val="0"/>
        <w:numPr>
          <w:ilvl w:val="0"/>
          <w:numId w:val="2"/>
        </w:numPr>
        <w:kinsoku/>
        <w:wordWrap/>
        <w:overflowPunct/>
        <w:topLinePunct w:val="0"/>
        <w:autoSpaceDE/>
        <w:autoSpaceDN/>
        <w:bidi w:val="0"/>
        <w:adjustRightInd/>
        <w:snapToGrid/>
        <w:spacing w:line="30" w:lineRule="atLeast"/>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Rogers</w:t>
      </w:r>
      <w:r>
        <w:rPr>
          <w:rFonts w:hint="eastAsia" w:ascii="Times New Roman" w:hAnsi="Times New Roman" w:cs="Times New Roman"/>
          <w:sz w:val="24"/>
          <w:szCs w:val="24"/>
          <w:lang w:val="en-US" w:eastAsia="zh-CN"/>
        </w:rPr>
        <w:t>(2002)</w:t>
      </w:r>
      <w:r>
        <w:rPr>
          <w:rFonts w:hint="default" w:ascii="Times New Roman" w:hAnsi="Times New Roman" w:cs="Times New Roman"/>
          <w:sz w:val="24"/>
          <w:szCs w:val="24"/>
          <w:lang w:val="en-US" w:eastAsia="zh-CN"/>
        </w:rPr>
        <w:t xml:space="preserve"> The Spread of Innovation</w:t>
      </w:r>
      <w:r>
        <w:rPr>
          <w:rFonts w:hint="eastAsia" w:ascii="Times New Roman" w:hAnsi="Times New Roman" w:cs="Times New Roman"/>
          <w:sz w:val="24"/>
          <w:szCs w:val="24"/>
          <w:lang w:val="en-US" w:eastAsia="zh-CN"/>
        </w:rPr>
        <w:t xml:space="preserve">  Volume 27(6) ， p.989-993</w:t>
      </w:r>
    </w:p>
    <w:p>
      <w:pPr>
        <w:pageBreakBefore w:val="0"/>
        <w:widowControl w:val="0"/>
        <w:numPr>
          <w:numId w:val="0"/>
        </w:numPr>
        <w:kinsoku/>
        <w:wordWrap/>
        <w:overflowPunct/>
        <w:topLinePunct w:val="0"/>
        <w:autoSpaceDE/>
        <w:autoSpaceDN/>
        <w:bidi w:val="0"/>
        <w:adjustRightInd/>
        <w:snapToGrid/>
        <w:spacing w:line="30" w:lineRule="atLeast"/>
        <w:ind w:leftChars="0"/>
        <w:textAlignment w:val="auto"/>
        <w:rPr>
          <w:rFonts w:hint="eastAsia" w:ascii="Times New Roman" w:hAnsi="Times New Roman" w:cs="Times New Roman"/>
          <w:sz w:val="24"/>
          <w:szCs w:val="24"/>
          <w:lang w:val="en-US" w:eastAsia="zh-CN"/>
        </w:rPr>
      </w:pPr>
    </w:p>
    <w:p>
      <w:pPr>
        <w:pageBreakBefore w:val="0"/>
        <w:widowControl w:val="0"/>
        <w:numPr>
          <w:ilvl w:val="0"/>
          <w:numId w:val="2"/>
        </w:numPr>
        <w:kinsoku/>
        <w:wordWrap/>
        <w:overflowPunct/>
        <w:topLinePunct w:val="0"/>
        <w:autoSpaceDE/>
        <w:autoSpaceDN/>
        <w:bidi w:val="0"/>
        <w:adjustRightInd/>
        <w:snapToGrid/>
        <w:spacing w:line="30" w:lineRule="atLeast"/>
        <w:ind w:left="0" w:leftChars="0" w:firstLine="0" w:firstLineChars="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Huo Wenzhuan, Li Shibao (2006 ) Existing Problems and Countermeasures of Agricultural Science and Technology Innovation in China [j] Agricultural Science and Technology Management </w:t>
      </w:r>
    </w:p>
    <w:p>
      <w:pPr>
        <w:pageBreakBefore w:val="0"/>
        <w:widowControl w:val="0"/>
        <w:numPr>
          <w:numId w:val="0"/>
        </w:numPr>
        <w:kinsoku/>
        <w:wordWrap/>
        <w:overflowPunct/>
        <w:topLinePunct w:val="0"/>
        <w:autoSpaceDE/>
        <w:autoSpaceDN/>
        <w:bidi w:val="0"/>
        <w:adjustRightInd/>
        <w:snapToGrid/>
        <w:spacing w:line="30" w:lineRule="atLeast"/>
        <w:ind w:leftChars="0"/>
        <w:textAlignment w:val="auto"/>
        <w:rPr>
          <w:rFonts w:hint="default" w:ascii="Times New Roman" w:hAnsi="Times New Roman" w:cs="Times New Roman"/>
          <w:sz w:val="24"/>
          <w:szCs w:val="24"/>
          <w:lang w:val="en-US" w:eastAsia="zh-CN"/>
        </w:rPr>
      </w:pPr>
    </w:p>
    <w:p>
      <w:pPr>
        <w:pageBreakBefore w:val="0"/>
        <w:widowControl w:val="0"/>
        <w:numPr>
          <w:ilvl w:val="0"/>
          <w:numId w:val="2"/>
        </w:numPr>
        <w:kinsoku/>
        <w:wordWrap/>
        <w:overflowPunct/>
        <w:topLinePunct w:val="0"/>
        <w:autoSpaceDE/>
        <w:autoSpaceDN/>
        <w:bidi w:val="0"/>
        <w:adjustRightInd/>
        <w:snapToGrid/>
        <w:spacing w:line="30" w:lineRule="atLeast"/>
        <w:ind w:left="0" w:leftChars="0" w:firstLine="0" w:firstLineChars="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Chen Dinghua (2007)Market Analysis and Planning of Production and Marketing of Organic Agricultural Products Based on Food Safety Crisis</w:t>
      </w:r>
    </w:p>
    <w:p>
      <w:pPr>
        <w:pageBreakBefore w:val="0"/>
        <w:widowControl w:val="0"/>
        <w:kinsoku/>
        <w:wordWrap/>
        <w:overflowPunct/>
        <w:topLinePunct w:val="0"/>
        <w:autoSpaceDE/>
        <w:autoSpaceDN/>
        <w:bidi w:val="0"/>
        <w:adjustRightInd/>
        <w:snapToGrid/>
        <w:spacing w:line="30" w:lineRule="atLeast"/>
        <w:jc w:val="center"/>
        <w:textAlignment w:val="auto"/>
        <w:rPr>
          <w:rFonts w:hint="eastAsia" w:eastAsia="宋体" w:asciiTheme="minorHAnsi" w:hAnsiTheme="minorHAnsi" w:cstheme="minorHAnsi"/>
          <w:b/>
          <w:sz w:val="22"/>
          <w:szCs w:val="22"/>
          <w:lang w:val="en-US" w:eastAsia="zh-CN"/>
        </w:rPr>
      </w:pPr>
      <w:r>
        <w:rPr>
          <w:rFonts w:hint="eastAsia" w:eastAsia="宋体" w:asciiTheme="minorHAnsi" w:hAnsiTheme="minorHAnsi" w:cstheme="minorHAnsi"/>
          <w:b/>
          <w:sz w:val="22"/>
          <w:szCs w:val="22"/>
          <w:lang w:val="en-US" w:eastAsia="zh-CN"/>
        </w:rPr>
        <w:t xml:space="preserve"> </w:t>
      </w:r>
    </w:p>
    <w:p>
      <w:pPr>
        <w:pageBreakBefore w:val="0"/>
        <w:widowControl w:val="0"/>
        <w:numPr>
          <w:ilvl w:val="0"/>
          <w:numId w:val="2"/>
        </w:numPr>
        <w:kinsoku/>
        <w:wordWrap/>
        <w:overflowPunct/>
        <w:topLinePunct w:val="0"/>
        <w:autoSpaceDE/>
        <w:autoSpaceDN/>
        <w:bidi w:val="0"/>
        <w:adjustRightInd/>
        <w:snapToGrid/>
        <w:spacing w:line="30" w:lineRule="atLeast"/>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Jason Bowden</w:t>
      </w:r>
      <w:r>
        <w:rPr>
          <w:rFonts w:hint="eastAsia" w:ascii="Times New Roman" w:hAnsi="Times New Roman" w:cs="Times New Roman"/>
          <w:sz w:val="24"/>
          <w:szCs w:val="24"/>
          <w:lang w:val="en-US" w:eastAsia="zh-CN"/>
        </w:rPr>
        <w:t xml:space="preserve">（2014）The title of article is Position yourself as a digital marketing specialist </w:t>
      </w:r>
    </w:p>
    <w:p>
      <w:pPr>
        <w:pageBreakBefore w:val="0"/>
        <w:widowControl w:val="0"/>
        <w:numPr>
          <w:numId w:val="0"/>
        </w:numPr>
        <w:kinsoku/>
        <w:wordWrap/>
        <w:overflowPunct/>
        <w:topLinePunct w:val="0"/>
        <w:autoSpaceDE/>
        <w:autoSpaceDN/>
        <w:bidi w:val="0"/>
        <w:adjustRightInd/>
        <w:snapToGrid/>
        <w:spacing w:line="30" w:lineRule="atLeast"/>
        <w:ind w:leftChars="0"/>
        <w:textAlignment w:val="auto"/>
        <w:rPr>
          <w:rFonts w:hint="eastAsia" w:ascii="Times New Roman" w:hAnsi="Times New Roman" w:cs="Times New Roman"/>
          <w:sz w:val="24"/>
          <w:szCs w:val="24"/>
          <w:lang w:val="en-US" w:eastAsia="zh-CN"/>
        </w:rPr>
      </w:pPr>
    </w:p>
    <w:p>
      <w:pPr>
        <w:pageBreakBefore w:val="0"/>
        <w:widowControl w:val="0"/>
        <w:numPr>
          <w:ilvl w:val="0"/>
          <w:numId w:val="2"/>
        </w:numPr>
        <w:kinsoku/>
        <w:wordWrap/>
        <w:overflowPunct/>
        <w:topLinePunct w:val="0"/>
        <w:autoSpaceDE/>
        <w:autoSpaceDN/>
        <w:bidi w:val="0"/>
        <w:adjustRightInd/>
        <w:snapToGrid/>
        <w:spacing w:line="30" w:lineRule="atLeast"/>
        <w:ind w:left="0" w:leftChars="0" w:firstLine="0" w:firstLineChars="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Association and Resources. (2018). Regulating in a digital world. Retrieved 14 November 2019, from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"about:blank" </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sz w:val="24"/>
          <w:szCs w:val="24"/>
          <w:lang w:val="en-US" w:eastAsia="zh-CN"/>
        </w:rPr>
        <w:t>https://publications.parliament.uk/pa/ld201719/ldselect/ldcomuni/299/299.pdf</w:t>
      </w:r>
      <w:r>
        <w:rPr>
          <w:rFonts w:hint="eastAsia" w:ascii="Times New Roman" w:hAnsi="Times New Roman" w:cs="Times New Roman"/>
          <w:sz w:val="24"/>
          <w:szCs w:val="24"/>
          <w:lang w:val="en-US" w:eastAsia="zh-CN"/>
        </w:rPr>
        <w:fldChar w:fldCharType="end"/>
      </w:r>
    </w:p>
    <w:p>
      <w:pPr>
        <w:pageBreakBefore w:val="0"/>
        <w:widowControl w:val="0"/>
        <w:numPr>
          <w:numId w:val="0"/>
        </w:numPr>
        <w:kinsoku/>
        <w:wordWrap/>
        <w:overflowPunct/>
        <w:topLinePunct w:val="0"/>
        <w:autoSpaceDE/>
        <w:autoSpaceDN/>
        <w:bidi w:val="0"/>
        <w:adjustRightInd/>
        <w:snapToGrid/>
        <w:spacing w:line="30" w:lineRule="atLeast"/>
        <w:ind w:leftChars="0"/>
        <w:textAlignment w:val="auto"/>
        <w:rPr>
          <w:rFonts w:hint="eastAsia" w:ascii="Times New Roman" w:hAnsi="Times New Roman" w:cs="Times New Roman"/>
          <w:sz w:val="24"/>
          <w:szCs w:val="24"/>
          <w:lang w:val="en-US" w:eastAsia="zh-CN"/>
        </w:rPr>
      </w:pPr>
    </w:p>
    <w:p>
      <w:pPr>
        <w:pageBreakBefore w:val="0"/>
        <w:widowControl w:val="0"/>
        <w:numPr>
          <w:ilvl w:val="0"/>
          <w:numId w:val="2"/>
        </w:numPr>
        <w:kinsoku/>
        <w:wordWrap/>
        <w:overflowPunct/>
        <w:topLinePunct w:val="0"/>
        <w:autoSpaceDE/>
        <w:autoSpaceDN/>
        <w:bidi w:val="0"/>
        <w:adjustRightInd/>
        <w:snapToGrid/>
        <w:spacing w:line="30" w:lineRule="atLeast"/>
        <w:ind w:left="0" w:leftChars="0" w:firstLine="0" w:firstLine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Keelson, S. (2012). The Evolution of the Marketing Concepts: Theoretically Different Roads Leading to Practically Same Destination!. Retrieved 14 November 2019, from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"about:blank" </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sz w:val="24"/>
          <w:szCs w:val="24"/>
          <w:lang w:val="en-US" w:eastAsia="zh-CN"/>
        </w:rPr>
        <w:t>https://pdfs.semanticscholar.org/c4fd/0cf9cdf5af0e9c8ce7574f7f095b67372c73.pdf</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pageBreakBefore w:val="0"/>
        <w:widowControl w:val="0"/>
        <w:numPr>
          <w:numId w:val="0"/>
        </w:numPr>
        <w:kinsoku/>
        <w:wordWrap/>
        <w:overflowPunct/>
        <w:topLinePunct w:val="0"/>
        <w:autoSpaceDE/>
        <w:autoSpaceDN/>
        <w:bidi w:val="0"/>
        <w:adjustRightInd/>
        <w:snapToGrid/>
        <w:spacing w:line="30" w:lineRule="atLeast"/>
        <w:ind w:leftChars="0"/>
        <w:textAlignment w:val="auto"/>
        <w:rPr>
          <w:rFonts w:hint="eastAsia" w:ascii="Times New Roman" w:hAnsi="Times New Roman" w:cs="Times New Roman"/>
          <w:sz w:val="24"/>
          <w:szCs w:val="24"/>
          <w:lang w:val="en-US" w:eastAsia="zh-CN"/>
        </w:rPr>
      </w:pPr>
    </w:p>
    <w:p>
      <w:pPr>
        <w:pageBreakBefore w:val="0"/>
        <w:widowControl w:val="0"/>
        <w:numPr>
          <w:ilvl w:val="0"/>
          <w:numId w:val="2"/>
        </w:numPr>
        <w:kinsoku/>
        <w:wordWrap/>
        <w:overflowPunct/>
        <w:topLinePunct w:val="0"/>
        <w:autoSpaceDE/>
        <w:autoSpaceDN/>
        <w:bidi w:val="0"/>
        <w:adjustRightInd/>
        <w:snapToGrid/>
        <w:spacing w:line="30" w:lineRule="atLeast"/>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Caracota, Ravi and Andrew b. Winston</w:t>
      </w:r>
      <w:r>
        <w:rPr>
          <w:rFonts w:hint="eastAsia" w:ascii="Times New Roman" w:hAnsi="Times New Roman" w:cs="Times New Roman"/>
          <w:sz w:val="24"/>
          <w:szCs w:val="24"/>
          <w:lang w:val="en-US" w:eastAsia="zh-CN"/>
        </w:rPr>
        <w:t xml:space="preserve"> (1996) </w:t>
      </w:r>
      <w:r>
        <w:rPr>
          <w:rFonts w:hint="default" w:ascii="Times New Roman" w:hAnsi="Times New Roman" w:cs="Times New Roman"/>
          <w:sz w:val="24"/>
          <w:szCs w:val="24"/>
          <w:lang w:val="en-US" w:eastAsia="zh-CN"/>
        </w:rPr>
        <w:t>The frontier of electronic commerce</w:t>
      </w:r>
      <w:r>
        <w:rPr>
          <w:rFonts w:hint="eastAsia" w:ascii="Times New Roman" w:hAnsi="Times New Roman" w:cs="Times New Roman"/>
          <w:sz w:val="24"/>
          <w:szCs w:val="24"/>
          <w:lang w:val="en-US" w:eastAsia="zh-CN"/>
        </w:rPr>
        <w:t xml:space="preserve"> he frontier of e-commerce. Addison p.isbn 0-20184520-2.pap. Wesley 1996.854 $49.44. This is academic... </w:t>
      </w:r>
    </w:p>
    <w:p>
      <w:pPr>
        <w:pageBreakBefore w:val="0"/>
        <w:widowControl w:val="0"/>
        <w:numPr>
          <w:numId w:val="0"/>
        </w:numPr>
        <w:kinsoku/>
        <w:wordWrap/>
        <w:overflowPunct/>
        <w:topLinePunct w:val="0"/>
        <w:autoSpaceDE/>
        <w:autoSpaceDN/>
        <w:bidi w:val="0"/>
        <w:adjustRightInd/>
        <w:snapToGrid/>
        <w:spacing w:line="30" w:lineRule="atLeast"/>
        <w:ind w:leftChars="0"/>
        <w:textAlignment w:val="auto"/>
        <w:rPr>
          <w:rFonts w:hint="eastAsia" w:ascii="Times New Roman" w:hAnsi="Times New Roman" w:cs="Times New Roman"/>
          <w:sz w:val="24"/>
          <w:szCs w:val="24"/>
          <w:lang w:val="en-US" w:eastAsia="zh-CN"/>
        </w:rPr>
      </w:pPr>
    </w:p>
    <w:p>
      <w:pPr>
        <w:pageBreakBefore w:val="0"/>
        <w:widowControl w:val="0"/>
        <w:numPr>
          <w:ilvl w:val="0"/>
          <w:numId w:val="2"/>
        </w:numPr>
        <w:kinsoku/>
        <w:wordWrap/>
        <w:overflowPunct/>
        <w:topLinePunct w:val="0"/>
        <w:autoSpaceDE/>
        <w:autoSpaceDN/>
        <w:bidi w:val="0"/>
        <w:adjustRightInd/>
        <w:snapToGrid/>
        <w:spacing w:line="30" w:lineRule="atLeast"/>
        <w:ind w:left="0" w:leftChars="0" w:firstLine="0" w:firstLineChars="0"/>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Rubin, H.J. and Rubin, I.S.(1995) Qualitative Interviewing: The Art of Hearing Data. 2</w:t>
      </w:r>
      <w:r>
        <w:rPr>
          <w:rFonts w:hint="eastAsia" w:ascii="Times New Roman" w:hAnsi="Times New Roman" w:cs="Times New Roman"/>
          <w:sz w:val="24"/>
          <w:szCs w:val="24"/>
          <w:vertAlign w:val="superscript"/>
          <w:lang w:val="en-US" w:eastAsia="zh-CN"/>
        </w:rPr>
        <w:t>nd</w:t>
      </w:r>
      <w:r>
        <w:rPr>
          <w:rFonts w:hint="eastAsia" w:ascii="Times New Roman" w:hAnsi="Times New Roman" w:cs="Times New Roman"/>
          <w:sz w:val="24"/>
          <w:szCs w:val="24"/>
          <w:lang w:val="en-US" w:eastAsia="zh-CN"/>
        </w:rPr>
        <w:t xml:space="preserve"> Edition, Sage Publications, London</w:t>
      </w:r>
    </w:p>
    <w:p>
      <w:pPr>
        <w:pageBreakBefore w:val="0"/>
        <w:widowControl w:val="0"/>
        <w:numPr>
          <w:numId w:val="0"/>
        </w:numPr>
        <w:kinsoku/>
        <w:wordWrap/>
        <w:overflowPunct/>
        <w:topLinePunct w:val="0"/>
        <w:autoSpaceDE/>
        <w:autoSpaceDN/>
        <w:bidi w:val="0"/>
        <w:adjustRightInd/>
        <w:snapToGrid/>
        <w:spacing w:line="30" w:lineRule="atLeast"/>
        <w:ind w:leftChars="0"/>
        <w:textAlignment w:val="auto"/>
        <w:rPr>
          <w:rFonts w:hint="eastAsia" w:ascii="Times New Roman" w:hAnsi="Times New Roman" w:cs="Times New Roman"/>
          <w:sz w:val="24"/>
          <w:szCs w:val="24"/>
          <w:lang w:val="en-US" w:eastAsia="zh-CN"/>
        </w:rPr>
      </w:pPr>
    </w:p>
    <w:p>
      <w:pPr>
        <w:pageBreakBefore w:val="0"/>
        <w:widowControl w:val="0"/>
        <w:numPr>
          <w:ilvl w:val="0"/>
          <w:numId w:val="2"/>
        </w:numPr>
        <w:kinsoku/>
        <w:wordWrap/>
        <w:overflowPunct/>
        <w:topLinePunct w:val="0"/>
        <w:autoSpaceDE/>
        <w:autoSpaceDN/>
        <w:bidi w:val="0"/>
        <w:adjustRightInd/>
        <w:snapToGrid/>
        <w:spacing w:line="30" w:lineRule="atLeast"/>
        <w:ind w:left="0" w:leftChars="0" w:firstLine="0" w:firstLine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Ryan, F., Coughlan, M., &amp; Cronin, P. (2009). Interviewing in qualitative research: The one-to-one interview. International Journal of Therapy and Rehabilitation, 16(6), 309–314. doi: 10.12968/ijtr.2009.16.6.42433</w:t>
      </w:r>
    </w:p>
    <w:p>
      <w:pPr>
        <w:pageBreakBefore w:val="0"/>
        <w:widowControl w:val="0"/>
        <w:numPr>
          <w:numId w:val="0"/>
        </w:numPr>
        <w:kinsoku/>
        <w:wordWrap/>
        <w:overflowPunct/>
        <w:topLinePunct w:val="0"/>
        <w:autoSpaceDE/>
        <w:autoSpaceDN/>
        <w:bidi w:val="0"/>
        <w:adjustRightInd/>
        <w:snapToGrid/>
        <w:spacing w:line="30" w:lineRule="atLeast"/>
        <w:ind w:leftChars="0"/>
        <w:textAlignment w:val="auto"/>
        <w:rPr>
          <w:rFonts w:hint="default" w:ascii="Times New Roman" w:hAnsi="Times New Roman" w:cs="Times New Roman"/>
          <w:sz w:val="24"/>
          <w:szCs w:val="24"/>
          <w:lang w:val="en-US" w:eastAsia="zh-CN"/>
        </w:rPr>
      </w:pPr>
    </w:p>
    <w:p>
      <w:pPr>
        <w:pageBreakBefore w:val="0"/>
        <w:widowControl w:val="0"/>
        <w:numPr>
          <w:ilvl w:val="0"/>
          <w:numId w:val="2"/>
        </w:numPr>
        <w:kinsoku/>
        <w:wordWrap/>
        <w:overflowPunct/>
        <w:topLinePunct w:val="0"/>
        <w:autoSpaceDE/>
        <w:autoSpaceDN/>
        <w:bidi w:val="0"/>
        <w:adjustRightInd/>
        <w:snapToGrid/>
        <w:spacing w:line="30" w:lineRule="atLeast"/>
        <w:ind w:left="0" w:leftChars="0" w:firstLine="0" w:firstLine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Sandy, &amp; John. (2012, May 14). The Qualitative Research Interview. Retrieved from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"about:blank" </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sz w:val="24"/>
          <w:szCs w:val="24"/>
          <w:lang w:val="en-US" w:eastAsia="zh-CN"/>
        </w:rPr>
        <w:t>https://papers.ssrn.com/sol3/papers.cfm?abstract_id=2058515</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pageBreakBefore w:val="0"/>
        <w:widowControl w:val="0"/>
        <w:numPr>
          <w:numId w:val="0"/>
        </w:numPr>
        <w:kinsoku/>
        <w:wordWrap/>
        <w:overflowPunct/>
        <w:topLinePunct w:val="0"/>
        <w:autoSpaceDE/>
        <w:autoSpaceDN/>
        <w:bidi w:val="0"/>
        <w:adjustRightInd/>
        <w:snapToGrid/>
        <w:spacing w:line="30" w:lineRule="atLeast"/>
        <w:jc w:val="both"/>
        <w:textAlignment w:val="auto"/>
        <w:rPr>
          <w:rFonts w:hint="eastAsia" w:ascii="Times New Roman" w:hAnsi="Times New Roman" w:cs="Times New Roman"/>
          <w:sz w:val="24"/>
          <w:szCs w:val="24"/>
          <w:lang w:val="en-US" w:eastAsia="zh-CN"/>
        </w:rPr>
      </w:pPr>
      <w:bookmarkStart w:id="17" w:name="_GoBack"/>
      <w:bookmarkEnd w:id="17"/>
    </w:p>
    <w:p>
      <w:pPr>
        <w:pageBreakBefore w:val="0"/>
        <w:widowControl w:val="0"/>
        <w:numPr>
          <w:ilvl w:val="0"/>
          <w:numId w:val="2"/>
        </w:numPr>
        <w:kinsoku/>
        <w:wordWrap/>
        <w:overflowPunct/>
        <w:topLinePunct w:val="0"/>
        <w:autoSpaceDE/>
        <w:autoSpaceDN/>
        <w:bidi w:val="0"/>
        <w:adjustRightInd/>
        <w:snapToGrid/>
        <w:spacing w:line="30" w:lineRule="atLeast"/>
        <w:ind w:left="0" w:leftChars="0" w:firstLine="0" w:firstLineChars="0"/>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Sanjari, M., Bahramnezhad, F., Fomani, F. K., Shoghi, M., &amp;Cheraghi, M. A. (2014, August 4). Ethical challenges of researchers in qualitative studies: the necessity to develop a specific guideline. Retrieved from </w:t>
      </w:r>
      <w:r>
        <w:rPr>
          <w:rFonts w:hint="eastAsia" w:ascii="Times New Roman" w:hAnsi="Times New Roman" w:cs="Times New Roman"/>
          <w:sz w:val="24"/>
          <w:szCs w:val="24"/>
          <w:lang w:val="en-US" w:eastAsia="zh-CN"/>
        </w:rPr>
        <w:fldChar w:fldCharType="begin"/>
      </w:r>
      <w:r>
        <w:rPr>
          <w:rFonts w:hint="eastAsia" w:ascii="Times New Roman" w:hAnsi="Times New Roman" w:cs="Times New Roman"/>
          <w:sz w:val="24"/>
          <w:szCs w:val="24"/>
          <w:lang w:val="en-US" w:eastAsia="zh-CN"/>
        </w:rPr>
        <w:instrText xml:space="preserve"> HYPERLINK "about:blank" </w:instrText>
      </w:r>
      <w:r>
        <w:rPr>
          <w:rFonts w:hint="eastAsia" w:ascii="Times New Roman" w:hAnsi="Times New Roman" w:cs="Times New Roman"/>
          <w:sz w:val="24"/>
          <w:szCs w:val="24"/>
          <w:lang w:val="en-US" w:eastAsia="zh-CN"/>
        </w:rPr>
        <w:fldChar w:fldCharType="separate"/>
      </w:r>
      <w:r>
        <w:rPr>
          <w:rFonts w:hint="eastAsia" w:ascii="Times New Roman" w:hAnsi="Times New Roman" w:cs="Times New Roman"/>
          <w:sz w:val="24"/>
          <w:szCs w:val="24"/>
          <w:lang w:val="en-US" w:eastAsia="zh-CN"/>
        </w:rPr>
        <w:t>https://www.ncbi.nlm.nih.gov/pmc/articles/PMC4263394/</w:t>
      </w:r>
      <w:r>
        <w:rPr>
          <w:rFonts w:hint="eastAsia" w:ascii="Times New Roman" w:hAnsi="Times New Roman" w:cs="Times New Roman"/>
          <w:sz w:val="24"/>
          <w:szCs w:val="24"/>
          <w:lang w:val="en-US" w:eastAsia="zh-CN"/>
        </w:rPr>
        <w:fldChar w:fldCharType="end"/>
      </w:r>
      <w:r>
        <w:rPr>
          <w:rFonts w:hint="eastAsia" w:ascii="Times New Roman" w:hAnsi="Times New Roman" w:cs="Times New Roman"/>
          <w:sz w:val="24"/>
          <w:szCs w:val="24"/>
          <w:lang w:val="en-US" w:eastAsia="zh-CN"/>
        </w:rPr>
        <w:t xml:space="preserve">. </w:t>
      </w:r>
    </w:p>
    <w:p>
      <w:pPr>
        <w:autoSpaceDE w:val="0"/>
        <w:autoSpaceDN w:val="0"/>
        <w:adjustRightInd w:val="0"/>
        <w:rPr>
          <w:color w:val="333333"/>
          <w:shd w:val="clear" w:color="auto" w:fill="FFFFFF"/>
        </w:rPr>
      </w:pPr>
    </w:p>
    <w:p>
      <w:pPr>
        <w:pageBreakBefore w:val="0"/>
        <w:widowControl w:val="0"/>
        <w:numPr>
          <w:numId w:val="0"/>
        </w:numPr>
        <w:kinsoku/>
        <w:wordWrap/>
        <w:overflowPunct/>
        <w:topLinePunct w:val="0"/>
        <w:autoSpaceDE/>
        <w:autoSpaceDN/>
        <w:bidi w:val="0"/>
        <w:adjustRightInd/>
        <w:snapToGrid/>
        <w:spacing w:line="30" w:lineRule="atLeast"/>
        <w:ind w:leftChars="0"/>
        <w:textAlignment w:val="auto"/>
        <w:rPr>
          <w:rFonts w:hint="default" w:ascii="Times New Roman" w:hAnsi="Times New Roman" w:cs="Times New Roman"/>
          <w:sz w:val="24"/>
          <w:szCs w:val="24"/>
          <w:lang w:val="en-US" w:eastAsia="zh-CN"/>
        </w:rPr>
      </w:pPr>
    </w:p>
    <w:p>
      <w:pPr>
        <w:pageBreakBefore w:val="0"/>
        <w:widowControl w:val="0"/>
        <w:numPr>
          <w:numId w:val="0"/>
        </w:numPr>
        <w:kinsoku/>
        <w:wordWrap/>
        <w:overflowPunct/>
        <w:topLinePunct w:val="0"/>
        <w:autoSpaceDE/>
        <w:autoSpaceDN/>
        <w:bidi w:val="0"/>
        <w:adjustRightInd/>
        <w:snapToGrid/>
        <w:spacing w:line="30" w:lineRule="atLeast"/>
        <w:ind w:leftChars="0"/>
        <w:textAlignment w:val="auto"/>
        <w:rPr>
          <w:rFonts w:hint="eastAsia" w:ascii="Times New Roman" w:hAnsi="Times New Roman" w:cs="Times New Roman"/>
          <w:sz w:val="24"/>
          <w:szCs w:val="24"/>
          <w:lang w:val="en-US" w:eastAsia="zh-CN"/>
        </w:rPr>
      </w:pPr>
    </w:p>
    <w:p>
      <w:pPr>
        <w:pageBreakBefore w:val="0"/>
        <w:widowControl w:val="0"/>
        <w:numPr>
          <w:numId w:val="0"/>
        </w:numPr>
        <w:kinsoku/>
        <w:wordWrap/>
        <w:overflowPunct/>
        <w:topLinePunct w:val="0"/>
        <w:autoSpaceDE/>
        <w:autoSpaceDN/>
        <w:bidi w:val="0"/>
        <w:adjustRightInd/>
        <w:snapToGrid/>
        <w:spacing w:line="30" w:lineRule="atLeast"/>
        <w:ind w:leftChars="0"/>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0" w:lineRule="atLeast"/>
        <w:textAlignment w:val="auto"/>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Tahoma">
    <w:panose1 w:val="020B0604030504040204"/>
    <w:charset w:val="00"/>
    <w:family w:val="auto"/>
    <w:pitch w:val="default"/>
    <w:sig w:usb0="E1002EFF" w:usb1="C000605B" w:usb2="00000029" w:usb3="00000000" w:csb0="200101FF" w:csb1="20280000"/>
  </w:font>
  <w:font w:name="Calibri">
    <w:panose1 w:val="020F0502020204030204"/>
    <w:charset w:val="86"/>
    <w:family w:val="auto"/>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E2A12F68"/>
    <w:multiLevelType w:val="singleLevel"/>
    <w:tmpl w:val="E2A12F68"/>
    <w:lvl w:ilvl="0" w:tentative="0">
      <w:start w:val="2"/>
      <w:numFmt w:val="decimal"/>
      <w:suff w:val="space"/>
      <w:lvlText w:val="%1."/>
      <w:lvlJc w:val="left"/>
    </w:lvl>
  </w:abstractNum>
  <w:abstractNum w:abstractNumId="1">
    <w:nsid w:val="0916CD65"/>
    <w:multiLevelType w:val="singleLevel"/>
    <w:tmpl w:val="0916CD65"/>
    <w:lvl w:ilvl="0" w:tentative="0">
      <w:start w:val="1"/>
      <w:numFmt w:val="decimal"/>
      <w:lvlText w:val="%1."/>
      <w:lvlJc w:val="left"/>
      <w:pPr>
        <w:tabs>
          <w:tab w:val="left" w:pos="312"/>
        </w:tabs>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9FD2883"/>
    <w:rsid w:val="00511C49"/>
    <w:rsid w:val="009D3FF6"/>
    <w:rsid w:val="00C43E00"/>
    <w:rsid w:val="017D375F"/>
    <w:rsid w:val="017F6E99"/>
    <w:rsid w:val="01845D5C"/>
    <w:rsid w:val="01A6187B"/>
    <w:rsid w:val="01D15024"/>
    <w:rsid w:val="01D238D7"/>
    <w:rsid w:val="01DC62A0"/>
    <w:rsid w:val="01FB7C1C"/>
    <w:rsid w:val="024A668B"/>
    <w:rsid w:val="033C7304"/>
    <w:rsid w:val="03CE2D0F"/>
    <w:rsid w:val="045D358C"/>
    <w:rsid w:val="051514E5"/>
    <w:rsid w:val="055E130C"/>
    <w:rsid w:val="056C1C62"/>
    <w:rsid w:val="057E650D"/>
    <w:rsid w:val="066B5A01"/>
    <w:rsid w:val="07B2448B"/>
    <w:rsid w:val="081A32D8"/>
    <w:rsid w:val="086359CE"/>
    <w:rsid w:val="08A02178"/>
    <w:rsid w:val="08D32AA7"/>
    <w:rsid w:val="08F6569E"/>
    <w:rsid w:val="0965743B"/>
    <w:rsid w:val="09ED5491"/>
    <w:rsid w:val="09FD2883"/>
    <w:rsid w:val="0A19614B"/>
    <w:rsid w:val="0A976721"/>
    <w:rsid w:val="0B2320EC"/>
    <w:rsid w:val="0B5A0591"/>
    <w:rsid w:val="0B834FC3"/>
    <w:rsid w:val="0BD61CA8"/>
    <w:rsid w:val="0CA40B1A"/>
    <w:rsid w:val="0CCB3BCD"/>
    <w:rsid w:val="0D470D6D"/>
    <w:rsid w:val="0DC92876"/>
    <w:rsid w:val="0E493920"/>
    <w:rsid w:val="0E9B298B"/>
    <w:rsid w:val="0EFC413C"/>
    <w:rsid w:val="0F54549D"/>
    <w:rsid w:val="103C67D1"/>
    <w:rsid w:val="10A110AB"/>
    <w:rsid w:val="115B387F"/>
    <w:rsid w:val="115F77C3"/>
    <w:rsid w:val="11727317"/>
    <w:rsid w:val="117B74F2"/>
    <w:rsid w:val="11DA1614"/>
    <w:rsid w:val="11EB6BF0"/>
    <w:rsid w:val="12CB6780"/>
    <w:rsid w:val="130B38D9"/>
    <w:rsid w:val="133476C4"/>
    <w:rsid w:val="1351070D"/>
    <w:rsid w:val="13DD0AA3"/>
    <w:rsid w:val="142C3DDF"/>
    <w:rsid w:val="143037F3"/>
    <w:rsid w:val="144C4B7F"/>
    <w:rsid w:val="14A42A65"/>
    <w:rsid w:val="14AE7F07"/>
    <w:rsid w:val="14C668C5"/>
    <w:rsid w:val="15497E61"/>
    <w:rsid w:val="1652245E"/>
    <w:rsid w:val="1692451A"/>
    <w:rsid w:val="17574584"/>
    <w:rsid w:val="17621C06"/>
    <w:rsid w:val="176832B9"/>
    <w:rsid w:val="178B1792"/>
    <w:rsid w:val="17A91744"/>
    <w:rsid w:val="17E7190D"/>
    <w:rsid w:val="1810480B"/>
    <w:rsid w:val="1823713B"/>
    <w:rsid w:val="18A37F6C"/>
    <w:rsid w:val="18B90FA3"/>
    <w:rsid w:val="19EA069E"/>
    <w:rsid w:val="1A374599"/>
    <w:rsid w:val="1AB265CD"/>
    <w:rsid w:val="1ADF47C2"/>
    <w:rsid w:val="1BF43082"/>
    <w:rsid w:val="1D1F1538"/>
    <w:rsid w:val="1D675896"/>
    <w:rsid w:val="1DA2122C"/>
    <w:rsid w:val="1F792944"/>
    <w:rsid w:val="202E4EF3"/>
    <w:rsid w:val="20504B10"/>
    <w:rsid w:val="209E0DCD"/>
    <w:rsid w:val="20D97564"/>
    <w:rsid w:val="211408CE"/>
    <w:rsid w:val="21381DED"/>
    <w:rsid w:val="21C62B9B"/>
    <w:rsid w:val="225371C9"/>
    <w:rsid w:val="22723C91"/>
    <w:rsid w:val="22BE6D3B"/>
    <w:rsid w:val="22CE6D34"/>
    <w:rsid w:val="22E9565B"/>
    <w:rsid w:val="23DC1F24"/>
    <w:rsid w:val="246C2861"/>
    <w:rsid w:val="24CA58B1"/>
    <w:rsid w:val="24D44590"/>
    <w:rsid w:val="24F578D7"/>
    <w:rsid w:val="264600DC"/>
    <w:rsid w:val="269B155A"/>
    <w:rsid w:val="269B1A31"/>
    <w:rsid w:val="26EE0D00"/>
    <w:rsid w:val="27A15155"/>
    <w:rsid w:val="27A47889"/>
    <w:rsid w:val="27A83DBF"/>
    <w:rsid w:val="28606ECB"/>
    <w:rsid w:val="28F97522"/>
    <w:rsid w:val="2A2606AB"/>
    <w:rsid w:val="2AA245D4"/>
    <w:rsid w:val="2AB17FA6"/>
    <w:rsid w:val="2AB75ADF"/>
    <w:rsid w:val="2AD772A8"/>
    <w:rsid w:val="2B152C83"/>
    <w:rsid w:val="2BA82502"/>
    <w:rsid w:val="2BD772A4"/>
    <w:rsid w:val="2BF0166C"/>
    <w:rsid w:val="2C266B0C"/>
    <w:rsid w:val="2C3F0A01"/>
    <w:rsid w:val="2CC26B90"/>
    <w:rsid w:val="2D9A171E"/>
    <w:rsid w:val="2D9A2C3B"/>
    <w:rsid w:val="2DA669FD"/>
    <w:rsid w:val="2DC62605"/>
    <w:rsid w:val="2E111356"/>
    <w:rsid w:val="2ECA11AC"/>
    <w:rsid w:val="2F2E1D7F"/>
    <w:rsid w:val="2F491095"/>
    <w:rsid w:val="2F8934CA"/>
    <w:rsid w:val="314739D5"/>
    <w:rsid w:val="315C0525"/>
    <w:rsid w:val="319D25ED"/>
    <w:rsid w:val="31A30ACD"/>
    <w:rsid w:val="32506CF6"/>
    <w:rsid w:val="3294024C"/>
    <w:rsid w:val="32965CCA"/>
    <w:rsid w:val="33455517"/>
    <w:rsid w:val="33655203"/>
    <w:rsid w:val="33F17F41"/>
    <w:rsid w:val="33FF4F68"/>
    <w:rsid w:val="349C7000"/>
    <w:rsid w:val="34B16ACD"/>
    <w:rsid w:val="34D33EC3"/>
    <w:rsid w:val="34EF3357"/>
    <w:rsid w:val="356D465F"/>
    <w:rsid w:val="35D7055B"/>
    <w:rsid w:val="361863B3"/>
    <w:rsid w:val="36196145"/>
    <w:rsid w:val="369D4ABE"/>
    <w:rsid w:val="36B72AD3"/>
    <w:rsid w:val="36B9486B"/>
    <w:rsid w:val="3732156F"/>
    <w:rsid w:val="37B27C12"/>
    <w:rsid w:val="37B50B00"/>
    <w:rsid w:val="383C4475"/>
    <w:rsid w:val="383E046C"/>
    <w:rsid w:val="38811494"/>
    <w:rsid w:val="39D90615"/>
    <w:rsid w:val="3A5420CE"/>
    <w:rsid w:val="3B12030C"/>
    <w:rsid w:val="3B563E6E"/>
    <w:rsid w:val="3BAC17DE"/>
    <w:rsid w:val="3C482DF2"/>
    <w:rsid w:val="3C5E6BEB"/>
    <w:rsid w:val="3C732513"/>
    <w:rsid w:val="3C904E92"/>
    <w:rsid w:val="3D2B4F81"/>
    <w:rsid w:val="3E23617C"/>
    <w:rsid w:val="3E5C6F68"/>
    <w:rsid w:val="3F9472B9"/>
    <w:rsid w:val="3FC11E27"/>
    <w:rsid w:val="3FD2301F"/>
    <w:rsid w:val="3FDC368E"/>
    <w:rsid w:val="3FE94274"/>
    <w:rsid w:val="40006C76"/>
    <w:rsid w:val="40253AC4"/>
    <w:rsid w:val="40377A32"/>
    <w:rsid w:val="40CD7B04"/>
    <w:rsid w:val="41705228"/>
    <w:rsid w:val="41821F57"/>
    <w:rsid w:val="41FE3C0C"/>
    <w:rsid w:val="421D7A69"/>
    <w:rsid w:val="42463BCD"/>
    <w:rsid w:val="43240A79"/>
    <w:rsid w:val="43497188"/>
    <w:rsid w:val="435D14C7"/>
    <w:rsid w:val="43706F24"/>
    <w:rsid w:val="43942D62"/>
    <w:rsid w:val="43C71086"/>
    <w:rsid w:val="44A04E3F"/>
    <w:rsid w:val="44D47114"/>
    <w:rsid w:val="45623E17"/>
    <w:rsid w:val="45E41E99"/>
    <w:rsid w:val="46297709"/>
    <w:rsid w:val="464B20CB"/>
    <w:rsid w:val="4716730A"/>
    <w:rsid w:val="47B04765"/>
    <w:rsid w:val="48097E4E"/>
    <w:rsid w:val="48575EDE"/>
    <w:rsid w:val="48B54D7E"/>
    <w:rsid w:val="49296889"/>
    <w:rsid w:val="4978395F"/>
    <w:rsid w:val="49B05095"/>
    <w:rsid w:val="4A7E4068"/>
    <w:rsid w:val="4AD41A2C"/>
    <w:rsid w:val="4B476789"/>
    <w:rsid w:val="4B660826"/>
    <w:rsid w:val="4C1D40FA"/>
    <w:rsid w:val="4C6F6C0B"/>
    <w:rsid w:val="4CFE1CE1"/>
    <w:rsid w:val="4DA82B15"/>
    <w:rsid w:val="4DC32810"/>
    <w:rsid w:val="4DD862BF"/>
    <w:rsid w:val="4DFC025D"/>
    <w:rsid w:val="4E26022A"/>
    <w:rsid w:val="4E7201CD"/>
    <w:rsid w:val="4E7D141E"/>
    <w:rsid w:val="4E9E2C03"/>
    <w:rsid w:val="4EE51C5D"/>
    <w:rsid w:val="4EF02EDE"/>
    <w:rsid w:val="4F56204F"/>
    <w:rsid w:val="4FC16FF0"/>
    <w:rsid w:val="509C5E1E"/>
    <w:rsid w:val="50EF1074"/>
    <w:rsid w:val="510A0E70"/>
    <w:rsid w:val="510F2634"/>
    <w:rsid w:val="519D6B50"/>
    <w:rsid w:val="51A52D4B"/>
    <w:rsid w:val="5284707A"/>
    <w:rsid w:val="52920284"/>
    <w:rsid w:val="535E2ED2"/>
    <w:rsid w:val="535F1D5A"/>
    <w:rsid w:val="536C7958"/>
    <w:rsid w:val="53A4002A"/>
    <w:rsid w:val="53B243E2"/>
    <w:rsid w:val="54043547"/>
    <w:rsid w:val="54055E7D"/>
    <w:rsid w:val="54846A4D"/>
    <w:rsid w:val="54BE0F18"/>
    <w:rsid w:val="557C7E24"/>
    <w:rsid w:val="55D91D0C"/>
    <w:rsid w:val="55F7267F"/>
    <w:rsid w:val="56007B53"/>
    <w:rsid w:val="561C7965"/>
    <w:rsid w:val="56492A79"/>
    <w:rsid w:val="566E48C4"/>
    <w:rsid w:val="56C86CC6"/>
    <w:rsid w:val="574B1EA8"/>
    <w:rsid w:val="57A567BA"/>
    <w:rsid w:val="57AA406F"/>
    <w:rsid w:val="57C26D98"/>
    <w:rsid w:val="58CF1F29"/>
    <w:rsid w:val="599D45BB"/>
    <w:rsid w:val="5A637E0E"/>
    <w:rsid w:val="5A9B1038"/>
    <w:rsid w:val="5AB92373"/>
    <w:rsid w:val="5ABC072E"/>
    <w:rsid w:val="5B181410"/>
    <w:rsid w:val="5B6D1C4C"/>
    <w:rsid w:val="5B88588A"/>
    <w:rsid w:val="5BB14F56"/>
    <w:rsid w:val="5BBB1A54"/>
    <w:rsid w:val="5BE12C8F"/>
    <w:rsid w:val="5C145ED0"/>
    <w:rsid w:val="5C775083"/>
    <w:rsid w:val="5CB95B96"/>
    <w:rsid w:val="5D0A2ACF"/>
    <w:rsid w:val="5DAF0F74"/>
    <w:rsid w:val="5E024FF6"/>
    <w:rsid w:val="5E773D42"/>
    <w:rsid w:val="5FC032CC"/>
    <w:rsid w:val="601D7BAF"/>
    <w:rsid w:val="60260601"/>
    <w:rsid w:val="606372D8"/>
    <w:rsid w:val="608559AB"/>
    <w:rsid w:val="60F86B53"/>
    <w:rsid w:val="61377A40"/>
    <w:rsid w:val="613C46E7"/>
    <w:rsid w:val="62480399"/>
    <w:rsid w:val="62E56394"/>
    <w:rsid w:val="63142577"/>
    <w:rsid w:val="636B59C4"/>
    <w:rsid w:val="63944DCE"/>
    <w:rsid w:val="63B30902"/>
    <w:rsid w:val="63BE171E"/>
    <w:rsid w:val="648D0265"/>
    <w:rsid w:val="648D6FAA"/>
    <w:rsid w:val="64E503C1"/>
    <w:rsid w:val="65F86603"/>
    <w:rsid w:val="662A52DD"/>
    <w:rsid w:val="667D11BB"/>
    <w:rsid w:val="6697088F"/>
    <w:rsid w:val="67373175"/>
    <w:rsid w:val="67A83551"/>
    <w:rsid w:val="67B9073B"/>
    <w:rsid w:val="68BE468D"/>
    <w:rsid w:val="690F6901"/>
    <w:rsid w:val="6925261B"/>
    <w:rsid w:val="697B7CC4"/>
    <w:rsid w:val="698A3A66"/>
    <w:rsid w:val="69B17E5E"/>
    <w:rsid w:val="69CC1F08"/>
    <w:rsid w:val="69ED0455"/>
    <w:rsid w:val="69F665B2"/>
    <w:rsid w:val="6BB401AF"/>
    <w:rsid w:val="6BD86B66"/>
    <w:rsid w:val="6C417BE3"/>
    <w:rsid w:val="6C4A2FF8"/>
    <w:rsid w:val="6C531BD2"/>
    <w:rsid w:val="6D3706C2"/>
    <w:rsid w:val="6DF22CC2"/>
    <w:rsid w:val="6DF71FD7"/>
    <w:rsid w:val="6DF77B95"/>
    <w:rsid w:val="6EDB5EEE"/>
    <w:rsid w:val="6F0A2ABE"/>
    <w:rsid w:val="6F5C16D9"/>
    <w:rsid w:val="6F674798"/>
    <w:rsid w:val="6FCB23D6"/>
    <w:rsid w:val="70293053"/>
    <w:rsid w:val="70673568"/>
    <w:rsid w:val="708F7FFD"/>
    <w:rsid w:val="709A240E"/>
    <w:rsid w:val="70E73CFE"/>
    <w:rsid w:val="70F52FE6"/>
    <w:rsid w:val="71231C37"/>
    <w:rsid w:val="716143BD"/>
    <w:rsid w:val="71E2184C"/>
    <w:rsid w:val="7224143A"/>
    <w:rsid w:val="72B469DE"/>
    <w:rsid w:val="72D67130"/>
    <w:rsid w:val="73125201"/>
    <w:rsid w:val="73184B87"/>
    <w:rsid w:val="73464DE4"/>
    <w:rsid w:val="737305EB"/>
    <w:rsid w:val="73A5448B"/>
    <w:rsid w:val="73EA1B06"/>
    <w:rsid w:val="73EE7E95"/>
    <w:rsid w:val="74127D1D"/>
    <w:rsid w:val="74662FC9"/>
    <w:rsid w:val="74B305B7"/>
    <w:rsid w:val="753D3B5A"/>
    <w:rsid w:val="7572402F"/>
    <w:rsid w:val="75AA0B3A"/>
    <w:rsid w:val="75EC7F4F"/>
    <w:rsid w:val="765536DF"/>
    <w:rsid w:val="767E1089"/>
    <w:rsid w:val="769F1CCF"/>
    <w:rsid w:val="76A2086A"/>
    <w:rsid w:val="76E02CC8"/>
    <w:rsid w:val="76E46A14"/>
    <w:rsid w:val="775471AE"/>
    <w:rsid w:val="77BB6D19"/>
    <w:rsid w:val="77C34BDC"/>
    <w:rsid w:val="78034A38"/>
    <w:rsid w:val="78720CF5"/>
    <w:rsid w:val="78C06E49"/>
    <w:rsid w:val="78C6453D"/>
    <w:rsid w:val="78D877E1"/>
    <w:rsid w:val="78D94FD6"/>
    <w:rsid w:val="78EC3038"/>
    <w:rsid w:val="792637DE"/>
    <w:rsid w:val="79703B7F"/>
    <w:rsid w:val="79C83B0B"/>
    <w:rsid w:val="7A6A45E0"/>
    <w:rsid w:val="7AA41AD5"/>
    <w:rsid w:val="7AB50416"/>
    <w:rsid w:val="7AB811B1"/>
    <w:rsid w:val="7B303BAE"/>
    <w:rsid w:val="7C622F25"/>
    <w:rsid w:val="7C805289"/>
    <w:rsid w:val="7C90099B"/>
    <w:rsid w:val="7CC85E35"/>
    <w:rsid w:val="7D1A3B31"/>
    <w:rsid w:val="7D3539D1"/>
    <w:rsid w:val="7DA51897"/>
    <w:rsid w:val="7DC661C0"/>
    <w:rsid w:val="7DD83B0D"/>
    <w:rsid w:val="7DF95747"/>
    <w:rsid w:val="7E1F5055"/>
    <w:rsid w:val="7E66683A"/>
    <w:rsid w:val="7ECF7AA8"/>
    <w:rsid w:val="7F516DE4"/>
    <w:rsid w:val="7F5A4FCC"/>
    <w:rsid w:val="7F8301C1"/>
    <w:rsid w:val="7F9E592B"/>
    <w:rsid w:val="7FC617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8"/>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character" w:default="1" w:styleId="6">
    <w:name w:val="Default Paragraph Font"/>
    <w:semiHidden/>
    <w:qFormat/>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toc 1"/>
    <w:basedOn w:val="1"/>
    <w:next w:val="1"/>
    <w:uiPriority w:val="0"/>
  </w:style>
  <w:style w:type="character" w:styleId="7">
    <w:name w:val="Hyperlink"/>
    <w:basedOn w:val="6"/>
    <w:uiPriority w:val="0"/>
    <w:rPr>
      <w:color w:val="0000FF"/>
      <w:u w:val="single"/>
    </w:rPr>
  </w:style>
  <w:style w:type="character" w:customStyle="1" w:styleId="8">
    <w:name w:val="标题 1 Char"/>
    <w:link w:val="2"/>
    <w:uiPriority w:val="0"/>
    <w:rPr>
      <w:b/>
      <w:kern w:val="44"/>
      <w:sz w:val="44"/>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Office_11.1.0.9929_F1E327BC-269C-435d-A152-05C5408002CA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2020-11-29T01:55:00Z</dcterms:created>
  <dc:creator>Fallen Leaves</dc:creator>
  <cp:lastModifiedBy>Fallen Leaves</cp:lastModifiedBy>
  <dcterms:modified xsi:type="dcterms:W3CDTF">2020-11-29T15:24:41Z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2052-11.1.0.9929</vt:lpwstr>
  </property>
</Properties>
</file>