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0FF5D6" w14:textId="2EE37814" w:rsidR="00054DD0" w:rsidRPr="0042369D" w:rsidRDefault="00F3600E" w:rsidP="0042369D">
      <w:pPr>
        <w:jc w:val="center"/>
        <w:rPr>
          <w:rFonts w:ascii="Arial" w:hAnsi="Arial" w:cs="Arial"/>
          <w:sz w:val="52"/>
          <w:szCs w:val="52"/>
          <w:lang w:val="en-GB"/>
        </w:rPr>
      </w:pPr>
      <w:r w:rsidRPr="0042369D">
        <w:rPr>
          <w:rFonts w:ascii="Arial" w:hAnsi="Arial" w:cs="Arial"/>
          <w:sz w:val="52"/>
          <w:szCs w:val="52"/>
          <w:lang w:val="en-GB"/>
        </w:rPr>
        <w:t>Assignment 2 Project Management</w:t>
      </w:r>
    </w:p>
    <w:p w14:paraId="0F00EF9A" w14:textId="47089332" w:rsidR="00F3600E" w:rsidRPr="0042369D" w:rsidRDefault="00F3600E" w:rsidP="0042369D">
      <w:pPr>
        <w:jc w:val="center"/>
        <w:rPr>
          <w:rFonts w:ascii="Arial" w:hAnsi="Arial" w:cs="Arial"/>
          <w:sz w:val="52"/>
          <w:szCs w:val="52"/>
          <w:lang w:val="en-GB"/>
        </w:rPr>
      </w:pPr>
      <w:r w:rsidRPr="0042369D">
        <w:rPr>
          <w:rFonts w:ascii="Arial" w:hAnsi="Arial" w:cs="Arial"/>
          <w:sz w:val="52"/>
          <w:szCs w:val="52"/>
          <w:lang w:val="en-GB"/>
        </w:rPr>
        <w:t>Coursework</w:t>
      </w:r>
    </w:p>
    <w:p w14:paraId="25835897" w14:textId="10410238" w:rsidR="0042369D" w:rsidRDefault="0042369D" w:rsidP="0042369D">
      <w:pPr>
        <w:jc w:val="center"/>
        <w:rPr>
          <w:rFonts w:ascii="Arial" w:hAnsi="Arial" w:cs="Arial"/>
          <w:sz w:val="52"/>
          <w:szCs w:val="52"/>
          <w:lang w:val="en-GB"/>
        </w:rPr>
      </w:pPr>
      <w:r w:rsidRPr="0042369D">
        <w:rPr>
          <w:rFonts w:ascii="Arial" w:hAnsi="Arial" w:cs="Arial"/>
          <w:sz w:val="52"/>
          <w:szCs w:val="52"/>
          <w:lang w:val="en-GB"/>
        </w:rPr>
        <w:t>LCBB5005</w:t>
      </w:r>
    </w:p>
    <w:p w14:paraId="0A52A1F0" w14:textId="77777777" w:rsidR="0042369D" w:rsidRDefault="0042369D" w:rsidP="0042369D">
      <w:pPr>
        <w:jc w:val="center"/>
        <w:rPr>
          <w:rFonts w:ascii="Arial" w:hAnsi="Arial" w:cs="Arial"/>
          <w:sz w:val="52"/>
          <w:szCs w:val="52"/>
          <w:lang w:val="en-GB"/>
        </w:rPr>
      </w:pPr>
    </w:p>
    <w:p w14:paraId="6F65FB15" w14:textId="77777777" w:rsidR="0042369D" w:rsidRDefault="0042369D" w:rsidP="0042369D">
      <w:pPr>
        <w:jc w:val="center"/>
        <w:rPr>
          <w:rFonts w:ascii="Arial" w:hAnsi="Arial" w:cs="Arial"/>
          <w:sz w:val="52"/>
          <w:szCs w:val="52"/>
          <w:lang w:val="en-GB"/>
        </w:rPr>
      </w:pPr>
    </w:p>
    <w:p w14:paraId="5B148AB2" w14:textId="77777777" w:rsidR="0042369D" w:rsidRPr="0042369D" w:rsidRDefault="0042369D" w:rsidP="0042369D">
      <w:pPr>
        <w:jc w:val="center"/>
        <w:rPr>
          <w:rFonts w:ascii="Arial" w:hAnsi="Arial" w:cs="Arial"/>
          <w:sz w:val="52"/>
          <w:szCs w:val="52"/>
          <w:lang w:val="en-GB"/>
        </w:rPr>
      </w:pPr>
    </w:p>
    <w:p w14:paraId="0BA3B7A6" w14:textId="36174BBF" w:rsidR="0042369D" w:rsidRPr="0042369D" w:rsidRDefault="0042369D" w:rsidP="0042369D">
      <w:pPr>
        <w:jc w:val="center"/>
        <w:rPr>
          <w:rFonts w:ascii="Arial" w:hAnsi="Arial" w:cs="Arial"/>
          <w:sz w:val="52"/>
          <w:szCs w:val="52"/>
          <w:lang w:val="en-GB"/>
        </w:rPr>
      </w:pPr>
      <w:r w:rsidRPr="0042369D">
        <w:rPr>
          <w:rFonts w:ascii="Arial" w:hAnsi="Arial" w:cs="Arial"/>
          <w:sz w:val="52"/>
          <w:szCs w:val="52"/>
        </w:rPr>
        <w:t>Dr Anupam Mazumdar</w:t>
      </w:r>
    </w:p>
    <w:p w14:paraId="53C416F4" w14:textId="4ED12DAA" w:rsidR="0042369D" w:rsidRPr="0042369D" w:rsidRDefault="0042369D" w:rsidP="0042369D">
      <w:pPr>
        <w:jc w:val="center"/>
        <w:rPr>
          <w:rFonts w:ascii="Arial" w:hAnsi="Arial" w:cs="Arial"/>
          <w:sz w:val="52"/>
          <w:szCs w:val="52"/>
          <w:lang w:val="en-GB"/>
        </w:rPr>
      </w:pPr>
      <w:r w:rsidRPr="0042369D">
        <w:rPr>
          <w:rFonts w:ascii="Arial" w:hAnsi="Arial" w:cs="Arial"/>
          <w:sz w:val="52"/>
          <w:szCs w:val="52"/>
          <w:lang w:val="en-GB"/>
        </w:rPr>
        <w:t>Tsvetelin Brankov</w:t>
      </w:r>
    </w:p>
    <w:p w14:paraId="0B27E325" w14:textId="16A1BE23" w:rsidR="0042369D" w:rsidRPr="0042369D" w:rsidRDefault="0042369D" w:rsidP="0042369D">
      <w:pPr>
        <w:jc w:val="center"/>
        <w:rPr>
          <w:rFonts w:ascii="Arial" w:hAnsi="Arial" w:cs="Arial"/>
          <w:sz w:val="52"/>
          <w:szCs w:val="52"/>
          <w:lang w:val="en-GB"/>
        </w:rPr>
      </w:pPr>
      <w:r w:rsidRPr="0042369D">
        <w:rPr>
          <w:rFonts w:ascii="Arial" w:hAnsi="Arial" w:cs="Arial"/>
          <w:sz w:val="52"/>
          <w:szCs w:val="52"/>
          <w:lang w:val="en-GB"/>
        </w:rPr>
        <w:t>ID 2024471</w:t>
      </w:r>
    </w:p>
    <w:p w14:paraId="2781AB0B" w14:textId="77777777" w:rsidR="00054DD0" w:rsidRDefault="00054DD0" w:rsidP="00F3600E">
      <w:pPr>
        <w:jc w:val="both"/>
        <w:rPr>
          <w:rFonts w:asciiTheme="majorHAnsi" w:eastAsiaTheme="majorEastAsia" w:hAnsiTheme="majorHAnsi" w:cstheme="majorBidi"/>
          <w:color w:val="2F5496" w:themeColor="accent1" w:themeShade="BF"/>
          <w:sz w:val="32"/>
          <w:szCs w:val="32"/>
          <w:lang w:val="en-GB"/>
        </w:rPr>
      </w:pPr>
      <w:r>
        <w:rPr>
          <w:lang w:val="en-GB"/>
        </w:rPr>
        <w:br w:type="page"/>
      </w:r>
    </w:p>
    <w:sdt>
      <w:sdtPr>
        <w:id w:val="-1873063560"/>
        <w:docPartObj>
          <w:docPartGallery w:val="Table of Contents"/>
          <w:docPartUnique/>
        </w:docPartObj>
      </w:sdtPr>
      <w:sdtEndPr>
        <w:rPr>
          <w:rFonts w:asciiTheme="minorHAnsi" w:eastAsiaTheme="minorHAnsi" w:hAnsiTheme="minorHAnsi" w:cstheme="minorBidi"/>
          <w:b/>
          <w:bCs/>
          <w:noProof/>
          <w:color w:val="auto"/>
          <w:sz w:val="22"/>
          <w:szCs w:val="22"/>
          <w:lang w:val="bg-BG"/>
        </w:rPr>
      </w:sdtEndPr>
      <w:sdtContent>
        <w:p w14:paraId="252A0ACA" w14:textId="43A265F3" w:rsidR="00F3600E" w:rsidRDefault="00F3600E">
          <w:pPr>
            <w:pStyle w:val="TOCHeading"/>
          </w:pPr>
          <w:r>
            <w:t>Table of Contents</w:t>
          </w:r>
        </w:p>
        <w:p w14:paraId="19EC56E9" w14:textId="10BAB8CD" w:rsidR="00F3600E" w:rsidRDefault="00F3600E">
          <w:pPr>
            <w:pStyle w:val="TOC1"/>
            <w:tabs>
              <w:tab w:val="right" w:leader="dot" w:pos="9062"/>
            </w:tabs>
            <w:rPr>
              <w:rFonts w:eastAsiaTheme="minorEastAsia"/>
              <w:noProof/>
              <w:kern w:val="2"/>
              <w:lang w:eastAsia="bg-BG"/>
              <w14:ligatures w14:val="standardContextual"/>
            </w:rPr>
          </w:pPr>
          <w:r>
            <w:fldChar w:fldCharType="begin"/>
          </w:r>
          <w:r>
            <w:instrText xml:space="preserve"> TOC \o "1-3" \h \z \u </w:instrText>
          </w:r>
          <w:r>
            <w:fldChar w:fldCharType="separate"/>
          </w:r>
          <w:hyperlink w:anchor="_Toc144209813" w:history="1">
            <w:r w:rsidRPr="00B07D95">
              <w:rPr>
                <w:rStyle w:val="Hyperlink"/>
                <w:noProof/>
                <w:lang w:val="en-GB"/>
              </w:rPr>
              <w:t>Introduction</w:t>
            </w:r>
            <w:r>
              <w:rPr>
                <w:noProof/>
                <w:webHidden/>
              </w:rPr>
              <w:tab/>
            </w:r>
            <w:r>
              <w:rPr>
                <w:noProof/>
                <w:webHidden/>
              </w:rPr>
              <w:fldChar w:fldCharType="begin"/>
            </w:r>
            <w:r>
              <w:rPr>
                <w:noProof/>
                <w:webHidden/>
              </w:rPr>
              <w:instrText xml:space="preserve"> PAGEREF _Toc144209813 \h </w:instrText>
            </w:r>
            <w:r>
              <w:rPr>
                <w:noProof/>
                <w:webHidden/>
              </w:rPr>
            </w:r>
            <w:r>
              <w:rPr>
                <w:noProof/>
                <w:webHidden/>
              </w:rPr>
              <w:fldChar w:fldCharType="separate"/>
            </w:r>
            <w:r>
              <w:rPr>
                <w:noProof/>
                <w:webHidden/>
              </w:rPr>
              <w:t>3</w:t>
            </w:r>
            <w:r>
              <w:rPr>
                <w:noProof/>
                <w:webHidden/>
              </w:rPr>
              <w:fldChar w:fldCharType="end"/>
            </w:r>
          </w:hyperlink>
        </w:p>
        <w:p w14:paraId="1ACEF41A" w14:textId="1B9614AE" w:rsidR="00F3600E" w:rsidRDefault="00F3600E">
          <w:pPr>
            <w:pStyle w:val="TOC1"/>
            <w:tabs>
              <w:tab w:val="right" w:leader="dot" w:pos="9062"/>
            </w:tabs>
            <w:rPr>
              <w:rFonts w:eastAsiaTheme="minorEastAsia"/>
              <w:noProof/>
              <w:kern w:val="2"/>
              <w:lang w:eastAsia="bg-BG"/>
              <w14:ligatures w14:val="standardContextual"/>
            </w:rPr>
          </w:pPr>
          <w:hyperlink w:anchor="_Toc144209814" w:history="1">
            <w:r w:rsidRPr="00B07D95">
              <w:rPr>
                <w:rStyle w:val="Hyperlink"/>
                <w:noProof/>
                <w:lang w:val="en-GB"/>
              </w:rPr>
              <w:t>Succes or faliure</w:t>
            </w:r>
            <w:r>
              <w:rPr>
                <w:noProof/>
                <w:webHidden/>
              </w:rPr>
              <w:tab/>
            </w:r>
            <w:r>
              <w:rPr>
                <w:noProof/>
                <w:webHidden/>
              </w:rPr>
              <w:fldChar w:fldCharType="begin"/>
            </w:r>
            <w:r>
              <w:rPr>
                <w:noProof/>
                <w:webHidden/>
              </w:rPr>
              <w:instrText xml:space="preserve"> PAGEREF _Toc144209814 \h </w:instrText>
            </w:r>
            <w:r>
              <w:rPr>
                <w:noProof/>
                <w:webHidden/>
              </w:rPr>
            </w:r>
            <w:r>
              <w:rPr>
                <w:noProof/>
                <w:webHidden/>
              </w:rPr>
              <w:fldChar w:fldCharType="separate"/>
            </w:r>
            <w:r>
              <w:rPr>
                <w:noProof/>
                <w:webHidden/>
              </w:rPr>
              <w:t>3</w:t>
            </w:r>
            <w:r>
              <w:rPr>
                <w:noProof/>
                <w:webHidden/>
              </w:rPr>
              <w:fldChar w:fldCharType="end"/>
            </w:r>
          </w:hyperlink>
        </w:p>
        <w:p w14:paraId="1077398D" w14:textId="4232371A" w:rsidR="00F3600E" w:rsidRDefault="00F3600E">
          <w:pPr>
            <w:pStyle w:val="TOC1"/>
            <w:tabs>
              <w:tab w:val="right" w:leader="dot" w:pos="9062"/>
            </w:tabs>
            <w:rPr>
              <w:rFonts w:eastAsiaTheme="minorEastAsia"/>
              <w:noProof/>
              <w:kern w:val="2"/>
              <w:lang w:eastAsia="bg-BG"/>
              <w14:ligatures w14:val="standardContextual"/>
            </w:rPr>
          </w:pPr>
          <w:hyperlink w:anchor="_Toc144209815" w:history="1">
            <w:r w:rsidRPr="00B07D95">
              <w:rPr>
                <w:rStyle w:val="Hyperlink"/>
                <w:noProof/>
                <w:lang w:val="en-GB"/>
              </w:rPr>
              <w:t>PMBOK of Hinkley Point C</w:t>
            </w:r>
            <w:r>
              <w:rPr>
                <w:noProof/>
                <w:webHidden/>
              </w:rPr>
              <w:tab/>
            </w:r>
            <w:r>
              <w:rPr>
                <w:noProof/>
                <w:webHidden/>
              </w:rPr>
              <w:fldChar w:fldCharType="begin"/>
            </w:r>
            <w:r>
              <w:rPr>
                <w:noProof/>
                <w:webHidden/>
              </w:rPr>
              <w:instrText xml:space="preserve"> PAGEREF _Toc144209815 \h </w:instrText>
            </w:r>
            <w:r>
              <w:rPr>
                <w:noProof/>
                <w:webHidden/>
              </w:rPr>
            </w:r>
            <w:r>
              <w:rPr>
                <w:noProof/>
                <w:webHidden/>
              </w:rPr>
              <w:fldChar w:fldCharType="separate"/>
            </w:r>
            <w:r>
              <w:rPr>
                <w:noProof/>
                <w:webHidden/>
              </w:rPr>
              <w:t>5</w:t>
            </w:r>
            <w:r>
              <w:rPr>
                <w:noProof/>
                <w:webHidden/>
              </w:rPr>
              <w:fldChar w:fldCharType="end"/>
            </w:r>
          </w:hyperlink>
        </w:p>
        <w:p w14:paraId="48E7A13A" w14:textId="3926B64F" w:rsidR="00F3600E" w:rsidRDefault="00F3600E">
          <w:pPr>
            <w:pStyle w:val="TOC1"/>
            <w:tabs>
              <w:tab w:val="right" w:leader="dot" w:pos="9062"/>
            </w:tabs>
            <w:rPr>
              <w:rFonts w:eastAsiaTheme="minorEastAsia"/>
              <w:noProof/>
              <w:kern w:val="2"/>
              <w:lang w:eastAsia="bg-BG"/>
              <w14:ligatures w14:val="standardContextual"/>
            </w:rPr>
          </w:pPr>
          <w:hyperlink w:anchor="_Toc144209816" w:history="1">
            <w:r w:rsidRPr="00B07D95">
              <w:rPr>
                <w:rStyle w:val="Hyperlink"/>
                <w:noProof/>
                <w:lang w:val="en-GB"/>
              </w:rPr>
              <w:t>Valid recommendations for a similar project</w:t>
            </w:r>
            <w:r>
              <w:rPr>
                <w:noProof/>
                <w:webHidden/>
              </w:rPr>
              <w:tab/>
            </w:r>
            <w:r>
              <w:rPr>
                <w:noProof/>
                <w:webHidden/>
              </w:rPr>
              <w:fldChar w:fldCharType="begin"/>
            </w:r>
            <w:r>
              <w:rPr>
                <w:noProof/>
                <w:webHidden/>
              </w:rPr>
              <w:instrText xml:space="preserve"> PAGEREF _Toc144209816 \h </w:instrText>
            </w:r>
            <w:r>
              <w:rPr>
                <w:noProof/>
                <w:webHidden/>
              </w:rPr>
            </w:r>
            <w:r>
              <w:rPr>
                <w:noProof/>
                <w:webHidden/>
              </w:rPr>
              <w:fldChar w:fldCharType="separate"/>
            </w:r>
            <w:r>
              <w:rPr>
                <w:noProof/>
                <w:webHidden/>
              </w:rPr>
              <w:t>6</w:t>
            </w:r>
            <w:r>
              <w:rPr>
                <w:noProof/>
                <w:webHidden/>
              </w:rPr>
              <w:fldChar w:fldCharType="end"/>
            </w:r>
          </w:hyperlink>
        </w:p>
        <w:p w14:paraId="79210116" w14:textId="1FD7F1B8" w:rsidR="00F3600E" w:rsidRDefault="00F3600E">
          <w:pPr>
            <w:pStyle w:val="TOC1"/>
            <w:tabs>
              <w:tab w:val="right" w:leader="dot" w:pos="9062"/>
            </w:tabs>
            <w:rPr>
              <w:rFonts w:eastAsiaTheme="minorEastAsia"/>
              <w:noProof/>
              <w:kern w:val="2"/>
              <w:lang w:eastAsia="bg-BG"/>
              <w14:ligatures w14:val="standardContextual"/>
            </w:rPr>
          </w:pPr>
          <w:hyperlink w:anchor="_Toc144209817" w:history="1">
            <w:r w:rsidRPr="00B07D95">
              <w:rPr>
                <w:rStyle w:val="Hyperlink"/>
                <w:noProof/>
                <w:lang w:val="en-GB"/>
              </w:rPr>
              <w:t>Conclusion</w:t>
            </w:r>
            <w:r>
              <w:rPr>
                <w:noProof/>
                <w:webHidden/>
              </w:rPr>
              <w:tab/>
            </w:r>
            <w:r>
              <w:rPr>
                <w:noProof/>
                <w:webHidden/>
              </w:rPr>
              <w:fldChar w:fldCharType="begin"/>
            </w:r>
            <w:r>
              <w:rPr>
                <w:noProof/>
                <w:webHidden/>
              </w:rPr>
              <w:instrText xml:space="preserve"> PAGEREF _Toc144209817 \h </w:instrText>
            </w:r>
            <w:r>
              <w:rPr>
                <w:noProof/>
                <w:webHidden/>
              </w:rPr>
            </w:r>
            <w:r>
              <w:rPr>
                <w:noProof/>
                <w:webHidden/>
              </w:rPr>
              <w:fldChar w:fldCharType="separate"/>
            </w:r>
            <w:r>
              <w:rPr>
                <w:noProof/>
                <w:webHidden/>
              </w:rPr>
              <w:t>6</w:t>
            </w:r>
            <w:r>
              <w:rPr>
                <w:noProof/>
                <w:webHidden/>
              </w:rPr>
              <w:fldChar w:fldCharType="end"/>
            </w:r>
          </w:hyperlink>
        </w:p>
        <w:p w14:paraId="0233B317" w14:textId="59D5F7B8" w:rsidR="00F3600E" w:rsidRDefault="00F3600E">
          <w:pPr>
            <w:pStyle w:val="TOC1"/>
            <w:tabs>
              <w:tab w:val="right" w:leader="dot" w:pos="9062"/>
            </w:tabs>
            <w:rPr>
              <w:rFonts w:eastAsiaTheme="minorEastAsia"/>
              <w:noProof/>
              <w:kern w:val="2"/>
              <w:lang w:eastAsia="bg-BG"/>
              <w14:ligatures w14:val="standardContextual"/>
            </w:rPr>
          </w:pPr>
          <w:hyperlink w:anchor="_Toc144209818" w:history="1">
            <w:r w:rsidRPr="00B07D95">
              <w:rPr>
                <w:rStyle w:val="Hyperlink"/>
                <w:noProof/>
              </w:rPr>
              <w:t>References</w:t>
            </w:r>
            <w:r>
              <w:rPr>
                <w:noProof/>
                <w:webHidden/>
              </w:rPr>
              <w:tab/>
            </w:r>
            <w:r>
              <w:rPr>
                <w:noProof/>
                <w:webHidden/>
              </w:rPr>
              <w:fldChar w:fldCharType="begin"/>
            </w:r>
            <w:r>
              <w:rPr>
                <w:noProof/>
                <w:webHidden/>
              </w:rPr>
              <w:instrText xml:space="preserve"> PAGEREF _Toc144209818 \h </w:instrText>
            </w:r>
            <w:r>
              <w:rPr>
                <w:noProof/>
                <w:webHidden/>
              </w:rPr>
            </w:r>
            <w:r>
              <w:rPr>
                <w:noProof/>
                <w:webHidden/>
              </w:rPr>
              <w:fldChar w:fldCharType="separate"/>
            </w:r>
            <w:r>
              <w:rPr>
                <w:noProof/>
                <w:webHidden/>
              </w:rPr>
              <w:t>7</w:t>
            </w:r>
            <w:r>
              <w:rPr>
                <w:noProof/>
                <w:webHidden/>
              </w:rPr>
              <w:fldChar w:fldCharType="end"/>
            </w:r>
          </w:hyperlink>
        </w:p>
        <w:p w14:paraId="58ECB30F" w14:textId="008D3121" w:rsidR="00F3600E" w:rsidRDefault="00F3600E">
          <w:r>
            <w:rPr>
              <w:b/>
              <w:bCs/>
              <w:noProof/>
            </w:rPr>
            <w:fldChar w:fldCharType="end"/>
          </w:r>
        </w:p>
      </w:sdtContent>
    </w:sdt>
    <w:p w14:paraId="6931623E" w14:textId="77777777" w:rsidR="00054DD0" w:rsidRDefault="00054DD0" w:rsidP="000F327B">
      <w:pPr>
        <w:pStyle w:val="Heading1"/>
        <w:rPr>
          <w:lang w:val="en-GB"/>
        </w:rPr>
      </w:pPr>
    </w:p>
    <w:p w14:paraId="6A245ED9" w14:textId="77777777" w:rsidR="00054DD0" w:rsidRDefault="00054DD0">
      <w:pPr>
        <w:rPr>
          <w:rFonts w:asciiTheme="majorHAnsi" w:eastAsiaTheme="majorEastAsia" w:hAnsiTheme="majorHAnsi" w:cstheme="majorBidi"/>
          <w:color w:val="2F5496" w:themeColor="accent1" w:themeShade="BF"/>
          <w:sz w:val="32"/>
          <w:szCs w:val="32"/>
          <w:lang w:val="en-GB"/>
        </w:rPr>
      </w:pPr>
      <w:r>
        <w:rPr>
          <w:lang w:val="en-GB"/>
        </w:rPr>
        <w:br w:type="page"/>
      </w:r>
    </w:p>
    <w:p w14:paraId="5DB4287F" w14:textId="2692D5E4" w:rsidR="000F327B" w:rsidRDefault="000F327B" w:rsidP="000F327B">
      <w:pPr>
        <w:pStyle w:val="Heading1"/>
        <w:rPr>
          <w:lang w:val="en-GB"/>
        </w:rPr>
      </w:pPr>
      <w:bookmarkStart w:id="0" w:name="_Toc144209686"/>
      <w:bookmarkStart w:id="1" w:name="_Toc144209813"/>
      <w:r>
        <w:rPr>
          <w:lang w:val="en-GB"/>
        </w:rPr>
        <w:lastRenderedPageBreak/>
        <w:t>Introduction</w:t>
      </w:r>
      <w:bookmarkEnd w:id="0"/>
      <w:bookmarkEnd w:id="1"/>
    </w:p>
    <w:p w14:paraId="60BFACAE" w14:textId="77777777" w:rsidR="00366361" w:rsidRPr="00366361" w:rsidRDefault="00366361" w:rsidP="00366361">
      <w:pPr>
        <w:rPr>
          <w:lang w:val="en-GB"/>
        </w:rPr>
      </w:pPr>
    </w:p>
    <w:p w14:paraId="3116DD58" w14:textId="409C5F9B" w:rsidR="002F188A" w:rsidRPr="00366361" w:rsidRDefault="006A4159" w:rsidP="00333686">
      <w:pPr>
        <w:rPr>
          <w:rFonts w:ascii="Arial" w:hAnsi="Arial" w:cs="Arial"/>
          <w:sz w:val="24"/>
          <w:szCs w:val="24"/>
          <w:lang w:val="en-GB"/>
        </w:rPr>
      </w:pPr>
      <w:r w:rsidRPr="00366361">
        <w:rPr>
          <w:rFonts w:ascii="Arial" w:hAnsi="Arial" w:cs="Arial"/>
          <w:sz w:val="24"/>
          <w:szCs w:val="24"/>
          <w:lang w:val="en-GB"/>
        </w:rPr>
        <w:t>It is evident from the Hinkley Point C Project's present state of development that the road to building a large nuclear power plant in the UK has been difficult and complicated. The project's lofty goal of expanding nuclear power in the nation at a "unprecedented scale and pace" has run against the harsh reality of the nuclear energy business, where development is sometimes slower than anticipated. Through the perspective of project management concepts, this research critically assesses the likely success or failure of the Hinkley Point C Project, a large nuclear power plant endeavor in the UK. The report assesses the project's advancement and compliance with important project management principles using the ten crucial elements from the PMBOK framework.</w:t>
      </w:r>
      <w:r w:rsidR="00E41FD4" w:rsidRPr="00366361">
        <w:rPr>
          <w:rFonts w:ascii="Arial" w:hAnsi="Arial" w:cs="Arial"/>
          <w:sz w:val="24"/>
          <w:szCs w:val="24"/>
        </w:rPr>
        <w:t xml:space="preserve"> </w:t>
      </w:r>
      <w:r w:rsidR="00E41FD4" w:rsidRPr="00366361">
        <w:rPr>
          <w:rFonts w:ascii="Arial" w:hAnsi="Arial" w:cs="Arial"/>
          <w:sz w:val="24"/>
          <w:szCs w:val="24"/>
          <w:lang w:val="en-GB"/>
        </w:rPr>
        <w:t>The project's lessons are highlighted, and recommendations are provided for similar endeavors in the future.</w:t>
      </w:r>
    </w:p>
    <w:p w14:paraId="002F1189" w14:textId="122429F5" w:rsidR="00F136A2" w:rsidRPr="00366361" w:rsidRDefault="00B60945" w:rsidP="00F136A2">
      <w:pPr>
        <w:rPr>
          <w:rFonts w:ascii="Arial" w:hAnsi="Arial" w:cs="Arial"/>
          <w:sz w:val="24"/>
          <w:szCs w:val="24"/>
          <w:lang w:val="en-GB"/>
        </w:rPr>
      </w:pPr>
      <w:r w:rsidRPr="00366361">
        <w:rPr>
          <w:rFonts w:ascii="Arial" w:hAnsi="Arial" w:cs="Arial"/>
          <w:sz w:val="24"/>
          <w:szCs w:val="24"/>
          <w:lang w:val="en-GB"/>
        </w:rPr>
        <w:t>As we already conducted an overall view of the project in Assignment 1 t</w:t>
      </w:r>
      <w:r w:rsidR="00F136A2" w:rsidRPr="00366361">
        <w:rPr>
          <w:rFonts w:ascii="Arial" w:hAnsi="Arial" w:cs="Arial"/>
          <w:sz w:val="24"/>
          <w:szCs w:val="24"/>
          <w:lang w:val="en-GB"/>
        </w:rPr>
        <w:t>he project's building phase, which was supposed to be an example of its success, has instead come to represent its challenges. The project's capacity to supply the UK's energy needs within the targeted period has been called into question because the development timescale drastically varied from earlier estimates. These kinds of delays are prevalent in the nuclear energy industry, where complex engineering, stringent regulations, and complicated safety procedures all add to the lengthy duration of such projects.</w:t>
      </w:r>
    </w:p>
    <w:p w14:paraId="7518379F" w14:textId="459E7CBE" w:rsidR="00E9056F" w:rsidRPr="00366361" w:rsidRDefault="00F136A2" w:rsidP="00E9056F">
      <w:pPr>
        <w:rPr>
          <w:rFonts w:ascii="Arial" w:hAnsi="Arial" w:cs="Arial"/>
          <w:sz w:val="24"/>
          <w:szCs w:val="24"/>
          <w:lang w:val="en-GB"/>
        </w:rPr>
      </w:pPr>
      <w:r w:rsidRPr="00366361">
        <w:rPr>
          <w:rFonts w:ascii="Arial" w:hAnsi="Arial" w:cs="Arial"/>
          <w:sz w:val="24"/>
          <w:szCs w:val="24"/>
          <w:lang w:val="en-GB"/>
        </w:rPr>
        <w:t>The Hinkley Point C Project has seen obstacles outside of only the realm of time, too. The project's financial situation has changed unexpectedly, and cost estimates have grown far above earlier projections.</w:t>
      </w:r>
      <w:r w:rsidR="00A60C2E" w:rsidRPr="00366361">
        <w:rPr>
          <w:rFonts w:ascii="Arial" w:hAnsi="Arial" w:cs="Arial"/>
          <w:sz w:val="24"/>
          <w:szCs w:val="24"/>
        </w:rPr>
        <w:t xml:space="preserve"> </w:t>
      </w:r>
      <w:r w:rsidR="00A60C2E" w:rsidRPr="00366361">
        <w:rPr>
          <w:rFonts w:ascii="Arial" w:hAnsi="Arial" w:cs="Arial"/>
          <w:sz w:val="24"/>
          <w:szCs w:val="24"/>
          <w:lang w:val="en-GB"/>
        </w:rPr>
        <w:t>This increase in expenses makes it uncertain if the project can be sustained without placing an undue financial strain on the general public or raising power rates.</w:t>
      </w:r>
      <w:r w:rsidR="00E9056F" w:rsidRPr="00366361">
        <w:rPr>
          <w:rFonts w:ascii="Arial" w:hAnsi="Arial" w:cs="Arial"/>
          <w:sz w:val="24"/>
          <w:szCs w:val="24"/>
        </w:rPr>
        <w:t xml:space="preserve"> </w:t>
      </w:r>
      <w:r w:rsidR="00E9056F" w:rsidRPr="00366361">
        <w:rPr>
          <w:rFonts w:ascii="Arial" w:hAnsi="Arial" w:cs="Arial"/>
          <w:sz w:val="24"/>
          <w:szCs w:val="24"/>
          <w:lang w:val="en-GB"/>
        </w:rPr>
        <w:t>Given the combined impact of these difficulties, it is become more and more difficult to consider the current development of the Hinkley Point C Project to be a complete success. The project's intention to use low-carbon nuclear energy to support the diversity and security of the future energy sector is commendable, but the challenges it faces jeopardize its overall success.</w:t>
      </w:r>
    </w:p>
    <w:p w14:paraId="11C7DDC2" w14:textId="319B4275" w:rsidR="00F136A2" w:rsidRPr="00366361" w:rsidRDefault="00E9056F" w:rsidP="00E9056F">
      <w:pPr>
        <w:rPr>
          <w:rFonts w:ascii="Arial" w:hAnsi="Arial" w:cs="Arial"/>
          <w:sz w:val="24"/>
          <w:szCs w:val="24"/>
          <w:lang w:val="en-GB"/>
        </w:rPr>
      </w:pPr>
      <w:r w:rsidRPr="00366361">
        <w:rPr>
          <w:rFonts w:ascii="Arial" w:hAnsi="Arial" w:cs="Arial"/>
          <w:sz w:val="24"/>
          <w:szCs w:val="24"/>
          <w:lang w:val="en-GB"/>
        </w:rPr>
        <w:t>Lessons learned from this project's development emphasize the value of taking a deliberate and cautious approach when dealing with significant energy endeavors. To prevent overspending and unforeseen delays, careful planning, detailed feasibility studies, and precise cost projections are essential. To retain confidence and control expectations while dealing with unanticipated issues, transparent communication with stakeholders</w:t>
      </w:r>
      <w:r w:rsidRPr="00366361">
        <w:rPr>
          <w:rFonts w:ascii="Arial" w:hAnsi="Arial" w:cs="Arial"/>
          <w:sz w:val="24"/>
          <w:szCs w:val="24"/>
          <w:lang w:val="en-GB"/>
        </w:rPr>
        <w:t xml:space="preserve"> </w:t>
      </w:r>
      <w:r w:rsidRPr="00366361">
        <w:rPr>
          <w:rFonts w:ascii="Arial" w:hAnsi="Arial" w:cs="Arial"/>
          <w:sz w:val="24"/>
          <w:szCs w:val="24"/>
          <w:lang w:val="en-GB"/>
        </w:rPr>
        <w:t>including regulatory authorities, investors, and the general public</w:t>
      </w:r>
      <w:r w:rsidRPr="00366361">
        <w:rPr>
          <w:rFonts w:ascii="Arial" w:hAnsi="Arial" w:cs="Arial"/>
          <w:sz w:val="24"/>
          <w:szCs w:val="24"/>
          <w:lang w:val="en-GB"/>
        </w:rPr>
        <w:t xml:space="preserve"> </w:t>
      </w:r>
      <w:r w:rsidRPr="00366361">
        <w:rPr>
          <w:rFonts w:ascii="Arial" w:hAnsi="Arial" w:cs="Arial"/>
          <w:sz w:val="24"/>
          <w:szCs w:val="24"/>
          <w:lang w:val="en-GB"/>
        </w:rPr>
        <w:t>is crucial.</w:t>
      </w:r>
    </w:p>
    <w:p w14:paraId="0C4F03B9" w14:textId="01AE8138" w:rsidR="00263C14" w:rsidRDefault="00EE5A84" w:rsidP="000F327B">
      <w:pPr>
        <w:pStyle w:val="Heading1"/>
        <w:rPr>
          <w:lang w:val="en-GB"/>
        </w:rPr>
      </w:pPr>
      <w:bookmarkStart w:id="2" w:name="_Toc144209687"/>
      <w:bookmarkStart w:id="3" w:name="_Toc144209814"/>
      <w:r w:rsidRPr="000F327B">
        <w:rPr>
          <w:lang w:val="en-GB"/>
        </w:rPr>
        <w:t>Succes or faliure</w:t>
      </w:r>
      <w:bookmarkEnd w:id="2"/>
      <w:bookmarkEnd w:id="3"/>
    </w:p>
    <w:p w14:paraId="2D1F6D58" w14:textId="0AFFC567" w:rsidR="00DD6A9D" w:rsidRPr="006035A7" w:rsidRDefault="00872661" w:rsidP="00DD6A9D">
      <w:pPr>
        <w:rPr>
          <w:rFonts w:ascii="Arial" w:hAnsi="Arial" w:cs="Arial"/>
          <w:sz w:val="24"/>
          <w:szCs w:val="24"/>
          <w:lang w:val="en-GB"/>
        </w:rPr>
      </w:pPr>
      <w:r w:rsidRPr="006035A7">
        <w:rPr>
          <w:rFonts w:ascii="Arial" w:hAnsi="Arial" w:cs="Arial"/>
          <w:sz w:val="24"/>
          <w:szCs w:val="24"/>
          <w:lang w:val="en-GB"/>
        </w:rPr>
        <w:t xml:space="preserve">Although a significant consumer burden may result in the early years from a set level of compensation, as is the case with nuclear power at Hinkley Point C in the UK, net support will eventually decline as a result of anticipated rises in the cost of fossil fuels and carbon. When Hinkley Point first starts up, there will be a significant difference between the compensation level and market value, which in this case is decided by </w:t>
      </w:r>
      <w:r w:rsidRPr="006035A7">
        <w:rPr>
          <w:rFonts w:ascii="Arial" w:hAnsi="Arial" w:cs="Arial"/>
          <w:sz w:val="24"/>
          <w:szCs w:val="24"/>
          <w:lang w:val="en-GB"/>
        </w:rPr>
        <w:lastRenderedPageBreak/>
        <w:t>the annual average wholesale power price. This difference will eventually close, though, as a result of the anticipated rise in wholesale power costs (which coincides with a rise in the cost of fossil fuels and carbon over time).</w:t>
      </w:r>
    </w:p>
    <w:p w14:paraId="3996D74A" w14:textId="29B6DC4F" w:rsidR="00DF0108" w:rsidRDefault="00DF0108" w:rsidP="00DF0108">
      <w:pPr>
        <w:rPr>
          <w:rFonts w:ascii="Arial" w:hAnsi="Arial" w:cs="Arial"/>
          <w:sz w:val="24"/>
          <w:szCs w:val="24"/>
          <w:lang w:val="en-GB"/>
        </w:rPr>
      </w:pPr>
      <w:r w:rsidRPr="006035A7">
        <w:rPr>
          <w:rFonts w:ascii="Arial" w:hAnsi="Arial" w:cs="Arial"/>
          <w:sz w:val="24"/>
          <w:szCs w:val="24"/>
          <w:lang w:val="en-GB"/>
        </w:rPr>
        <w:t>The need to support renewables is determined by two opposed trends: increased deployment of variable RE technologies lowers their market value while cost reductions brought on by technical advancement result in decreased compensation. The requirement for net assistance varies depending on the national and technological context.</w:t>
      </w:r>
      <w:r w:rsidR="00335ADD" w:rsidRPr="006035A7">
        <w:rPr>
          <w:rFonts w:ascii="Arial" w:hAnsi="Arial" w:cs="Arial"/>
          <w:sz w:val="24"/>
          <w:szCs w:val="24"/>
          <w:lang w:val="en-GB"/>
        </w:rPr>
        <w:t xml:space="preserve"> </w:t>
      </w:r>
      <w:r w:rsidRPr="006035A7">
        <w:rPr>
          <w:rFonts w:ascii="Arial" w:hAnsi="Arial" w:cs="Arial"/>
          <w:sz w:val="24"/>
          <w:szCs w:val="24"/>
          <w:lang w:val="en-GB"/>
        </w:rPr>
        <w:t>In general, technical advancement reduces the demand for renewable energy deployment incentives. Continuous market deployment of technology is accompanied by technological advancement and associated cost reductions. For instance, the adoption of PV in Germany and other nations, together with the associated, significant drop in capital costs, has convincingly illustrated this. However, the significant cost reduction for PV is certainly not uncommon; rather, it confirms a general empirical finding, namely, the technological learning hypothesis</w:t>
      </w:r>
      <w:sdt>
        <w:sdtPr>
          <w:rPr>
            <w:rFonts w:ascii="Arial" w:hAnsi="Arial" w:cs="Arial"/>
            <w:sz w:val="24"/>
            <w:szCs w:val="24"/>
            <w:lang w:val="en-GB"/>
          </w:rPr>
          <w:id w:val="-1447229174"/>
          <w:citation/>
        </w:sdtPr>
        <w:sdtContent>
          <w:r w:rsidRPr="006035A7">
            <w:rPr>
              <w:rFonts w:ascii="Arial" w:hAnsi="Arial" w:cs="Arial"/>
              <w:sz w:val="24"/>
              <w:szCs w:val="24"/>
              <w:lang w:val="en-GB"/>
            </w:rPr>
            <w:fldChar w:fldCharType="begin"/>
          </w:r>
          <w:r w:rsidRPr="006035A7">
            <w:rPr>
              <w:rFonts w:ascii="Arial" w:hAnsi="Arial" w:cs="Arial"/>
              <w:sz w:val="24"/>
              <w:szCs w:val="24"/>
              <w:lang w:val="en-GB"/>
            </w:rPr>
            <w:instrText xml:space="preserve"> CITATION Res19 \l 2057 </w:instrText>
          </w:r>
          <w:r w:rsidRPr="006035A7">
            <w:rPr>
              <w:rFonts w:ascii="Arial" w:hAnsi="Arial" w:cs="Arial"/>
              <w:sz w:val="24"/>
              <w:szCs w:val="24"/>
              <w:lang w:val="en-GB"/>
            </w:rPr>
            <w:fldChar w:fldCharType="separate"/>
          </w:r>
          <w:r w:rsidRPr="006035A7">
            <w:rPr>
              <w:rFonts w:ascii="Arial" w:hAnsi="Arial" w:cs="Arial"/>
              <w:noProof/>
              <w:sz w:val="24"/>
              <w:szCs w:val="24"/>
              <w:lang w:val="en-GB"/>
            </w:rPr>
            <w:t xml:space="preserve"> (Resch &amp; Suna, 2019)</w:t>
          </w:r>
          <w:r w:rsidRPr="006035A7">
            <w:rPr>
              <w:rFonts w:ascii="Arial" w:hAnsi="Arial" w:cs="Arial"/>
              <w:sz w:val="24"/>
              <w:szCs w:val="24"/>
              <w:lang w:val="en-GB"/>
            </w:rPr>
            <w:fldChar w:fldCharType="end"/>
          </w:r>
        </w:sdtContent>
      </w:sdt>
      <w:r w:rsidR="00335ADD" w:rsidRPr="006035A7">
        <w:rPr>
          <w:rFonts w:ascii="Arial" w:hAnsi="Arial" w:cs="Arial"/>
          <w:sz w:val="24"/>
          <w:szCs w:val="24"/>
          <w:lang w:val="en-GB"/>
        </w:rPr>
        <w:t>.</w:t>
      </w:r>
    </w:p>
    <w:p w14:paraId="1D10C9E5" w14:textId="77777777" w:rsidR="00307F18" w:rsidRPr="00307F18" w:rsidRDefault="00307F18" w:rsidP="00307F18">
      <w:pPr>
        <w:rPr>
          <w:rFonts w:ascii="Arial" w:hAnsi="Arial" w:cs="Arial"/>
          <w:sz w:val="24"/>
          <w:szCs w:val="24"/>
          <w:lang w:val="en-GB"/>
        </w:rPr>
      </w:pPr>
      <w:r w:rsidRPr="00307F18">
        <w:rPr>
          <w:rFonts w:ascii="Arial" w:hAnsi="Arial" w:cs="Arial"/>
          <w:sz w:val="24"/>
          <w:szCs w:val="24"/>
          <w:lang w:val="en-GB"/>
        </w:rPr>
        <w:t>It takes a careful evaluation to determine if the Hinkley Point C Project is a success or a failure for the UK's future energy industry. It would be premature to categorize it as either at this time as the experiment is still ongoing and its results are still unknown. However, a detailed analysis of its present condition might shed light on its prospective consequences.</w:t>
      </w:r>
    </w:p>
    <w:p w14:paraId="532E7962" w14:textId="77777777" w:rsidR="003023FC" w:rsidRPr="003D1001" w:rsidRDefault="003023FC" w:rsidP="00307F18">
      <w:pPr>
        <w:rPr>
          <w:rFonts w:ascii="Arial" w:hAnsi="Arial" w:cs="Arial"/>
          <w:b/>
          <w:bCs/>
          <w:sz w:val="24"/>
          <w:szCs w:val="24"/>
          <w:lang w:val="en-GB"/>
        </w:rPr>
      </w:pPr>
      <w:r w:rsidRPr="003D1001">
        <w:rPr>
          <w:rFonts w:ascii="Arial" w:hAnsi="Arial" w:cs="Arial"/>
          <w:b/>
          <w:bCs/>
          <w:sz w:val="24"/>
          <w:szCs w:val="24"/>
          <w:lang w:val="en-GB"/>
        </w:rPr>
        <w:t>Positive aspects</w:t>
      </w:r>
    </w:p>
    <w:p w14:paraId="4EB429B0" w14:textId="7C54903D" w:rsidR="00307F18" w:rsidRDefault="00307F18" w:rsidP="003023FC">
      <w:pPr>
        <w:pStyle w:val="ListParagraph"/>
        <w:numPr>
          <w:ilvl w:val="0"/>
          <w:numId w:val="3"/>
        </w:numPr>
        <w:rPr>
          <w:rFonts w:ascii="Arial" w:hAnsi="Arial" w:cs="Arial"/>
          <w:sz w:val="24"/>
          <w:szCs w:val="24"/>
          <w:lang w:val="en-GB"/>
        </w:rPr>
      </w:pPr>
      <w:r w:rsidRPr="003023FC">
        <w:rPr>
          <w:rFonts w:ascii="Arial" w:hAnsi="Arial" w:cs="Arial"/>
          <w:sz w:val="24"/>
          <w:szCs w:val="24"/>
          <w:lang w:val="en-GB"/>
        </w:rPr>
        <w:t>Energy Security and Diversification: The project's success may help the UK's energy mix become more diverse, less dependent on fossil fuels, and more secure. This is consistent with the UK's long-term objectives of switching to cleaner, more sustainable forms of energy.</w:t>
      </w:r>
    </w:p>
    <w:p w14:paraId="074FA7B8" w14:textId="4B0A81AE" w:rsidR="00582438" w:rsidRDefault="00582438" w:rsidP="003023FC">
      <w:pPr>
        <w:pStyle w:val="ListParagraph"/>
        <w:numPr>
          <w:ilvl w:val="0"/>
          <w:numId w:val="3"/>
        </w:numPr>
        <w:rPr>
          <w:rFonts w:ascii="Arial" w:hAnsi="Arial" w:cs="Arial"/>
          <w:sz w:val="24"/>
          <w:szCs w:val="24"/>
          <w:lang w:val="en-GB"/>
        </w:rPr>
      </w:pPr>
      <w:r w:rsidRPr="00582438">
        <w:rPr>
          <w:rFonts w:ascii="Arial" w:hAnsi="Arial" w:cs="Arial"/>
          <w:sz w:val="24"/>
          <w:szCs w:val="24"/>
          <w:lang w:val="en-GB"/>
        </w:rPr>
        <w:t>Environmental Benefits: The Hinkley Point C Project, if successful, will produce low-carbon nuclear energy, assisting the UK's initiatives to lower carbon emissions and battle climate change</w:t>
      </w:r>
      <w:sdt>
        <w:sdtPr>
          <w:rPr>
            <w:rFonts w:ascii="Arial" w:hAnsi="Arial" w:cs="Arial"/>
            <w:sz w:val="24"/>
            <w:szCs w:val="24"/>
            <w:lang w:val="en-GB"/>
          </w:rPr>
          <w:id w:val="-1022243244"/>
          <w:citation/>
        </w:sdtPr>
        <w:sdtContent>
          <w:r w:rsidR="0043216C">
            <w:rPr>
              <w:rFonts w:ascii="Arial" w:hAnsi="Arial" w:cs="Arial"/>
              <w:sz w:val="24"/>
              <w:szCs w:val="24"/>
              <w:lang w:val="en-GB"/>
            </w:rPr>
            <w:fldChar w:fldCharType="begin"/>
          </w:r>
          <w:r w:rsidR="0043216C">
            <w:rPr>
              <w:rFonts w:ascii="Arial" w:hAnsi="Arial" w:cs="Arial"/>
              <w:sz w:val="24"/>
              <w:szCs w:val="24"/>
              <w:lang w:val="en-GB"/>
            </w:rPr>
            <w:instrText xml:space="preserve"> CITATION Ste16 \l 2057 </w:instrText>
          </w:r>
          <w:r w:rsidR="0043216C">
            <w:rPr>
              <w:rFonts w:ascii="Arial" w:hAnsi="Arial" w:cs="Arial"/>
              <w:sz w:val="24"/>
              <w:szCs w:val="24"/>
              <w:lang w:val="en-GB"/>
            </w:rPr>
            <w:fldChar w:fldCharType="separate"/>
          </w:r>
          <w:r w:rsidR="0043216C">
            <w:rPr>
              <w:rFonts w:ascii="Arial" w:hAnsi="Arial" w:cs="Arial"/>
              <w:noProof/>
              <w:sz w:val="24"/>
              <w:szCs w:val="24"/>
              <w:lang w:val="en-GB"/>
            </w:rPr>
            <w:t xml:space="preserve"> </w:t>
          </w:r>
          <w:r w:rsidR="0043216C" w:rsidRPr="0043216C">
            <w:rPr>
              <w:rFonts w:ascii="Arial" w:hAnsi="Arial" w:cs="Arial"/>
              <w:noProof/>
              <w:sz w:val="24"/>
              <w:szCs w:val="24"/>
              <w:lang w:val="en-GB"/>
            </w:rPr>
            <w:t>(Thomas, 2016)</w:t>
          </w:r>
          <w:r w:rsidR="0043216C">
            <w:rPr>
              <w:rFonts w:ascii="Arial" w:hAnsi="Arial" w:cs="Arial"/>
              <w:sz w:val="24"/>
              <w:szCs w:val="24"/>
              <w:lang w:val="en-GB"/>
            </w:rPr>
            <w:fldChar w:fldCharType="end"/>
          </w:r>
        </w:sdtContent>
      </w:sdt>
      <w:r w:rsidR="00C352DE">
        <w:rPr>
          <w:rFonts w:ascii="Arial" w:hAnsi="Arial" w:cs="Arial"/>
          <w:sz w:val="24"/>
          <w:szCs w:val="24"/>
          <w:lang w:val="en-GB"/>
        </w:rPr>
        <w:t>.</w:t>
      </w:r>
    </w:p>
    <w:p w14:paraId="6BFF7330" w14:textId="2FC76265" w:rsidR="003D1001" w:rsidRDefault="003D1001" w:rsidP="003D1001">
      <w:pPr>
        <w:rPr>
          <w:rFonts w:ascii="Arial" w:hAnsi="Arial" w:cs="Arial"/>
          <w:b/>
          <w:bCs/>
          <w:sz w:val="24"/>
          <w:szCs w:val="24"/>
          <w:lang w:val="en-GB"/>
        </w:rPr>
      </w:pPr>
      <w:r w:rsidRPr="003D1001">
        <w:rPr>
          <w:rFonts w:ascii="Arial" w:hAnsi="Arial" w:cs="Arial"/>
          <w:b/>
          <w:bCs/>
          <w:sz w:val="24"/>
          <w:szCs w:val="24"/>
          <w:lang w:val="en-GB"/>
        </w:rPr>
        <w:t>Concerns and Challenges</w:t>
      </w:r>
    </w:p>
    <w:p w14:paraId="583E7F5A" w14:textId="77777777" w:rsidR="00832637" w:rsidRPr="00832637" w:rsidRDefault="00832637" w:rsidP="00832637">
      <w:pPr>
        <w:pStyle w:val="ListParagraph"/>
        <w:numPr>
          <w:ilvl w:val="0"/>
          <w:numId w:val="4"/>
        </w:numPr>
        <w:rPr>
          <w:rFonts w:ascii="Arial" w:hAnsi="Arial" w:cs="Arial"/>
          <w:sz w:val="24"/>
          <w:szCs w:val="24"/>
          <w:lang w:val="en-GB"/>
        </w:rPr>
      </w:pPr>
      <w:r w:rsidRPr="00832637">
        <w:rPr>
          <w:rFonts w:ascii="Arial" w:hAnsi="Arial" w:cs="Arial"/>
          <w:sz w:val="24"/>
          <w:szCs w:val="24"/>
          <w:lang w:val="en-GB"/>
        </w:rPr>
        <w:t>Cost Overruns: Budget overruns and rising expenses raise questions about the project's financial sustainability. These financial difficulties might have an impact on customers' access to affordable energy and the project's overall viability if they are not appropriately managed.</w:t>
      </w:r>
    </w:p>
    <w:p w14:paraId="1094FBD3" w14:textId="0C8A50CF" w:rsidR="00832637" w:rsidRDefault="00832637" w:rsidP="00832637">
      <w:pPr>
        <w:pStyle w:val="ListParagraph"/>
        <w:numPr>
          <w:ilvl w:val="0"/>
          <w:numId w:val="4"/>
        </w:numPr>
        <w:rPr>
          <w:rFonts w:ascii="Arial" w:hAnsi="Arial" w:cs="Arial"/>
          <w:sz w:val="24"/>
          <w:szCs w:val="24"/>
          <w:lang w:val="en-GB"/>
        </w:rPr>
      </w:pPr>
      <w:r w:rsidRPr="00832637">
        <w:rPr>
          <w:rFonts w:ascii="Arial" w:hAnsi="Arial" w:cs="Arial"/>
          <w:sz w:val="24"/>
          <w:szCs w:val="24"/>
          <w:lang w:val="en-GB"/>
        </w:rPr>
        <w:t>Construction</w:t>
      </w:r>
      <w:r w:rsidRPr="00832637">
        <w:rPr>
          <w:rFonts w:ascii="Arial" w:hAnsi="Arial" w:cs="Arial"/>
          <w:sz w:val="24"/>
          <w:szCs w:val="24"/>
          <w:lang w:val="en-GB"/>
        </w:rPr>
        <w:t xml:space="preserve"> Delays: Protracted building schedules may make it more difficult for the project to satisfy the UK's energy needs on schedule. This delay could make it necessary to employ alternate energy sources to close the gap, which might have an influence on how important the project is for meeting energy demands</w:t>
      </w:r>
      <w:sdt>
        <w:sdtPr>
          <w:rPr>
            <w:rFonts w:ascii="Arial" w:hAnsi="Arial" w:cs="Arial"/>
            <w:sz w:val="24"/>
            <w:szCs w:val="24"/>
            <w:lang w:val="en-GB"/>
          </w:rPr>
          <w:id w:val="-1479228453"/>
          <w:citation/>
        </w:sdtPr>
        <w:sdtContent>
          <w:r w:rsidR="0043216C">
            <w:rPr>
              <w:rFonts w:ascii="Arial" w:hAnsi="Arial" w:cs="Arial"/>
              <w:sz w:val="24"/>
              <w:szCs w:val="24"/>
              <w:lang w:val="en-GB"/>
            </w:rPr>
            <w:fldChar w:fldCharType="begin"/>
          </w:r>
          <w:r w:rsidR="0043216C">
            <w:rPr>
              <w:rFonts w:ascii="Arial" w:hAnsi="Arial" w:cs="Arial"/>
              <w:sz w:val="24"/>
              <w:szCs w:val="24"/>
              <w:lang w:val="en-GB"/>
            </w:rPr>
            <w:instrText xml:space="preserve"> CITATION EDF231 \l 2057 </w:instrText>
          </w:r>
          <w:r w:rsidR="0043216C">
            <w:rPr>
              <w:rFonts w:ascii="Arial" w:hAnsi="Arial" w:cs="Arial"/>
              <w:sz w:val="24"/>
              <w:szCs w:val="24"/>
              <w:lang w:val="en-GB"/>
            </w:rPr>
            <w:fldChar w:fldCharType="separate"/>
          </w:r>
          <w:r w:rsidR="0043216C">
            <w:rPr>
              <w:rFonts w:ascii="Arial" w:hAnsi="Arial" w:cs="Arial"/>
              <w:noProof/>
              <w:sz w:val="24"/>
              <w:szCs w:val="24"/>
              <w:lang w:val="en-GB"/>
            </w:rPr>
            <w:t xml:space="preserve"> </w:t>
          </w:r>
          <w:r w:rsidR="0043216C" w:rsidRPr="0043216C">
            <w:rPr>
              <w:rFonts w:ascii="Arial" w:hAnsi="Arial" w:cs="Arial"/>
              <w:noProof/>
              <w:sz w:val="24"/>
              <w:szCs w:val="24"/>
              <w:lang w:val="en-GB"/>
            </w:rPr>
            <w:t>(Energy, 2023)</w:t>
          </w:r>
          <w:r w:rsidR="0043216C">
            <w:rPr>
              <w:rFonts w:ascii="Arial" w:hAnsi="Arial" w:cs="Arial"/>
              <w:sz w:val="24"/>
              <w:szCs w:val="24"/>
              <w:lang w:val="en-GB"/>
            </w:rPr>
            <w:fldChar w:fldCharType="end"/>
          </w:r>
        </w:sdtContent>
      </w:sdt>
      <w:r w:rsidR="0043216C">
        <w:rPr>
          <w:rFonts w:ascii="Arial" w:hAnsi="Arial" w:cs="Arial"/>
          <w:sz w:val="24"/>
          <w:szCs w:val="24"/>
          <w:lang w:val="en-GB"/>
        </w:rPr>
        <w:t>.</w:t>
      </w:r>
    </w:p>
    <w:p w14:paraId="349B6B22" w14:textId="2E57FF31" w:rsidR="0043216C" w:rsidRPr="0043216C" w:rsidRDefault="0043216C" w:rsidP="0043216C">
      <w:pPr>
        <w:rPr>
          <w:rFonts w:ascii="Arial" w:hAnsi="Arial" w:cs="Arial"/>
          <w:sz w:val="24"/>
          <w:szCs w:val="24"/>
          <w:lang w:val="en-GB"/>
        </w:rPr>
      </w:pPr>
      <w:r w:rsidRPr="0043216C">
        <w:rPr>
          <w:rFonts w:ascii="Arial" w:hAnsi="Arial" w:cs="Arial"/>
          <w:sz w:val="24"/>
          <w:szCs w:val="24"/>
          <w:lang w:val="en-GB"/>
        </w:rPr>
        <w:t xml:space="preserve">Complexity of Classification: It is clear from the above factors that determining whether the Hinkley Point C Project was successful or unsuccessful is not an easy task. The project has advantages and disadvantages, and how it will ultimately affect the UK's energy market in the future will depend on a number of factors, including </w:t>
      </w:r>
      <w:r w:rsidRPr="0043216C">
        <w:rPr>
          <w:rFonts w:ascii="Arial" w:hAnsi="Arial" w:cs="Arial"/>
          <w:sz w:val="24"/>
          <w:szCs w:val="24"/>
          <w:lang w:val="en-GB"/>
        </w:rPr>
        <w:lastRenderedPageBreak/>
        <w:t>how well it is completed, how well costs are managed, and how well it can fulfill the demand for electricity.</w:t>
      </w:r>
    </w:p>
    <w:p w14:paraId="442B98D5" w14:textId="3D14FA89" w:rsidR="000F327B" w:rsidRDefault="000F327B" w:rsidP="000F327B">
      <w:pPr>
        <w:pStyle w:val="Heading1"/>
        <w:rPr>
          <w:lang w:val="en-GB"/>
        </w:rPr>
      </w:pPr>
      <w:bookmarkStart w:id="4" w:name="_Toc144209688"/>
      <w:bookmarkStart w:id="5" w:name="_Toc144209815"/>
      <w:r>
        <w:rPr>
          <w:lang w:val="en-GB"/>
        </w:rPr>
        <w:t>PMBOK of Hinkley Point C</w:t>
      </w:r>
      <w:bookmarkEnd w:id="4"/>
      <w:bookmarkEnd w:id="5"/>
    </w:p>
    <w:p w14:paraId="5BC47D0A" w14:textId="349AE129" w:rsidR="00BE1CA7" w:rsidRPr="00BE1CA7" w:rsidRDefault="00943792" w:rsidP="00BE1CA7">
      <w:pPr>
        <w:rPr>
          <w:rFonts w:ascii="Arial" w:hAnsi="Arial" w:cs="Arial"/>
          <w:sz w:val="24"/>
          <w:szCs w:val="24"/>
          <w:lang w:val="en-GB"/>
        </w:rPr>
      </w:pPr>
      <w:r w:rsidRPr="00943792">
        <w:rPr>
          <w:rFonts w:ascii="Arial" w:hAnsi="Arial" w:cs="Arial"/>
          <w:b/>
          <w:bCs/>
          <w:sz w:val="24"/>
          <w:szCs w:val="24"/>
          <w:lang w:val="en-GB"/>
        </w:rPr>
        <w:t>The project's scope</w:t>
      </w:r>
      <w:r w:rsidRPr="00943792">
        <w:rPr>
          <w:rFonts w:ascii="Arial" w:hAnsi="Arial" w:cs="Arial"/>
          <w:sz w:val="24"/>
          <w:szCs w:val="24"/>
          <w:lang w:val="en-GB"/>
        </w:rPr>
        <w:t>, which was focused on building a nuclear power plant, first seemed to be clearly defined. But unexpected difficulties and scope adjustments have caused delays and budget overruns. The success of the project in the long run is put at risk by this departure from the intended scope.</w:t>
      </w:r>
      <w:r w:rsidR="00A44263">
        <w:rPr>
          <w:rFonts w:ascii="Arial" w:hAnsi="Arial" w:cs="Arial"/>
          <w:sz w:val="24"/>
          <w:szCs w:val="24"/>
          <w:lang w:val="en-GB"/>
        </w:rPr>
        <w:t xml:space="preserve"> </w:t>
      </w:r>
      <w:r w:rsidRPr="00943792">
        <w:rPr>
          <w:rFonts w:ascii="Arial" w:hAnsi="Arial" w:cs="Arial"/>
          <w:b/>
          <w:bCs/>
          <w:sz w:val="24"/>
          <w:szCs w:val="24"/>
          <w:lang w:val="en-GB"/>
        </w:rPr>
        <w:t>Time management:</w:t>
      </w:r>
      <w:r w:rsidRPr="00943792">
        <w:rPr>
          <w:rFonts w:ascii="Arial" w:hAnsi="Arial" w:cs="Arial"/>
          <w:sz w:val="24"/>
          <w:szCs w:val="24"/>
          <w:lang w:val="en-GB"/>
        </w:rPr>
        <w:t xml:space="preserve"> Due to construction holdups, the project's deadline has been greatly prolonged, making it difficult to offer energy solutions on schedule. The project's capacity to provide the UK's energy needs within the expected timescales is in jeopardy if the timeline can't be kept to.</w:t>
      </w:r>
      <w:r w:rsidR="00A44263">
        <w:rPr>
          <w:rFonts w:ascii="Arial" w:hAnsi="Arial" w:cs="Arial"/>
          <w:sz w:val="24"/>
          <w:szCs w:val="24"/>
          <w:lang w:val="en-GB"/>
        </w:rPr>
        <w:t xml:space="preserve"> </w:t>
      </w:r>
      <w:r w:rsidRPr="00943792">
        <w:rPr>
          <w:rFonts w:ascii="Arial" w:hAnsi="Arial" w:cs="Arial"/>
          <w:b/>
          <w:bCs/>
          <w:sz w:val="24"/>
          <w:szCs w:val="24"/>
          <w:lang w:val="en-GB"/>
        </w:rPr>
        <w:t>Cost management</w:t>
      </w:r>
      <w:r w:rsidRPr="00943792">
        <w:rPr>
          <w:rFonts w:ascii="Arial" w:hAnsi="Arial" w:cs="Arial"/>
          <w:sz w:val="24"/>
          <w:szCs w:val="24"/>
          <w:lang w:val="en-GB"/>
        </w:rPr>
        <w:t>: The project's rising costs have become a major worry, casting doubt on its feasibility from an economic standpoint. A project's sustainability and the reduction of financial risks depend heavily on effective cost management practices.</w:t>
      </w:r>
      <w:r w:rsidR="00BE1CA7">
        <w:rPr>
          <w:rFonts w:ascii="Arial" w:hAnsi="Arial" w:cs="Arial"/>
          <w:sz w:val="24"/>
          <w:szCs w:val="24"/>
          <w:lang w:val="en-GB"/>
        </w:rPr>
        <w:t xml:space="preserve"> </w:t>
      </w:r>
      <w:r w:rsidR="00BE1CA7" w:rsidRPr="00BE1CA7">
        <w:rPr>
          <w:rFonts w:ascii="Arial" w:hAnsi="Arial" w:cs="Arial"/>
          <w:b/>
          <w:bCs/>
          <w:sz w:val="24"/>
          <w:szCs w:val="24"/>
          <w:lang w:val="en-GB"/>
        </w:rPr>
        <w:t>Quality Management</w:t>
      </w:r>
      <w:r w:rsidR="00BE1CA7" w:rsidRPr="00BE1CA7">
        <w:rPr>
          <w:rFonts w:ascii="Arial" w:hAnsi="Arial" w:cs="Arial"/>
          <w:sz w:val="24"/>
          <w:szCs w:val="24"/>
          <w:lang w:val="en-GB"/>
        </w:rPr>
        <w:t>: In a nuclear project of this size, strict quality and safety standards must be followed. Any quality compromise might result in future failures with wide-ranging repercussions.</w:t>
      </w:r>
    </w:p>
    <w:p w14:paraId="16C6C050" w14:textId="1F29E7BC" w:rsidR="00AF560A" w:rsidRDefault="00BE1CA7" w:rsidP="00BE1CA7">
      <w:pPr>
        <w:rPr>
          <w:rFonts w:ascii="Arial" w:hAnsi="Arial" w:cs="Arial"/>
          <w:sz w:val="24"/>
          <w:szCs w:val="24"/>
          <w:lang w:val="en-GB"/>
        </w:rPr>
      </w:pPr>
      <w:r w:rsidRPr="00BE1CA7">
        <w:rPr>
          <w:rFonts w:ascii="Arial" w:hAnsi="Arial" w:cs="Arial"/>
          <w:b/>
          <w:bCs/>
          <w:sz w:val="24"/>
          <w:szCs w:val="24"/>
          <w:lang w:val="en-GB"/>
        </w:rPr>
        <w:t>Risk management:</w:t>
      </w:r>
      <w:r w:rsidRPr="00BE1CA7">
        <w:rPr>
          <w:rFonts w:ascii="Arial" w:hAnsi="Arial" w:cs="Arial"/>
          <w:sz w:val="24"/>
          <w:szCs w:val="24"/>
          <w:lang w:val="en-GB"/>
        </w:rPr>
        <w:t xml:space="preserve"> The project's development has been hampered by unforeseen risks and uncertainties, highlighting the importance of effective risk management techniques. For a project to succeed, possible impediments must be identified and backup plans must be created.</w:t>
      </w:r>
      <w:r w:rsidR="004207AC" w:rsidRPr="004207AC">
        <w:t xml:space="preserve"> </w:t>
      </w:r>
      <w:r w:rsidR="004207AC" w:rsidRPr="004207AC">
        <w:rPr>
          <w:rFonts w:ascii="Arial" w:hAnsi="Arial" w:cs="Arial"/>
          <w:sz w:val="24"/>
          <w:szCs w:val="24"/>
          <w:lang w:val="en-GB"/>
        </w:rPr>
        <w:t>Constraints on the financial market - they make it challenging to raise very high sums for capital investment, such as that needed for nuclear power. Due to capacity restrictions, there is a funding vacuum that affects the market for financing investments in low-carbon capacity. The details of nuclear projects and their risks are likely to be complex, and where they are, there would be high transaction costs involved with acquiring such understanding because nuclear projects are relatively uncommon and have distinctive characteristics</w:t>
      </w:r>
      <w:sdt>
        <w:sdtPr>
          <w:rPr>
            <w:rFonts w:ascii="Arial" w:hAnsi="Arial" w:cs="Arial"/>
            <w:sz w:val="24"/>
            <w:szCs w:val="24"/>
            <w:lang w:val="en-GB"/>
          </w:rPr>
          <w:id w:val="1881358077"/>
          <w:citation/>
        </w:sdtPr>
        <w:sdtContent>
          <w:r w:rsidR="00AF560A">
            <w:rPr>
              <w:rFonts w:ascii="Arial" w:hAnsi="Arial" w:cs="Arial"/>
              <w:sz w:val="24"/>
              <w:szCs w:val="24"/>
              <w:lang w:val="en-GB"/>
            </w:rPr>
            <w:fldChar w:fldCharType="begin"/>
          </w:r>
          <w:r w:rsidR="00AF560A">
            <w:rPr>
              <w:rFonts w:ascii="Arial" w:hAnsi="Arial" w:cs="Arial"/>
              <w:sz w:val="24"/>
              <w:szCs w:val="24"/>
              <w:lang w:val="en-GB"/>
            </w:rPr>
            <w:instrText xml:space="preserve"> CITATION GOV16 \l 2057 </w:instrText>
          </w:r>
          <w:r w:rsidR="00AF560A">
            <w:rPr>
              <w:rFonts w:ascii="Arial" w:hAnsi="Arial" w:cs="Arial"/>
              <w:sz w:val="24"/>
              <w:szCs w:val="24"/>
              <w:lang w:val="en-GB"/>
            </w:rPr>
            <w:fldChar w:fldCharType="separate"/>
          </w:r>
          <w:r w:rsidR="00AF560A">
            <w:rPr>
              <w:rFonts w:ascii="Arial" w:hAnsi="Arial" w:cs="Arial"/>
              <w:noProof/>
              <w:sz w:val="24"/>
              <w:szCs w:val="24"/>
              <w:lang w:val="en-GB"/>
            </w:rPr>
            <w:t xml:space="preserve"> </w:t>
          </w:r>
          <w:r w:rsidR="00AF560A" w:rsidRPr="00AF560A">
            <w:rPr>
              <w:rFonts w:ascii="Arial" w:hAnsi="Arial" w:cs="Arial"/>
              <w:noProof/>
              <w:sz w:val="24"/>
              <w:szCs w:val="24"/>
              <w:lang w:val="en-GB"/>
            </w:rPr>
            <w:t>(GOV.UK, 2016)</w:t>
          </w:r>
          <w:r w:rsidR="00AF560A">
            <w:rPr>
              <w:rFonts w:ascii="Arial" w:hAnsi="Arial" w:cs="Arial"/>
              <w:sz w:val="24"/>
              <w:szCs w:val="24"/>
              <w:lang w:val="en-GB"/>
            </w:rPr>
            <w:fldChar w:fldCharType="end"/>
          </w:r>
        </w:sdtContent>
      </w:sdt>
      <w:r w:rsidR="00AF560A">
        <w:rPr>
          <w:rFonts w:ascii="Arial" w:hAnsi="Arial" w:cs="Arial"/>
          <w:sz w:val="24"/>
          <w:szCs w:val="24"/>
          <w:lang w:val="en-GB"/>
        </w:rPr>
        <w:t>.</w:t>
      </w:r>
    </w:p>
    <w:p w14:paraId="5104152C" w14:textId="7C8C6E62" w:rsidR="00BE1CA7" w:rsidRDefault="004207AC" w:rsidP="00BE1CA7">
      <w:pPr>
        <w:rPr>
          <w:rFonts w:ascii="Arial" w:hAnsi="Arial" w:cs="Arial"/>
          <w:sz w:val="24"/>
          <w:szCs w:val="24"/>
          <w:lang w:val="en-GB"/>
        </w:rPr>
      </w:pPr>
      <w:r w:rsidRPr="004207AC">
        <w:rPr>
          <w:rFonts w:ascii="Arial" w:hAnsi="Arial" w:cs="Arial"/>
          <w:sz w:val="24"/>
          <w:szCs w:val="24"/>
          <w:lang w:val="en-GB"/>
        </w:rPr>
        <w:t>Other investment hurdles that are particularly severe for new nuclear power might worsen these market failures at the narrow level:</w:t>
      </w:r>
      <w:r w:rsidR="00DA5AFE" w:rsidRPr="00DA5AFE">
        <w:t xml:space="preserve"> </w:t>
      </w:r>
      <w:r w:rsidR="00DA5AFE" w:rsidRPr="00DA5AFE">
        <w:rPr>
          <w:rFonts w:ascii="Arial" w:hAnsi="Arial" w:cs="Arial"/>
          <w:sz w:val="24"/>
          <w:szCs w:val="24"/>
          <w:lang w:val="en-GB"/>
        </w:rPr>
        <w:t>Political risk exposure, after making an investment, developers run the risk that future government action would prohibit them from receiving a fair return. This creates investment hurdles that are relevant to long-term investments, like nuclear power, which may be eliminated by a legally enforceable contract.</w:t>
      </w:r>
      <w:r w:rsidR="00436088" w:rsidRPr="00436088">
        <w:t xml:space="preserve"> </w:t>
      </w:r>
      <w:r w:rsidR="00436088" w:rsidRPr="00436088">
        <w:rPr>
          <w:rFonts w:ascii="Arial" w:hAnsi="Arial" w:cs="Arial"/>
          <w:sz w:val="24"/>
          <w:szCs w:val="24"/>
          <w:lang w:val="en-GB"/>
        </w:rPr>
        <w:t>Risk associated with the price of electricity - Nuclear technology in particular, which uses low-carbon energy sources, has high upfront capital expenditures and low marginal operating costs. Due to the massive scale of individual nuclear programs, this is especially acute. The operational costs of low-carbon technologies are also not associated with wholesale power prices, unlike those of fossil fuel generation, which benefits from a natural hedge (where revenues and costs are positively correlated). Furthermore, low-carbon technologies have a tendency to be price-takers. These factors expose investors in low-carbon technology to a high risk of price volatility. Due to the size of individual projects, this is especially problematic for nuclear initiatives</w:t>
      </w:r>
      <w:sdt>
        <w:sdtPr>
          <w:rPr>
            <w:rFonts w:ascii="Arial" w:hAnsi="Arial" w:cs="Arial"/>
            <w:sz w:val="24"/>
            <w:szCs w:val="24"/>
            <w:lang w:val="en-GB"/>
          </w:rPr>
          <w:id w:val="-2059085284"/>
          <w:citation/>
        </w:sdtPr>
        <w:sdtContent>
          <w:r w:rsidR="00AF560A">
            <w:rPr>
              <w:rFonts w:ascii="Arial" w:hAnsi="Arial" w:cs="Arial"/>
              <w:sz w:val="24"/>
              <w:szCs w:val="24"/>
              <w:lang w:val="en-GB"/>
            </w:rPr>
            <w:fldChar w:fldCharType="begin"/>
          </w:r>
          <w:r w:rsidR="00AF560A">
            <w:rPr>
              <w:rFonts w:ascii="Arial" w:hAnsi="Arial" w:cs="Arial"/>
              <w:sz w:val="24"/>
              <w:szCs w:val="24"/>
              <w:lang w:val="en-GB"/>
            </w:rPr>
            <w:instrText xml:space="preserve"> CITATION GOV16 \l 2057 </w:instrText>
          </w:r>
          <w:r w:rsidR="00AF560A">
            <w:rPr>
              <w:rFonts w:ascii="Arial" w:hAnsi="Arial" w:cs="Arial"/>
              <w:sz w:val="24"/>
              <w:szCs w:val="24"/>
              <w:lang w:val="en-GB"/>
            </w:rPr>
            <w:fldChar w:fldCharType="separate"/>
          </w:r>
          <w:r w:rsidR="00AF560A">
            <w:rPr>
              <w:rFonts w:ascii="Arial" w:hAnsi="Arial" w:cs="Arial"/>
              <w:noProof/>
              <w:sz w:val="24"/>
              <w:szCs w:val="24"/>
              <w:lang w:val="en-GB"/>
            </w:rPr>
            <w:t xml:space="preserve"> </w:t>
          </w:r>
          <w:r w:rsidR="00AF560A" w:rsidRPr="00AF560A">
            <w:rPr>
              <w:rFonts w:ascii="Arial" w:hAnsi="Arial" w:cs="Arial"/>
              <w:noProof/>
              <w:sz w:val="24"/>
              <w:szCs w:val="24"/>
              <w:lang w:val="en-GB"/>
            </w:rPr>
            <w:t>(GOV.UK, 2016)</w:t>
          </w:r>
          <w:r w:rsidR="00AF560A">
            <w:rPr>
              <w:rFonts w:ascii="Arial" w:hAnsi="Arial" w:cs="Arial"/>
              <w:sz w:val="24"/>
              <w:szCs w:val="24"/>
              <w:lang w:val="en-GB"/>
            </w:rPr>
            <w:fldChar w:fldCharType="end"/>
          </w:r>
        </w:sdtContent>
      </w:sdt>
      <w:r w:rsidR="00AF560A">
        <w:rPr>
          <w:rFonts w:ascii="Arial" w:hAnsi="Arial" w:cs="Arial"/>
          <w:sz w:val="24"/>
          <w:szCs w:val="24"/>
          <w:lang w:val="en-GB"/>
        </w:rPr>
        <w:t>.</w:t>
      </w:r>
    </w:p>
    <w:p w14:paraId="6BE9B140" w14:textId="6F439F2E" w:rsidR="00C0243F" w:rsidRPr="00C0243F" w:rsidRDefault="00C0243F" w:rsidP="00C0243F">
      <w:pPr>
        <w:rPr>
          <w:rFonts w:ascii="Arial" w:hAnsi="Arial" w:cs="Arial"/>
          <w:sz w:val="24"/>
          <w:szCs w:val="24"/>
          <w:lang w:val="en-GB"/>
        </w:rPr>
      </w:pPr>
      <w:r w:rsidRPr="00054DD0">
        <w:rPr>
          <w:rFonts w:ascii="Arial" w:hAnsi="Arial" w:cs="Arial"/>
          <w:b/>
          <w:bCs/>
          <w:sz w:val="24"/>
          <w:szCs w:val="24"/>
          <w:lang w:val="en-GB"/>
        </w:rPr>
        <w:t>Stakeholder Management</w:t>
      </w:r>
      <w:r w:rsidRPr="00C0243F">
        <w:rPr>
          <w:rFonts w:ascii="Arial" w:hAnsi="Arial" w:cs="Arial"/>
          <w:sz w:val="24"/>
          <w:szCs w:val="24"/>
          <w:lang w:val="en-GB"/>
        </w:rPr>
        <w:t xml:space="preserve">: Transparent communication with stakeholders, encompassing the public, investors, and regulatory bodies, is crucial. The project's </w:t>
      </w:r>
      <w:r w:rsidRPr="00C0243F">
        <w:rPr>
          <w:rFonts w:ascii="Arial" w:hAnsi="Arial" w:cs="Arial"/>
          <w:sz w:val="24"/>
          <w:szCs w:val="24"/>
          <w:lang w:val="en-GB"/>
        </w:rPr>
        <w:lastRenderedPageBreak/>
        <w:t>delays underscore the importance of effective stakeholder engagement to maintain support and trust.</w:t>
      </w:r>
      <w:r w:rsidR="00F660E0">
        <w:rPr>
          <w:rFonts w:ascii="Arial" w:hAnsi="Arial" w:cs="Arial"/>
          <w:sz w:val="24"/>
          <w:szCs w:val="24"/>
          <w:lang w:val="en-GB"/>
        </w:rPr>
        <w:t xml:space="preserve"> </w:t>
      </w:r>
      <w:r w:rsidRPr="00054DD0">
        <w:rPr>
          <w:rFonts w:ascii="Arial" w:hAnsi="Arial" w:cs="Arial"/>
          <w:b/>
          <w:bCs/>
          <w:sz w:val="24"/>
          <w:szCs w:val="24"/>
          <w:lang w:val="en-GB"/>
        </w:rPr>
        <w:t>Human Resource Management</w:t>
      </w:r>
      <w:r w:rsidRPr="00C0243F">
        <w:rPr>
          <w:rFonts w:ascii="Arial" w:hAnsi="Arial" w:cs="Arial"/>
          <w:sz w:val="24"/>
          <w:szCs w:val="24"/>
          <w:lang w:val="en-GB"/>
        </w:rPr>
        <w:t>: The intricate nature of the project necessitates a skilled workforce. Managing human resources, allocating the right skills, and ensuring adequate capacity are integral to project success.</w:t>
      </w:r>
      <w:r w:rsidR="00F660E0">
        <w:rPr>
          <w:rFonts w:ascii="Arial" w:hAnsi="Arial" w:cs="Arial"/>
          <w:sz w:val="24"/>
          <w:szCs w:val="24"/>
          <w:lang w:val="en-GB"/>
        </w:rPr>
        <w:t xml:space="preserve"> </w:t>
      </w:r>
      <w:r w:rsidRPr="00054DD0">
        <w:rPr>
          <w:rFonts w:ascii="Arial" w:hAnsi="Arial" w:cs="Arial"/>
          <w:b/>
          <w:bCs/>
          <w:sz w:val="24"/>
          <w:szCs w:val="24"/>
          <w:lang w:val="en-GB"/>
        </w:rPr>
        <w:t>Procurement Management</w:t>
      </w:r>
      <w:r w:rsidRPr="00C0243F">
        <w:rPr>
          <w:rFonts w:ascii="Arial" w:hAnsi="Arial" w:cs="Arial"/>
          <w:sz w:val="24"/>
          <w:szCs w:val="24"/>
          <w:lang w:val="en-GB"/>
        </w:rPr>
        <w:t>: Efficient procurement strategies are vital to secure resources in a timely manner. Disruptions in procurement or supply chain inefficiencies can adversely impact project schedules and costs.</w:t>
      </w:r>
      <w:r w:rsidR="00F660E0">
        <w:rPr>
          <w:rFonts w:ascii="Arial" w:hAnsi="Arial" w:cs="Arial"/>
          <w:sz w:val="24"/>
          <w:szCs w:val="24"/>
          <w:lang w:val="en-GB"/>
        </w:rPr>
        <w:t xml:space="preserve"> </w:t>
      </w:r>
      <w:r w:rsidRPr="00054DD0">
        <w:rPr>
          <w:rFonts w:ascii="Arial" w:hAnsi="Arial" w:cs="Arial"/>
          <w:b/>
          <w:bCs/>
          <w:sz w:val="24"/>
          <w:szCs w:val="24"/>
          <w:lang w:val="en-GB"/>
        </w:rPr>
        <w:t>Integration Management</w:t>
      </w:r>
      <w:r w:rsidRPr="00C0243F">
        <w:rPr>
          <w:rFonts w:ascii="Arial" w:hAnsi="Arial" w:cs="Arial"/>
          <w:sz w:val="24"/>
          <w:szCs w:val="24"/>
          <w:lang w:val="en-GB"/>
        </w:rPr>
        <w:t>: Effectively coordinating various project components is paramount. Inadequate integration can lead to project inefficiencies, delays, and compromised outcomes.</w:t>
      </w:r>
      <w:r w:rsidR="00F660E0">
        <w:rPr>
          <w:rFonts w:ascii="Arial" w:hAnsi="Arial" w:cs="Arial"/>
          <w:sz w:val="24"/>
          <w:szCs w:val="24"/>
          <w:lang w:val="en-GB"/>
        </w:rPr>
        <w:t xml:space="preserve"> </w:t>
      </w:r>
      <w:r w:rsidRPr="00054DD0">
        <w:rPr>
          <w:rFonts w:ascii="Arial" w:hAnsi="Arial" w:cs="Arial"/>
          <w:b/>
          <w:bCs/>
          <w:sz w:val="24"/>
          <w:szCs w:val="24"/>
          <w:lang w:val="en-GB"/>
        </w:rPr>
        <w:t>Communications Management</w:t>
      </w:r>
      <w:r w:rsidRPr="00C0243F">
        <w:rPr>
          <w:rFonts w:ascii="Arial" w:hAnsi="Arial" w:cs="Arial"/>
          <w:sz w:val="24"/>
          <w:szCs w:val="24"/>
          <w:lang w:val="en-GB"/>
        </w:rPr>
        <w:t>: Open communication channels are central to project success. Lessons learned from communication challenges highlight the necessity of comprehensive information dissemination among stakeholders</w:t>
      </w:r>
      <w:sdt>
        <w:sdtPr>
          <w:rPr>
            <w:rFonts w:ascii="Arial" w:hAnsi="Arial" w:cs="Arial"/>
            <w:sz w:val="24"/>
            <w:szCs w:val="24"/>
            <w:lang w:val="en-GB"/>
          </w:rPr>
          <w:id w:val="-626233229"/>
          <w:citation/>
        </w:sdtPr>
        <w:sdtContent>
          <w:r w:rsidR="00795BF6">
            <w:rPr>
              <w:rFonts w:ascii="Arial" w:hAnsi="Arial" w:cs="Arial"/>
              <w:sz w:val="24"/>
              <w:szCs w:val="24"/>
              <w:lang w:val="en-GB"/>
            </w:rPr>
            <w:fldChar w:fldCharType="begin"/>
          </w:r>
          <w:r w:rsidR="00795BF6">
            <w:rPr>
              <w:rFonts w:ascii="Arial" w:hAnsi="Arial" w:cs="Arial"/>
              <w:sz w:val="24"/>
              <w:szCs w:val="24"/>
              <w:lang w:val="en-GB"/>
            </w:rPr>
            <w:instrText xml:space="preserve"> CITATION EDF231 \l 2057 </w:instrText>
          </w:r>
          <w:r w:rsidR="00795BF6">
            <w:rPr>
              <w:rFonts w:ascii="Arial" w:hAnsi="Arial" w:cs="Arial"/>
              <w:sz w:val="24"/>
              <w:szCs w:val="24"/>
              <w:lang w:val="en-GB"/>
            </w:rPr>
            <w:fldChar w:fldCharType="separate"/>
          </w:r>
          <w:r w:rsidR="00795BF6">
            <w:rPr>
              <w:rFonts w:ascii="Arial" w:hAnsi="Arial" w:cs="Arial"/>
              <w:noProof/>
              <w:sz w:val="24"/>
              <w:szCs w:val="24"/>
              <w:lang w:val="en-GB"/>
            </w:rPr>
            <w:t xml:space="preserve"> </w:t>
          </w:r>
          <w:r w:rsidR="00795BF6" w:rsidRPr="00795BF6">
            <w:rPr>
              <w:rFonts w:ascii="Arial" w:hAnsi="Arial" w:cs="Arial"/>
              <w:noProof/>
              <w:sz w:val="24"/>
              <w:szCs w:val="24"/>
              <w:lang w:val="en-GB"/>
            </w:rPr>
            <w:t>(Energy, 2023)</w:t>
          </w:r>
          <w:r w:rsidR="00795BF6">
            <w:rPr>
              <w:rFonts w:ascii="Arial" w:hAnsi="Arial" w:cs="Arial"/>
              <w:sz w:val="24"/>
              <w:szCs w:val="24"/>
              <w:lang w:val="en-GB"/>
            </w:rPr>
            <w:fldChar w:fldCharType="end"/>
          </w:r>
        </w:sdtContent>
      </w:sdt>
      <w:r w:rsidR="00795BF6">
        <w:rPr>
          <w:rFonts w:ascii="Arial" w:hAnsi="Arial" w:cs="Arial"/>
          <w:sz w:val="24"/>
          <w:szCs w:val="24"/>
          <w:lang w:val="en-GB"/>
        </w:rPr>
        <w:t>.</w:t>
      </w:r>
    </w:p>
    <w:p w14:paraId="35D39334" w14:textId="2E345886" w:rsidR="00EE5A84" w:rsidRPr="00795BF6" w:rsidRDefault="00C0243F" w:rsidP="00795BF6">
      <w:pPr>
        <w:rPr>
          <w:rFonts w:ascii="Arial" w:hAnsi="Arial" w:cs="Arial"/>
          <w:sz w:val="24"/>
          <w:szCs w:val="24"/>
          <w:lang w:val="en-GB"/>
        </w:rPr>
      </w:pPr>
      <w:r w:rsidRPr="00F660E0">
        <w:rPr>
          <w:rFonts w:ascii="Arial" w:hAnsi="Arial" w:cs="Arial"/>
          <w:b/>
          <w:bCs/>
          <w:sz w:val="24"/>
          <w:szCs w:val="24"/>
          <w:lang w:val="en-GB"/>
        </w:rPr>
        <w:t>Lessons Learned:</w:t>
      </w:r>
      <w:r w:rsidRPr="00C0243F">
        <w:rPr>
          <w:rFonts w:ascii="Arial" w:hAnsi="Arial" w:cs="Arial"/>
          <w:sz w:val="24"/>
          <w:szCs w:val="24"/>
          <w:lang w:val="en-GB"/>
        </w:rPr>
        <w:t xml:space="preserve"> Thorough planning, adaptive strategies, and effective stakeholder engagement emerge as critical lessons from the Hinkley Point C Project. Meticulous planning with accurate estimations and scenario analysis is essential to prevent scope creep and budget overruns.</w:t>
      </w:r>
    </w:p>
    <w:p w14:paraId="0017AE7C" w14:textId="23F758F9" w:rsidR="000F327B" w:rsidRDefault="001701AA" w:rsidP="001701AA">
      <w:pPr>
        <w:pStyle w:val="Heading1"/>
        <w:rPr>
          <w:lang w:val="en-GB"/>
        </w:rPr>
      </w:pPr>
      <w:bookmarkStart w:id="6" w:name="_Toc144209689"/>
      <w:bookmarkStart w:id="7" w:name="_Toc144209816"/>
      <w:r>
        <w:rPr>
          <w:lang w:val="en-GB"/>
        </w:rPr>
        <w:t>Valid recommendations for a similar project</w:t>
      </w:r>
      <w:bookmarkEnd w:id="6"/>
      <w:bookmarkEnd w:id="7"/>
    </w:p>
    <w:p w14:paraId="4BCBC82D" w14:textId="77777777" w:rsidR="00054DD0" w:rsidRPr="00054DD0" w:rsidRDefault="00054DD0" w:rsidP="00054DD0">
      <w:pPr>
        <w:rPr>
          <w:lang w:val="en-GB"/>
        </w:rPr>
      </w:pPr>
    </w:p>
    <w:p w14:paraId="0BC185FA" w14:textId="77777777" w:rsidR="00073ECD" w:rsidRPr="00073ECD" w:rsidRDefault="00073ECD" w:rsidP="00073ECD">
      <w:pPr>
        <w:rPr>
          <w:rFonts w:ascii="Arial" w:hAnsi="Arial" w:cs="Arial"/>
          <w:sz w:val="24"/>
          <w:szCs w:val="24"/>
          <w:lang w:val="en-GB"/>
        </w:rPr>
      </w:pPr>
      <w:r w:rsidRPr="00073ECD">
        <w:rPr>
          <w:rFonts w:ascii="Arial" w:hAnsi="Arial" w:cs="Arial"/>
          <w:sz w:val="24"/>
          <w:szCs w:val="24"/>
          <w:lang w:val="en-GB"/>
        </w:rPr>
        <w:t>Consider smaller-scale modular nuclear reactors (SMRs) in light of the difficulties and lessons learnt from the Hinkley Point C Project. These reactors have the potential to be built more quickly and with lower financial risk. The lessons learned from Hinkley Point C stress the necessity for a modular strategy that enables building in controlled surroundings, lowering the risks associated with large-scale on-site projects.</w:t>
      </w:r>
    </w:p>
    <w:p w14:paraId="2511D63E" w14:textId="592B955C" w:rsidR="00073ECD" w:rsidRDefault="00073ECD" w:rsidP="00073ECD">
      <w:pPr>
        <w:rPr>
          <w:rFonts w:ascii="Arial" w:hAnsi="Arial" w:cs="Arial"/>
          <w:sz w:val="24"/>
          <w:szCs w:val="24"/>
          <w:lang w:val="en-GB"/>
        </w:rPr>
      </w:pPr>
      <w:r w:rsidRPr="00073ECD">
        <w:rPr>
          <w:rFonts w:ascii="Arial" w:hAnsi="Arial" w:cs="Arial"/>
          <w:sz w:val="24"/>
          <w:szCs w:val="24"/>
          <w:lang w:val="en-GB"/>
        </w:rPr>
        <w:t>The Potential of SMRs The emergence of compact modular reactors offers a new viewpoint as Hinkley Point C and Sizewell C battle delays and budget issues. The government's determination to hold a competition to choose the best SMR designs shows that it is open to considering alternatives to massive projects. Critics assert that SMRs may have the same costs and delays</w:t>
      </w:r>
      <w:sdt>
        <w:sdtPr>
          <w:rPr>
            <w:rFonts w:ascii="Arial" w:hAnsi="Arial" w:cs="Arial"/>
            <w:sz w:val="24"/>
            <w:szCs w:val="24"/>
            <w:lang w:val="en-GB"/>
          </w:rPr>
          <w:id w:val="-988862946"/>
          <w:citation/>
        </w:sdtPr>
        <w:sdtContent>
          <w:r>
            <w:rPr>
              <w:rFonts w:ascii="Arial" w:hAnsi="Arial" w:cs="Arial"/>
              <w:sz w:val="24"/>
              <w:szCs w:val="24"/>
              <w:lang w:val="en-GB"/>
            </w:rPr>
            <w:fldChar w:fldCharType="begin"/>
          </w:r>
          <w:r>
            <w:rPr>
              <w:rFonts w:ascii="Arial" w:hAnsi="Arial" w:cs="Arial"/>
              <w:sz w:val="24"/>
              <w:szCs w:val="24"/>
              <w:lang w:val="en-GB"/>
            </w:rPr>
            <w:instrText xml:space="preserve"> CITATION Rol23 \l 2057 </w:instrText>
          </w:r>
          <w:r>
            <w:rPr>
              <w:rFonts w:ascii="Arial" w:hAnsi="Arial" w:cs="Arial"/>
              <w:sz w:val="24"/>
              <w:szCs w:val="24"/>
              <w:lang w:val="en-GB"/>
            </w:rPr>
            <w:fldChar w:fldCharType="separate"/>
          </w:r>
          <w:r>
            <w:rPr>
              <w:rFonts w:ascii="Arial" w:hAnsi="Arial" w:cs="Arial"/>
              <w:noProof/>
              <w:sz w:val="24"/>
              <w:szCs w:val="24"/>
              <w:lang w:val="en-GB"/>
            </w:rPr>
            <w:t xml:space="preserve"> </w:t>
          </w:r>
          <w:r w:rsidRPr="00073ECD">
            <w:rPr>
              <w:rFonts w:ascii="Arial" w:hAnsi="Arial" w:cs="Arial"/>
              <w:noProof/>
              <w:sz w:val="24"/>
              <w:szCs w:val="24"/>
              <w:lang w:val="en-GB"/>
            </w:rPr>
            <w:t>(plc, 2023)</w:t>
          </w:r>
          <w:r>
            <w:rPr>
              <w:rFonts w:ascii="Arial" w:hAnsi="Arial" w:cs="Arial"/>
              <w:sz w:val="24"/>
              <w:szCs w:val="24"/>
              <w:lang w:val="en-GB"/>
            </w:rPr>
            <w:fldChar w:fldCharType="end"/>
          </w:r>
        </w:sdtContent>
      </w:sdt>
      <w:r>
        <w:rPr>
          <w:rFonts w:ascii="Arial" w:hAnsi="Arial" w:cs="Arial"/>
          <w:sz w:val="24"/>
          <w:szCs w:val="24"/>
          <w:lang w:val="en-GB"/>
        </w:rPr>
        <w:t>.</w:t>
      </w:r>
    </w:p>
    <w:p w14:paraId="2DC9CEAE" w14:textId="62748A76" w:rsidR="001701AA" w:rsidRPr="00054DD0" w:rsidRDefault="00054DD0" w:rsidP="001701AA">
      <w:pPr>
        <w:rPr>
          <w:rFonts w:ascii="Arial" w:hAnsi="Arial" w:cs="Arial"/>
          <w:sz w:val="24"/>
          <w:szCs w:val="24"/>
          <w:lang w:val="en-GB"/>
        </w:rPr>
      </w:pPr>
      <w:r w:rsidRPr="00054DD0">
        <w:rPr>
          <w:rFonts w:ascii="Arial" w:hAnsi="Arial" w:cs="Arial"/>
          <w:sz w:val="24"/>
          <w:szCs w:val="24"/>
          <w:lang w:val="en-GB"/>
        </w:rPr>
        <w:t xml:space="preserve">The primary advantage of SMRs is their scaled-down designs, which make modularization easier. Construction hazards, which often afflict huge projects, are reduced by concentrating on factory-based operations and transferring finished pieces for on-site assembly. According to the assumption, even if building the first SMR could take many years, it will still be easier than building large plants. SMRs can be copied more quickly and ordered to satisfy specific </w:t>
      </w:r>
      <w:r>
        <w:rPr>
          <w:rFonts w:ascii="Arial" w:hAnsi="Arial" w:cs="Arial"/>
          <w:sz w:val="24"/>
          <w:szCs w:val="24"/>
          <w:lang w:val="en-GB"/>
        </w:rPr>
        <w:t>demands</w:t>
      </w:r>
      <w:r w:rsidRPr="00054DD0">
        <w:rPr>
          <w:rFonts w:ascii="Arial" w:hAnsi="Arial" w:cs="Arial"/>
          <w:sz w:val="24"/>
          <w:szCs w:val="24"/>
          <w:lang w:val="en-GB"/>
        </w:rPr>
        <w:t xml:space="preserve"> with a modest output of about 470MW, which might revolutionize the industry's approach to energy delivery</w:t>
      </w:r>
      <w:sdt>
        <w:sdtPr>
          <w:rPr>
            <w:rFonts w:ascii="Arial" w:hAnsi="Arial" w:cs="Arial"/>
            <w:sz w:val="24"/>
            <w:szCs w:val="24"/>
            <w:lang w:val="en-GB"/>
          </w:rPr>
          <w:id w:val="-885179743"/>
          <w:citation/>
        </w:sdtPr>
        <w:sdtContent>
          <w:r>
            <w:rPr>
              <w:rFonts w:ascii="Arial" w:hAnsi="Arial" w:cs="Arial"/>
              <w:sz w:val="24"/>
              <w:szCs w:val="24"/>
              <w:lang w:val="en-GB"/>
            </w:rPr>
            <w:fldChar w:fldCharType="begin"/>
          </w:r>
          <w:r>
            <w:rPr>
              <w:rFonts w:ascii="Arial" w:hAnsi="Arial" w:cs="Arial"/>
              <w:sz w:val="24"/>
              <w:szCs w:val="24"/>
              <w:lang w:val="en-GB"/>
            </w:rPr>
            <w:instrText xml:space="preserve"> CITATION Nil23 \l 2057 </w:instrText>
          </w:r>
          <w:r>
            <w:rPr>
              <w:rFonts w:ascii="Arial" w:hAnsi="Arial" w:cs="Arial"/>
              <w:sz w:val="24"/>
              <w:szCs w:val="24"/>
              <w:lang w:val="en-GB"/>
            </w:rPr>
            <w:fldChar w:fldCharType="separate"/>
          </w:r>
          <w:r>
            <w:rPr>
              <w:rFonts w:ascii="Arial" w:hAnsi="Arial" w:cs="Arial"/>
              <w:noProof/>
              <w:sz w:val="24"/>
              <w:szCs w:val="24"/>
              <w:lang w:val="en-GB"/>
            </w:rPr>
            <w:t xml:space="preserve"> </w:t>
          </w:r>
          <w:r w:rsidRPr="00054DD0">
            <w:rPr>
              <w:rFonts w:ascii="Arial" w:hAnsi="Arial" w:cs="Arial"/>
              <w:noProof/>
              <w:sz w:val="24"/>
              <w:szCs w:val="24"/>
              <w:lang w:val="en-GB"/>
            </w:rPr>
            <w:t>(Pratley, 2023)</w:t>
          </w:r>
          <w:r>
            <w:rPr>
              <w:rFonts w:ascii="Arial" w:hAnsi="Arial" w:cs="Arial"/>
              <w:sz w:val="24"/>
              <w:szCs w:val="24"/>
              <w:lang w:val="en-GB"/>
            </w:rPr>
            <w:fldChar w:fldCharType="end"/>
          </w:r>
        </w:sdtContent>
      </w:sdt>
      <w:r>
        <w:rPr>
          <w:rFonts w:ascii="Arial" w:hAnsi="Arial" w:cs="Arial"/>
          <w:sz w:val="24"/>
          <w:szCs w:val="24"/>
          <w:lang w:val="en-GB"/>
        </w:rPr>
        <w:t>.</w:t>
      </w:r>
    </w:p>
    <w:p w14:paraId="52929CED" w14:textId="77777777" w:rsidR="001701AA" w:rsidRDefault="001701AA" w:rsidP="001701AA">
      <w:pPr>
        <w:rPr>
          <w:lang w:val="en-GB"/>
        </w:rPr>
      </w:pPr>
    </w:p>
    <w:p w14:paraId="14C55FBC" w14:textId="65B25410" w:rsidR="00355F00" w:rsidRDefault="001701AA" w:rsidP="00A2623C">
      <w:pPr>
        <w:pStyle w:val="Heading1"/>
        <w:rPr>
          <w:lang w:val="en-GB"/>
        </w:rPr>
      </w:pPr>
      <w:bookmarkStart w:id="8" w:name="_Toc144209690"/>
      <w:bookmarkStart w:id="9" w:name="_Toc144209817"/>
      <w:r>
        <w:rPr>
          <w:lang w:val="en-GB"/>
        </w:rPr>
        <w:t>Conclusion</w:t>
      </w:r>
      <w:bookmarkEnd w:id="8"/>
      <w:bookmarkEnd w:id="9"/>
    </w:p>
    <w:p w14:paraId="055C3AC8" w14:textId="77777777" w:rsidR="00054DD0" w:rsidRPr="00054DD0" w:rsidRDefault="00054DD0" w:rsidP="00054DD0">
      <w:pPr>
        <w:rPr>
          <w:lang w:val="en-GB"/>
        </w:rPr>
      </w:pPr>
    </w:p>
    <w:p w14:paraId="02EE8BAE" w14:textId="5DFAB414" w:rsidR="00EE5A84" w:rsidRPr="003F08C3" w:rsidRDefault="002236C6" w:rsidP="00075205">
      <w:pPr>
        <w:rPr>
          <w:rFonts w:ascii="Arial" w:hAnsi="Arial" w:cs="Arial"/>
          <w:sz w:val="24"/>
          <w:szCs w:val="24"/>
          <w:lang w:val="en-GB"/>
        </w:rPr>
      </w:pPr>
      <w:r w:rsidRPr="003F08C3">
        <w:rPr>
          <w:rFonts w:ascii="Arial" w:hAnsi="Arial" w:cs="Arial"/>
          <w:sz w:val="24"/>
          <w:szCs w:val="24"/>
          <w:lang w:val="en-GB"/>
        </w:rPr>
        <w:lastRenderedPageBreak/>
        <w:t>In conclusion, it is premature to definitively classify the Hinkley Point C Project as a success or failure for the future energy sector of the UK. The project's outcomes will be determined by its ability to navigate challenges, manage costs, and meet energy demands. As the project progresses, a balanced and comprehensive perspective will be crucial in accurately assessing its ultimate impact on the UK's energy landscape. The assessment of the Hinkley Point C Project's current progress portrays a situation that is considerably more complex than a simple success or failure. While the project's objectives remain aligned with the UK's energy and environmental goals, the hurdles it has encountered in terms of construction delays and cost escalations necessitate cautious optimism. In navigating the intricate landscape of large-scale energy projects, adaptability, transparency, and a comprehensive understanding of potential pitfalls will be instrumental in steering future endeavors toward lasting success. Applying the PMBOK framework to assess the Hinkley Point C Project provides insights into its future. The project's progress demonstrates both positive aspects and challenges, underscoring the multifaceted nature of large-scale energy initiatives. By incorporating lessons learned and strategic recommendations, future projects can navigate complexities, mitigate risks, and enhance their likelihood of success.</w:t>
      </w:r>
    </w:p>
    <w:p w14:paraId="3E8D7A19" w14:textId="77777777" w:rsidR="00EE5A84" w:rsidRDefault="00EE5A84">
      <w:pPr>
        <w:rPr>
          <w:lang w:val="en-GB"/>
        </w:rPr>
      </w:pPr>
    </w:p>
    <w:bookmarkStart w:id="10" w:name="_Toc144209818" w:displacedByCustomXml="next"/>
    <w:sdt>
      <w:sdtPr>
        <w:id w:val="-1651975391"/>
        <w:docPartObj>
          <w:docPartGallery w:val="Bibliographies"/>
          <w:docPartUnique/>
        </w:docPartObj>
      </w:sdtPr>
      <w:sdtEndPr>
        <w:rPr>
          <w:rFonts w:asciiTheme="minorHAnsi" w:eastAsiaTheme="minorHAnsi" w:hAnsiTheme="minorHAnsi" w:cstheme="minorBidi"/>
          <w:color w:val="auto"/>
          <w:sz w:val="22"/>
          <w:szCs w:val="22"/>
        </w:rPr>
      </w:sdtEndPr>
      <w:sdtContent>
        <w:p w14:paraId="5C762CAA" w14:textId="012DA2A2" w:rsidR="00054DD0" w:rsidRDefault="00054DD0">
          <w:pPr>
            <w:pStyle w:val="Heading1"/>
          </w:pPr>
          <w:r>
            <w:t>References</w:t>
          </w:r>
          <w:bookmarkEnd w:id="10"/>
        </w:p>
        <w:sdt>
          <w:sdtPr>
            <w:id w:val="-573587230"/>
            <w:bibliography/>
          </w:sdtPr>
          <w:sdtContent>
            <w:p w14:paraId="475DA9E0" w14:textId="76069F88" w:rsidR="00054DD0" w:rsidRPr="0061613A" w:rsidRDefault="00054DD0" w:rsidP="00054DD0">
              <w:pPr>
                <w:pStyle w:val="Bibliography"/>
                <w:rPr>
                  <w:rFonts w:ascii="Arial" w:hAnsi="Arial" w:cs="Arial"/>
                  <w:noProof/>
                  <w:sz w:val="24"/>
                  <w:szCs w:val="24"/>
                </w:rPr>
              </w:pPr>
              <w:r w:rsidRPr="0061613A">
                <w:rPr>
                  <w:rFonts w:ascii="Arial" w:hAnsi="Arial" w:cs="Arial"/>
                </w:rPr>
                <w:fldChar w:fldCharType="begin"/>
              </w:r>
              <w:r w:rsidRPr="0061613A">
                <w:rPr>
                  <w:rFonts w:ascii="Arial" w:hAnsi="Arial" w:cs="Arial"/>
                </w:rPr>
                <w:instrText xml:space="preserve"> BIBLIOGRAPHY </w:instrText>
              </w:r>
              <w:r w:rsidRPr="0061613A">
                <w:rPr>
                  <w:rFonts w:ascii="Arial" w:hAnsi="Arial" w:cs="Arial"/>
                </w:rPr>
                <w:fldChar w:fldCharType="separate"/>
              </w:r>
              <w:r w:rsidRPr="0061613A">
                <w:rPr>
                  <w:rFonts w:ascii="Arial" w:hAnsi="Arial" w:cs="Arial"/>
                  <w:noProof/>
                </w:rPr>
                <w:t xml:space="preserve">Energy, E., 2023. </w:t>
              </w:r>
              <w:r w:rsidRPr="0061613A">
                <w:rPr>
                  <w:rFonts w:ascii="Arial" w:hAnsi="Arial" w:cs="Arial"/>
                  <w:i/>
                  <w:iCs/>
                  <w:noProof/>
                </w:rPr>
                <w:t>EDF Hinkley Point C.</w:t>
              </w:r>
              <w:r w:rsidRPr="0061613A">
                <w:rPr>
                  <w:rFonts w:ascii="Arial" w:hAnsi="Arial" w:cs="Arial"/>
                  <w:noProof/>
                </w:rPr>
                <w:br/>
                <w:t xml:space="preserve">Available at: </w:t>
              </w:r>
              <w:r w:rsidRPr="0061613A">
                <w:rPr>
                  <w:rFonts w:ascii="Arial" w:hAnsi="Arial" w:cs="Arial"/>
                  <w:noProof/>
                  <w:u w:val="single"/>
                </w:rPr>
                <w:t>https://www.edfenergy.com/energy/nuclear-new-build-projects/hinkley-point-c</w:t>
              </w:r>
              <w:r w:rsidRPr="0061613A">
                <w:rPr>
                  <w:rFonts w:ascii="Arial" w:hAnsi="Arial" w:cs="Arial"/>
                  <w:noProof/>
                </w:rPr>
                <w:br/>
                <w:t>[</w:t>
              </w:r>
              <w:r w:rsidR="00F3600E">
                <w:rPr>
                  <w:rFonts w:ascii="Arial" w:hAnsi="Arial" w:cs="Arial"/>
                  <w:noProof/>
                  <w:lang w:val="en-GB"/>
                </w:rPr>
                <w:t>Open on</w:t>
              </w:r>
              <w:r w:rsidRPr="0061613A">
                <w:rPr>
                  <w:rFonts w:ascii="Arial" w:hAnsi="Arial" w:cs="Arial"/>
                  <w:noProof/>
                </w:rPr>
                <w:t xml:space="preserve"> 22 08 2023].</w:t>
              </w:r>
            </w:p>
            <w:p w14:paraId="6F4ACE30" w14:textId="7A42AD72" w:rsidR="00054DD0" w:rsidRPr="0061613A" w:rsidRDefault="00054DD0" w:rsidP="00054DD0">
              <w:pPr>
                <w:pStyle w:val="Bibliography"/>
                <w:rPr>
                  <w:rFonts w:ascii="Arial" w:hAnsi="Arial" w:cs="Arial"/>
                  <w:noProof/>
                </w:rPr>
              </w:pPr>
              <w:r w:rsidRPr="0061613A">
                <w:rPr>
                  <w:rFonts w:ascii="Arial" w:hAnsi="Arial" w:cs="Arial"/>
                  <w:noProof/>
                </w:rPr>
                <w:t xml:space="preserve">GOV.UK, 2016. </w:t>
              </w:r>
              <w:r w:rsidRPr="0061613A">
                <w:rPr>
                  <w:rFonts w:ascii="Arial" w:hAnsi="Arial" w:cs="Arial"/>
                  <w:i/>
                  <w:iCs/>
                  <w:noProof/>
                </w:rPr>
                <w:t>Hinkley Point C: Value for Money Assessment.</w:t>
              </w:r>
              <w:r w:rsidRPr="0061613A">
                <w:rPr>
                  <w:rFonts w:ascii="Arial" w:hAnsi="Arial" w:cs="Arial"/>
                  <w:noProof/>
                </w:rPr>
                <w:br/>
                <w:t xml:space="preserve">Available at: </w:t>
              </w:r>
              <w:r w:rsidRPr="0061613A">
                <w:rPr>
                  <w:rFonts w:ascii="Arial" w:hAnsi="Arial" w:cs="Arial"/>
                  <w:noProof/>
                  <w:u w:val="single"/>
                </w:rPr>
                <w:t>https://assets.publishing.service.gov.uk/government/uploads/system/uploads/attachment_data/file/621400/Detailed_value_for_money_assessment.pdf</w:t>
              </w:r>
              <w:r w:rsidRPr="0061613A">
                <w:rPr>
                  <w:rFonts w:ascii="Arial" w:hAnsi="Arial" w:cs="Arial"/>
                  <w:noProof/>
                </w:rPr>
                <w:br/>
                <w:t>[</w:t>
              </w:r>
              <w:r w:rsidR="00F3600E">
                <w:rPr>
                  <w:rFonts w:ascii="Arial" w:hAnsi="Arial" w:cs="Arial"/>
                  <w:noProof/>
                  <w:lang w:val="en-GB"/>
                </w:rPr>
                <w:t>Open on</w:t>
              </w:r>
              <w:r w:rsidRPr="0061613A">
                <w:rPr>
                  <w:rFonts w:ascii="Arial" w:hAnsi="Arial" w:cs="Arial"/>
                  <w:noProof/>
                </w:rPr>
                <w:t xml:space="preserve"> 24 08 2023].</w:t>
              </w:r>
            </w:p>
            <w:p w14:paraId="23D50325" w14:textId="208A3131" w:rsidR="00054DD0" w:rsidRPr="0061613A" w:rsidRDefault="00054DD0" w:rsidP="00054DD0">
              <w:pPr>
                <w:pStyle w:val="Bibliography"/>
                <w:rPr>
                  <w:rFonts w:ascii="Arial" w:hAnsi="Arial" w:cs="Arial"/>
                  <w:noProof/>
                </w:rPr>
              </w:pPr>
              <w:r w:rsidRPr="0061613A">
                <w:rPr>
                  <w:rFonts w:ascii="Arial" w:hAnsi="Arial" w:cs="Arial"/>
                  <w:noProof/>
                </w:rPr>
                <w:t xml:space="preserve">plc, R.-R., 2023. </w:t>
              </w:r>
              <w:r w:rsidRPr="0061613A">
                <w:rPr>
                  <w:rFonts w:ascii="Arial" w:hAnsi="Arial" w:cs="Arial"/>
                  <w:i/>
                  <w:iCs/>
                  <w:noProof/>
                </w:rPr>
                <w:t>Small Modular Reactor.</w:t>
              </w:r>
              <w:r w:rsidRPr="0061613A">
                <w:rPr>
                  <w:rFonts w:ascii="Arial" w:hAnsi="Arial" w:cs="Arial"/>
                  <w:noProof/>
                </w:rPr>
                <w:br/>
                <w:t xml:space="preserve">Available at: </w:t>
              </w:r>
              <w:r w:rsidRPr="0061613A">
                <w:rPr>
                  <w:rFonts w:ascii="Arial" w:hAnsi="Arial" w:cs="Arial"/>
                  <w:noProof/>
                  <w:u w:val="single"/>
                </w:rPr>
                <w:t>https://www.rolls-royce.com/innovation/small-modular-reactors.aspx#/</w:t>
              </w:r>
              <w:r w:rsidRPr="0061613A">
                <w:rPr>
                  <w:rFonts w:ascii="Arial" w:hAnsi="Arial" w:cs="Arial"/>
                  <w:noProof/>
                </w:rPr>
                <w:br/>
                <w:t>[</w:t>
              </w:r>
              <w:r w:rsidR="00F3600E">
                <w:rPr>
                  <w:rFonts w:ascii="Arial" w:hAnsi="Arial" w:cs="Arial"/>
                  <w:noProof/>
                  <w:lang w:val="en-GB"/>
                </w:rPr>
                <w:t>Open on</w:t>
              </w:r>
              <w:r w:rsidRPr="0061613A">
                <w:rPr>
                  <w:rFonts w:ascii="Arial" w:hAnsi="Arial" w:cs="Arial"/>
                  <w:noProof/>
                </w:rPr>
                <w:t xml:space="preserve"> 23 08 2023].</w:t>
              </w:r>
            </w:p>
            <w:p w14:paraId="3DE67816" w14:textId="4744AA83" w:rsidR="00054DD0" w:rsidRPr="0061613A" w:rsidRDefault="00054DD0" w:rsidP="00054DD0">
              <w:pPr>
                <w:pStyle w:val="Bibliography"/>
                <w:rPr>
                  <w:rFonts w:ascii="Arial" w:hAnsi="Arial" w:cs="Arial"/>
                  <w:noProof/>
                </w:rPr>
              </w:pPr>
              <w:r w:rsidRPr="0061613A">
                <w:rPr>
                  <w:rFonts w:ascii="Arial" w:hAnsi="Arial" w:cs="Arial"/>
                  <w:noProof/>
                </w:rPr>
                <w:t xml:space="preserve">Pratley, N., 2023. </w:t>
              </w:r>
              <w:r w:rsidRPr="0061613A">
                <w:rPr>
                  <w:rFonts w:ascii="Arial" w:hAnsi="Arial" w:cs="Arial"/>
                  <w:i/>
                  <w:iCs/>
                  <w:noProof/>
                </w:rPr>
                <w:t xml:space="preserve">Small nuclear reactors are a big, but sensible, step forward – now get on with it. </w:t>
              </w:r>
              <w:r w:rsidRPr="0061613A">
                <w:rPr>
                  <w:rFonts w:ascii="Arial" w:hAnsi="Arial" w:cs="Arial"/>
                  <w:noProof/>
                </w:rPr>
                <w:t xml:space="preserve"> </w:t>
              </w:r>
              <w:r w:rsidRPr="0061613A">
                <w:rPr>
                  <w:rFonts w:ascii="Arial" w:hAnsi="Arial" w:cs="Arial"/>
                  <w:noProof/>
                </w:rPr>
                <w:br/>
                <w:t xml:space="preserve">Available at: </w:t>
              </w:r>
              <w:r w:rsidRPr="0061613A">
                <w:rPr>
                  <w:rFonts w:ascii="Arial" w:hAnsi="Arial" w:cs="Arial"/>
                  <w:noProof/>
                  <w:u w:val="single"/>
                </w:rPr>
                <w:t>https://www.theguardian.com/business/nils-pratley-on-finance/2023/jul/18/commitment-to-push-forward-with-small-nuclear-reactors-seems-sensible</w:t>
              </w:r>
              <w:r w:rsidRPr="0061613A">
                <w:rPr>
                  <w:rFonts w:ascii="Arial" w:hAnsi="Arial" w:cs="Arial"/>
                  <w:noProof/>
                </w:rPr>
                <w:br/>
                <w:t>[</w:t>
              </w:r>
              <w:r w:rsidR="00F3600E">
                <w:rPr>
                  <w:rFonts w:ascii="Arial" w:hAnsi="Arial" w:cs="Arial"/>
                  <w:noProof/>
                  <w:lang w:val="en-GB"/>
                </w:rPr>
                <w:t>Open on</w:t>
              </w:r>
              <w:r w:rsidRPr="0061613A">
                <w:rPr>
                  <w:rFonts w:ascii="Arial" w:hAnsi="Arial" w:cs="Arial"/>
                  <w:noProof/>
                </w:rPr>
                <w:t xml:space="preserve"> 21 08 2023].</w:t>
              </w:r>
            </w:p>
            <w:p w14:paraId="4D99AF12" w14:textId="77777777" w:rsidR="00054DD0" w:rsidRPr="0061613A" w:rsidRDefault="00054DD0" w:rsidP="00054DD0">
              <w:pPr>
                <w:pStyle w:val="Bibliography"/>
                <w:rPr>
                  <w:rFonts w:ascii="Arial" w:hAnsi="Arial" w:cs="Arial"/>
                  <w:noProof/>
                </w:rPr>
              </w:pPr>
              <w:r w:rsidRPr="0061613A">
                <w:rPr>
                  <w:rFonts w:ascii="Arial" w:hAnsi="Arial" w:cs="Arial"/>
                  <w:noProof/>
                </w:rPr>
                <w:t xml:space="preserve">Resch, G. &amp; Suna, D., 2019. Renewable Energies versus Nuclear Power Comparison of Financial Support Exemplifed at the Case of Hinkley Point C. От: R. Haas &amp; L. Mez, ред. </w:t>
              </w:r>
              <w:r w:rsidRPr="0061613A">
                <w:rPr>
                  <w:rFonts w:ascii="Arial" w:hAnsi="Arial" w:cs="Arial"/>
                  <w:i/>
                  <w:iCs/>
                  <w:noProof/>
                </w:rPr>
                <w:t xml:space="preserve">The Technological and Economic Future of Nuclear Power. </w:t>
              </w:r>
              <w:r w:rsidRPr="0061613A">
                <w:rPr>
                  <w:rFonts w:ascii="Arial" w:hAnsi="Arial" w:cs="Arial"/>
                  <w:noProof/>
                </w:rPr>
                <w:t>Vienna: Springer VS, pp. 121-135.</w:t>
              </w:r>
            </w:p>
            <w:p w14:paraId="1BDE1F88" w14:textId="486070D8" w:rsidR="00054DD0" w:rsidRPr="0061613A" w:rsidRDefault="00054DD0" w:rsidP="00054DD0">
              <w:pPr>
                <w:pStyle w:val="Bibliography"/>
                <w:rPr>
                  <w:rFonts w:ascii="Arial" w:hAnsi="Arial" w:cs="Arial"/>
                  <w:noProof/>
                </w:rPr>
              </w:pPr>
              <w:r w:rsidRPr="0061613A">
                <w:rPr>
                  <w:rFonts w:ascii="Arial" w:hAnsi="Arial" w:cs="Arial"/>
                  <w:noProof/>
                </w:rPr>
                <w:t xml:space="preserve">Thomas, S., 2016. The Hinkley Point decision: An analysis of the policy process. </w:t>
              </w:r>
              <w:r w:rsidRPr="0061613A">
                <w:rPr>
                  <w:rFonts w:ascii="Arial" w:hAnsi="Arial" w:cs="Arial"/>
                  <w:i/>
                  <w:iCs/>
                  <w:noProof/>
                </w:rPr>
                <w:t>Energy Policy,</w:t>
              </w:r>
              <w:r w:rsidRPr="0061613A">
                <w:rPr>
                  <w:rFonts w:ascii="Arial" w:hAnsi="Arial" w:cs="Arial"/>
                  <w:noProof/>
                </w:rPr>
                <w:t xml:space="preserve"> 96, pp. 422-431.</w:t>
              </w:r>
            </w:p>
            <w:p w14:paraId="3C9C55D1" w14:textId="599340E6" w:rsidR="00054DD0" w:rsidRDefault="00054DD0" w:rsidP="00054DD0">
              <w:r w:rsidRPr="0061613A">
                <w:rPr>
                  <w:rFonts w:ascii="Arial" w:hAnsi="Arial" w:cs="Arial"/>
                  <w:b/>
                  <w:bCs/>
                  <w:noProof/>
                </w:rPr>
                <w:fldChar w:fldCharType="end"/>
              </w:r>
            </w:p>
          </w:sdtContent>
        </w:sdt>
      </w:sdtContent>
    </w:sdt>
    <w:p w14:paraId="6C6DBECC" w14:textId="77777777" w:rsidR="00054DD0" w:rsidRPr="00EE5A84" w:rsidRDefault="00054DD0">
      <w:pPr>
        <w:rPr>
          <w:lang w:val="en-GB"/>
        </w:rPr>
      </w:pPr>
    </w:p>
    <w:sectPr w:rsidR="00054DD0" w:rsidRPr="00EE5A84">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E840ED"/>
    <w:multiLevelType w:val="hybridMultilevel"/>
    <w:tmpl w:val="30EE80B8"/>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 w15:restartNumberingAfterBreak="0">
    <w:nsid w:val="34B824D5"/>
    <w:multiLevelType w:val="hybridMultilevel"/>
    <w:tmpl w:val="6E925532"/>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2" w15:restartNumberingAfterBreak="0">
    <w:nsid w:val="3E7F4236"/>
    <w:multiLevelType w:val="multilevel"/>
    <w:tmpl w:val="AA367E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7202208"/>
    <w:multiLevelType w:val="multilevel"/>
    <w:tmpl w:val="79CAB3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81159152">
    <w:abstractNumId w:val="2"/>
  </w:num>
  <w:num w:numId="2" w16cid:durableId="424497159">
    <w:abstractNumId w:val="3"/>
  </w:num>
  <w:num w:numId="3" w16cid:durableId="823087033">
    <w:abstractNumId w:val="1"/>
  </w:num>
  <w:num w:numId="4" w16cid:durableId="8205392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7A2B"/>
    <w:rsid w:val="00007078"/>
    <w:rsid w:val="00054DD0"/>
    <w:rsid w:val="00073ECD"/>
    <w:rsid w:val="00075205"/>
    <w:rsid w:val="00093782"/>
    <w:rsid w:val="000F327B"/>
    <w:rsid w:val="001701AA"/>
    <w:rsid w:val="001F770D"/>
    <w:rsid w:val="00214745"/>
    <w:rsid w:val="002236C6"/>
    <w:rsid w:val="00263C14"/>
    <w:rsid w:val="002B7A2B"/>
    <w:rsid w:val="002E0758"/>
    <w:rsid w:val="002F188A"/>
    <w:rsid w:val="003023FC"/>
    <w:rsid w:val="00307F18"/>
    <w:rsid w:val="00333686"/>
    <w:rsid w:val="00335ADD"/>
    <w:rsid w:val="00355F00"/>
    <w:rsid w:val="00366361"/>
    <w:rsid w:val="003D1001"/>
    <w:rsid w:val="003F08C3"/>
    <w:rsid w:val="004207AC"/>
    <w:rsid w:val="0042369D"/>
    <w:rsid w:val="004274AE"/>
    <w:rsid w:val="0043216C"/>
    <w:rsid w:val="00436088"/>
    <w:rsid w:val="00467614"/>
    <w:rsid w:val="00580388"/>
    <w:rsid w:val="00582438"/>
    <w:rsid w:val="006035A7"/>
    <w:rsid w:val="0061613A"/>
    <w:rsid w:val="006A4159"/>
    <w:rsid w:val="006C0D08"/>
    <w:rsid w:val="00795BF6"/>
    <w:rsid w:val="007F2F6C"/>
    <w:rsid w:val="00832637"/>
    <w:rsid w:val="00872661"/>
    <w:rsid w:val="00943792"/>
    <w:rsid w:val="00994D6B"/>
    <w:rsid w:val="00A2623C"/>
    <w:rsid w:val="00A44263"/>
    <w:rsid w:val="00A5110A"/>
    <w:rsid w:val="00A60C2E"/>
    <w:rsid w:val="00AD5F7E"/>
    <w:rsid w:val="00AE1BAC"/>
    <w:rsid w:val="00AF1C58"/>
    <w:rsid w:val="00AF560A"/>
    <w:rsid w:val="00B06B2B"/>
    <w:rsid w:val="00B60945"/>
    <w:rsid w:val="00B9489D"/>
    <w:rsid w:val="00BE1CA7"/>
    <w:rsid w:val="00C0243F"/>
    <w:rsid w:val="00C352DE"/>
    <w:rsid w:val="00D950A2"/>
    <w:rsid w:val="00DA5AFE"/>
    <w:rsid w:val="00DD6A9D"/>
    <w:rsid w:val="00DF0108"/>
    <w:rsid w:val="00E30F04"/>
    <w:rsid w:val="00E41FD4"/>
    <w:rsid w:val="00E9056F"/>
    <w:rsid w:val="00EE5A84"/>
    <w:rsid w:val="00F136A2"/>
    <w:rsid w:val="00F3600E"/>
    <w:rsid w:val="00F636EE"/>
    <w:rsid w:val="00F660E0"/>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068CF2"/>
  <w15:chartTrackingRefBased/>
  <w15:docId w15:val="{67EE602A-6651-4697-B1DA-B04480C892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327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B7A2B"/>
    <w:pPr>
      <w:spacing w:before="100" w:beforeAutospacing="1" w:after="100" w:afterAutospacing="1" w:line="240" w:lineRule="auto"/>
    </w:pPr>
    <w:rPr>
      <w:rFonts w:ascii="Times New Roman" w:eastAsia="Times New Roman" w:hAnsi="Times New Roman" w:cs="Times New Roman"/>
      <w:sz w:val="24"/>
      <w:szCs w:val="24"/>
      <w:lang w:eastAsia="bg-BG"/>
    </w:rPr>
  </w:style>
  <w:style w:type="character" w:styleId="Strong">
    <w:name w:val="Strong"/>
    <w:basedOn w:val="DefaultParagraphFont"/>
    <w:uiPriority w:val="22"/>
    <w:qFormat/>
    <w:rsid w:val="00EE5A84"/>
    <w:rPr>
      <w:b/>
      <w:bCs/>
    </w:rPr>
  </w:style>
  <w:style w:type="character" w:customStyle="1" w:styleId="Heading1Char">
    <w:name w:val="Heading 1 Char"/>
    <w:basedOn w:val="DefaultParagraphFont"/>
    <w:link w:val="Heading1"/>
    <w:uiPriority w:val="9"/>
    <w:rsid w:val="000F327B"/>
    <w:rPr>
      <w:rFonts w:asciiTheme="majorHAnsi" w:eastAsiaTheme="majorEastAsia" w:hAnsiTheme="majorHAnsi" w:cstheme="majorBidi"/>
      <w:color w:val="2F5496" w:themeColor="accent1" w:themeShade="BF"/>
      <w:sz w:val="32"/>
      <w:szCs w:val="32"/>
    </w:rPr>
  </w:style>
  <w:style w:type="character" w:styleId="Emphasis">
    <w:name w:val="Emphasis"/>
    <w:basedOn w:val="DefaultParagraphFont"/>
    <w:uiPriority w:val="20"/>
    <w:qFormat/>
    <w:rsid w:val="001701AA"/>
    <w:rPr>
      <w:i/>
      <w:iCs/>
    </w:rPr>
  </w:style>
  <w:style w:type="paragraph" w:styleId="ListParagraph">
    <w:name w:val="List Paragraph"/>
    <w:basedOn w:val="Normal"/>
    <w:uiPriority w:val="34"/>
    <w:qFormat/>
    <w:rsid w:val="003023FC"/>
    <w:pPr>
      <w:ind w:left="720"/>
      <w:contextualSpacing/>
    </w:pPr>
  </w:style>
  <w:style w:type="paragraph" w:styleId="TOCHeading">
    <w:name w:val="TOC Heading"/>
    <w:basedOn w:val="Heading1"/>
    <w:next w:val="Normal"/>
    <w:uiPriority w:val="39"/>
    <w:unhideWhenUsed/>
    <w:qFormat/>
    <w:rsid w:val="00054DD0"/>
    <w:pPr>
      <w:outlineLvl w:val="9"/>
    </w:pPr>
    <w:rPr>
      <w:lang w:val="en-US"/>
    </w:rPr>
  </w:style>
  <w:style w:type="paragraph" w:styleId="TOC1">
    <w:name w:val="toc 1"/>
    <w:basedOn w:val="Normal"/>
    <w:next w:val="Normal"/>
    <w:autoRedefine/>
    <w:uiPriority w:val="39"/>
    <w:unhideWhenUsed/>
    <w:rsid w:val="00054DD0"/>
    <w:pPr>
      <w:spacing w:after="100"/>
    </w:pPr>
  </w:style>
  <w:style w:type="character" w:styleId="Hyperlink">
    <w:name w:val="Hyperlink"/>
    <w:basedOn w:val="DefaultParagraphFont"/>
    <w:uiPriority w:val="99"/>
    <w:unhideWhenUsed/>
    <w:rsid w:val="00054DD0"/>
    <w:rPr>
      <w:color w:val="0563C1" w:themeColor="hyperlink"/>
      <w:u w:val="single"/>
    </w:rPr>
  </w:style>
  <w:style w:type="paragraph" w:styleId="Bibliography">
    <w:name w:val="Bibliography"/>
    <w:basedOn w:val="Normal"/>
    <w:next w:val="Normal"/>
    <w:uiPriority w:val="37"/>
    <w:unhideWhenUsed/>
    <w:rsid w:val="00054D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8595626">
      <w:bodyDiv w:val="1"/>
      <w:marLeft w:val="0"/>
      <w:marRight w:val="0"/>
      <w:marTop w:val="0"/>
      <w:marBottom w:val="0"/>
      <w:divBdr>
        <w:top w:val="none" w:sz="0" w:space="0" w:color="auto"/>
        <w:left w:val="none" w:sz="0" w:space="0" w:color="auto"/>
        <w:bottom w:val="none" w:sz="0" w:space="0" w:color="auto"/>
        <w:right w:val="none" w:sz="0" w:space="0" w:color="auto"/>
      </w:divBdr>
    </w:div>
    <w:div w:id="313485425">
      <w:bodyDiv w:val="1"/>
      <w:marLeft w:val="0"/>
      <w:marRight w:val="0"/>
      <w:marTop w:val="0"/>
      <w:marBottom w:val="0"/>
      <w:divBdr>
        <w:top w:val="none" w:sz="0" w:space="0" w:color="auto"/>
        <w:left w:val="none" w:sz="0" w:space="0" w:color="auto"/>
        <w:bottom w:val="none" w:sz="0" w:space="0" w:color="auto"/>
        <w:right w:val="none" w:sz="0" w:space="0" w:color="auto"/>
      </w:divBdr>
    </w:div>
    <w:div w:id="539560632">
      <w:bodyDiv w:val="1"/>
      <w:marLeft w:val="0"/>
      <w:marRight w:val="0"/>
      <w:marTop w:val="0"/>
      <w:marBottom w:val="0"/>
      <w:divBdr>
        <w:top w:val="none" w:sz="0" w:space="0" w:color="auto"/>
        <w:left w:val="none" w:sz="0" w:space="0" w:color="auto"/>
        <w:bottom w:val="none" w:sz="0" w:space="0" w:color="auto"/>
        <w:right w:val="none" w:sz="0" w:space="0" w:color="auto"/>
      </w:divBdr>
    </w:div>
    <w:div w:id="581530934">
      <w:bodyDiv w:val="1"/>
      <w:marLeft w:val="0"/>
      <w:marRight w:val="0"/>
      <w:marTop w:val="0"/>
      <w:marBottom w:val="0"/>
      <w:divBdr>
        <w:top w:val="none" w:sz="0" w:space="0" w:color="auto"/>
        <w:left w:val="none" w:sz="0" w:space="0" w:color="auto"/>
        <w:bottom w:val="none" w:sz="0" w:space="0" w:color="auto"/>
        <w:right w:val="none" w:sz="0" w:space="0" w:color="auto"/>
      </w:divBdr>
    </w:div>
    <w:div w:id="675158749">
      <w:bodyDiv w:val="1"/>
      <w:marLeft w:val="0"/>
      <w:marRight w:val="0"/>
      <w:marTop w:val="0"/>
      <w:marBottom w:val="0"/>
      <w:divBdr>
        <w:top w:val="none" w:sz="0" w:space="0" w:color="auto"/>
        <w:left w:val="none" w:sz="0" w:space="0" w:color="auto"/>
        <w:bottom w:val="none" w:sz="0" w:space="0" w:color="auto"/>
        <w:right w:val="none" w:sz="0" w:space="0" w:color="auto"/>
      </w:divBdr>
    </w:div>
    <w:div w:id="748581687">
      <w:bodyDiv w:val="1"/>
      <w:marLeft w:val="0"/>
      <w:marRight w:val="0"/>
      <w:marTop w:val="0"/>
      <w:marBottom w:val="0"/>
      <w:divBdr>
        <w:top w:val="none" w:sz="0" w:space="0" w:color="auto"/>
        <w:left w:val="none" w:sz="0" w:space="0" w:color="auto"/>
        <w:bottom w:val="none" w:sz="0" w:space="0" w:color="auto"/>
        <w:right w:val="none" w:sz="0" w:space="0" w:color="auto"/>
      </w:divBdr>
    </w:div>
    <w:div w:id="750009076">
      <w:bodyDiv w:val="1"/>
      <w:marLeft w:val="0"/>
      <w:marRight w:val="0"/>
      <w:marTop w:val="0"/>
      <w:marBottom w:val="0"/>
      <w:divBdr>
        <w:top w:val="none" w:sz="0" w:space="0" w:color="auto"/>
        <w:left w:val="none" w:sz="0" w:space="0" w:color="auto"/>
        <w:bottom w:val="none" w:sz="0" w:space="0" w:color="auto"/>
        <w:right w:val="none" w:sz="0" w:space="0" w:color="auto"/>
      </w:divBdr>
    </w:div>
    <w:div w:id="820118054">
      <w:bodyDiv w:val="1"/>
      <w:marLeft w:val="0"/>
      <w:marRight w:val="0"/>
      <w:marTop w:val="0"/>
      <w:marBottom w:val="0"/>
      <w:divBdr>
        <w:top w:val="none" w:sz="0" w:space="0" w:color="auto"/>
        <w:left w:val="none" w:sz="0" w:space="0" w:color="auto"/>
        <w:bottom w:val="none" w:sz="0" w:space="0" w:color="auto"/>
        <w:right w:val="none" w:sz="0" w:space="0" w:color="auto"/>
      </w:divBdr>
    </w:div>
    <w:div w:id="877736775">
      <w:bodyDiv w:val="1"/>
      <w:marLeft w:val="0"/>
      <w:marRight w:val="0"/>
      <w:marTop w:val="0"/>
      <w:marBottom w:val="0"/>
      <w:divBdr>
        <w:top w:val="none" w:sz="0" w:space="0" w:color="auto"/>
        <w:left w:val="none" w:sz="0" w:space="0" w:color="auto"/>
        <w:bottom w:val="none" w:sz="0" w:space="0" w:color="auto"/>
        <w:right w:val="none" w:sz="0" w:space="0" w:color="auto"/>
      </w:divBdr>
    </w:div>
    <w:div w:id="929506034">
      <w:bodyDiv w:val="1"/>
      <w:marLeft w:val="0"/>
      <w:marRight w:val="0"/>
      <w:marTop w:val="0"/>
      <w:marBottom w:val="0"/>
      <w:divBdr>
        <w:top w:val="none" w:sz="0" w:space="0" w:color="auto"/>
        <w:left w:val="none" w:sz="0" w:space="0" w:color="auto"/>
        <w:bottom w:val="none" w:sz="0" w:space="0" w:color="auto"/>
        <w:right w:val="none" w:sz="0" w:space="0" w:color="auto"/>
      </w:divBdr>
    </w:div>
    <w:div w:id="1019962647">
      <w:bodyDiv w:val="1"/>
      <w:marLeft w:val="0"/>
      <w:marRight w:val="0"/>
      <w:marTop w:val="0"/>
      <w:marBottom w:val="0"/>
      <w:divBdr>
        <w:top w:val="none" w:sz="0" w:space="0" w:color="auto"/>
        <w:left w:val="none" w:sz="0" w:space="0" w:color="auto"/>
        <w:bottom w:val="none" w:sz="0" w:space="0" w:color="auto"/>
        <w:right w:val="none" w:sz="0" w:space="0" w:color="auto"/>
      </w:divBdr>
    </w:div>
    <w:div w:id="1135173797">
      <w:bodyDiv w:val="1"/>
      <w:marLeft w:val="0"/>
      <w:marRight w:val="0"/>
      <w:marTop w:val="0"/>
      <w:marBottom w:val="0"/>
      <w:divBdr>
        <w:top w:val="none" w:sz="0" w:space="0" w:color="auto"/>
        <w:left w:val="none" w:sz="0" w:space="0" w:color="auto"/>
        <w:bottom w:val="none" w:sz="0" w:space="0" w:color="auto"/>
        <w:right w:val="none" w:sz="0" w:space="0" w:color="auto"/>
      </w:divBdr>
    </w:div>
    <w:div w:id="1165970312">
      <w:bodyDiv w:val="1"/>
      <w:marLeft w:val="0"/>
      <w:marRight w:val="0"/>
      <w:marTop w:val="0"/>
      <w:marBottom w:val="0"/>
      <w:divBdr>
        <w:top w:val="none" w:sz="0" w:space="0" w:color="auto"/>
        <w:left w:val="none" w:sz="0" w:space="0" w:color="auto"/>
        <w:bottom w:val="none" w:sz="0" w:space="0" w:color="auto"/>
        <w:right w:val="none" w:sz="0" w:space="0" w:color="auto"/>
      </w:divBdr>
      <w:divsChild>
        <w:div w:id="1331328740">
          <w:marLeft w:val="-15"/>
          <w:marRight w:val="-15"/>
          <w:marTop w:val="0"/>
          <w:marBottom w:val="0"/>
          <w:divBdr>
            <w:top w:val="none" w:sz="0" w:space="0" w:color="auto"/>
            <w:left w:val="none" w:sz="0" w:space="0" w:color="auto"/>
            <w:bottom w:val="none" w:sz="0" w:space="0" w:color="auto"/>
            <w:right w:val="none" w:sz="0" w:space="0" w:color="auto"/>
          </w:divBdr>
        </w:div>
        <w:div w:id="2048794775">
          <w:marLeft w:val="0"/>
          <w:marRight w:val="0"/>
          <w:marTop w:val="0"/>
          <w:marBottom w:val="0"/>
          <w:divBdr>
            <w:top w:val="none" w:sz="0" w:space="0" w:color="auto"/>
            <w:left w:val="none" w:sz="0" w:space="0" w:color="auto"/>
            <w:bottom w:val="none" w:sz="0" w:space="0" w:color="auto"/>
            <w:right w:val="none" w:sz="0" w:space="0" w:color="auto"/>
          </w:divBdr>
          <w:divsChild>
            <w:div w:id="955940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6184385">
      <w:bodyDiv w:val="1"/>
      <w:marLeft w:val="0"/>
      <w:marRight w:val="0"/>
      <w:marTop w:val="0"/>
      <w:marBottom w:val="0"/>
      <w:divBdr>
        <w:top w:val="none" w:sz="0" w:space="0" w:color="auto"/>
        <w:left w:val="none" w:sz="0" w:space="0" w:color="auto"/>
        <w:bottom w:val="none" w:sz="0" w:space="0" w:color="auto"/>
        <w:right w:val="none" w:sz="0" w:space="0" w:color="auto"/>
      </w:divBdr>
    </w:div>
    <w:div w:id="1385174532">
      <w:bodyDiv w:val="1"/>
      <w:marLeft w:val="0"/>
      <w:marRight w:val="0"/>
      <w:marTop w:val="0"/>
      <w:marBottom w:val="0"/>
      <w:divBdr>
        <w:top w:val="none" w:sz="0" w:space="0" w:color="auto"/>
        <w:left w:val="none" w:sz="0" w:space="0" w:color="auto"/>
        <w:bottom w:val="none" w:sz="0" w:space="0" w:color="auto"/>
        <w:right w:val="none" w:sz="0" w:space="0" w:color="auto"/>
      </w:divBdr>
    </w:div>
    <w:div w:id="1396127610">
      <w:bodyDiv w:val="1"/>
      <w:marLeft w:val="0"/>
      <w:marRight w:val="0"/>
      <w:marTop w:val="0"/>
      <w:marBottom w:val="0"/>
      <w:divBdr>
        <w:top w:val="none" w:sz="0" w:space="0" w:color="auto"/>
        <w:left w:val="none" w:sz="0" w:space="0" w:color="auto"/>
        <w:bottom w:val="none" w:sz="0" w:space="0" w:color="auto"/>
        <w:right w:val="none" w:sz="0" w:space="0" w:color="auto"/>
      </w:divBdr>
    </w:div>
    <w:div w:id="1456557661">
      <w:bodyDiv w:val="1"/>
      <w:marLeft w:val="0"/>
      <w:marRight w:val="0"/>
      <w:marTop w:val="0"/>
      <w:marBottom w:val="0"/>
      <w:divBdr>
        <w:top w:val="none" w:sz="0" w:space="0" w:color="auto"/>
        <w:left w:val="none" w:sz="0" w:space="0" w:color="auto"/>
        <w:bottom w:val="none" w:sz="0" w:space="0" w:color="auto"/>
        <w:right w:val="none" w:sz="0" w:space="0" w:color="auto"/>
      </w:divBdr>
    </w:div>
    <w:div w:id="1458448393">
      <w:bodyDiv w:val="1"/>
      <w:marLeft w:val="0"/>
      <w:marRight w:val="0"/>
      <w:marTop w:val="0"/>
      <w:marBottom w:val="0"/>
      <w:divBdr>
        <w:top w:val="none" w:sz="0" w:space="0" w:color="auto"/>
        <w:left w:val="none" w:sz="0" w:space="0" w:color="auto"/>
        <w:bottom w:val="none" w:sz="0" w:space="0" w:color="auto"/>
        <w:right w:val="none" w:sz="0" w:space="0" w:color="auto"/>
      </w:divBdr>
      <w:divsChild>
        <w:div w:id="1541354778">
          <w:marLeft w:val="-15"/>
          <w:marRight w:val="-15"/>
          <w:marTop w:val="0"/>
          <w:marBottom w:val="0"/>
          <w:divBdr>
            <w:top w:val="none" w:sz="0" w:space="0" w:color="auto"/>
            <w:left w:val="none" w:sz="0" w:space="0" w:color="auto"/>
            <w:bottom w:val="none" w:sz="0" w:space="0" w:color="auto"/>
            <w:right w:val="none" w:sz="0" w:space="0" w:color="auto"/>
          </w:divBdr>
        </w:div>
        <w:div w:id="2042390134">
          <w:marLeft w:val="0"/>
          <w:marRight w:val="0"/>
          <w:marTop w:val="0"/>
          <w:marBottom w:val="0"/>
          <w:divBdr>
            <w:top w:val="none" w:sz="0" w:space="0" w:color="auto"/>
            <w:left w:val="none" w:sz="0" w:space="0" w:color="auto"/>
            <w:bottom w:val="none" w:sz="0" w:space="0" w:color="auto"/>
            <w:right w:val="none" w:sz="0" w:space="0" w:color="auto"/>
          </w:divBdr>
          <w:divsChild>
            <w:div w:id="826164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4577955">
      <w:bodyDiv w:val="1"/>
      <w:marLeft w:val="0"/>
      <w:marRight w:val="0"/>
      <w:marTop w:val="0"/>
      <w:marBottom w:val="0"/>
      <w:divBdr>
        <w:top w:val="none" w:sz="0" w:space="0" w:color="auto"/>
        <w:left w:val="none" w:sz="0" w:space="0" w:color="auto"/>
        <w:bottom w:val="none" w:sz="0" w:space="0" w:color="auto"/>
        <w:right w:val="none" w:sz="0" w:space="0" w:color="auto"/>
      </w:divBdr>
    </w:div>
    <w:div w:id="1720087571">
      <w:bodyDiv w:val="1"/>
      <w:marLeft w:val="0"/>
      <w:marRight w:val="0"/>
      <w:marTop w:val="0"/>
      <w:marBottom w:val="0"/>
      <w:divBdr>
        <w:top w:val="none" w:sz="0" w:space="0" w:color="auto"/>
        <w:left w:val="none" w:sz="0" w:space="0" w:color="auto"/>
        <w:bottom w:val="none" w:sz="0" w:space="0" w:color="auto"/>
        <w:right w:val="none" w:sz="0" w:space="0" w:color="auto"/>
      </w:divBdr>
    </w:div>
    <w:div w:id="1728450193">
      <w:bodyDiv w:val="1"/>
      <w:marLeft w:val="0"/>
      <w:marRight w:val="0"/>
      <w:marTop w:val="0"/>
      <w:marBottom w:val="0"/>
      <w:divBdr>
        <w:top w:val="none" w:sz="0" w:space="0" w:color="auto"/>
        <w:left w:val="none" w:sz="0" w:space="0" w:color="auto"/>
        <w:bottom w:val="none" w:sz="0" w:space="0" w:color="auto"/>
        <w:right w:val="none" w:sz="0" w:space="0" w:color="auto"/>
      </w:divBdr>
    </w:div>
    <w:div w:id="1823547812">
      <w:bodyDiv w:val="1"/>
      <w:marLeft w:val="0"/>
      <w:marRight w:val="0"/>
      <w:marTop w:val="0"/>
      <w:marBottom w:val="0"/>
      <w:divBdr>
        <w:top w:val="none" w:sz="0" w:space="0" w:color="auto"/>
        <w:left w:val="none" w:sz="0" w:space="0" w:color="auto"/>
        <w:bottom w:val="none" w:sz="0" w:space="0" w:color="auto"/>
        <w:right w:val="none" w:sz="0" w:space="0" w:color="auto"/>
      </w:divBdr>
    </w:div>
    <w:div w:id="1879970532">
      <w:bodyDiv w:val="1"/>
      <w:marLeft w:val="0"/>
      <w:marRight w:val="0"/>
      <w:marTop w:val="0"/>
      <w:marBottom w:val="0"/>
      <w:divBdr>
        <w:top w:val="none" w:sz="0" w:space="0" w:color="auto"/>
        <w:left w:val="none" w:sz="0" w:space="0" w:color="auto"/>
        <w:bottom w:val="none" w:sz="0" w:space="0" w:color="auto"/>
        <w:right w:val="none" w:sz="0" w:space="0" w:color="auto"/>
      </w:divBdr>
    </w:div>
    <w:div w:id="1906993141">
      <w:bodyDiv w:val="1"/>
      <w:marLeft w:val="0"/>
      <w:marRight w:val="0"/>
      <w:marTop w:val="0"/>
      <w:marBottom w:val="0"/>
      <w:divBdr>
        <w:top w:val="none" w:sz="0" w:space="0" w:color="auto"/>
        <w:left w:val="none" w:sz="0" w:space="0" w:color="auto"/>
        <w:bottom w:val="none" w:sz="0" w:space="0" w:color="auto"/>
        <w:right w:val="none" w:sz="0" w:space="0" w:color="auto"/>
      </w:divBdr>
    </w:div>
    <w:div w:id="20263189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Nil23</b:Tag>
    <b:SourceType>InternetSite</b:SourceType>
    <b:Guid>{41AD23F3-858E-4385-BF25-61077844F34B}</b:Guid>
    <b:Title>Small nuclear reactors are a big, but sensible, step forward – now get on with it</b:Title>
    <b:Year>2023</b:Year>
    <b:Author>
      <b:Author>
        <b:NameList>
          <b:Person>
            <b:Last>Pratley</b:Last>
            <b:First>Nils</b:First>
          </b:Person>
        </b:NameList>
      </b:Author>
    </b:Author>
    <b:YearAccessed>2023</b:YearAccessed>
    <b:MonthAccessed>08</b:MonthAccessed>
    <b:DayAccessed>21</b:DayAccessed>
    <b:URL>https://www.theguardian.com/business/nils-pratley-on-finance/2023/jul/18/commitment-to-push-forward-with-small-nuclear-reactors-seems-sensible</b:URL>
    <b:RefOrder>6</b:RefOrder>
  </b:Source>
  <b:Source>
    <b:Tag>Ste16</b:Tag>
    <b:SourceType>JournalArticle</b:SourceType>
    <b:Guid>{A157C47B-C635-4066-A7E4-2DBCA68C8D2A}</b:Guid>
    <b:Title>The Hinkley Point decision: An analysis of the policy process</b:Title>
    <b:Year>2016</b:Year>
    <b:Author>
      <b:Author>
        <b:NameList>
          <b:Person>
            <b:Last>Thomas</b:Last>
            <b:First>Stephen</b:First>
          </b:Person>
        </b:NameList>
      </b:Author>
    </b:Author>
    <b:JournalName>Energy Policy</b:JournalName>
    <b:Pages>422-431</b:Pages>
    <b:Volume>96</b:Volume>
    <b:RefOrder>2</b:RefOrder>
  </b:Source>
  <b:Source>
    <b:Tag>Rol23</b:Tag>
    <b:SourceType>InternetSite</b:SourceType>
    <b:Guid>{132A8328-EBBE-4CCA-899D-E6934D28BD95}</b:Guid>
    <b:Title>Small Modular Reactor </b:Title>
    <b:Year>2023</b:Year>
    <b:Author>
      <b:Author>
        <b:NameList>
          <b:Person>
            <b:Last>plc</b:Last>
            <b:First>Rolls-Royce</b:First>
          </b:Person>
        </b:NameList>
      </b:Author>
    </b:Author>
    <b:YearAccessed>2023</b:YearAccessed>
    <b:MonthAccessed>08</b:MonthAccessed>
    <b:DayAccessed>23</b:DayAccessed>
    <b:URL>https://www.rolls-royce.com/innovation/small-modular-reactors.aspx#/</b:URL>
    <b:RefOrder>5</b:RefOrder>
  </b:Source>
  <b:Source>
    <b:Tag>EDF231</b:Tag>
    <b:SourceType>InternetSite</b:SourceType>
    <b:Guid>{4D662E4A-82E2-45E8-8FE5-2943B62EC4F7}</b:Guid>
    <b:Author>
      <b:Author>
        <b:NameList>
          <b:Person>
            <b:Last>Energy</b:Last>
            <b:First>EDF</b:First>
          </b:Person>
        </b:NameList>
      </b:Author>
    </b:Author>
    <b:Title>EDF Hinkley Point C</b:Title>
    <b:Year>2023</b:Year>
    <b:YearAccessed>2023</b:YearAccessed>
    <b:MonthAccessed>08</b:MonthAccessed>
    <b:DayAccessed>22</b:DayAccessed>
    <b:URL>https://www.edfenergy.com/energy/nuclear-new-build-projects/hinkley-point-c</b:URL>
    <b:RefOrder>3</b:RefOrder>
  </b:Source>
  <b:Source>
    <b:Tag>Res19</b:Tag>
    <b:SourceType>BookSection</b:SourceType>
    <b:Guid>{C35ECC23-3913-487F-B229-86D988A3C2FA}</b:Guid>
    <b:Title>Renewable Energies versus Nuclear Power Comparison of Financial Support Exemplifed at the Case of Hinkley Point C</b:Title>
    <b:Year>2019</b:Year>
    <b:Author>
      <b:Author>
        <b:NameList>
          <b:Person>
            <b:Last>Resch</b:Last>
            <b:First>Gustav</b:First>
          </b:Person>
          <b:Person>
            <b:Last>Suna</b:Last>
            <b:First>Demet</b:First>
          </b:Person>
        </b:NameList>
      </b:Author>
      <b:Editor>
        <b:NameList>
          <b:Person>
            <b:Last>Haas</b:Last>
            <b:First>Reinhard</b:First>
          </b:Person>
          <b:Person>
            <b:Last>Mez</b:Last>
            <b:First>Lutz </b:First>
          </b:Person>
        </b:NameList>
      </b:Editor>
    </b:Author>
    <b:BookTitle>The Technological and Economic Future of Nuclear Power</b:BookTitle>
    <b:Pages>121-135</b:Pages>
    <b:City>Vienna</b:City>
    <b:Publisher>Springer VS</b:Publisher>
    <b:RefOrder>1</b:RefOrder>
  </b:Source>
  <b:Source>
    <b:Tag>GOV16</b:Tag>
    <b:SourceType>InternetSite</b:SourceType>
    <b:Guid>{AEDEC2C9-7963-4C49-A0EE-15DAA810FB6A}</b:Guid>
    <b:Title>Hinkley Point C: Value for Money Assessment</b:Title>
    <b:Year>2016</b:Year>
    <b:YearAccessed>2023</b:YearAccessed>
    <b:MonthAccessed>08</b:MonthAccessed>
    <b:DayAccessed>24</b:DayAccessed>
    <b:URL>https://assets.publishing.service.gov.uk/government/uploads/system/uploads/attachment_data/file/621400/Detailed_value_for_money_assessment.pdf</b:URL>
    <b:Author>
      <b:Author>
        <b:NameList>
          <b:Person>
            <b:Last>GOV.UK</b:Last>
          </b:Person>
        </b:NameList>
      </b:Author>
    </b:Author>
    <b:RefOrder>4</b:RefOrder>
  </b:Source>
</b:Sources>
</file>

<file path=customXml/itemProps1.xml><?xml version="1.0" encoding="utf-8"?>
<ds:datastoreItem xmlns:ds="http://schemas.openxmlformats.org/officeDocument/2006/customXml" ds:itemID="{77AAA96E-7D89-4E38-8E5A-508742CD26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202</TotalTime>
  <Pages>8</Pages>
  <Words>2640</Words>
  <Characters>13152</Characters>
  <Application>Microsoft Office Word</Application>
  <DocSecurity>0</DocSecurity>
  <Lines>257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Tsvetelin</dc:creator>
  <cp:keywords/>
  <dc:description/>
  <cp:lastModifiedBy>Tsvetelin</cp:lastModifiedBy>
  <cp:revision>62</cp:revision>
  <dcterms:created xsi:type="dcterms:W3CDTF">2023-08-29T09:33:00Z</dcterms:created>
  <dcterms:modified xsi:type="dcterms:W3CDTF">2023-08-29T12:58:00Z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ca7d0037-50d9-4ea4-9636-367ad10b9c0b</vt:lpwstr>
  </property>
</Properties>
</file>