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2601C" w14:textId="37CE8348" w:rsidR="002871FB" w:rsidRDefault="002871FB" w:rsidP="002871FB">
      <w:pPr>
        <w:pStyle w:val="NormalWeb"/>
        <w:spacing w:before="0" w:beforeAutospacing="0" w:after="0" w:afterAutospacing="0"/>
        <w:ind w:left="-180" w:right="-334"/>
      </w:pPr>
      <w:bookmarkStart w:id="0" w:name="_Hlk28532381"/>
      <w:r>
        <w:rPr>
          <w:noProof/>
        </w:rPr>
        <w:drawing>
          <wp:inline distT="0" distB="0" distL="0" distR="0" wp14:anchorId="5450142A" wp14:editId="388A96F8">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04CDC547" w14:textId="77777777" w:rsidR="002871FB" w:rsidRDefault="002871FB" w:rsidP="002871FB">
      <w:pPr>
        <w:pStyle w:val="NormalWeb"/>
        <w:spacing w:before="0" w:beforeAutospacing="0" w:after="0" w:afterAutospacing="0"/>
        <w:ind w:left="-180" w:right="-334"/>
      </w:pPr>
    </w:p>
    <w:p w14:paraId="6515E39F" w14:textId="77777777" w:rsidR="002871FB" w:rsidRDefault="002871FB" w:rsidP="002871FB">
      <w:pPr>
        <w:pStyle w:val="NormalWeb"/>
        <w:spacing w:before="0" w:beforeAutospacing="0" w:after="0" w:afterAutospacing="0"/>
        <w:ind w:left="-180" w:right="-334"/>
      </w:pPr>
    </w:p>
    <w:p w14:paraId="13CA38C2" w14:textId="77777777" w:rsidR="002871FB" w:rsidRDefault="002871FB" w:rsidP="002871F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FF036D4" w14:textId="77777777" w:rsidR="002871FB" w:rsidRPr="00230F35" w:rsidRDefault="002871FB" w:rsidP="002871F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D744060" w14:textId="77777777" w:rsidR="002871FB" w:rsidRPr="00230F35" w:rsidRDefault="002871FB" w:rsidP="002871FB">
      <w:pPr>
        <w:rPr>
          <w:rFonts w:ascii="Arial" w:hAnsi="Arial" w:cs="Arial"/>
          <w:sz w:val="28"/>
          <w:szCs w:val="28"/>
          <w:lang w:val="cy-GB"/>
        </w:rPr>
      </w:pPr>
    </w:p>
    <w:p w14:paraId="7FD68926" w14:textId="77777777" w:rsidR="002871FB" w:rsidRDefault="002871FB" w:rsidP="002871FB">
      <w:pPr>
        <w:pStyle w:val="Heading3"/>
        <w:jc w:val="center"/>
        <w:rPr>
          <w:lang w:val="cy-GB"/>
        </w:rPr>
      </w:pPr>
      <w:r>
        <w:rPr>
          <w:lang w:val="cy-GB"/>
        </w:rPr>
        <w:t>THIS SHEET MUST BE THE FIRST PAGE OF THE ASSIGNMENT YOU ARE SUBMITTING  (DO NOT SEND AS A SEPARATE FILE)</w:t>
      </w:r>
    </w:p>
    <w:p w14:paraId="645874AF" w14:textId="77777777" w:rsidR="002871FB" w:rsidRDefault="002871FB" w:rsidP="002871FB">
      <w:pPr>
        <w:pStyle w:val="Heading3"/>
        <w:jc w:val="center"/>
        <w:rPr>
          <w:rFonts w:ascii="Trebuchet MS" w:hAnsi="Trebuchet MS"/>
        </w:rPr>
      </w:pPr>
    </w:p>
    <w:tbl>
      <w:tblPr>
        <w:tblW w:w="9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15"/>
        <w:gridCol w:w="443"/>
        <w:gridCol w:w="1631"/>
        <w:gridCol w:w="299"/>
        <w:gridCol w:w="1888"/>
      </w:tblGrid>
      <w:tr w:rsidR="002871FB" w:rsidRPr="00230F35" w14:paraId="691DA4D5" w14:textId="77777777" w:rsidTr="009113E7">
        <w:trPr>
          <w:trHeight w:val="614"/>
        </w:trPr>
        <w:tc>
          <w:tcPr>
            <w:tcW w:w="9276" w:type="dxa"/>
            <w:gridSpan w:val="5"/>
          </w:tcPr>
          <w:p w14:paraId="30813D69" w14:textId="77777777" w:rsidR="002871FB" w:rsidRPr="00230F35"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871FB" w:rsidRPr="00230F35" w14:paraId="5BA17FC1" w14:textId="77777777" w:rsidTr="009113E7">
        <w:trPr>
          <w:trHeight w:val="718"/>
        </w:trPr>
        <w:tc>
          <w:tcPr>
            <w:tcW w:w="9276" w:type="dxa"/>
            <w:gridSpan w:val="5"/>
          </w:tcPr>
          <w:p w14:paraId="3149685B" w14:textId="01C43275" w:rsidR="002871FB"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Judith </w:t>
            </w:r>
            <w:proofErr w:type="spellStart"/>
            <w:r>
              <w:rPr>
                <w:rFonts w:ascii="Arial" w:hAnsi="Arial" w:cs="Arial"/>
                <w:sz w:val="22"/>
                <w:szCs w:val="22"/>
              </w:rPr>
              <w:t>Dunkling</w:t>
            </w:r>
            <w:proofErr w:type="spellEnd"/>
          </w:p>
          <w:p w14:paraId="683530E4" w14:textId="77777777" w:rsidR="002871FB" w:rsidRPr="00230F35" w:rsidRDefault="002871FB" w:rsidP="009113E7">
            <w:pPr>
              <w:pStyle w:val="NormalWeb"/>
              <w:spacing w:before="0" w:beforeAutospacing="0" w:after="0" w:afterAutospacing="0"/>
              <w:ind w:right="34"/>
              <w:rPr>
                <w:rFonts w:ascii="Arial" w:hAnsi="Arial" w:cs="Arial"/>
                <w:sz w:val="22"/>
                <w:szCs w:val="22"/>
              </w:rPr>
            </w:pPr>
          </w:p>
        </w:tc>
      </w:tr>
      <w:tr w:rsidR="002871FB" w:rsidRPr="00230F35" w14:paraId="1AE50A89" w14:textId="77777777" w:rsidTr="009113E7">
        <w:trPr>
          <w:trHeight w:val="850"/>
        </w:trPr>
        <w:tc>
          <w:tcPr>
            <w:tcW w:w="5015" w:type="dxa"/>
          </w:tcPr>
          <w:p w14:paraId="5DAF02A7" w14:textId="171D6141" w:rsidR="002871FB" w:rsidRPr="00230F35"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AHHI7016</w:t>
            </w:r>
          </w:p>
          <w:p w14:paraId="1E059DF5" w14:textId="77777777" w:rsidR="002871FB" w:rsidRPr="00230F35" w:rsidRDefault="002871FB" w:rsidP="009113E7">
            <w:pPr>
              <w:pStyle w:val="NormalWeb"/>
              <w:spacing w:before="0" w:beforeAutospacing="0" w:after="0" w:afterAutospacing="0"/>
              <w:ind w:right="34"/>
              <w:rPr>
                <w:rFonts w:ascii="Arial" w:hAnsi="Arial" w:cs="Arial"/>
                <w:sz w:val="22"/>
                <w:szCs w:val="22"/>
              </w:rPr>
            </w:pPr>
          </w:p>
          <w:p w14:paraId="588978F3" w14:textId="2F79615B" w:rsidR="002871FB"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Studying the Medieval: Manuscripts and Records</w:t>
            </w:r>
          </w:p>
          <w:p w14:paraId="55DB3977" w14:textId="77777777" w:rsidR="002871FB" w:rsidRPr="00230F35" w:rsidRDefault="002871FB" w:rsidP="009113E7">
            <w:pPr>
              <w:pStyle w:val="NormalWeb"/>
              <w:spacing w:before="0" w:beforeAutospacing="0" w:after="0" w:afterAutospacing="0"/>
              <w:ind w:right="34"/>
              <w:rPr>
                <w:rFonts w:ascii="Arial" w:hAnsi="Arial" w:cs="Arial"/>
                <w:sz w:val="22"/>
                <w:szCs w:val="22"/>
              </w:rPr>
            </w:pPr>
          </w:p>
        </w:tc>
        <w:tc>
          <w:tcPr>
            <w:tcW w:w="2373" w:type="dxa"/>
            <w:gridSpan w:val="3"/>
          </w:tcPr>
          <w:p w14:paraId="23B62303" w14:textId="77777777" w:rsidR="002871FB"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63873CE" w14:textId="3E7A878E" w:rsidR="002871FB" w:rsidRPr="00230F35" w:rsidRDefault="002871FB" w:rsidP="009113E7">
            <w:pPr>
              <w:pStyle w:val="NormalWeb"/>
              <w:spacing w:before="0" w:beforeAutospacing="0" w:after="0" w:afterAutospacing="0"/>
              <w:ind w:right="34"/>
              <w:rPr>
                <w:rFonts w:ascii="Arial" w:hAnsi="Arial" w:cs="Arial"/>
                <w:sz w:val="22"/>
                <w:szCs w:val="22"/>
              </w:rPr>
            </w:pPr>
            <w:r>
              <w:rPr>
                <w:rFonts w:ascii="Arial" w:hAnsi="Arial" w:cs="Arial"/>
                <w:sz w:val="22"/>
                <w:szCs w:val="22"/>
              </w:rPr>
              <w:t>1807205</w:t>
            </w:r>
          </w:p>
        </w:tc>
        <w:tc>
          <w:tcPr>
            <w:tcW w:w="1887" w:type="dxa"/>
          </w:tcPr>
          <w:p w14:paraId="4EBF7D0D" w14:textId="77777777" w:rsidR="002871FB" w:rsidRPr="00230F35"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32D460C" w14:textId="7DAF1C63" w:rsidR="002871FB" w:rsidRPr="00230F35"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2871FB" w:rsidRPr="00230F35" w14:paraId="3067654A" w14:textId="77777777" w:rsidTr="009113E7">
        <w:trPr>
          <w:trHeight w:val="1140"/>
        </w:trPr>
        <w:tc>
          <w:tcPr>
            <w:tcW w:w="9276" w:type="dxa"/>
            <w:gridSpan w:val="5"/>
          </w:tcPr>
          <w:p w14:paraId="5FD1EAE1" w14:textId="0FC73DFC" w:rsidR="002871FB" w:rsidRPr="00230F35" w:rsidRDefault="002871FB" w:rsidP="009113E7">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E90E09">
              <w:rPr>
                <w:rFonts w:ascii="Arial" w:hAnsi="Arial" w:cs="Arial"/>
                <w:sz w:val="22"/>
                <w:szCs w:val="22"/>
              </w:rPr>
              <w:t xml:space="preserve"> Professor Janet Burton</w:t>
            </w:r>
          </w:p>
          <w:p w14:paraId="132CB406" w14:textId="77777777" w:rsidR="002871FB" w:rsidRPr="00230F35" w:rsidRDefault="002871FB" w:rsidP="009113E7">
            <w:pPr>
              <w:pStyle w:val="NormalWeb"/>
              <w:spacing w:before="0" w:beforeAutospacing="0" w:after="0" w:afterAutospacing="0"/>
              <w:ind w:right="34"/>
              <w:rPr>
                <w:rFonts w:ascii="Arial" w:hAnsi="Arial" w:cs="Arial"/>
                <w:sz w:val="22"/>
                <w:szCs w:val="22"/>
              </w:rPr>
            </w:pPr>
          </w:p>
          <w:p w14:paraId="35030E71" w14:textId="77777777" w:rsidR="002871FB" w:rsidRDefault="002871FB" w:rsidP="009113E7">
            <w:pPr>
              <w:pStyle w:val="NormalWeb"/>
              <w:spacing w:before="0" w:beforeAutospacing="0" w:after="0" w:afterAutospacing="0"/>
              <w:ind w:right="34"/>
              <w:rPr>
                <w:rFonts w:ascii="Arial" w:hAnsi="Arial" w:cs="Arial"/>
                <w:sz w:val="22"/>
                <w:szCs w:val="22"/>
              </w:rPr>
            </w:pPr>
          </w:p>
          <w:p w14:paraId="514DCABC" w14:textId="7612AEDF" w:rsidR="002871FB" w:rsidRPr="00230F35"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E90E09">
              <w:rPr>
                <w:rFonts w:ascii="Arial" w:hAnsi="Arial" w:cs="Arial"/>
                <w:sz w:val="22"/>
                <w:szCs w:val="22"/>
              </w:rPr>
              <w:t xml:space="preserve">  12 June 2020</w:t>
            </w:r>
          </w:p>
        </w:tc>
      </w:tr>
      <w:tr w:rsidR="002871FB" w:rsidRPr="00230F35" w14:paraId="21A67041" w14:textId="77777777" w:rsidTr="009113E7">
        <w:trPr>
          <w:trHeight w:val="979"/>
        </w:trPr>
        <w:tc>
          <w:tcPr>
            <w:tcW w:w="9276" w:type="dxa"/>
            <w:gridSpan w:val="5"/>
            <w:tcBorders>
              <w:bottom w:val="single" w:sz="4" w:space="0" w:color="000000"/>
            </w:tcBorders>
          </w:tcPr>
          <w:p w14:paraId="09A59D4E" w14:textId="77777777" w:rsidR="002871FB" w:rsidRDefault="002871FB" w:rsidP="009113E7">
            <w:pPr>
              <w:rPr>
                <w:rFonts w:ascii="Arial" w:hAnsi="Arial" w:cs="Arial"/>
              </w:rPr>
            </w:pPr>
            <w:r>
              <w:rPr>
                <w:rFonts w:ascii="Arial" w:hAnsi="Arial" w:cs="Arial"/>
              </w:rPr>
              <w:t>If your module has multiple submissions please indicate which piece of work this is.</w:t>
            </w:r>
          </w:p>
          <w:p w14:paraId="31906F83" w14:textId="77777777" w:rsidR="002871FB" w:rsidRDefault="002871FB" w:rsidP="009113E7">
            <w:pPr>
              <w:rPr>
                <w:rFonts w:ascii="Arial" w:hAnsi="Arial" w:cs="Arial"/>
              </w:rPr>
            </w:pPr>
          </w:p>
          <w:p w14:paraId="0D12B495" w14:textId="45CB9394" w:rsidR="002871FB" w:rsidRPr="00230F35" w:rsidRDefault="002871FB" w:rsidP="00E90E09">
            <w:pPr>
              <w:jc w:val="both"/>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E90E09">
              <w:rPr>
                <w:rFonts w:ascii="Arial" w:hAnsi="Arial" w:cs="Arial"/>
              </w:rPr>
              <w:t>X</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p>
        </w:tc>
      </w:tr>
      <w:tr w:rsidR="002871FB" w:rsidRPr="00230F35" w14:paraId="42919BB3" w14:textId="77777777" w:rsidTr="009113E7">
        <w:trPr>
          <w:trHeight w:val="979"/>
        </w:trPr>
        <w:tc>
          <w:tcPr>
            <w:tcW w:w="9276" w:type="dxa"/>
            <w:gridSpan w:val="5"/>
            <w:shd w:val="clear" w:color="auto" w:fill="D9D9D9"/>
          </w:tcPr>
          <w:p w14:paraId="092D22F7" w14:textId="77777777" w:rsidR="002871FB" w:rsidRPr="00230F35"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3A31DCC" w14:textId="3AD277AD" w:rsidR="002871FB" w:rsidRDefault="002871FB" w:rsidP="009113E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sidR="00E90E09">
              <w:rPr>
                <w:rFonts w:ascii="Arial" w:hAnsi="Arial" w:cs="Arial"/>
                <w:sz w:val="22"/>
                <w:szCs w:val="22"/>
              </w:rPr>
              <w:t xml:space="preserve">J.M.T. </w:t>
            </w:r>
            <w:proofErr w:type="spellStart"/>
            <w:r w:rsidR="00E90E09">
              <w:rPr>
                <w:rFonts w:ascii="Arial" w:hAnsi="Arial" w:cs="Arial"/>
                <w:sz w:val="22"/>
                <w:szCs w:val="22"/>
              </w:rPr>
              <w:t>Dunkling</w:t>
            </w:r>
            <w:proofErr w:type="spellEnd"/>
          </w:p>
          <w:p w14:paraId="43BADA33" w14:textId="3745EA4F" w:rsidR="002871FB" w:rsidRDefault="002871FB" w:rsidP="009113E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E90E09">
              <w:rPr>
                <w:rFonts w:ascii="Calibri" w:hAnsi="Calibri" w:cs="Calibri"/>
                <w:b/>
                <w:sz w:val="24"/>
                <w:szCs w:val="24"/>
              </w:rPr>
              <w:t>√</w:t>
            </w:r>
            <w:r w:rsidRPr="005979EE">
              <w:rPr>
                <w:rFonts w:ascii="Calibri" w:hAnsi="Calibri" w:cs="Calibri"/>
                <w:b/>
                <w:sz w:val="44"/>
                <w:szCs w:val="44"/>
              </w:rPr>
              <w:t>□</w:t>
            </w:r>
          </w:p>
          <w:p w14:paraId="7251AE1E" w14:textId="77777777" w:rsidR="002871FB" w:rsidRPr="00230F35" w:rsidRDefault="002871FB" w:rsidP="009113E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871FB" w:rsidRPr="00230F35" w14:paraId="5B23589E" w14:textId="77777777" w:rsidTr="009113E7">
        <w:trPr>
          <w:trHeight w:val="3977"/>
        </w:trPr>
        <w:tc>
          <w:tcPr>
            <w:tcW w:w="9276" w:type="dxa"/>
            <w:gridSpan w:val="5"/>
          </w:tcPr>
          <w:p w14:paraId="670F03F5" w14:textId="77777777" w:rsidR="002871FB" w:rsidRDefault="002871FB" w:rsidP="009113E7">
            <w:pPr>
              <w:rPr>
                <w:rFonts w:ascii="Arial" w:hAnsi="Arial"/>
                <w:b/>
              </w:rPr>
            </w:pPr>
          </w:p>
          <w:p w14:paraId="4617B75A" w14:textId="77777777" w:rsidR="002871FB" w:rsidRPr="00116CE6" w:rsidRDefault="002871FB" w:rsidP="009113E7">
            <w:pPr>
              <w:rPr>
                <w:rFonts w:ascii="Arial" w:hAnsi="Arial"/>
              </w:rPr>
            </w:pPr>
            <w:r w:rsidRPr="00116CE6">
              <w:rPr>
                <w:rFonts w:ascii="Arial" w:hAnsi="Arial"/>
                <w:b/>
              </w:rPr>
              <w:t>Assignment Mark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0"/>
              <w:gridCol w:w="1738"/>
            </w:tblGrid>
            <w:tr w:rsidR="002871FB" w:rsidRPr="00116CE6" w14:paraId="613A637F" w14:textId="77777777" w:rsidTr="009113E7">
              <w:trPr>
                <w:trHeight w:val="450"/>
              </w:trPr>
              <w:tc>
                <w:tcPr>
                  <w:tcW w:w="7300" w:type="dxa"/>
                </w:tcPr>
                <w:p w14:paraId="16E1E05F" w14:textId="77777777" w:rsidR="002871FB" w:rsidRPr="00116CE6" w:rsidRDefault="002871FB" w:rsidP="009113E7">
                  <w:pPr>
                    <w:rPr>
                      <w:rFonts w:ascii="Arial" w:hAnsi="Arial"/>
                      <w:sz w:val="20"/>
                      <w:szCs w:val="20"/>
                    </w:rPr>
                  </w:pPr>
                </w:p>
                <w:p w14:paraId="72696CD5" w14:textId="77777777" w:rsidR="002871FB" w:rsidRPr="00116CE6" w:rsidRDefault="002871FB" w:rsidP="009113E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738" w:type="dxa"/>
                </w:tcPr>
                <w:p w14:paraId="51811CCA" w14:textId="77777777" w:rsidR="002871FB" w:rsidRPr="00116CE6" w:rsidRDefault="002871FB" w:rsidP="009113E7">
                  <w:pPr>
                    <w:rPr>
                      <w:rFonts w:ascii="Arial" w:hAnsi="Arial"/>
                      <w:sz w:val="20"/>
                      <w:szCs w:val="20"/>
                    </w:rPr>
                  </w:pPr>
                </w:p>
              </w:tc>
            </w:tr>
            <w:tr w:rsidR="002871FB" w:rsidRPr="00116CE6" w14:paraId="34603ACA" w14:textId="77777777" w:rsidTr="009113E7">
              <w:trPr>
                <w:trHeight w:val="465"/>
              </w:trPr>
              <w:tc>
                <w:tcPr>
                  <w:tcW w:w="7300" w:type="dxa"/>
                </w:tcPr>
                <w:p w14:paraId="1807F17B" w14:textId="77777777" w:rsidR="002871FB" w:rsidRPr="00116CE6" w:rsidRDefault="002871FB" w:rsidP="009113E7">
                  <w:pPr>
                    <w:rPr>
                      <w:rFonts w:ascii="Arial" w:hAnsi="Arial"/>
                      <w:sz w:val="20"/>
                      <w:szCs w:val="20"/>
                    </w:rPr>
                  </w:pPr>
                </w:p>
                <w:p w14:paraId="03C7B635" w14:textId="77777777" w:rsidR="002871FB" w:rsidRPr="00116CE6" w:rsidRDefault="002871FB" w:rsidP="009113E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738" w:type="dxa"/>
                </w:tcPr>
                <w:p w14:paraId="1FA5BD69" w14:textId="77777777" w:rsidR="002871FB" w:rsidRPr="00116CE6" w:rsidRDefault="002871FB" w:rsidP="009113E7">
                  <w:pPr>
                    <w:rPr>
                      <w:rFonts w:ascii="Arial" w:hAnsi="Arial"/>
                      <w:sz w:val="20"/>
                      <w:szCs w:val="20"/>
                    </w:rPr>
                  </w:pPr>
                </w:p>
              </w:tc>
            </w:tr>
            <w:tr w:rsidR="002871FB" w:rsidRPr="00116CE6" w14:paraId="269001C5" w14:textId="77777777" w:rsidTr="009113E7">
              <w:trPr>
                <w:trHeight w:val="450"/>
              </w:trPr>
              <w:tc>
                <w:tcPr>
                  <w:tcW w:w="7300" w:type="dxa"/>
                </w:tcPr>
                <w:p w14:paraId="6ABC2275" w14:textId="77777777" w:rsidR="002871FB" w:rsidRPr="00116CE6" w:rsidRDefault="002871FB" w:rsidP="009113E7">
                  <w:pPr>
                    <w:rPr>
                      <w:rFonts w:ascii="Arial" w:hAnsi="Arial"/>
                      <w:sz w:val="20"/>
                      <w:szCs w:val="20"/>
                    </w:rPr>
                  </w:pPr>
                </w:p>
                <w:p w14:paraId="4E82E2DB" w14:textId="77777777" w:rsidR="002871FB" w:rsidRPr="00116CE6" w:rsidRDefault="002871FB" w:rsidP="009113E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738" w:type="dxa"/>
                </w:tcPr>
                <w:p w14:paraId="0E45CB2C" w14:textId="77777777" w:rsidR="002871FB" w:rsidRPr="00116CE6" w:rsidRDefault="002871FB" w:rsidP="009113E7">
                  <w:pPr>
                    <w:rPr>
                      <w:rFonts w:ascii="Arial" w:hAnsi="Arial"/>
                      <w:sz w:val="20"/>
                      <w:szCs w:val="20"/>
                    </w:rPr>
                  </w:pPr>
                </w:p>
              </w:tc>
            </w:tr>
            <w:tr w:rsidR="002871FB" w:rsidRPr="00116CE6" w14:paraId="0A8864FE" w14:textId="77777777" w:rsidTr="009113E7">
              <w:trPr>
                <w:trHeight w:val="675"/>
              </w:trPr>
              <w:tc>
                <w:tcPr>
                  <w:tcW w:w="7300" w:type="dxa"/>
                </w:tcPr>
                <w:p w14:paraId="7DA0B18A" w14:textId="77777777" w:rsidR="002871FB" w:rsidRDefault="002871FB" w:rsidP="009113E7">
                  <w:pPr>
                    <w:rPr>
                      <w:rFonts w:ascii="Arial" w:hAnsi="Arial"/>
                      <w:sz w:val="20"/>
                      <w:szCs w:val="20"/>
                    </w:rPr>
                  </w:pPr>
                </w:p>
                <w:p w14:paraId="18C7E635" w14:textId="77777777" w:rsidR="002871FB" w:rsidRPr="00022345" w:rsidRDefault="002871FB" w:rsidP="009113E7">
                  <w:pPr>
                    <w:rPr>
                      <w:rFonts w:ascii="Arial" w:hAnsi="Arial"/>
                      <w:b/>
                      <w:sz w:val="20"/>
                      <w:szCs w:val="20"/>
                    </w:rPr>
                  </w:pPr>
                  <w:r w:rsidRPr="00022345">
                    <w:rPr>
                      <w:rFonts w:ascii="Arial" w:hAnsi="Arial"/>
                      <w:b/>
                      <w:sz w:val="20"/>
                      <w:szCs w:val="20"/>
                    </w:rPr>
                    <w:t>Final Mark</w:t>
                  </w:r>
                </w:p>
                <w:p w14:paraId="47D74875" w14:textId="77777777" w:rsidR="002871FB" w:rsidRPr="00116CE6" w:rsidRDefault="002871FB" w:rsidP="009113E7">
                  <w:pPr>
                    <w:rPr>
                      <w:rFonts w:ascii="Arial" w:hAnsi="Arial"/>
                      <w:sz w:val="20"/>
                      <w:szCs w:val="20"/>
                    </w:rPr>
                  </w:pPr>
                </w:p>
              </w:tc>
              <w:tc>
                <w:tcPr>
                  <w:tcW w:w="1738" w:type="dxa"/>
                </w:tcPr>
                <w:p w14:paraId="29039C1A" w14:textId="77777777" w:rsidR="002871FB" w:rsidRPr="00116CE6" w:rsidRDefault="002871FB" w:rsidP="009113E7">
                  <w:pPr>
                    <w:rPr>
                      <w:rFonts w:ascii="Arial" w:hAnsi="Arial"/>
                      <w:sz w:val="20"/>
                      <w:szCs w:val="20"/>
                    </w:rPr>
                  </w:pPr>
                </w:p>
              </w:tc>
            </w:tr>
          </w:tbl>
          <w:p w14:paraId="2D972C0E" w14:textId="77777777" w:rsidR="002871FB" w:rsidRDefault="002871FB" w:rsidP="009113E7">
            <w:pPr>
              <w:pStyle w:val="NormalWeb"/>
              <w:spacing w:before="0" w:beforeAutospacing="0" w:after="0" w:afterAutospacing="0"/>
              <w:ind w:left="142" w:right="34"/>
              <w:rPr>
                <w:rFonts w:ascii="Arial" w:hAnsi="Arial" w:cs="Arial"/>
                <w:b/>
                <w:sz w:val="22"/>
                <w:szCs w:val="22"/>
              </w:rPr>
            </w:pPr>
          </w:p>
          <w:p w14:paraId="1B81EF61" w14:textId="77777777" w:rsidR="002871FB" w:rsidRPr="00230F35" w:rsidRDefault="002871FB" w:rsidP="009113E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2C90AFE" w14:textId="77777777" w:rsidR="002871FB" w:rsidRDefault="002871FB" w:rsidP="009113E7">
            <w:pPr>
              <w:pStyle w:val="NormalWeb"/>
              <w:spacing w:before="0" w:beforeAutospacing="0" w:after="0" w:afterAutospacing="0"/>
              <w:rPr>
                <w:rFonts w:ascii="Arial" w:hAnsi="Arial" w:cs="Arial"/>
                <w:b/>
                <w:sz w:val="22"/>
                <w:szCs w:val="22"/>
              </w:rPr>
            </w:pPr>
          </w:p>
          <w:p w14:paraId="55B7994D" w14:textId="77777777" w:rsidR="002871FB" w:rsidRDefault="002871FB" w:rsidP="009113E7">
            <w:pPr>
              <w:pStyle w:val="NormalWeb"/>
              <w:spacing w:before="0" w:beforeAutospacing="0" w:after="0" w:afterAutospacing="0"/>
              <w:rPr>
                <w:rFonts w:ascii="Arial" w:hAnsi="Arial" w:cs="Arial"/>
                <w:b/>
                <w:sz w:val="22"/>
                <w:szCs w:val="22"/>
              </w:rPr>
            </w:pPr>
          </w:p>
          <w:p w14:paraId="7F80EF71" w14:textId="77777777" w:rsidR="002871FB" w:rsidRDefault="002871FB" w:rsidP="009113E7">
            <w:pPr>
              <w:pStyle w:val="NormalWeb"/>
              <w:spacing w:before="0" w:beforeAutospacing="0" w:after="0" w:afterAutospacing="0"/>
              <w:rPr>
                <w:rFonts w:ascii="Arial" w:hAnsi="Arial" w:cs="Arial"/>
                <w:b/>
                <w:sz w:val="22"/>
                <w:szCs w:val="22"/>
              </w:rPr>
            </w:pPr>
          </w:p>
          <w:p w14:paraId="106EC567" w14:textId="77777777" w:rsidR="002871FB" w:rsidRDefault="002871FB" w:rsidP="009113E7">
            <w:pPr>
              <w:pStyle w:val="NormalWeb"/>
              <w:spacing w:before="0" w:beforeAutospacing="0" w:after="0" w:afterAutospacing="0"/>
              <w:rPr>
                <w:rFonts w:ascii="Arial" w:hAnsi="Arial" w:cs="Arial"/>
                <w:b/>
                <w:sz w:val="22"/>
                <w:szCs w:val="22"/>
              </w:rPr>
            </w:pPr>
          </w:p>
          <w:p w14:paraId="0497C3EF" w14:textId="77777777" w:rsidR="002871FB" w:rsidRDefault="002871FB" w:rsidP="009113E7">
            <w:pPr>
              <w:pStyle w:val="NormalWeb"/>
              <w:spacing w:before="0" w:beforeAutospacing="0" w:after="0" w:afterAutospacing="0"/>
              <w:rPr>
                <w:rFonts w:ascii="Arial" w:hAnsi="Arial" w:cs="Arial"/>
                <w:b/>
                <w:sz w:val="22"/>
                <w:szCs w:val="22"/>
              </w:rPr>
            </w:pPr>
          </w:p>
          <w:p w14:paraId="4D444E30" w14:textId="77777777" w:rsidR="002871FB" w:rsidRPr="00230F35" w:rsidRDefault="002871FB" w:rsidP="009113E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0786147" w14:textId="77777777" w:rsidR="002871FB" w:rsidRDefault="002871FB" w:rsidP="009113E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538B277" w14:textId="77777777" w:rsidR="002871FB" w:rsidRPr="00001C3B" w:rsidRDefault="002871FB" w:rsidP="009113E7">
            <w:pPr>
              <w:pStyle w:val="NormalWeb"/>
              <w:rPr>
                <w:rFonts w:ascii="Arial" w:hAnsi="Arial" w:cs="Arial"/>
                <w:sz w:val="22"/>
                <w:szCs w:val="22"/>
              </w:rPr>
            </w:pPr>
          </w:p>
        </w:tc>
      </w:tr>
      <w:tr w:rsidR="002871FB" w:rsidRPr="00230F35" w14:paraId="698027CF" w14:textId="77777777" w:rsidTr="009113E7">
        <w:trPr>
          <w:trHeight w:val="492"/>
        </w:trPr>
        <w:tc>
          <w:tcPr>
            <w:tcW w:w="7089" w:type="dxa"/>
            <w:gridSpan w:val="3"/>
          </w:tcPr>
          <w:p w14:paraId="760B99FC" w14:textId="77777777" w:rsidR="002871FB" w:rsidRPr="00230F35" w:rsidRDefault="002871FB" w:rsidP="009113E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187" w:type="dxa"/>
            <w:gridSpan w:val="2"/>
          </w:tcPr>
          <w:p w14:paraId="361F4AAA" w14:textId="77777777" w:rsidR="002871FB" w:rsidRPr="00230F35" w:rsidRDefault="002871FB" w:rsidP="009113E7">
            <w:pPr>
              <w:pStyle w:val="NormalWeb"/>
              <w:spacing w:after="0"/>
              <w:ind w:left="142" w:right="34"/>
              <w:rPr>
                <w:rFonts w:ascii="Arial" w:hAnsi="Arial" w:cs="Arial"/>
                <w:sz w:val="22"/>
                <w:szCs w:val="22"/>
              </w:rPr>
            </w:pPr>
            <w:r w:rsidRPr="00230F35">
              <w:rPr>
                <w:rFonts w:ascii="Arial" w:hAnsi="Arial" w:cs="Arial"/>
                <w:sz w:val="22"/>
                <w:szCs w:val="22"/>
              </w:rPr>
              <w:t>Date:</w:t>
            </w:r>
          </w:p>
        </w:tc>
      </w:tr>
      <w:tr w:rsidR="002871FB" w:rsidRPr="002F467C" w14:paraId="51FE13CB" w14:textId="77777777" w:rsidTr="009113E7">
        <w:trPr>
          <w:trHeight w:val="1772"/>
        </w:trPr>
        <w:tc>
          <w:tcPr>
            <w:tcW w:w="9276" w:type="dxa"/>
            <w:gridSpan w:val="5"/>
          </w:tcPr>
          <w:p w14:paraId="7484180C" w14:textId="77777777" w:rsidR="002871FB" w:rsidRPr="00230F35" w:rsidRDefault="002871FB" w:rsidP="009113E7">
            <w:pPr>
              <w:pStyle w:val="NormalWeb"/>
              <w:spacing w:before="0" w:beforeAutospacing="0" w:after="0" w:afterAutospacing="0"/>
              <w:ind w:right="-334"/>
              <w:rPr>
                <w:rFonts w:ascii="Arial" w:hAnsi="Arial" w:cs="Arial"/>
                <w:bCs/>
                <w:i/>
                <w:sz w:val="22"/>
                <w:szCs w:val="22"/>
              </w:rPr>
            </w:pPr>
          </w:p>
          <w:p w14:paraId="0A9B7B20" w14:textId="77777777" w:rsidR="002871FB" w:rsidRPr="00230F35" w:rsidRDefault="002871FB" w:rsidP="009113E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9CF2A5C" w14:textId="77777777" w:rsidR="002871FB" w:rsidRPr="00230F35" w:rsidRDefault="002871FB" w:rsidP="009113E7">
            <w:pPr>
              <w:pStyle w:val="NormalWeb"/>
              <w:spacing w:before="0" w:beforeAutospacing="0" w:after="0" w:afterAutospacing="0"/>
              <w:ind w:right="-334"/>
              <w:rPr>
                <w:rFonts w:ascii="Arial" w:hAnsi="Arial" w:cs="Arial"/>
                <w:b/>
                <w:bCs/>
                <w:sz w:val="22"/>
                <w:szCs w:val="22"/>
              </w:rPr>
            </w:pPr>
          </w:p>
          <w:p w14:paraId="6B98B395"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C2E42C1"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p>
          <w:p w14:paraId="75C3C80B"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p>
          <w:p w14:paraId="72DE3758"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p>
        </w:tc>
      </w:tr>
      <w:tr w:rsidR="002871FB" w:rsidRPr="002F467C" w14:paraId="10671E17" w14:textId="77777777" w:rsidTr="009113E7">
        <w:trPr>
          <w:trHeight w:val="721"/>
        </w:trPr>
        <w:tc>
          <w:tcPr>
            <w:tcW w:w="5458" w:type="dxa"/>
            <w:gridSpan w:val="2"/>
          </w:tcPr>
          <w:p w14:paraId="1B4A3115"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817" w:type="dxa"/>
            <w:gridSpan w:val="3"/>
          </w:tcPr>
          <w:p w14:paraId="0849C068"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871FB" w:rsidRPr="002F467C" w14:paraId="6374A72B" w14:textId="77777777" w:rsidTr="009113E7">
        <w:trPr>
          <w:trHeight w:val="721"/>
        </w:trPr>
        <w:tc>
          <w:tcPr>
            <w:tcW w:w="9276" w:type="dxa"/>
            <w:gridSpan w:val="5"/>
          </w:tcPr>
          <w:p w14:paraId="5EFA16B2" w14:textId="77777777" w:rsidR="002871FB" w:rsidRPr="00B34964" w:rsidRDefault="002871FB" w:rsidP="009113E7">
            <w:pPr>
              <w:rPr>
                <w:rFonts w:ascii="Arial" w:hAnsi="Arial" w:cs="Arial"/>
                <w:b/>
              </w:rPr>
            </w:pPr>
            <w:r w:rsidRPr="00B34964">
              <w:rPr>
                <w:rFonts w:ascii="Arial" w:hAnsi="Arial" w:cs="Arial"/>
                <w:b/>
              </w:rPr>
              <w:t>External Examiner’s comments (if relevant)</w:t>
            </w:r>
          </w:p>
          <w:p w14:paraId="3B45894D"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p>
          <w:p w14:paraId="75B11241"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p>
          <w:p w14:paraId="25164C2A" w14:textId="77777777" w:rsidR="002871FB" w:rsidRPr="00230F35" w:rsidRDefault="002871FB" w:rsidP="009113E7">
            <w:pPr>
              <w:pStyle w:val="NormalWeb"/>
              <w:spacing w:before="0" w:beforeAutospacing="0" w:after="0" w:afterAutospacing="0"/>
              <w:ind w:right="-334"/>
              <w:rPr>
                <w:rFonts w:ascii="Arial" w:hAnsi="Arial" w:cs="Arial"/>
                <w:bCs/>
                <w:sz w:val="22"/>
                <w:szCs w:val="22"/>
              </w:rPr>
            </w:pPr>
          </w:p>
        </w:tc>
      </w:tr>
      <w:tr w:rsidR="002871FB" w:rsidRPr="002F467C" w14:paraId="5CC722EE" w14:textId="77777777" w:rsidTr="009113E7">
        <w:trPr>
          <w:trHeight w:val="721"/>
        </w:trPr>
        <w:tc>
          <w:tcPr>
            <w:tcW w:w="5458" w:type="dxa"/>
            <w:gridSpan w:val="2"/>
          </w:tcPr>
          <w:p w14:paraId="0D3E1A81" w14:textId="77777777" w:rsidR="002871FB" w:rsidRPr="00230F35" w:rsidRDefault="002871FB" w:rsidP="009113E7">
            <w:pPr>
              <w:rPr>
                <w:rFonts w:ascii="Arial" w:hAnsi="Arial" w:cs="Arial"/>
              </w:rPr>
            </w:pPr>
            <w:r w:rsidRPr="00230F35">
              <w:rPr>
                <w:rFonts w:ascii="Arial" w:hAnsi="Arial" w:cs="Arial"/>
              </w:rPr>
              <w:t>External Examiner’s Signature:</w:t>
            </w:r>
          </w:p>
        </w:tc>
        <w:tc>
          <w:tcPr>
            <w:tcW w:w="3817" w:type="dxa"/>
            <w:gridSpan w:val="3"/>
          </w:tcPr>
          <w:p w14:paraId="228B8056" w14:textId="77777777" w:rsidR="002871FB" w:rsidRPr="00230F35" w:rsidRDefault="002871FB" w:rsidP="009113E7">
            <w:pPr>
              <w:rPr>
                <w:rFonts w:ascii="Arial" w:hAnsi="Arial" w:cs="Arial"/>
              </w:rPr>
            </w:pPr>
            <w:r w:rsidRPr="00230F35">
              <w:rPr>
                <w:rFonts w:ascii="Arial" w:hAnsi="Arial" w:cs="Arial"/>
              </w:rPr>
              <w:t>Date:</w:t>
            </w:r>
          </w:p>
        </w:tc>
      </w:tr>
      <w:bookmarkEnd w:id="0"/>
    </w:tbl>
    <w:p w14:paraId="5E93ED6F" w14:textId="77777777" w:rsidR="002871FB" w:rsidRPr="00D67BF8" w:rsidRDefault="002871FB" w:rsidP="002871FB">
      <w:pPr>
        <w:pStyle w:val="NormalWeb"/>
        <w:spacing w:before="0" w:beforeAutospacing="0" w:after="0" w:afterAutospacing="0"/>
        <w:ind w:right="-334"/>
        <w:rPr>
          <w:rFonts w:ascii="Trebuchet MS" w:hAnsi="Trebuchet MS" w:cs="Tahoma"/>
          <w:bCs/>
          <w:sz w:val="24"/>
          <w:szCs w:val="24"/>
        </w:rPr>
      </w:pPr>
    </w:p>
    <w:p w14:paraId="0886CA63" w14:textId="77777777" w:rsidR="002871FB" w:rsidRDefault="002871FB" w:rsidP="002871FB">
      <w:pPr>
        <w:jc w:val="left"/>
        <w:rPr>
          <w:b/>
          <w:bCs/>
          <w:sz w:val="24"/>
          <w:szCs w:val="24"/>
        </w:rPr>
      </w:pPr>
    </w:p>
    <w:p w14:paraId="7517DA77" w14:textId="77777777" w:rsidR="002871FB" w:rsidRDefault="002871FB" w:rsidP="00AE72C3">
      <w:pPr>
        <w:rPr>
          <w:b/>
          <w:bCs/>
          <w:sz w:val="24"/>
          <w:szCs w:val="24"/>
        </w:rPr>
      </w:pPr>
    </w:p>
    <w:p w14:paraId="378D2240" w14:textId="77777777" w:rsidR="002871FB" w:rsidRDefault="002871FB" w:rsidP="00AE72C3">
      <w:pPr>
        <w:rPr>
          <w:b/>
          <w:bCs/>
          <w:sz w:val="24"/>
          <w:szCs w:val="24"/>
        </w:rPr>
      </w:pPr>
    </w:p>
    <w:p w14:paraId="3789C22D" w14:textId="77777777" w:rsidR="00E90E09" w:rsidRDefault="00E90E09" w:rsidP="00AE72C3">
      <w:pPr>
        <w:rPr>
          <w:b/>
          <w:bCs/>
          <w:sz w:val="24"/>
          <w:szCs w:val="24"/>
        </w:rPr>
      </w:pPr>
    </w:p>
    <w:p w14:paraId="65230442" w14:textId="77777777" w:rsidR="00E90E09" w:rsidRDefault="00E90E09" w:rsidP="00AE72C3">
      <w:pPr>
        <w:rPr>
          <w:b/>
          <w:bCs/>
          <w:sz w:val="24"/>
          <w:szCs w:val="24"/>
        </w:rPr>
      </w:pPr>
    </w:p>
    <w:p w14:paraId="122E023F" w14:textId="77777777" w:rsidR="00E90E09" w:rsidRDefault="00E90E09" w:rsidP="00AE72C3">
      <w:pPr>
        <w:rPr>
          <w:b/>
          <w:bCs/>
          <w:sz w:val="24"/>
          <w:szCs w:val="24"/>
        </w:rPr>
      </w:pPr>
    </w:p>
    <w:p w14:paraId="77764330" w14:textId="77777777" w:rsidR="00E90E09" w:rsidRDefault="00E90E09" w:rsidP="00AE72C3">
      <w:pPr>
        <w:rPr>
          <w:b/>
          <w:bCs/>
          <w:sz w:val="24"/>
          <w:szCs w:val="24"/>
        </w:rPr>
      </w:pPr>
    </w:p>
    <w:p w14:paraId="05DF9243" w14:textId="77777777" w:rsidR="00E90E09" w:rsidRDefault="00E90E09" w:rsidP="00AE72C3">
      <w:pPr>
        <w:rPr>
          <w:b/>
          <w:bCs/>
          <w:sz w:val="24"/>
          <w:szCs w:val="24"/>
        </w:rPr>
      </w:pPr>
    </w:p>
    <w:p w14:paraId="6B9F90CB" w14:textId="77777777" w:rsidR="00E90E09" w:rsidRDefault="00E90E09" w:rsidP="00AE72C3">
      <w:pPr>
        <w:rPr>
          <w:b/>
          <w:bCs/>
          <w:sz w:val="24"/>
          <w:szCs w:val="24"/>
        </w:rPr>
      </w:pPr>
    </w:p>
    <w:p w14:paraId="2862F72F" w14:textId="77777777" w:rsidR="00E90E09" w:rsidRDefault="00E90E09" w:rsidP="00AE72C3">
      <w:pPr>
        <w:rPr>
          <w:b/>
          <w:bCs/>
          <w:sz w:val="24"/>
          <w:szCs w:val="24"/>
        </w:rPr>
      </w:pPr>
    </w:p>
    <w:p w14:paraId="701AB62D" w14:textId="77777777" w:rsidR="00E90E09" w:rsidRDefault="00E90E09" w:rsidP="00AE72C3">
      <w:pPr>
        <w:rPr>
          <w:b/>
          <w:bCs/>
          <w:sz w:val="24"/>
          <w:szCs w:val="24"/>
        </w:rPr>
      </w:pPr>
    </w:p>
    <w:p w14:paraId="124A4BD3" w14:textId="77B183D0" w:rsidR="009721CF" w:rsidRDefault="00AE72C3" w:rsidP="00AE72C3">
      <w:pPr>
        <w:rPr>
          <w:b/>
          <w:bCs/>
          <w:sz w:val="24"/>
          <w:szCs w:val="24"/>
        </w:rPr>
      </w:pPr>
      <w:r>
        <w:rPr>
          <w:b/>
          <w:bCs/>
          <w:sz w:val="24"/>
          <w:szCs w:val="24"/>
        </w:rPr>
        <w:lastRenderedPageBreak/>
        <w:t>Assignment 2: Essay (d)</w:t>
      </w:r>
    </w:p>
    <w:p w14:paraId="60A29081" w14:textId="61679CC9" w:rsidR="00AE72C3" w:rsidRDefault="00AE72C3" w:rsidP="00AE72C3">
      <w:pPr>
        <w:rPr>
          <w:b/>
          <w:bCs/>
          <w:sz w:val="24"/>
          <w:szCs w:val="24"/>
        </w:rPr>
      </w:pPr>
      <w:r>
        <w:rPr>
          <w:b/>
          <w:bCs/>
          <w:sz w:val="24"/>
          <w:szCs w:val="24"/>
        </w:rPr>
        <w:t>Discuss the ways in which charters were transmitted into cartularies.</w:t>
      </w:r>
    </w:p>
    <w:p w14:paraId="5EF6B6B1" w14:textId="5849DC73" w:rsidR="00AE72C3" w:rsidRDefault="00AE72C3" w:rsidP="00AE72C3">
      <w:pPr>
        <w:rPr>
          <w:b/>
          <w:bCs/>
          <w:sz w:val="24"/>
          <w:szCs w:val="24"/>
        </w:rPr>
      </w:pPr>
      <w:r>
        <w:rPr>
          <w:b/>
          <w:bCs/>
          <w:sz w:val="24"/>
          <w:szCs w:val="24"/>
        </w:rPr>
        <w:t>What problems might cartulary copies pose for the historian?</w:t>
      </w:r>
    </w:p>
    <w:p w14:paraId="249B110E" w14:textId="37FA1B6B" w:rsidR="00AE72C3" w:rsidRDefault="00AE72C3" w:rsidP="00AE72C3">
      <w:pPr>
        <w:rPr>
          <w:b/>
          <w:bCs/>
          <w:sz w:val="24"/>
          <w:szCs w:val="24"/>
        </w:rPr>
      </w:pPr>
      <w:r>
        <w:rPr>
          <w:b/>
          <w:bCs/>
          <w:sz w:val="24"/>
          <w:szCs w:val="24"/>
        </w:rPr>
        <w:t>You should give some examples.</w:t>
      </w:r>
    </w:p>
    <w:p w14:paraId="10FA98E9" w14:textId="78C8EF98" w:rsidR="00AE72C3" w:rsidRDefault="00AE72C3" w:rsidP="00AE72C3">
      <w:pPr>
        <w:rPr>
          <w:b/>
          <w:bCs/>
          <w:sz w:val="24"/>
          <w:szCs w:val="24"/>
        </w:rPr>
      </w:pPr>
    </w:p>
    <w:p w14:paraId="0C9EC5A8" w14:textId="3D4FBB93" w:rsidR="004F076B" w:rsidRDefault="00E40EDA" w:rsidP="006152B8">
      <w:pPr>
        <w:jc w:val="left"/>
        <w:rPr>
          <w:sz w:val="24"/>
          <w:szCs w:val="24"/>
        </w:rPr>
      </w:pPr>
      <w:r>
        <w:rPr>
          <w:sz w:val="24"/>
          <w:szCs w:val="24"/>
        </w:rPr>
        <w:t>When considering the variety of medieval documents available to the historian, charters and cartularies are two sources that are frequently encountered.  This essay will define the nature of both a charter and a cartulary, and explore the methods of transmission from charter to cartulary, the possible authors</w:t>
      </w:r>
      <w:r w:rsidR="009D1284">
        <w:rPr>
          <w:sz w:val="24"/>
          <w:szCs w:val="24"/>
        </w:rPr>
        <w:t>,</w:t>
      </w:r>
      <w:r>
        <w:rPr>
          <w:sz w:val="24"/>
          <w:szCs w:val="24"/>
        </w:rPr>
        <w:t xml:space="preserve"> and their motivations in compiling the cartulary.  As with any source material, cartularies do pose particular problems for the historian.  </w:t>
      </w:r>
      <w:r w:rsidR="00775D78">
        <w:rPr>
          <w:sz w:val="24"/>
          <w:szCs w:val="24"/>
        </w:rPr>
        <w:t>A variety of possible</w:t>
      </w:r>
      <w:r>
        <w:rPr>
          <w:sz w:val="24"/>
          <w:szCs w:val="24"/>
        </w:rPr>
        <w:t xml:space="preserve"> problems</w:t>
      </w:r>
      <w:r w:rsidR="00775D78">
        <w:rPr>
          <w:sz w:val="24"/>
          <w:szCs w:val="24"/>
        </w:rPr>
        <w:t xml:space="preserve"> which might arise with cartularies such as forgery and the representativeness of the material</w:t>
      </w:r>
      <w:r>
        <w:rPr>
          <w:sz w:val="24"/>
          <w:szCs w:val="24"/>
        </w:rPr>
        <w:t xml:space="preserve"> are considered</w:t>
      </w:r>
      <w:r w:rsidR="00775D78">
        <w:rPr>
          <w:sz w:val="24"/>
          <w:szCs w:val="24"/>
        </w:rPr>
        <w:t xml:space="preserve"> through the use of contemporary secondary sources.  There will also be an exploration of what value cartularies bring to modern historical scholarship and our understanding of medieval institutions and families.</w:t>
      </w:r>
    </w:p>
    <w:p w14:paraId="359AB31A" w14:textId="77777777" w:rsidR="004F076B" w:rsidRDefault="004F076B" w:rsidP="006152B8">
      <w:pPr>
        <w:jc w:val="left"/>
        <w:rPr>
          <w:sz w:val="24"/>
          <w:szCs w:val="24"/>
        </w:rPr>
      </w:pPr>
    </w:p>
    <w:p w14:paraId="4F9C88F6" w14:textId="1FE3770B" w:rsidR="00AE72C3" w:rsidRDefault="00AE72C3" w:rsidP="006152B8">
      <w:pPr>
        <w:jc w:val="left"/>
        <w:rPr>
          <w:sz w:val="24"/>
          <w:szCs w:val="24"/>
        </w:rPr>
      </w:pPr>
      <w:r>
        <w:rPr>
          <w:sz w:val="24"/>
          <w:szCs w:val="24"/>
        </w:rPr>
        <w:t>During the Middle Ages, charters were the most voluminously produced documents.  They served many purposes, but principally charters documented the transfer of rights or property from one group or individual to another.</w:t>
      </w:r>
      <w:r w:rsidR="009D1284">
        <w:rPr>
          <w:sz w:val="24"/>
          <w:szCs w:val="24"/>
        </w:rPr>
        <w:t xml:space="preserve">  </w:t>
      </w:r>
      <w:r>
        <w:rPr>
          <w:sz w:val="24"/>
          <w:szCs w:val="24"/>
        </w:rPr>
        <w:t xml:space="preserve">Charters were records of transactions that </w:t>
      </w:r>
      <w:r w:rsidR="005A35AB">
        <w:rPr>
          <w:sz w:val="24"/>
          <w:szCs w:val="24"/>
        </w:rPr>
        <w:t>could be used for both</w:t>
      </w:r>
      <w:r w:rsidR="009D1284">
        <w:rPr>
          <w:sz w:val="24"/>
          <w:szCs w:val="24"/>
        </w:rPr>
        <w:t xml:space="preserve"> a</w:t>
      </w:r>
      <w:r w:rsidR="005A35AB">
        <w:rPr>
          <w:sz w:val="24"/>
          <w:szCs w:val="24"/>
        </w:rPr>
        <w:t xml:space="preserve"> time-limited or</w:t>
      </w:r>
      <w:r w:rsidR="009D1284">
        <w:rPr>
          <w:sz w:val="24"/>
          <w:szCs w:val="24"/>
        </w:rPr>
        <w:t xml:space="preserve"> a</w:t>
      </w:r>
      <w:r w:rsidR="005A35AB">
        <w:rPr>
          <w:sz w:val="24"/>
          <w:szCs w:val="24"/>
        </w:rPr>
        <w:t xml:space="preserve"> long-term duration</w:t>
      </w:r>
      <w:r>
        <w:rPr>
          <w:sz w:val="24"/>
          <w:szCs w:val="24"/>
        </w:rPr>
        <w:t>.</w:t>
      </w:r>
      <w:r>
        <w:rPr>
          <w:rStyle w:val="FootnoteReference"/>
          <w:sz w:val="24"/>
          <w:szCs w:val="24"/>
        </w:rPr>
        <w:footnoteReference w:id="1"/>
      </w:r>
      <w:r>
        <w:rPr>
          <w:sz w:val="24"/>
          <w:szCs w:val="24"/>
        </w:rPr>
        <w:t xml:space="preserve">  </w:t>
      </w:r>
      <w:r w:rsidR="005A35AB">
        <w:rPr>
          <w:sz w:val="24"/>
          <w:szCs w:val="24"/>
        </w:rPr>
        <w:t>Usually the charter was a very simple document written on a single piece of parchment, and if they were to receive a seal there would usually be a fold at the bottom through which cords were threaded to hold the seal.</w:t>
      </w:r>
      <w:r w:rsidR="005A35AB">
        <w:rPr>
          <w:rStyle w:val="FootnoteReference"/>
          <w:sz w:val="24"/>
          <w:szCs w:val="24"/>
        </w:rPr>
        <w:footnoteReference w:id="2"/>
      </w:r>
    </w:p>
    <w:p w14:paraId="3712F728" w14:textId="377DECE6" w:rsidR="005A35AB" w:rsidRDefault="005A35AB" w:rsidP="006152B8">
      <w:pPr>
        <w:jc w:val="left"/>
        <w:rPr>
          <w:sz w:val="24"/>
          <w:szCs w:val="24"/>
        </w:rPr>
      </w:pPr>
    </w:p>
    <w:p w14:paraId="74F60A52" w14:textId="6C297A59" w:rsidR="005A35AB" w:rsidRDefault="0008323D" w:rsidP="006152B8">
      <w:pPr>
        <w:jc w:val="left"/>
        <w:rPr>
          <w:sz w:val="24"/>
          <w:szCs w:val="24"/>
        </w:rPr>
      </w:pPr>
      <w:r>
        <w:rPr>
          <w:sz w:val="24"/>
          <w:szCs w:val="24"/>
        </w:rPr>
        <w:t>It was common for charters to be transferred into cartularies during the Middle Ages.  G.R.C. Davis defines cartularies as being registers of muniments, a compilation of title-deeds, charters of privilege and other documents which were kept as a record, for reference and information, of personal or corporate rights by landowners.</w:t>
      </w:r>
      <w:r>
        <w:rPr>
          <w:rStyle w:val="FootnoteReference"/>
          <w:sz w:val="24"/>
          <w:szCs w:val="24"/>
        </w:rPr>
        <w:footnoteReference w:id="3"/>
      </w:r>
      <w:r w:rsidR="00E10E74">
        <w:rPr>
          <w:sz w:val="24"/>
          <w:szCs w:val="24"/>
        </w:rPr>
        <w:t xml:space="preserve">  Cartularies were compiled by religious institutions such as monasteries or cathedrals and by landholding secular families.  </w:t>
      </w:r>
      <w:r w:rsidR="00E10E74">
        <w:rPr>
          <w:sz w:val="24"/>
          <w:szCs w:val="24"/>
        </w:rPr>
        <w:lastRenderedPageBreak/>
        <w:t>They are a very valuable category of records for discovering the period between the Domesday Book of 1085 and the end of the thirteenth century.</w:t>
      </w:r>
      <w:r w:rsidR="00E10E74">
        <w:rPr>
          <w:rStyle w:val="FootnoteReference"/>
          <w:sz w:val="24"/>
          <w:szCs w:val="24"/>
        </w:rPr>
        <w:footnoteReference w:id="4"/>
      </w:r>
      <w:r w:rsidR="00E10E74">
        <w:rPr>
          <w:sz w:val="24"/>
          <w:szCs w:val="24"/>
        </w:rPr>
        <w:t xml:space="preserve">  </w:t>
      </w:r>
      <w:r w:rsidR="00316B3D">
        <w:rPr>
          <w:sz w:val="24"/>
          <w:szCs w:val="24"/>
        </w:rPr>
        <w:t>According to David Walker, the purpose of most medieval cartularies was to preserve the title deeds to rights, lands and revenues.</w:t>
      </w:r>
      <w:r w:rsidR="00316B3D">
        <w:rPr>
          <w:rStyle w:val="FootnoteReference"/>
          <w:sz w:val="24"/>
          <w:szCs w:val="24"/>
        </w:rPr>
        <w:footnoteReference w:id="5"/>
      </w:r>
      <w:r w:rsidR="009F1641">
        <w:rPr>
          <w:sz w:val="24"/>
          <w:szCs w:val="24"/>
        </w:rPr>
        <w:t xml:space="preserve">  Considerable numbers of medieval cartularies survive today</w:t>
      </w:r>
      <w:r w:rsidR="009D1284">
        <w:rPr>
          <w:sz w:val="24"/>
          <w:szCs w:val="24"/>
        </w:rPr>
        <w:t xml:space="preserve"> </w:t>
      </w:r>
      <w:r w:rsidR="009F1641">
        <w:rPr>
          <w:sz w:val="24"/>
          <w:szCs w:val="24"/>
        </w:rPr>
        <w:t>and</w:t>
      </w:r>
      <w:r w:rsidR="009D1284">
        <w:rPr>
          <w:sz w:val="24"/>
          <w:szCs w:val="24"/>
        </w:rPr>
        <w:t>,</w:t>
      </w:r>
      <w:r w:rsidR="009F1641">
        <w:rPr>
          <w:sz w:val="24"/>
          <w:szCs w:val="24"/>
        </w:rPr>
        <w:t xml:space="preserve"> writing in the 1960s, G.R. Elton recorded that 1,268 cartularies compiled before 1485 had so far been found.</w:t>
      </w:r>
      <w:r w:rsidR="009F1641">
        <w:rPr>
          <w:rStyle w:val="FootnoteReference"/>
          <w:sz w:val="24"/>
          <w:szCs w:val="24"/>
        </w:rPr>
        <w:footnoteReference w:id="6"/>
      </w:r>
      <w:r w:rsidR="009F1641">
        <w:rPr>
          <w:sz w:val="24"/>
          <w:szCs w:val="24"/>
        </w:rPr>
        <w:t xml:space="preserve">  The earliest surviving cartularies from a religious house are two from Worcester Cathedral Priory dating from the eleventh century, whilst the earliest surviving secular cartularies date to the early thirteenth century.</w:t>
      </w:r>
      <w:r w:rsidR="009F1641">
        <w:rPr>
          <w:rStyle w:val="FootnoteReference"/>
          <w:sz w:val="24"/>
          <w:szCs w:val="24"/>
        </w:rPr>
        <w:footnoteReference w:id="7"/>
      </w:r>
      <w:r w:rsidR="000E1AB2">
        <w:rPr>
          <w:sz w:val="24"/>
          <w:szCs w:val="24"/>
        </w:rPr>
        <w:t xml:space="preserve">  In her study of the cartulary of Byland Abbey, Janet Burton gives a clear indication of the likely contents of the cartulary of a medieval religious house when she outlines that the Byland cartulary contains a mix of historical narrative, legal documents of title, charters and privileges.  The foundation narrative of Byland and its daughter house, </w:t>
      </w:r>
      <w:proofErr w:type="spellStart"/>
      <w:r w:rsidR="000E1AB2">
        <w:rPr>
          <w:sz w:val="24"/>
          <w:szCs w:val="24"/>
        </w:rPr>
        <w:t>Jervaulx</w:t>
      </w:r>
      <w:proofErr w:type="spellEnd"/>
      <w:r w:rsidR="000E1AB2">
        <w:rPr>
          <w:sz w:val="24"/>
          <w:szCs w:val="24"/>
        </w:rPr>
        <w:t>, preface the legal documents recorded in the cartulary.</w:t>
      </w:r>
      <w:r w:rsidR="000E1AB2">
        <w:rPr>
          <w:rStyle w:val="FootnoteReference"/>
          <w:sz w:val="24"/>
          <w:szCs w:val="24"/>
        </w:rPr>
        <w:footnoteReference w:id="8"/>
      </w:r>
      <w:r w:rsidR="000E1AB2">
        <w:rPr>
          <w:sz w:val="24"/>
          <w:szCs w:val="24"/>
        </w:rPr>
        <w:t xml:space="preserve">  Burton writes that cartularies are ‘important sources for identifying those who played a part in the development of the abbey by granting lands and other economic assets to support the monks.’</w:t>
      </w:r>
      <w:r w:rsidR="000E1AB2">
        <w:rPr>
          <w:rStyle w:val="FootnoteReference"/>
          <w:sz w:val="24"/>
          <w:szCs w:val="24"/>
        </w:rPr>
        <w:footnoteReference w:id="9"/>
      </w:r>
      <w:r w:rsidR="000E1AB2">
        <w:rPr>
          <w:sz w:val="24"/>
          <w:szCs w:val="24"/>
        </w:rPr>
        <w:t xml:space="preserve">  </w:t>
      </w:r>
      <w:r w:rsidR="00DA65A2">
        <w:rPr>
          <w:sz w:val="24"/>
          <w:szCs w:val="24"/>
        </w:rPr>
        <w:t>It is sometimes apparent, when considering the contents of a cartulary, what the occasion for its compilation was</w:t>
      </w:r>
      <w:r w:rsidR="009D1284">
        <w:rPr>
          <w:sz w:val="24"/>
          <w:szCs w:val="24"/>
        </w:rPr>
        <w:t>,</w:t>
      </w:r>
      <w:r w:rsidR="005F4A33">
        <w:rPr>
          <w:sz w:val="24"/>
          <w:szCs w:val="24"/>
        </w:rPr>
        <w:t xml:space="preserve"> as new </w:t>
      </w:r>
      <w:r w:rsidR="00DA65A2">
        <w:rPr>
          <w:sz w:val="24"/>
          <w:szCs w:val="24"/>
        </w:rPr>
        <w:t>registers were necessary to enable a landholder to keep abreast of changes in the tenure of their estates and tenements.</w:t>
      </w:r>
      <w:r w:rsidR="00DA65A2">
        <w:rPr>
          <w:rStyle w:val="FootnoteReference"/>
          <w:sz w:val="24"/>
          <w:szCs w:val="24"/>
        </w:rPr>
        <w:footnoteReference w:id="10"/>
      </w:r>
    </w:p>
    <w:p w14:paraId="5B590F51" w14:textId="02AD74EA" w:rsidR="005F4A33" w:rsidRDefault="005F4A33" w:rsidP="006152B8">
      <w:pPr>
        <w:jc w:val="left"/>
        <w:rPr>
          <w:sz w:val="24"/>
          <w:szCs w:val="24"/>
        </w:rPr>
      </w:pPr>
    </w:p>
    <w:p w14:paraId="536AEA5B" w14:textId="7875D2AF" w:rsidR="005F4A33" w:rsidRDefault="005F4A33" w:rsidP="006152B8">
      <w:pPr>
        <w:jc w:val="left"/>
        <w:rPr>
          <w:sz w:val="24"/>
          <w:szCs w:val="24"/>
        </w:rPr>
      </w:pPr>
      <w:r>
        <w:rPr>
          <w:sz w:val="24"/>
          <w:szCs w:val="24"/>
        </w:rPr>
        <w:t>When considering the method of transmitting charters into cartularies, Davis identifies a number of ways in which this was achieved in the medieval period.  He states that the most common type was the general cartulary.  The general cartulary contains ‘transcripts and calendars of the entire muniments of the house or individual for which it was compiled’.</w:t>
      </w:r>
      <w:r>
        <w:rPr>
          <w:rStyle w:val="FootnoteReference"/>
          <w:sz w:val="24"/>
          <w:szCs w:val="24"/>
        </w:rPr>
        <w:footnoteReference w:id="11"/>
      </w:r>
      <w:r>
        <w:rPr>
          <w:sz w:val="24"/>
          <w:szCs w:val="24"/>
        </w:rPr>
        <w:t xml:space="preserve">  Within a general cartulary it was most common to arrange material by topographical area, along with a few classes containing special documents</w:t>
      </w:r>
      <w:r w:rsidR="002A344B">
        <w:rPr>
          <w:sz w:val="24"/>
          <w:szCs w:val="24"/>
        </w:rPr>
        <w:t xml:space="preserve">.  Davis also </w:t>
      </w:r>
      <w:r w:rsidR="009D1284">
        <w:rPr>
          <w:sz w:val="24"/>
          <w:szCs w:val="24"/>
        </w:rPr>
        <w:t>finds</w:t>
      </w:r>
      <w:r w:rsidR="002A344B">
        <w:rPr>
          <w:sz w:val="24"/>
          <w:szCs w:val="24"/>
        </w:rPr>
        <w:t xml:space="preserve"> occasions on which </w:t>
      </w:r>
      <w:r w:rsidR="002A344B">
        <w:rPr>
          <w:sz w:val="24"/>
          <w:szCs w:val="24"/>
        </w:rPr>
        <w:lastRenderedPageBreak/>
        <w:t>cartularies are arranged by subject matter, by grantor or chronologically.</w:t>
      </w:r>
      <w:r w:rsidR="002A344B">
        <w:rPr>
          <w:rStyle w:val="FootnoteReference"/>
          <w:sz w:val="24"/>
          <w:szCs w:val="24"/>
        </w:rPr>
        <w:footnoteReference w:id="12"/>
      </w:r>
      <w:r w:rsidR="002A344B">
        <w:rPr>
          <w:sz w:val="24"/>
          <w:szCs w:val="24"/>
        </w:rPr>
        <w:t xml:space="preserve">  As these general cartularies were often of considerable size and extended to several volumes, special cartularies could be compiled in order to make the size of a cartulary more manageable.  Davis states that these special cartularies were often used for convenience by large religious houses and that there would be separate cartularies for particular sections of the muniments, such as papal, royal and episcopal privileges.</w:t>
      </w:r>
      <w:r w:rsidR="002A344B">
        <w:rPr>
          <w:rStyle w:val="FootnoteReference"/>
          <w:sz w:val="24"/>
          <w:szCs w:val="24"/>
        </w:rPr>
        <w:footnoteReference w:id="13"/>
      </w:r>
      <w:r w:rsidR="002A344B">
        <w:rPr>
          <w:sz w:val="24"/>
          <w:szCs w:val="24"/>
        </w:rPr>
        <w:t xml:space="preserve">  Further categories of cartulary identified by Davis are cartularies of rights and privileges and chronicle-cartularies.  </w:t>
      </w:r>
      <w:r w:rsidR="009D1284">
        <w:rPr>
          <w:sz w:val="24"/>
          <w:szCs w:val="24"/>
        </w:rPr>
        <w:t>C</w:t>
      </w:r>
      <w:r w:rsidR="002A344B">
        <w:rPr>
          <w:sz w:val="24"/>
          <w:szCs w:val="24"/>
        </w:rPr>
        <w:t>artular</w:t>
      </w:r>
      <w:r w:rsidR="009D1284">
        <w:rPr>
          <w:sz w:val="24"/>
          <w:szCs w:val="24"/>
        </w:rPr>
        <w:t>ies</w:t>
      </w:r>
      <w:r w:rsidR="002A344B">
        <w:rPr>
          <w:sz w:val="24"/>
          <w:szCs w:val="24"/>
        </w:rPr>
        <w:t xml:space="preserve"> of rights and privileges were compiled by some of the larger religious houses and contained documents that were of value and frequently used in solving recurrent administrative problems or disputes.</w:t>
      </w:r>
      <w:r w:rsidR="002A344B">
        <w:rPr>
          <w:rStyle w:val="FootnoteReference"/>
          <w:sz w:val="24"/>
          <w:szCs w:val="24"/>
        </w:rPr>
        <w:footnoteReference w:id="14"/>
      </w:r>
      <w:r w:rsidR="002A344B">
        <w:rPr>
          <w:sz w:val="24"/>
          <w:szCs w:val="24"/>
        </w:rPr>
        <w:t xml:space="preserve">  A chronicle-cartulary is literally that, a literary compilation of material which </w:t>
      </w:r>
      <w:r w:rsidR="002B0626">
        <w:rPr>
          <w:sz w:val="24"/>
          <w:szCs w:val="24"/>
        </w:rPr>
        <w:t>forms a</w:t>
      </w:r>
      <w:r w:rsidR="002A344B">
        <w:rPr>
          <w:sz w:val="24"/>
          <w:szCs w:val="24"/>
        </w:rPr>
        <w:t xml:space="preserve"> narrative chronicle about the house for the instruction of its members.  Davis cites particular examples of religious houses who compiled chronicle cartularies as Ely and St Augustine’s, Canterbury.</w:t>
      </w:r>
      <w:r w:rsidR="002A344B">
        <w:rPr>
          <w:rStyle w:val="FootnoteReference"/>
          <w:sz w:val="24"/>
          <w:szCs w:val="24"/>
        </w:rPr>
        <w:footnoteReference w:id="15"/>
      </w:r>
      <w:r w:rsidR="00D96157">
        <w:rPr>
          <w:sz w:val="24"/>
          <w:szCs w:val="24"/>
        </w:rPr>
        <w:t xml:space="preserve">  Walker argues that it was obvious for those compiling a cartulary to organise the material by considering the use of revenues from the house’s estates and to compile registers that were based on the different monastic offices within the community.</w:t>
      </w:r>
      <w:r w:rsidR="00D96157">
        <w:rPr>
          <w:rStyle w:val="FootnoteReference"/>
          <w:sz w:val="24"/>
          <w:szCs w:val="24"/>
        </w:rPr>
        <w:footnoteReference w:id="16"/>
      </w:r>
      <w:r w:rsidR="00ED2744">
        <w:rPr>
          <w:sz w:val="24"/>
          <w:szCs w:val="24"/>
        </w:rPr>
        <w:t xml:space="preserve">  He also cites particular examples of cartulary compilation such as the nunnery at Shaftesbury</w:t>
      </w:r>
      <w:r w:rsidR="00A047F6">
        <w:rPr>
          <w:sz w:val="24"/>
          <w:szCs w:val="24"/>
        </w:rPr>
        <w:t>,</w:t>
      </w:r>
      <w:r w:rsidR="00ED2744">
        <w:rPr>
          <w:sz w:val="24"/>
          <w:szCs w:val="24"/>
        </w:rPr>
        <w:t xml:space="preserve"> whose cartulary was a register of rights and privileges</w:t>
      </w:r>
      <w:r w:rsidR="00ED2744">
        <w:rPr>
          <w:rStyle w:val="FootnoteReference"/>
          <w:sz w:val="24"/>
          <w:szCs w:val="24"/>
        </w:rPr>
        <w:footnoteReference w:id="17"/>
      </w:r>
      <w:r w:rsidR="00ED2744">
        <w:rPr>
          <w:sz w:val="24"/>
          <w:szCs w:val="24"/>
        </w:rPr>
        <w:t>,</w:t>
      </w:r>
      <w:r w:rsidR="00A047F6">
        <w:rPr>
          <w:sz w:val="24"/>
          <w:szCs w:val="24"/>
        </w:rPr>
        <w:t xml:space="preserve"> and</w:t>
      </w:r>
      <w:r w:rsidR="00ED2744">
        <w:rPr>
          <w:sz w:val="24"/>
          <w:szCs w:val="24"/>
        </w:rPr>
        <w:t xml:space="preserve"> St Peter’s Gloucester</w:t>
      </w:r>
      <w:r w:rsidR="00A047F6">
        <w:rPr>
          <w:sz w:val="24"/>
          <w:szCs w:val="24"/>
        </w:rPr>
        <w:t>,</w:t>
      </w:r>
      <w:r w:rsidR="00ED2744">
        <w:rPr>
          <w:sz w:val="24"/>
          <w:szCs w:val="24"/>
        </w:rPr>
        <w:t xml:space="preserve"> one of whose cartularies was divided according by abbey office</w:t>
      </w:r>
      <w:r w:rsidR="00665A93">
        <w:rPr>
          <w:rStyle w:val="FootnoteReference"/>
          <w:sz w:val="24"/>
          <w:szCs w:val="24"/>
        </w:rPr>
        <w:footnoteReference w:id="18"/>
      </w:r>
      <w:r w:rsidR="00665A93">
        <w:rPr>
          <w:sz w:val="24"/>
          <w:szCs w:val="24"/>
        </w:rPr>
        <w:t>.  At Glastonbury Abbey the Great Cartulary was drawn up by vault, with documents arranged according to the groups which they were stored in the abbey.</w:t>
      </w:r>
      <w:r w:rsidR="00665A93">
        <w:rPr>
          <w:rStyle w:val="FootnoteReference"/>
          <w:sz w:val="24"/>
          <w:szCs w:val="24"/>
        </w:rPr>
        <w:footnoteReference w:id="19"/>
      </w:r>
      <w:r w:rsidR="00665A93">
        <w:rPr>
          <w:sz w:val="24"/>
          <w:szCs w:val="24"/>
        </w:rPr>
        <w:t xml:space="preserve"> </w:t>
      </w:r>
    </w:p>
    <w:p w14:paraId="41CDD471" w14:textId="105BC939" w:rsidR="00816BBE" w:rsidRDefault="00816BBE" w:rsidP="006152B8">
      <w:pPr>
        <w:jc w:val="left"/>
        <w:rPr>
          <w:sz w:val="24"/>
          <w:szCs w:val="24"/>
        </w:rPr>
      </w:pPr>
    </w:p>
    <w:p w14:paraId="0352DC24" w14:textId="663F7DC1" w:rsidR="00F43992" w:rsidRDefault="008C4D1D" w:rsidP="006152B8">
      <w:pPr>
        <w:jc w:val="left"/>
        <w:rPr>
          <w:rFonts w:cstheme="minorHAnsi"/>
          <w:sz w:val="24"/>
          <w:szCs w:val="24"/>
        </w:rPr>
      </w:pPr>
      <w:r>
        <w:rPr>
          <w:sz w:val="24"/>
          <w:szCs w:val="24"/>
        </w:rPr>
        <w:t>Authorship of a particular cartulary can be difficult to ascertain and</w:t>
      </w:r>
      <w:r w:rsidR="00A047F6">
        <w:rPr>
          <w:sz w:val="24"/>
          <w:szCs w:val="24"/>
        </w:rPr>
        <w:t>,</w:t>
      </w:r>
      <w:r>
        <w:rPr>
          <w:sz w:val="24"/>
          <w:szCs w:val="24"/>
        </w:rPr>
        <w:t xml:space="preserve"> as </w:t>
      </w:r>
      <w:proofErr w:type="spellStart"/>
      <w:r>
        <w:rPr>
          <w:sz w:val="24"/>
          <w:szCs w:val="24"/>
        </w:rPr>
        <w:t>Foulds</w:t>
      </w:r>
      <w:proofErr w:type="spellEnd"/>
      <w:r>
        <w:rPr>
          <w:sz w:val="24"/>
          <w:szCs w:val="24"/>
        </w:rPr>
        <w:t xml:space="preserve"> argues</w:t>
      </w:r>
      <w:r w:rsidR="00A047F6">
        <w:rPr>
          <w:sz w:val="24"/>
          <w:szCs w:val="24"/>
        </w:rPr>
        <w:t>,</w:t>
      </w:r>
      <w:r>
        <w:rPr>
          <w:sz w:val="24"/>
          <w:szCs w:val="24"/>
        </w:rPr>
        <w:t xml:space="preserve"> the anonymity of the cartulary can be an obstacle to understanding why the cartulary was compiled.</w:t>
      </w:r>
      <w:r>
        <w:rPr>
          <w:rStyle w:val="FootnoteReference"/>
          <w:sz w:val="24"/>
          <w:szCs w:val="24"/>
        </w:rPr>
        <w:footnoteReference w:id="20"/>
      </w:r>
      <w:r>
        <w:rPr>
          <w:sz w:val="24"/>
          <w:szCs w:val="24"/>
        </w:rPr>
        <w:t xml:space="preserve">  There are particular examples where authorship is known such as </w:t>
      </w:r>
      <w:proofErr w:type="spellStart"/>
      <w:r>
        <w:rPr>
          <w:sz w:val="24"/>
          <w:szCs w:val="24"/>
        </w:rPr>
        <w:t>Llanthony</w:t>
      </w:r>
      <w:proofErr w:type="spellEnd"/>
      <w:r>
        <w:rPr>
          <w:sz w:val="24"/>
          <w:szCs w:val="24"/>
        </w:rPr>
        <w:t xml:space="preserve"> Priory in Gloucestershire, where the cartularies are connected with the work of a small team </w:t>
      </w:r>
      <w:r>
        <w:rPr>
          <w:sz w:val="24"/>
          <w:szCs w:val="24"/>
        </w:rPr>
        <w:lastRenderedPageBreak/>
        <w:t xml:space="preserve">led by Richard </w:t>
      </w:r>
      <w:proofErr w:type="spellStart"/>
      <w:r>
        <w:rPr>
          <w:sz w:val="24"/>
          <w:szCs w:val="24"/>
        </w:rPr>
        <w:t>Steymus</w:t>
      </w:r>
      <w:proofErr w:type="spellEnd"/>
      <w:r>
        <w:rPr>
          <w:sz w:val="24"/>
          <w:szCs w:val="24"/>
        </w:rPr>
        <w:t xml:space="preserve"> who clearly knew the archive</w:t>
      </w:r>
      <w:r w:rsidR="00A34555">
        <w:rPr>
          <w:sz w:val="24"/>
          <w:szCs w:val="24"/>
        </w:rPr>
        <w:t>s</w:t>
      </w:r>
      <w:r>
        <w:rPr>
          <w:sz w:val="24"/>
          <w:szCs w:val="24"/>
        </w:rPr>
        <w:t xml:space="preserve"> that he was working with very well.</w:t>
      </w:r>
      <w:r>
        <w:rPr>
          <w:rStyle w:val="FootnoteReference"/>
          <w:sz w:val="24"/>
          <w:szCs w:val="24"/>
        </w:rPr>
        <w:footnoteReference w:id="21"/>
      </w:r>
      <w:r w:rsidR="00A34555">
        <w:rPr>
          <w:sz w:val="24"/>
          <w:szCs w:val="24"/>
        </w:rPr>
        <w:t xml:space="preserve">  </w:t>
      </w:r>
      <w:r w:rsidR="004B4F57">
        <w:rPr>
          <w:sz w:val="24"/>
          <w:szCs w:val="24"/>
        </w:rPr>
        <w:t>Whoever the compilers of the cartulary were, it is important to ask what was their motivation</w:t>
      </w:r>
      <w:r w:rsidR="002B0626">
        <w:rPr>
          <w:sz w:val="24"/>
          <w:szCs w:val="24"/>
        </w:rPr>
        <w:t>?</w:t>
      </w:r>
      <w:r w:rsidR="004B4F57">
        <w:rPr>
          <w:sz w:val="24"/>
          <w:szCs w:val="24"/>
        </w:rPr>
        <w:t xml:space="preserve">  What did the compiler think the aim of their task was</w:t>
      </w:r>
      <w:r w:rsidR="00A047F6">
        <w:rPr>
          <w:sz w:val="24"/>
          <w:szCs w:val="24"/>
        </w:rPr>
        <w:t>;</w:t>
      </w:r>
      <w:r w:rsidR="004B4F57">
        <w:rPr>
          <w:sz w:val="24"/>
          <w:szCs w:val="24"/>
        </w:rPr>
        <w:t xml:space="preserve"> were they approaching compilation of a cartulary as a scribe, a lawyer or an historian</w:t>
      </w:r>
      <w:r w:rsidR="00A047F6">
        <w:rPr>
          <w:sz w:val="24"/>
          <w:szCs w:val="24"/>
        </w:rPr>
        <w:t>?</w:t>
      </w:r>
      <w:r w:rsidR="004B4F57">
        <w:rPr>
          <w:sz w:val="24"/>
          <w:szCs w:val="24"/>
        </w:rPr>
        <w:t xml:space="preserve">  </w:t>
      </w:r>
      <w:proofErr w:type="spellStart"/>
      <w:r w:rsidR="004B4F57">
        <w:rPr>
          <w:sz w:val="24"/>
          <w:szCs w:val="24"/>
        </w:rPr>
        <w:t>Foulds</w:t>
      </w:r>
      <w:proofErr w:type="spellEnd"/>
      <w:r w:rsidR="004B4F57">
        <w:rPr>
          <w:sz w:val="24"/>
          <w:szCs w:val="24"/>
        </w:rPr>
        <w:t xml:space="preserve"> states that the conception of the cartulary affected the way in which it would be organised and in which the material would be used to inform successive generations.</w:t>
      </w:r>
      <w:r w:rsidR="004B4F57">
        <w:rPr>
          <w:rStyle w:val="FootnoteReference"/>
          <w:sz w:val="24"/>
          <w:szCs w:val="24"/>
        </w:rPr>
        <w:footnoteReference w:id="22"/>
      </w:r>
      <w:r w:rsidR="004B4F57">
        <w:rPr>
          <w:sz w:val="24"/>
          <w:szCs w:val="24"/>
        </w:rPr>
        <w:t xml:space="preserve">  </w:t>
      </w:r>
      <w:r w:rsidR="007A645C">
        <w:rPr>
          <w:sz w:val="24"/>
          <w:szCs w:val="24"/>
        </w:rPr>
        <w:t>Burton attests to the skill of the Byland compiler by highlighting the skill, thoughtfulness and sophistication of the cartulary, which give a clear summary of the history, status and antiquity</w:t>
      </w:r>
      <w:r w:rsidR="00A047F6">
        <w:rPr>
          <w:sz w:val="24"/>
          <w:szCs w:val="24"/>
        </w:rPr>
        <w:t>,</w:t>
      </w:r>
      <w:r w:rsidR="007A645C">
        <w:rPr>
          <w:sz w:val="24"/>
          <w:szCs w:val="24"/>
        </w:rPr>
        <w:t xml:space="preserve"> and identity of the monastery as well as securing its past for future readers.</w:t>
      </w:r>
      <w:r w:rsidR="007A645C">
        <w:rPr>
          <w:rStyle w:val="FootnoteReference"/>
          <w:sz w:val="24"/>
          <w:szCs w:val="24"/>
        </w:rPr>
        <w:footnoteReference w:id="23"/>
      </w:r>
      <w:r w:rsidR="007A645C">
        <w:rPr>
          <w:sz w:val="24"/>
          <w:szCs w:val="24"/>
        </w:rPr>
        <w:t xml:space="preserve"> </w:t>
      </w:r>
      <w:r w:rsidR="000372BB">
        <w:rPr>
          <w:sz w:val="24"/>
          <w:szCs w:val="24"/>
        </w:rPr>
        <w:t>The cartulary known as ‘Hemming’s Cartulary’ from Worcester has a clear introduction from Hemming</w:t>
      </w:r>
      <w:r w:rsidR="00A047F6">
        <w:rPr>
          <w:sz w:val="24"/>
          <w:szCs w:val="24"/>
        </w:rPr>
        <w:t>,</w:t>
      </w:r>
      <w:r w:rsidR="000372BB">
        <w:rPr>
          <w:sz w:val="24"/>
          <w:szCs w:val="24"/>
        </w:rPr>
        <w:t xml:space="preserve"> writing that he has compiled this ‘little book’ about the monks</w:t>
      </w:r>
      <w:r w:rsidR="00A047F6">
        <w:rPr>
          <w:sz w:val="24"/>
          <w:szCs w:val="24"/>
        </w:rPr>
        <w:t>’</w:t>
      </w:r>
      <w:r w:rsidR="000372BB">
        <w:rPr>
          <w:sz w:val="24"/>
          <w:szCs w:val="24"/>
        </w:rPr>
        <w:t xml:space="preserve"> possessions so that those who come after might know which lands rightly belong to the monks.</w:t>
      </w:r>
      <w:r w:rsidR="000372BB">
        <w:rPr>
          <w:rStyle w:val="FootnoteReference"/>
          <w:sz w:val="24"/>
          <w:szCs w:val="24"/>
        </w:rPr>
        <w:footnoteReference w:id="24"/>
      </w:r>
      <w:r w:rsidR="00AA7677">
        <w:rPr>
          <w:sz w:val="24"/>
          <w:szCs w:val="24"/>
        </w:rPr>
        <w:t xml:space="preserve">  Interestingly, Heather </w:t>
      </w:r>
      <w:proofErr w:type="spellStart"/>
      <w:r w:rsidR="00AA7677">
        <w:rPr>
          <w:sz w:val="24"/>
          <w:szCs w:val="24"/>
        </w:rPr>
        <w:t>Wacha</w:t>
      </w:r>
      <w:proofErr w:type="spellEnd"/>
      <w:r w:rsidR="00AA7677">
        <w:rPr>
          <w:sz w:val="24"/>
          <w:szCs w:val="24"/>
        </w:rPr>
        <w:t xml:space="preserve"> has identified an instance in which a cartulary was compiled to reinstate a sense of peace and order.  She argues that the cartulary of </w:t>
      </w:r>
      <w:proofErr w:type="spellStart"/>
      <w:r w:rsidR="00AA7677">
        <w:rPr>
          <w:sz w:val="24"/>
          <w:szCs w:val="24"/>
        </w:rPr>
        <w:t>Pr</w:t>
      </w:r>
      <w:r w:rsidR="00AA7677">
        <w:rPr>
          <w:rFonts w:cstheme="minorHAnsi"/>
          <w:sz w:val="24"/>
          <w:szCs w:val="24"/>
        </w:rPr>
        <w:t>é</w:t>
      </w:r>
      <w:r w:rsidR="00AA7677">
        <w:rPr>
          <w:sz w:val="24"/>
          <w:szCs w:val="24"/>
        </w:rPr>
        <w:t>montr</w:t>
      </w:r>
      <w:r w:rsidR="00AA7677">
        <w:rPr>
          <w:rFonts w:cstheme="minorHAnsi"/>
          <w:sz w:val="24"/>
          <w:szCs w:val="24"/>
        </w:rPr>
        <w:t>é</w:t>
      </w:r>
      <w:proofErr w:type="spellEnd"/>
      <w:r w:rsidR="00AA7677">
        <w:rPr>
          <w:sz w:val="24"/>
          <w:szCs w:val="24"/>
        </w:rPr>
        <w:t xml:space="preserve"> Abbey reveals a point in the abbey’s history and wider Premonstratensian Order where conflict and tension were rife, with the consequence that the cartulary was compiled to emphasis</w:t>
      </w:r>
      <w:r w:rsidR="00A047F6">
        <w:rPr>
          <w:sz w:val="24"/>
          <w:szCs w:val="24"/>
        </w:rPr>
        <w:t>e</w:t>
      </w:r>
      <w:r w:rsidR="00AA7677">
        <w:rPr>
          <w:sz w:val="24"/>
          <w:szCs w:val="24"/>
        </w:rPr>
        <w:t xml:space="preserve"> the </w:t>
      </w:r>
      <w:r w:rsidR="000E0D8C">
        <w:rPr>
          <w:sz w:val="24"/>
          <w:szCs w:val="24"/>
        </w:rPr>
        <w:t>peace-making</w:t>
      </w:r>
      <w:r w:rsidR="00AA7677">
        <w:rPr>
          <w:sz w:val="24"/>
          <w:szCs w:val="24"/>
        </w:rPr>
        <w:t xml:space="preserve"> role of </w:t>
      </w:r>
      <w:proofErr w:type="spellStart"/>
      <w:r w:rsidR="00AA7677">
        <w:rPr>
          <w:sz w:val="24"/>
          <w:szCs w:val="24"/>
        </w:rPr>
        <w:t>Pr</w:t>
      </w:r>
      <w:r w:rsidR="00AA7677">
        <w:rPr>
          <w:rFonts w:cstheme="minorHAnsi"/>
          <w:sz w:val="24"/>
          <w:szCs w:val="24"/>
        </w:rPr>
        <w:t>é</w:t>
      </w:r>
      <w:r w:rsidR="00AA7677">
        <w:rPr>
          <w:sz w:val="24"/>
          <w:szCs w:val="24"/>
        </w:rPr>
        <w:t>montr</w:t>
      </w:r>
      <w:r w:rsidR="00AA7677">
        <w:rPr>
          <w:rFonts w:cstheme="minorHAnsi"/>
          <w:sz w:val="24"/>
          <w:szCs w:val="24"/>
        </w:rPr>
        <w:t>é</w:t>
      </w:r>
      <w:proofErr w:type="spellEnd"/>
      <w:r w:rsidR="00AA7677">
        <w:rPr>
          <w:rFonts w:cstheme="minorHAnsi"/>
          <w:sz w:val="24"/>
          <w:szCs w:val="24"/>
        </w:rPr>
        <w:t>.</w:t>
      </w:r>
      <w:r w:rsidR="00AA7677">
        <w:rPr>
          <w:rStyle w:val="FootnoteReference"/>
          <w:rFonts w:cstheme="minorHAnsi"/>
          <w:sz w:val="24"/>
          <w:szCs w:val="24"/>
        </w:rPr>
        <w:footnoteReference w:id="25"/>
      </w:r>
    </w:p>
    <w:p w14:paraId="5A39D252" w14:textId="533DC644" w:rsidR="00FE3AC2" w:rsidRDefault="00FE3AC2" w:rsidP="006152B8">
      <w:pPr>
        <w:jc w:val="left"/>
        <w:rPr>
          <w:rFonts w:cstheme="minorHAnsi"/>
          <w:sz w:val="24"/>
          <w:szCs w:val="24"/>
        </w:rPr>
      </w:pPr>
    </w:p>
    <w:p w14:paraId="03EBEF8E" w14:textId="1DFADB7E" w:rsidR="00FE3AC2" w:rsidRDefault="00FE3AC2" w:rsidP="006152B8">
      <w:pPr>
        <w:jc w:val="left"/>
        <w:rPr>
          <w:rFonts w:cstheme="minorHAnsi"/>
          <w:sz w:val="24"/>
          <w:szCs w:val="24"/>
        </w:rPr>
      </w:pPr>
      <w:r>
        <w:rPr>
          <w:rFonts w:cstheme="minorHAnsi"/>
          <w:sz w:val="24"/>
          <w:szCs w:val="24"/>
        </w:rPr>
        <w:t>Like many primary sources, cartularies will pose certain problems for the historian.  Cartularies held a value in that they acted as evidence of title</w:t>
      </w:r>
      <w:r w:rsidR="0058027E">
        <w:rPr>
          <w:rFonts w:cstheme="minorHAnsi"/>
          <w:sz w:val="24"/>
          <w:szCs w:val="24"/>
        </w:rPr>
        <w:t>, and often acted as substitutes for the original documents.</w:t>
      </w:r>
      <w:r w:rsidR="0058027E">
        <w:rPr>
          <w:rStyle w:val="FootnoteReference"/>
          <w:rFonts w:cstheme="minorHAnsi"/>
          <w:sz w:val="24"/>
          <w:szCs w:val="24"/>
        </w:rPr>
        <w:footnoteReference w:id="26"/>
      </w:r>
      <w:r w:rsidR="0058027E">
        <w:rPr>
          <w:rFonts w:cstheme="minorHAnsi"/>
          <w:sz w:val="24"/>
          <w:szCs w:val="24"/>
        </w:rPr>
        <w:t xml:space="preserve">  </w:t>
      </w:r>
      <w:r>
        <w:rPr>
          <w:rFonts w:cstheme="minorHAnsi"/>
          <w:sz w:val="24"/>
          <w:szCs w:val="24"/>
        </w:rPr>
        <w:t>Elton states that</w:t>
      </w:r>
      <w:r w:rsidR="00A047F6">
        <w:rPr>
          <w:rFonts w:cstheme="minorHAnsi"/>
          <w:sz w:val="24"/>
          <w:szCs w:val="24"/>
        </w:rPr>
        <w:t>,</w:t>
      </w:r>
      <w:r w:rsidR="0058027E">
        <w:rPr>
          <w:rFonts w:cstheme="minorHAnsi"/>
          <w:sz w:val="24"/>
          <w:szCs w:val="24"/>
        </w:rPr>
        <w:t xml:space="preserve"> for this reason,</w:t>
      </w:r>
      <w:r>
        <w:rPr>
          <w:rFonts w:cstheme="minorHAnsi"/>
          <w:sz w:val="24"/>
          <w:szCs w:val="24"/>
        </w:rPr>
        <w:t xml:space="preserve"> cartularies pose one ‘spectacular problem’ in that they were the work of interested parties and therefore carry the risk of forgery as no other class of document does.  He states that it was well-known that many institutions or families used cartularies to cover gaps in their legal title to lands</w:t>
      </w:r>
      <w:r w:rsidR="00A047F6">
        <w:rPr>
          <w:rFonts w:cstheme="minorHAnsi"/>
          <w:sz w:val="24"/>
          <w:szCs w:val="24"/>
        </w:rPr>
        <w:t>;</w:t>
      </w:r>
      <w:r>
        <w:rPr>
          <w:rFonts w:cstheme="minorHAnsi"/>
          <w:sz w:val="24"/>
          <w:szCs w:val="24"/>
        </w:rPr>
        <w:t xml:space="preserve"> sometimes this was innocent and at other times not.</w:t>
      </w:r>
      <w:r>
        <w:rPr>
          <w:rStyle w:val="FootnoteReference"/>
          <w:rFonts w:cstheme="minorHAnsi"/>
          <w:sz w:val="24"/>
          <w:szCs w:val="24"/>
        </w:rPr>
        <w:footnoteReference w:id="27"/>
      </w:r>
      <w:r>
        <w:rPr>
          <w:rFonts w:cstheme="minorHAnsi"/>
          <w:sz w:val="24"/>
          <w:szCs w:val="24"/>
        </w:rPr>
        <w:t xml:space="preserve">  </w:t>
      </w:r>
      <w:r w:rsidR="005C3580">
        <w:rPr>
          <w:rFonts w:cstheme="minorHAnsi"/>
          <w:sz w:val="24"/>
          <w:szCs w:val="24"/>
        </w:rPr>
        <w:t>Burton has identified that some aspects of the Byland cartulary show evidence of manipulation</w:t>
      </w:r>
      <w:r w:rsidR="00A047F6">
        <w:rPr>
          <w:rFonts w:cstheme="minorHAnsi"/>
          <w:sz w:val="24"/>
          <w:szCs w:val="24"/>
        </w:rPr>
        <w:t>,</w:t>
      </w:r>
      <w:r w:rsidR="005C3580">
        <w:rPr>
          <w:rFonts w:cstheme="minorHAnsi"/>
          <w:sz w:val="24"/>
          <w:szCs w:val="24"/>
        </w:rPr>
        <w:t xml:space="preserve"> and could be fabrications or </w:t>
      </w:r>
      <w:r w:rsidR="005C3580">
        <w:rPr>
          <w:rFonts w:cstheme="minorHAnsi"/>
          <w:sz w:val="24"/>
          <w:szCs w:val="24"/>
        </w:rPr>
        <w:lastRenderedPageBreak/>
        <w:t>forgeries to boost or falsify claims to lands and privileges.</w:t>
      </w:r>
      <w:r w:rsidR="005C3580">
        <w:rPr>
          <w:rStyle w:val="FootnoteReference"/>
          <w:rFonts w:cstheme="minorHAnsi"/>
          <w:sz w:val="24"/>
          <w:szCs w:val="24"/>
        </w:rPr>
        <w:footnoteReference w:id="28"/>
      </w:r>
      <w:r w:rsidR="00084BD2">
        <w:rPr>
          <w:rFonts w:cstheme="minorHAnsi"/>
          <w:sz w:val="24"/>
          <w:szCs w:val="24"/>
        </w:rPr>
        <w:t xml:space="preserve"> In her work on the cartularies of Worcester Cathedral, Francesca </w:t>
      </w:r>
      <w:proofErr w:type="spellStart"/>
      <w:r w:rsidR="00084BD2">
        <w:rPr>
          <w:rFonts w:cstheme="minorHAnsi"/>
          <w:sz w:val="24"/>
          <w:szCs w:val="24"/>
        </w:rPr>
        <w:t>Tinti</w:t>
      </w:r>
      <w:proofErr w:type="spellEnd"/>
      <w:r w:rsidR="00084BD2">
        <w:rPr>
          <w:rFonts w:cstheme="minorHAnsi"/>
          <w:sz w:val="24"/>
          <w:szCs w:val="24"/>
        </w:rPr>
        <w:t xml:space="preserve"> claims that at least twelve out of twenty-one charters appear to be forgeries or interpolated texts, some of which may have been forged by the monks who felt that their entitlement to possession of lands was threatened.</w:t>
      </w:r>
      <w:r w:rsidR="00084BD2">
        <w:rPr>
          <w:rStyle w:val="FootnoteReference"/>
          <w:rFonts w:cstheme="minorHAnsi"/>
          <w:sz w:val="24"/>
          <w:szCs w:val="24"/>
        </w:rPr>
        <w:footnoteReference w:id="29"/>
      </w:r>
    </w:p>
    <w:p w14:paraId="4F593468" w14:textId="2C3C5FE9" w:rsidR="00445A01" w:rsidRDefault="00445A01" w:rsidP="006152B8">
      <w:pPr>
        <w:jc w:val="left"/>
        <w:rPr>
          <w:rFonts w:cstheme="minorHAnsi"/>
          <w:sz w:val="24"/>
          <w:szCs w:val="24"/>
        </w:rPr>
      </w:pPr>
    </w:p>
    <w:p w14:paraId="2338373A" w14:textId="3BC33ABA" w:rsidR="00445A01" w:rsidRDefault="00445A01" w:rsidP="006152B8">
      <w:pPr>
        <w:jc w:val="left"/>
        <w:rPr>
          <w:rFonts w:cstheme="minorHAnsi"/>
          <w:sz w:val="24"/>
          <w:szCs w:val="24"/>
        </w:rPr>
      </w:pPr>
      <w:r>
        <w:rPr>
          <w:rFonts w:cstheme="minorHAnsi"/>
          <w:sz w:val="24"/>
          <w:szCs w:val="24"/>
        </w:rPr>
        <w:t xml:space="preserve">As referred to above, cartularies were compiled by parties who had a ‘stake’ or interest in the </w:t>
      </w:r>
      <w:r w:rsidR="008072A6">
        <w:rPr>
          <w:rFonts w:cstheme="minorHAnsi"/>
          <w:sz w:val="24"/>
          <w:szCs w:val="24"/>
        </w:rPr>
        <w:t>transactions recorded, and this could skew the material selected for inclusion within the cartulary.  Byland’s compiler used the cartulary to emphasise the abbey’s antiquity and its status as a Cistercian house.  In order to achieve this, he gave prominence to foundation narratives of the house, papal confirmations</w:t>
      </w:r>
      <w:r w:rsidR="00A047F6">
        <w:rPr>
          <w:rFonts w:cstheme="minorHAnsi"/>
          <w:sz w:val="24"/>
          <w:szCs w:val="24"/>
        </w:rPr>
        <w:t>,</w:t>
      </w:r>
      <w:r w:rsidR="008072A6">
        <w:rPr>
          <w:rFonts w:cstheme="minorHAnsi"/>
          <w:sz w:val="24"/>
          <w:szCs w:val="24"/>
        </w:rPr>
        <w:t xml:space="preserve"> and charters relating to the site and boundaries of the abbey site.</w:t>
      </w:r>
      <w:r w:rsidR="008072A6">
        <w:rPr>
          <w:rStyle w:val="FootnoteReference"/>
          <w:rFonts w:cstheme="minorHAnsi"/>
          <w:sz w:val="24"/>
          <w:szCs w:val="24"/>
        </w:rPr>
        <w:footnoteReference w:id="30"/>
      </w:r>
      <w:r w:rsidR="00DE02DA">
        <w:rPr>
          <w:rFonts w:cstheme="minorHAnsi"/>
          <w:sz w:val="24"/>
          <w:szCs w:val="24"/>
        </w:rPr>
        <w:t xml:space="preserve">  Following decades of dispute between </w:t>
      </w:r>
      <w:proofErr w:type="spellStart"/>
      <w:r w:rsidR="00DE02DA">
        <w:rPr>
          <w:rFonts w:cstheme="minorHAnsi"/>
          <w:sz w:val="24"/>
          <w:szCs w:val="24"/>
        </w:rPr>
        <w:t>Prémontré</w:t>
      </w:r>
      <w:proofErr w:type="spellEnd"/>
      <w:r w:rsidR="00DE02DA">
        <w:rPr>
          <w:rFonts w:cstheme="minorHAnsi"/>
          <w:sz w:val="24"/>
          <w:szCs w:val="24"/>
        </w:rPr>
        <w:t xml:space="preserve"> and a neighbouring religious house, a charter was drawn up in 1240 which proposed a methodology for resolving any future disputes.  This charter, </w:t>
      </w:r>
      <w:proofErr w:type="spellStart"/>
      <w:r w:rsidR="00DE02DA">
        <w:rPr>
          <w:rFonts w:cstheme="minorHAnsi"/>
          <w:sz w:val="24"/>
          <w:szCs w:val="24"/>
        </w:rPr>
        <w:t>Wacha</w:t>
      </w:r>
      <w:proofErr w:type="spellEnd"/>
      <w:r w:rsidR="00DE02DA">
        <w:rPr>
          <w:rFonts w:cstheme="minorHAnsi"/>
          <w:sz w:val="24"/>
          <w:szCs w:val="24"/>
        </w:rPr>
        <w:t xml:space="preserve"> argues, was included in </w:t>
      </w:r>
      <w:proofErr w:type="spellStart"/>
      <w:r w:rsidR="00DE02DA">
        <w:rPr>
          <w:rFonts w:cstheme="minorHAnsi"/>
          <w:sz w:val="24"/>
          <w:szCs w:val="24"/>
        </w:rPr>
        <w:t>Prémontré’s</w:t>
      </w:r>
      <w:proofErr w:type="spellEnd"/>
      <w:r w:rsidR="00DE02DA">
        <w:rPr>
          <w:rFonts w:cstheme="minorHAnsi"/>
          <w:sz w:val="24"/>
          <w:szCs w:val="24"/>
        </w:rPr>
        <w:t xml:space="preserve"> cartulary in order to reinforce the purpose of the cartulary as a memorialisation of harmony being restored and the resolution of conflict.</w:t>
      </w:r>
      <w:r w:rsidR="00DE02DA">
        <w:rPr>
          <w:rStyle w:val="FootnoteReference"/>
          <w:rFonts w:cstheme="minorHAnsi"/>
          <w:sz w:val="24"/>
          <w:szCs w:val="24"/>
        </w:rPr>
        <w:footnoteReference w:id="31"/>
      </w:r>
      <w:r w:rsidR="00DE02DA">
        <w:rPr>
          <w:rFonts w:cstheme="minorHAnsi"/>
          <w:sz w:val="24"/>
          <w:szCs w:val="24"/>
        </w:rPr>
        <w:t xml:space="preserve"> </w:t>
      </w:r>
      <w:r w:rsidR="00FE701B">
        <w:rPr>
          <w:rFonts w:cstheme="minorHAnsi"/>
          <w:sz w:val="24"/>
          <w:szCs w:val="24"/>
        </w:rPr>
        <w:t xml:space="preserve">These are two examples of the way in which the bias of a community could influence the compiler in their selection of material for inclusion in the cartulary. </w:t>
      </w:r>
    </w:p>
    <w:p w14:paraId="0DA0540C" w14:textId="5AC4F60C" w:rsidR="00FE701B" w:rsidRDefault="00FE701B" w:rsidP="006152B8">
      <w:pPr>
        <w:jc w:val="left"/>
        <w:rPr>
          <w:rFonts w:cstheme="minorHAnsi"/>
          <w:sz w:val="24"/>
          <w:szCs w:val="24"/>
        </w:rPr>
      </w:pPr>
    </w:p>
    <w:p w14:paraId="51201236" w14:textId="7025AA57" w:rsidR="00FE701B" w:rsidRDefault="009472D0" w:rsidP="006152B8">
      <w:pPr>
        <w:jc w:val="left"/>
        <w:rPr>
          <w:rFonts w:cstheme="minorHAnsi"/>
          <w:sz w:val="24"/>
          <w:szCs w:val="24"/>
        </w:rPr>
      </w:pPr>
      <w:r>
        <w:rPr>
          <w:rFonts w:cstheme="minorHAnsi"/>
          <w:sz w:val="24"/>
          <w:szCs w:val="24"/>
        </w:rPr>
        <w:t xml:space="preserve">When studying the date of a cartulary, this is ascertained not by the date of the earliest but of the </w:t>
      </w:r>
      <w:r w:rsidR="00A047F6">
        <w:rPr>
          <w:rFonts w:cstheme="minorHAnsi"/>
          <w:sz w:val="24"/>
          <w:szCs w:val="24"/>
        </w:rPr>
        <w:t>latest</w:t>
      </w:r>
      <w:r>
        <w:rPr>
          <w:rFonts w:cstheme="minorHAnsi"/>
          <w:sz w:val="24"/>
          <w:szCs w:val="24"/>
        </w:rPr>
        <w:t xml:space="preserve"> document that it contains.</w:t>
      </w:r>
      <w:r>
        <w:rPr>
          <w:rStyle w:val="FootnoteReference"/>
          <w:rFonts w:cstheme="minorHAnsi"/>
          <w:sz w:val="24"/>
          <w:szCs w:val="24"/>
        </w:rPr>
        <w:footnoteReference w:id="32"/>
      </w:r>
      <w:r>
        <w:rPr>
          <w:rFonts w:cstheme="minorHAnsi"/>
          <w:sz w:val="24"/>
          <w:szCs w:val="24"/>
        </w:rPr>
        <w:t xml:space="preserve"> Sometimes a date may be arrived at by the patronage under whom it was compiled.  </w:t>
      </w:r>
      <w:r w:rsidR="00A047F6">
        <w:rPr>
          <w:rFonts w:cstheme="minorHAnsi"/>
          <w:sz w:val="24"/>
          <w:szCs w:val="24"/>
        </w:rPr>
        <w:t>Amongst</w:t>
      </w:r>
      <w:r>
        <w:rPr>
          <w:rFonts w:cstheme="minorHAnsi"/>
          <w:sz w:val="24"/>
          <w:szCs w:val="24"/>
        </w:rPr>
        <w:t xml:space="preserve"> the earliest cartularies, those for Worcester Cathedral Priory are dated by references to them being compiled for Bishop </w:t>
      </w:r>
      <w:proofErr w:type="spellStart"/>
      <w:r>
        <w:rPr>
          <w:rFonts w:cstheme="minorHAnsi"/>
          <w:sz w:val="24"/>
          <w:szCs w:val="24"/>
        </w:rPr>
        <w:t>Wulfstan</w:t>
      </w:r>
      <w:proofErr w:type="spellEnd"/>
      <w:r>
        <w:rPr>
          <w:rFonts w:cstheme="minorHAnsi"/>
          <w:sz w:val="24"/>
          <w:szCs w:val="24"/>
        </w:rPr>
        <w:t>, who was bishop of Worcester during the second half of the eleventh century.</w:t>
      </w:r>
      <w:r>
        <w:rPr>
          <w:rStyle w:val="FootnoteReference"/>
          <w:rFonts w:cstheme="minorHAnsi"/>
          <w:sz w:val="24"/>
          <w:szCs w:val="24"/>
        </w:rPr>
        <w:footnoteReference w:id="33"/>
      </w:r>
      <w:r>
        <w:rPr>
          <w:rFonts w:cstheme="minorHAnsi"/>
          <w:sz w:val="24"/>
          <w:szCs w:val="24"/>
        </w:rPr>
        <w:t xml:space="preserve"> </w:t>
      </w:r>
      <w:r w:rsidR="003253B4">
        <w:rPr>
          <w:rFonts w:cstheme="minorHAnsi"/>
          <w:sz w:val="24"/>
          <w:szCs w:val="24"/>
        </w:rPr>
        <w:t>Cartularies can sometimes be set within a certain timescale by named persons, as Burton refers to in the case of the Byland cartulary, where the last document refers to the reign of Richard II</w:t>
      </w:r>
      <w:r w:rsidR="00A047F6">
        <w:rPr>
          <w:rFonts w:cstheme="minorHAnsi"/>
          <w:sz w:val="24"/>
          <w:szCs w:val="24"/>
        </w:rPr>
        <w:t>.  This</w:t>
      </w:r>
      <w:r w:rsidR="003253B4">
        <w:rPr>
          <w:rFonts w:cstheme="minorHAnsi"/>
          <w:sz w:val="24"/>
          <w:szCs w:val="24"/>
        </w:rPr>
        <w:t xml:space="preserve"> mak</w:t>
      </w:r>
      <w:r w:rsidR="00A047F6">
        <w:rPr>
          <w:rFonts w:cstheme="minorHAnsi"/>
          <w:sz w:val="24"/>
          <w:szCs w:val="24"/>
        </w:rPr>
        <w:t>es</w:t>
      </w:r>
      <w:r w:rsidR="003253B4">
        <w:rPr>
          <w:rFonts w:cstheme="minorHAnsi"/>
          <w:sz w:val="24"/>
          <w:szCs w:val="24"/>
        </w:rPr>
        <w:t xml:space="preserve"> it possible to date the cartulary within a </w:t>
      </w:r>
      <w:proofErr w:type="gramStart"/>
      <w:r w:rsidR="003253B4">
        <w:rPr>
          <w:rFonts w:cstheme="minorHAnsi"/>
          <w:sz w:val="24"/>
          <w:szCs w:val="24"/>
        </w:rPr>
        <w:t>fourteen year</w:t>
      </w:r>
      <w:proofErr w:type="gramEnd"/>
      <w:r w:rsidR="003253B4">
        <w:rPr>
          <w:rFonts w:cstheme="minorHAnsi"/>
          <w:sz w:val="24"/>
          <w:szCs w:val="24"/>
        </w:rPr>
        <w:t xml:space="preserve"> period, </w:t>
      </w:r>
      <w:r w:rsidR="005215FC">
        <w:rPr>
          <w:rFonts w:cstheme="minorHAnsi"/>
          <w:sz w:val="24"/>
          <w:szCs w:val="24"/>
        </w:rPr>
        <w:t>with</w:t>
      </w:r>
      <w:r w:rsidR="005444EB">
        <w:rPr>
          <w:rFonts w:cstheme="minorHAnsi"/>
          <w:sz w:val="24"/>
          <w:szCs w:val="24"/>
        </w:rPr>
        <w:t xml:space="preserve"> other evidence allow</w:t>
      </w:r>
      <w:r w:rsidR="005215FC">
        <w:rPr>
          <w:rFonts w:cstheme="minorHAnsi"/>
          <w:sz w:val="24"/>
          <w:szCs w:val="24"/>
        </w:rPr>
        <w:t>ing</w:t>
      </w:r>
      <w:r w:rsidR="005444EB">
        <w:rPr>
          <w:rFonts w:cstheme="minorHAnsi"/>
          <w:sz w:val="24"/>
          <w:szCs w:val="24"/>
        </w:rPr>
        <w:t xml:space="preserve"> a narrowing of the date to the period between 1399-1403.</w:t>
      </w:r>
      <w:r w:rsidR="005444EB">
        <w:rPr>
          <w:rStyle w:val="FootnoteReference"/>
          <w:rFonts w:cstheme="minorHAnsi"/>
          <w:sz w:val="24"/>
          <w:szCs w:val="24"/>
        </w:rPr>
        <w:footnoteReference w:id="34"/>
      </w:r>
    </w:p>
    <w:p w14:paraId="05F0F6F2" w14:textId="77777777" w:rsidR="00FF4844" w:rsidRDefault="00FF4844" w:rsidP="006152B8">
      <w:pPr>
        <w:jc w:val="left"/>
        <w:rPr>
          <w:rFonts w:cstheme="minorHAnsi"/>
          <w:sz w:val="24"/>
          <w:szCs w:val="24"/>
        </w:rPr>
      </w:pPr>
    </w:p>
    <w:p w14:paraId="018F506C" w14:textId="47B860E2" w:rsidR="000364DD" w:rsidRDefault="000364DD" w:rsidP="006152B8">
      <w:pPr>
        <w:jc w:val="left"/>
        <w:rPr>
          <w:rFonts w:cstheme="minorHAnsi"/>
          <w:sz w:val="24"/>
          <w:szCs w:val="24"/>
        </w:rPr>
      </w:pPr>
      <w:r>
        <w:rPr>
          <w:rFonts w:cstheme="minorHAnsi"/>
          <w:sz w:val="24"/>
          <w:szCs w:val="24"/>
        </w:rPr>
        <w:t>Like any copied written work, cartularies can be affected by inaccuracies in copying or by the scribe</w:t>
      </w:r>
      <w:r w:rsidR="006152B8">
        <w:rPr>
          <w:rFonts w:cstheme="minorHAnsi"/>
          <w:sz w:val="24"/>
          <w:szCs w:val="24"/>
        </w:rPr>
        <w:t xml:space="preserve"> </w:t>
      </w:r>
      <w:r>
        <w:rPr>
          <w:rFonts w:cstheme="minorHAnsi"/>
          <w:sz w:val="24"/>
          <w:szCs w:val="24"/>
        </w:rPr>
        <w:t>simply becoming bored with their task or accidentally omitting passages or documents.</w:t>
      </w:r>
      <w:r>
        <w:rPr>
          <w:rStyle w:val="FootnoteReference"/>
          <w:rFonts w:cstheme="minorHAnsi"/>
          <w:sz w:val="24"/>
          <w:szCs w:val="24"/>
        </w:rPr>
        <w:footnoteReference w:id="35"/>
      </w:r>
      <w:r>
        <w:rPr>
          <w:rFonts w:cstheme="minorHAnsi"/>
          <w:sz w:val="24"/>
          <w:szCs w:val="24"/>
        </w:rPr>
        <w:t xml:space="preserve">  Cartularies were rarely indexed, but did tend to have a table of contents.  Space could be left blank so that further leaves could be inserted if necessary.  An indirect consequence of this approach was that cartularies which were quite distinct could end up combined or become confused</w:t>
      </w:r>
      <w:r>
        <w:rPr>
          <w:rStyle w:val="FootnoteReference"/>
          <w:rFonts w:cstheme="minorHAnsi"/>
          <w:sz w:val="24"/>
          <w:szCs w:val="24"/>
        </w:rPr>
        <w:footnoteReference w:id="36"/>
      </w:r>
      <w:r>
        <w:rPr>
          <w:rFonts w:cstheme="minorHAnsi"/>
          <w:sz w:val="24"/>
          <w:szCs w:val="24"/>
        </w:rPr>
        <w:t>, creating puzzles for historians to unravel.</w:t>
      </w:r>
      <w:r w:rsidR="00DC51A2">
        <w:rPr>
          <w:rFonts w:cstheme="minorHAnsi"/>
          <w:sz w:val="24"/>
          <w:szCs w:val="24"/>
        </w:rPr>
        <w:t xml:space="preserve">  Walker cites the organisation of material in </w:t>
      </w:r>
      <w:proofErr w:type="spellStart"/>
      <w:r w:rsidR="00DC51A2">
        <w:rPr>
          <w:rFonts w:cstheme="minorHAnsi"/>
          <w:sz w:val="24"/>
          <w:szCs w:val="24"/>
        </w:rPr>
        <w:t>Healaugh</w:t>
      </w:r>
      <w:proofErr w:type="spellEnd"/>
      <w:r w:rsidR="00DC51A2">
        <w:rPr>
          <w:rFonts w:cstheme="minorHAnsi"/>
          <w:sz w:val="24"/>
          <w:szCs w:val="24"/>
        </w:rPr>
        <w:t xml:space="preserve"> Priory’s cartulary as being especially </w:t>
      </w:r>
      <w:r w:rsidR="00FF4844">
        <w:rPr>
          <w:rFonts w:cstheme="minorHAnsi"/>
          <w:sz w:val="24"/>
          <w:szCs w:val="24"/>
        </w:rPr>
        <w:t xml:space="preserve">erratic and </w:t>
      </w:r>
      <w:r w:rsidR="00DC51A2">
        <w:rPr>
          <w:rFonts w:cstheme="minorHAnsi"/>
          <w:sz w:val="24"/>
          <w:szCs w:val="24"/>
        </w:rPr>
        <w:t>difficult to determine.</w:t>
      </w:r>
      <w:r w:rsidR="00DC51A2">
        <w:rPr>
          <w:rStyle w:val="FootnoteReference"/>
          <w:rFonts w:cstheme="minorHAnsi"/>
          <w:sz w:val="24"/>
          <w:szCs w:val="24"/>
        </w:rPr>
        <w:footnoteReference w:id="37"/>
      </w:r>
      <w:r w:rsidR="00DC51A2">
        <w:rPr>
          <w:rFonts w:cstheme="minorHAnsi"/>
          <w:sz w:val="24"/>
          <w:szCs w:val="24"/>
        </w:rPr>
        <w:t xml:space="preserve">  Whilst editorial decisions could appear to be erratic in some cases, cartularies did at least have the advantage of having been subjected to a preliminary sorting by the scribe and through circumstance.</w:t>
      </w:r>
      <w:r w:rsidR="00DC51A2">
        <w:rPr>
          <w:rStyle w:val="FootnoteReference"/>
          <w:rFonts w:cstheme="minorHAnsi"/>
          <w:sz w:val="24"/>
          <w:szCs w:val="24"/>
        </w:rPr>
        <w:footnoteReference w:id="38"/>
      </w:r>
      <w:r w:rsidR="00647013">
        <w:rPr>
          <w:rFonts w:cstheme="minorHAnsi"/>
          <w:sz w:val="24"/>
          <w:szCs w:val="24"/>
        </w:rPr>
        <w:t xml:space="preserve">  </w:t>
      </w:r>
      <w:proofErr w:type="spellStart"/>
      <w:r w:rsidR="006152B8">
        <w:rPr>
          <w:rFonts w:cstheme="minorHAnsi"/>
          <w:sz w:val="24"/>
          <w:szCs w:val="24"/>
        </w:rPr>
        <w:t>Foulds</w:t>
      </w:r>
      <w:proofErr w:type="spellEnd"/>
      <w:r w:rsidR="006152B8">
        <w:rPr>
          <w:rFonts w:cstheme="minorHAnsi"/>
          <w:sz w:val="24"/>
          <w:szCs w:val="24"/>
        </w:rPr>
        <w:t xml:space="preserve"> states that smaller or less ancient religious foundations tend</w:t>
      </w:r>
      <w:r w:rsidR="00FF4844">
        <w:rPr>
          <w:rFonts w:cstheme="minorHAnsi"/>
          <w:sz w:val="24"/>
          <w:szCs w:val="24"/>
        </w:rPr>
        <w:t>ed</w:t>
      </w:r>
      <w:r w:rsidR="006152B8">
        <w:rPr>
          <w:rFonts w:cstheme="minorHAnsi"/>
          <w:sz w:val="24"/>
          <w:szCs w:val="24"/>
        </w:rPr>
        <w:t xml:space="preserve"> to produce a general cartulary, in order to avoid to the taxing process of compiling a chronicle-cartulary.  It is not uncommon for chronicle-cartularies to degenerate into transcriptions of documents as this was the line of least</w:t>
      </w:r>
      <w:r w:rsidR="00FF4844">
        <w:rPr>
          <w:rFonts w:cstheme="minorHAnsi"/>
          <w:sz w:val="24"/>
          <w:szCs w:val="24"/>
        </w:rPr>
        <w:t xml:space="preserve"> </w:t>
      </w:r>
      <w:r w:rsidR="006152B8">
        <w:rPr>
          <w:rFonts w:cstheme="minorHAnsi"/>
          <w:sz w:val="24"/>
          <w:szCs w:val="24"/>
        </w:rPr>
        <w:t>resistance and did not exhaust the abilities of the compiler.</w:t>
      </w:r>
      <w:r w:rsidR="006152B8">
        <w:rPr>
          <w:rStyle w:val="FootnoteReference"/>
          <w:rFonts w:cstheme="minorHAnsi"/>
          <w:sz w:val="24"/>
          <w:szCs w:val="24"/>
        </w:rPr>
        <w:footnoteReference w:id="39"/>
      </w:r>
      <w:r w:rsidR="006152B8">
        <w:rPr>
          <w:rFonts w:cstheme="minorHAnsi"/>
          <w:sz w:val="24"/>
          <w:szCs w:val="24"/>
        </w:rPr>
        <w:t xml:space="preserve">  When compiling material it was often easiest to use a topographical system, but even a simple system like this could often hide a more complex system.  Spalding Priory cartulary is organised by place names, but within this is a further chronological arrangement, grouping together</w:t>
      </w:r>
      <w:r w:rsidR="006B62C4">
        <w:rPr>
          <w:rFonts w:cstheme="minorHAnsi"/>
          <w:sz w:val="24"/>
          <w:szCs w:val="24"/>
        </w:rPr>
        <w:t xml:space="preserve"> fenland</w:t>
      </w:r>
      <w:r w:rsidR="006152B8">
        <w:rPr>
          <w:rFonts w:cstheme="minorHAnsi"/>
          <w:sz w:val="24"/>
          <w:szCs w:val="24"/>
        </w:rPr>
        <w:t xml:space="preserve"> holdings acquired under </w:t>
      </w:r>
      <w:r w:rsidR="006B62C4">
        <w:rPr>
          <w:rFonts w:cstheme="minorHAnsi"/>
          <w:sz w:val="24"/>
          <w:szCs w:val="24"/>
        </w:rPr>
        <w:t xml:space="preserve">the tenure of </w:t>
      </w:r>
      <w:r w:rsidR="006152B8">
        <w:rPr>
          <w:rFonts w:cstheme="minorHAnsi"/>
          <w:sz w:val="24"/>
          <w:szCs w:val="24"/>
        </w:rPr>
        <w:t>several priors</w:t>
      </w:r>
      <w:r w:rsidR="00E9798D">
        <w:rPr>
          <w:rFonts w:cstheme="minorHAnsi"/>
          <w:sz w:val="24"/>
          <w:szCs w:val="24"/>
        </w:rPr>
        <w:t>.</w:t>
      </w:r>
      <w:r w:rsidR="006B62C4">
        <w:rPr>
          <w:rStyle w:val="FootnoteReference"/>
          <w:rFonts w:cstheme="minorHAnsi"/>
          <w:sz w:val="24"/>
          <w:szCs w:val="24"/>
        </w:rPr>
        <w:footnoteReference w:id="40"/>
      </w:r>
    </w:p>
    <w:p w14:paraId="4AFF0181" w14:textId="33E9A002" w:rsidR="00E9798D" w:rsidRDefault="00E9798D" w:rsidP="006152B8">
      <w:pPr>
        <w:jc w:val="left"/>
        <w:rPr>
          <w:rFonts w:cstheme="minorHAnsi"/>
          <w:sz w:val="24"/>
          <w:szCs w:val="24"/>
        </w:rPr>
      </w:pPr>
    </w:p>
    <w:p w14:paraId="24AC4704" w14:textId="7D136DD3" w:rsidR="00E9798D" w:rsidRDefault="00E9798D" w:rsidP="006152B8">
      <w:pPr>
        <w:jc w:val="left"/>
        <w:rPr>
          <w:rFonts w:cstheme="minorHAnsi"/>
          <w:sz w:val="24"/>
          <w:szCs w:val="24"/>
        </w:rPr>
      </w:pPr>
      <w:r>
        <w:rPr>
          <w:rFonts w:cstheme="minorHAnsi"/>
          <w:sz w:val="24"/>
          <w:szCs w:val="24"/>
        </w:rPr>
        <w:t xml:space="preserve">As well as the complexity of understanding the editorial decisions involved in </w:t>
      </w:r>
      <w:r w:rsidR="00FF4844">
        <w:rPr>
          <w:rFonts w:cstheme="minorHAnsi"/>
          <w:sz w:val="24"/>
          <w:szCs w:val="24"/>
        </w:rPr>
        <w:t>compiling</w:t>
      </w:r>
      <w:r>
        <w:rPr>
          <w:rFonts w:cstheme="minorHAnsi"/>
          <w:sz w:val="24"/>
          <w:szCs w:val="24"/>
        </w:rPr>
        <w:t xml:space="preserve"> the cartulary, the historian should also consider how representative the cartularies</w:t>
      </w:r>
      <w:r w:rsidR="00FF4844">
        <w:rPr>
          <w:rFonts w:cstheme="minorHAnsi"/>
          <w:sz w:val="24"/>
          <w:szCs w:val="24"/>
        </w:rPr>
        <w:t xml:space="preserve"> are</w:t>
      </w:r>
      <w:r>
        <w:rPr>
          <w:rFonts w:cstheme="minorHAnsi"/>
          <w:sz w:val="24"/>
          <w:szCs w:val="24"/>
        </w:rPr>
        <w:t xml:space="preserve"> </w:t>
      </w:r>
      <w:r w:rsidR="00575CEB">
        <w:rPr>
          <w:rFonts w:cstheme="minorHAnsi"/>
          <w:sz w:val="24"/>
          <w:szCs w:val="24"/>
        </w:rPr>
        <w:t xml:space="preserve">and, </w:t>
      </w:r>
      <w:r>
        <w:rPr>
          <w:rFonts w:cstheme="minorHAnsi"/>
          <w:sz w:val="24"/>
          <w:szCs w:val="24"/>
        </w:rPr>
        <w:t xml:space="preserve">how much material </w:t>
      </w:r>
      <w:r w:rsidR="00575CEB">
        <w:rPr>
          <w:rFonts w:cstheme="minorHAnsi"/>
          <w:sz w:val="24"/>
          <w:szCs w:val="24"/>
        </w:rPr>
        <w:t>was there</w:t>
      </w:r>
      <w:r>
        <w:rPr>
          <w:rFonts w:cstheme="minorHAnsi"/>
          <w:sz w:val="24"/>
          <w:szCs w:val="24"/>
        </w:rPr>
        <w:t xml:space="preserve"> that hasn’t been preserved</w:t>
      </w:r>
      <w:r w:rsidR="00575CEB">
        <w:rPr>
          <w:rFonts w:cstheme="minorHAnsi"/>
          <w:sz w:val="24"/>
          <w:szCs w:val="24"/>
        </w:rPr>
        <w:t>.</w:t>
      </w:r>
      <w:r>
        <w:rPr>
          <w:rFonts w:cstheme="minorHAnsi"/>
          <w:sz w:val="24"/>
          <w:szCs w:val="24"/>
        </w:rPr>
        <w:t xml:space="preserve">  </w:t>
      </w:r>
      <w:r w:rsidR="007A4AE0">
        <w:rPr>
          <w:rFonts w:cstheme="minorHAnsi"/>
          <w:sz w:val="24"/>
          <w:szCs w:val="24"/>
        </w:rPr>
        <w:t>Burton acknowledges that a compiler may deliberately have chosen to omit material found in a monastery archive from the cartulary.  In the case of the Byland cartulary, she writes that the strategy of the compiler isn’t always clear and questions if these omissions are because of the seeming irrelevance of the material concerned.</w:t>
      </w:r>
      <w:r w:rsidR="007A4AE0">
        <w:rPr>
          <w:rStyle w:val="FootnoteReference"/>
          <w:rFonts w:cstheme="minorHAnsi"/>
          <w:sz w:val="24"/>
          <w:szCs w:val="24"/>
        </w:rPr>
        <w:footnoteReference w:id="41"/>
      </w:r>
      <w:r w:rsidR="0052097A">
        <w:rPr>
          <w:rFonts w:cstheme="minorHAnsi"/>
          <w:sz w:val="24"/>
          <w:szCs w:val="24"/>
        </w:rPr>
        <w:t xml:space="preserve">  In contrast, Walker cites the thoroughness of the compiler of </w:t>
      </w:r>
      <w:proofErr w:type="spellStart"/>
      <w:r w:rsidR="0052097A">
        <w:rPr>
          <w:rFonts w:cstheme="minorHAnsi"/>
          <w:sz w:val="24"/>
          <w:szCs w:val="24"/>
        </w:rPr>
        <w:lastRenderedPageBreak/>
        <w:t>Llanthony’s</w:t>
      </w:r>
      <w:proofErr w:type="spellEnd"/>
      <w:r w:rsidR="0052097A">
        <w:rPr>
          <w:rFonts w:cstheme="minorHAnsi"/>
          <w:sz w:val="24"/>
          <w:szCs w:val="24"/>
        </w:rPr>
        <w:t xml:space="preserve"> Great Cartulary for his understanding of the value of the original documents that he was working with, and that not a single charter was copied out of sequence.</w:t>
      </w:r>
      <w:r w:rsidR="0052097A">
        <w:rPr>
          <w:rStyle w:val="FootnoteReference"/>
          <w:rFonts w:cstheme="minorHAnsi"/>
          <w:sz w:val="24"/>
          <w:szCs w:val="24"/>
        </w:rPr>
        <w:footnoteReference w:id="42"/>
      </w:r>
    </w:p>
    <w:p w14:paraId="742988C0" w14:textId="78702B1A" w:rsidR="0052097A" w:rsidRDefault="0052097A" w:rsidP="006152B8">
      <w:pPr>
        <w:jc w:val="left"/>
        <w:rPr>
          <w:rFonts w:cstheme="minorHAnsi"/>
          <w:sz w:val="24"/>
          <w:szCs w:val="24"/>
        </w:rPr>
      </w:pPr>
    </w:p>
    <w:p w14:paraId="0232804E" w14:textId="1B1E7A92" w:rsidR="0052097A" w:rsidRDefault="002F3867" w:rsidP="006152B8">
      <w:pPr>
        <w:jc w:val="left"/>
        <w:rPr>
          <w:rFonts w:cstheme="minorHAnsi"/>
          <w:sz w:val="24"/>
          <w:szCs w:val="24"/>
        </w:rPr>
      </w:pPr>
      <w:r>
        <w:rPr>
          <w:rFonts w:cstheme="minorHAnsi"/>
          <w:sz w:val="24"/>
          <w:szCs w:val="24"/>
        </w:rPr>
        <w:t>With all recording of history, there are always problems in the time lapse between an event and it being recorded.  Memories fade or take on a new shape, events become more insignificant than they appeared at the time.  When considering a cartulary, the historian could question the time lapse between the charters being drawn up and the compilation of the charter</w:t>
      </w:r>
      <w:r w:rsidR="00575CEB">
        <w:rPr>
          <w:rFonts w:cstheme="minorHAnsi"/>
          <w:sz w:val="24"/>
          <w:szCs w:val="24"/>
        </w:rPr>
        <w:t>,</w:t>
      </w:r>
      <w:r>
        <w:rPr>
          <w:rFonts w:cstheme="minorHAnsi"/>
          <w:sz w:val="24"/>
          <w:szCs w:val="24"/>
        </w:rPr>
        <w:t xml:space="preserve"> </w:t>
      </w:r>
      <w:proofErr w:type="spellStart"/>
      <w:r w:rsidR="00575CEB">
        <w:rPr>
          <w:rFonts w:cstheme="minorHAnsi"/>
          <w:sz w:val="24"/>
          <w:szCs w:val="24"/>
        </w:rPr>
        <w:t>wether</w:t>
      </w:r>
      <w:proofErr w:type="spellEnd"/>
      <w:r>
        <w:rPr>
          <w:rFonts w:cstheme="minorHAnsi"/>
          <w:sz w:val="24"/>
          <w:szCs w:val="24"/>
        </w:rPr>
        <w:t xml:space="preserve"> this</w:t>
      </w:r>
      <w:r w:rsidR="00575CEB">
        <w:rPr>
          <w:rFonts w:cstheme="minorHAnsi"/>
          <w:sz w:val="24"/>
          <w:szCs w:val="24"/>
        </w:rPr>
        <w:t xml:space="preserve"> could</w:t>
      </w:r>
      <w:r>
        <w:rPr>
          <w:rFonts w:cstheme="minorHAnsi"/>
          <w:sz w:val="24"/>
          <w:szCs w:val="24"/>
        </w:rPr>
        <w:t xml:space="preserve"> have led to misunderstandings about the material.  There is evidence that some cartularies are the work of several compilers over a considerable period of time</w:t>
      </w:r>
      <w:r w:rsidR="00575CEB">
        <w:rPr>
          <w:rFonts w:cstheme="minorHAnsi"/>
          <w:sz w:val="24"/>
          <w:szCs w:val="24"/>
        </w:rPr>
        <w:t>;</w:t>
      </w:r>
      <w:r>
        <w:rPr>
          <w:rFonts w:cstheme="minorHAnsi"/>
          <w:sz w:val="24"/>
          <w:szCs w:val="24"/>
        </w:rPr>
        <w:t xml:space="preserve"> Walker cites the Canterbury cartulary as such a case, </w:t>
      </w:r>
      <w:r w:rsidR="00D56F95">
        <w:rPr>
          <w:rFonts w:cstheme="minorHAnsi"/>
          <w:sz w:val="24"/>
          <w:szCs w:val="24"/>
        </w:rPr>
        <w:t>where various hands can be seen at work.</w:t>
      </w:r>
      <w:r w:rsidR="00D56F95">
        <w:rPr>
          <w:rStyle w:val="FootnoteReference"/>
          <w:rFonts w:cstheme="minorHAnsi"/>
          <w:sz w:val="24"/>
          <w:szCs w:val="24"/>
        </w:rPr>
        <w:footnoteReference w:id="43"/>
      </w:r>
      <w:r w:rsidR="00D56F95">
        <w:rPr>
          <w:rFonts w:cstheme="minorHAnsi"/>
          <w:sz w:val="24"/>
          <w:szCs w:val="24"/>
        </w:rPr>
        <w:t xml:space="preserve">  There are good examples of a cartulary being edited by a later generation, such as the excellent reorganisation of </w:t>
      </w:r>
      <w:proofErr w:type="spellStart"/>
      <w:r w:rsidR="00D56F95">
        <w:rPr>
          <w:rFonts w:cstheme="minorHAnsi"/>
          <w:sz w:val="24"/>
          <w:szCs w:val="24"/>
        </w:rPr>
        <w:t>Bradenstoke</w:t>
      </w:r>
      <w:proofErr w:type="spellEnd"/>
      <w:r w:rsidR="00D56F95">
        <w:rPr>
          <w:rFonts w:cstheme="minorHAnsi"/>
          <w:sz w:val="24"/>
          <w:szCs w:val="24"/>
        </w:rPr>
        <w:t xml:space="preserve"> Priory’s cartulary a century after it was compiled.</w:t>
      </w:r>
      <w:r w:rsidR="00D56F95">
        <w:rPr>
          <w:rStyle w:val="FootnoteReference"/>
          <w:rFonts w:cstheme="minorHAnsi"/>
          <w:sz w:val="24"/>
          <w:szCs w:val="24"/>
        </w:rPr>
        <w:footnoteReference w:id="44"/>
      </w:r>
      <w:r w:rsidR="00D56F95">
        <w:rPr>
          <w:rFonts w:cstheme="minorHAnsi"/>
          <w:sz w:val="24"/>
          <w:szCs w:val="24"/>
        </w:rPr>
        <w:t xml:space="preserve">  A warning must be noted </w:t>
      </w:r>
      <w:r w:rsidR="000851C6">
        <w:rPr>
          <w:rFonts w:cstheme="minorHAnsi"/>
          <w:sz w:val="24"/>
          <w:szCs w:val="24"/>
        </w:rPr>
        <w:t xml:space="preserve">too </w:t>
      </w:r>
      <w:r w:rsidR="00D56F95">
        <w:rPr>
          <w:rFonts w:cstheme="minorHAnsi"/>
          <w:sz w:val="24"/>
          <w:szCs w:val="24"/>
        </w:rPr>
        <w:t>about early modern and modern editors also rearranging materials in a cartulary to make them conform to their preferred ordering principle.  Raymond Clemens also warns of some later editors ‘making up’ information missing from the cartulary by taking it from the original charter if this is available, sometimes this addition is indicated and at other times has been added ‘silently’.</w:t>
      </w:r>
      <w:r w:rsidR="005A5C13">
        <w:rPr>
          <w:rStyle w:val="FootnoteReference"/>
          <w:rFonts w:cstheme="minorHAnsi"/>
          <w:sz w:val="24"/>
          <w:szCs w:val="24"/>
        </w:rPr>
        <w:footnoteReference w:id="45"/>
      </w:r>
      <w:r w:rsidR="00D56F95">
        <w:rPr>
          <w:rFonts w:cstheme="minorHAnsi"/>
          <w:sz w:val="24"/>
          <w:szCs w:val="24"/>
        </w:rPr>
        <w:t xml:space="preserve"> </w:t>
      </w:r>
    </w:p>
    <w:p w14:paraId="708031EC" w14:textId="1928D915" w:rsidR="005F60A8" w:rsidRDefault="005F60A8" w:rsidP="006152B8">
      <w:pPr>
        <w:jc w:val="left"/>
        <w:rPr>
          <w:rFonts w:cstheme="minorHAnsi"/>
          <w:sz w:val="24"/>
          <w:szCs w:val="24"/>
        </w:rPr>
      </w:pPr>
    </w:p>
    <w:p w14:paraId="4F1CA9AF" w14:textId="0FCB715E" w:rsidR="002B0626" w:rsidRDefault="000851C6" w:rsidP="006152B8">
      <w:pPr>
        <w:jc w:val="left"/>
        <w:rPr>
          <w:rFonts w:cstheme="minorHAnsi"/>
          <w:sz w:val="24"/>
          <w:szCs w:val="24"/>
        </w:rPr>
      </w:pPr>
      <w:r>
        <w:rPr>
          <w:rFonts w:cstheme="minorHAnsi"/>
          <w:sz w:val="24"/>
          <w:szCs w:val="24"/>
        </w:rPr>
        <w:t>It</w:t>
      </w:r>
      <w:r w:rsidR="002B0626">
        <w:rPr>
          <w:rFonts w:cstheme="minorHAnsi"/>
          <w:sz w:val="24"/>
          <w:szCs w:val="24"/>
        </w:rPr>
        <w:t xml:space="preserve"> could be argued that cartularies do pose a number </w:t>
      </w:r>
      <w:r w:rsidR="002C0AFC">
        <w:rPr>
          <w:rFonts w:cstheme="minorHAnsi"/>
          <w:sz w:val="24"/>
          <w:szCs w:val="24"/>
        </w:rPr>
        <w:t>of problems for the historian, especially that they carry a high risk of containing forged material, bias</w:t>
      </w:r>
      <w:r>
        <w:rPr>
          <w:rFonts w:cstheme="minorHAnsi"/>
          <w:sz w:val="24"/>
          <w:szCs w:val="24"/>
        </w:rPr>
        <w:t>,</w:t>
      </w:r>
      <w:r w:rsidR="002C0AFC">
        <w:rPr>
          <w:rFonts w:cstheme="minorHAnsi"/>
          <w:sz w:val="24"/>
          <w:szCs w:val="24"/>
        </w:rPr>
        <w:t xml:space="preserve"> and the inevitable problems arising from issues around inaccurate copying and erratic compilation methods.  These problems are sometimes a little humorous, such as the inclusion of cooking recipes in </w:t>
      </w:r>
      <w:r w:rsidR="00D111F8">
        <w:rPr>
          <w:rFonts w:cstheme="minorHAnsi"/>
          <w:sz w:val="24"/>
          <w:szCs w:val="24"/>
        </w:rPr>
        <w:t>a</w:t>
      </w:r>
      <w:r w:rsidR="002C0AFC">
        <w:rPr>
          <w:rFonts w:cstheme="minorHAnsi"/>
          <w:sz w:val="24"/>
          <w:szCs w:val="24"/>
        </w:rPr>
        <w:t xml:space="preserve"> cartulary.</w:t>
      </w:r>
      <w:r w:rsidR="002C0AFC">
        <w:rPr>
          <w:rStyle w:val="FootnoteReference"/>
          <w:rFonts w:cstheme="minorHAnsi"/>
          <w:sz w:val="24"/>
          <w:szCs w:val="24"/>
        </w:rPr>
        <w:footnoteReference w:id="46"/>
      </w:r>
      <w:r w:rsidR="002C0AFC">
        <w:rPr>
          <w:rFonts w:cstheme="minorHAnsi"/>
          <w:sz w:val="24"/>
          <w:szCs w:val="24"/>
        </w:rPr>
        <w:t xml:space="preserve">  </w:t>
      </w:r>
      <w:r>
        <w:rPr>
          <w:rFonts w:cstheme="minorHAnsi"/>
          <w:sz w:val="24"/>
          <w:szCs w:val="24"/>
        </w:rPr>
        <w:t>On</w:t>
      </w:r>
      <w:r w:rsidR="000A5965">
        <w:rPr>
          <w:rFonts w:cstheme="minorHAnsi"/>
          <w:sz w:val="24"/>
          <w:szCs w:val="24"/>
        </w:rPr>
        <w:t xml:space="preserve"> the other hand, </w:t>
      </w:r>
      <w:r>
        <w:rPr>
          <w:rFonts w:cstheme="minorHAnsi"/>
          <w:sz w:val="24"/>
          <w:szCs w:val="24"/>
        </w:rPr>
        <w:t xml:space="preserve">cartularies </w:t>
      </w:r>
      <w:r w:rsidR="002C0AFC">
        <w:rPr>
          <w:rFonts w:cstheme="minorHAnsi"/>
          <w:sz w:val="24"/>
          <w:szCs w:val="24"/>
        </w:rPr>
        <w:t xml:space="preserve">offer a valuable resource for the historian by providing economic and social historical evidence about an institution. As </w:t>
      </w:r>
      <w:proofErr w:type="spellStart"/>
      <w:r w:rsidR="002C0AFC">
        <w:rPr>
          <w:rFonts w:cstheme="minorHAnsi"/>
          <w:sz w:val="24"/>
          <w:szCs w:val="24"/>
        </w:rPr>
        <w:t>Wacha</w:t>
      </w:r>
      <w:proofErr w:type="spellEnd"/>
      <w:r w:rsidR="002C0AFC">
        <w:rPr>
          <w:rFonts w:cstheme="minorHAnsi"/>
          <w:sz w:val="24"/>
          <w:szCs w:val="24"/>
        </w:rPr>
        <w:t xml:space="preserve"> states, a cartulary can tell a story of the growth and decline of an institution’s revenues and rights, its relationship with lay patrons and dependent houses in the case of a religious house.  The process of selection of material provides further invaluable insights into the zeitgeist of a </w:t>
      </w:r>
      <w:r w:rsidR="002C0AFC">
        <w:rPr>
          <w:rFonts w:cstheme="minorHAnsi"/>
          <w:sz w:val="24"/>
          <w:szCs w:val="24"/>
        </w:rPr>
        <w:lastRenderedPageBreak/>
        <w:t>particular house.</w:t>
      </w:r>
      <w:r w:rsidR="002C0AFC">
        <w:rPr>
          <w:rStyle w:val="FootnoteReference"/>
          <w:rFonts w:cstheme="minorHAnsi"/>
          <w:sz w:val="24"/>
          <w:szCs w:val="24"/>
        </w:rPr>
        <w:footnoteReference w:id="47"/>
      </w:r>
      <w:r w:rsidR="002C0AFC">
        <w:rPr>
          <w:rFonts w:cstheme="minorHAnsi"/>
          <w:sz w:val="24"/>
          <w:szCs w:val="24"/>
        </w:rPr>
        <w:t xml:space="preserve">  </w:t>
      </w:r>
      <w:r w:rsidR="000A5965">
        <w:rPr>
          <w:rFonts w:cstheme="minorHAnsi"/>
          <w:sz w:val="24"/>
          <w:szCs w:val="24"/>
        </w:rPr>
        <w:t xml:space="preserve">A cartulary is a more complex work than often realised, according to </w:t>
      </w:r>
      <w:proofErr w:type="spellStart"/>
      <w:r w:rsidR="000A5965">
        <w:rPr>
          <w:rFonts w:cstheme="minorHAnsi"/>
          <w:sz w:val="24"/>
          <w:szCs w:val="24"/>
        </w:rPr>
        <w:t>Foulds</w:t>
      </w:r>
      <w:proofErr w:type="spellEnd"/>
      <w:r w:rsidR="000A5965">
        <w:rPr>
          <w:rFonts w:cstheme="minorHAnsi"/>
          <w:sz w:val="24"/>
          <w:szCs w:val="24"/>
        </w:rPr>
        <w:t>, as it fulfilled a number of interrelated functions in expressing the identity of its institution or secular family.</w:t>
      </w:r>
      <w:r w:rsidR="000A5965">
        <w:rPr>
          <w:rStyle w:val="FootnoteReference"/>
          <w:rFonts w:cstheme="minorHAnsi"/>
          <w:sz w:val="24"/>
          <w:szCs w:val="24"/>
        </w:rPr>
        <w:footnoteReference w:id="48"/>
      </w:r>
      <w:r w:rsidR="00D111F8">
        <w:rPr>
          <w:rFonts w:cstheme="minorHAnsi"/>
          <w:sz w:val="24"/>
          <w:szCs w:val="24"/>
        </w:rPr>
        <w:t xml:space="preserve">  </w:t>
      </w:r>
      <w:r w:rsidR="0024378D">
        <w:rPr>
          <w:rFonts w:cstheme="minorHAnsi"/>
          <w:sz w:val="24"/>
          <w:szCs w:val="24"/>
        </w:rPr>
        <w:t>With the potential wealth of material that cartularies contain, it is encouraging to discover that they have received more attention from medieval historians since the last decade of the twentieth century.  This increased interest has led to a move away from the reconstruction of the original text to a</w:t>
      </w:r>
      <w:r w:rsidR="004F076B">
        <w:rPr>
          <w:rFonts w:cstheme="minorHAnsi"/>
          <w:sz w:val="24"/>
          <w:szCs w:val="24"/>
        </w:rPr>
        <w:t>n</w:t>
      </w:r>
      <w:r w:rsidR="0024378D">
        <w:rPr>
          <w:rFonts w:cstheme="minorHAnsi"/>
          <w:sz w:val="24"/>
          <w:szCs w:val="24"/>
        </w:rPr>
        <w:t xml:space="preserve"> approach which aims to investigate the function, nature and history of </w:t>
      </w:r>
      <w:r>
        <w:rPr>
          <w:rFonts w:cstheme="minorHAnsi"/>
          <w:sz w:val="24"/>
          <w:szCs w:val="24"/>
        </w:rPr>
        <w:t xml:space="preserve">the </w:t>
      </w:r>
      <w:r w:rsidR="0024378D">
        <w:rPr>
          <w:rFonts w:cstheme="minorHAnsi"/>
          <w:sz w:val="24"/>
          <w:szCs w:val="24"/>
        </w:rPr>
        <w:t>cartularies</w:t>
      </w:r>
      <w:r>
        <w:rPr>
          <w:rFonts w:cstheme="minorHAnsi"/>
          <w:sz w:val="24"/>
          <w:szCs w:val="24"/>
        </w:rPr>
        <w:t xml:space="preserve"> themselves</w:t>
      </w:r>
      <w:r w:rsidR="0024378D">
        <w:rPr>
          <w:rFonts w:cstheme="minorHAnsi"/>
          <w:sz w:val="24"/>
          <w:szCs w:val="24"/>
        </w:rPr>
        <w:t>.</w:t>
      </w:r>
      <w:r w:rsidR="0024378D">
        <w:rPr>
          <w:rStyle w:val="FootnoteReference"/>
          <w:rFonts w:cstheme="minorHAnsi"/>
          <w:sz w:val="24"/>
          <w:szCs w:val="24"/>
        </w:rPr>
        <w:footnoteReference w:id="49"/>
      </w:r>
      <w:r w:rsidR="004F076B">
        <w:rPr>
          <w:rFonts w:cstheme="minorHAnsi"/>
          <w:sz w:val="24"/>
          <w:szCs w:val="24"/>
        </w:rPr>
        <w:t xml:space="preserve">  This can only increase our comprehension of the contemporaneous historiography of medieval institutions and families.</w:t>
      </w:r>
    </w:p>
    <w:p w14:paraId="42364996" w14:textId="37B1DBF4" w:rsidR="005F1288" w:rsidRDefault="005F1288" w:rsidP="006152B8">
      <w:pPr>
        <w:jc w:val="left"/>
        <w:rPr>
          <w:rFonts w:cstheme="minorHAnsi"/>
          <w:sz w:val="24"/>
          <w:szCs w:val="24"/>
        </w:rPr>
      </w:pPr>
    </w:p>
    <w:p w14:paraId="3D4FFF06" w14:textId="40F76BC9" w:rsidR="005F1288" w:rsidRDefault="005F1288" w:rsidP="006152B8">
      <w:pPr>
        <w:jc w:val="left"/>
        <w:rPr>
          <w:rFonts w:cstheme="minorHAnsi"/>
          <w:sz w:val="24"/>
          <w:szCs w:val="24"/>
        </w:rPr>
      </w:pPr>
    </w:p>
    <w:p w14:paraId="6EEED95B" w14:textId="5C156201" w:rsidR="005F1288" w:rsidRDefault="005F1288" w:rsidP="006152B8">
      <w:pPr>
        <w:jc w:val="left"/>
        <w:rPr>
          <w:rFonts w:cstheme="minorHAnsi"/>
          <w:sz w:val="24"/>
          <w:szCs w:val="24"/>
        </w:rPr>
      </w:pPr>
    </w:p>
    <w:p w14:paraId="3B5DBA92" w14:textId="15CB56B2" w:rsidR="005F1288" w:rsidRDefault="005F1288" w:rsidP="006152B8">
      <w:pPr>
        <w:jc w:val="left"/>
        <w:rPr>
          <w:rFonts w:cstheme="minorHAnsi"/>
          <w:sz w:val="24"/>
          <w:szCs w:val="24"/>
        </w:rPr>
      </w:pPr>
    </w:p>
    <w:p w14:paraId="34C9B478" w14:textId="391D3636" w:rsidR="005F1288" w:rsidRDefault="005F1288" w:rsidP="006152B8">
      <w:pPr>
        <w:jc w:val="left"/>
        <w:rPr>
          <w:rFonts w:cstheme="minorHAnsi"/>
          <w:sz w:val="24"/>
          <w:szCs w:val="24"/>
        </w:rPr>
      </w:pPr>
    </w:p>
    <w:p w14:paraId="30B58E8F" w14:textId="402ACEBA" w:rsidR="005F1288" w:rsidRDefault="005F1288" w:rsidP="006152B8">
      <w:pPr>
        <w:jc w:val="left"/>
        <w:rPr>
          <w:rFonts w:cstheme="minorHAnsi"/>
          <w:sz w:val="24"/>
          <w:szCs w:val="24"/>
        </w:rPr>
      </w:pPr>
    </w:p>
    <w:p w14:paraId="45499A0D" w14:textId="33A7AE74" w:rsidR="005F1288" w:rsidRDefault="005F1288" w:rsidP="006152B8">
      <w:pPr>
        <w:jc w:val="left"/>
        <w:rPr>
          <w:rFonts w:cstheme="minorHAnsi"/>
          <w:sz w:val="24"/>
          <w:szCs w:val="24"/>
        </w:rPr>
      </w:pPr>
    </w:p>
    <w:p w14:paraId="42DC67CA" w14:textId="1C868D72" w:rsidR="005F1288" w:rsidRDefault="005F1288" w:rsidP="006152B8">
      <w:pPr>
        <w:jc w:val="left"/>
        <w:rPr>
          <w:rFonts w:cstheme="minorHAnsi"/>
          <w:sz w:val="24"/>
          <w:szCs w:val="24"/>
        </w:rPr>
      </w:pPr>
    </w:p>
    <w:p w14:paraId="70ED18D1" w14:textId="52DDF1ED" w:rsidR="005F1288" w:rsidRDefault="005F1288" w:rsidP="006152B8">
      <w:pPr>
        <w:jc w:val="left"/>
        <w:rPr>
          <w:rFonts w:cstheme="minorHAnsi"/>
          <w:sz w:val="24"/>
          <w:szCs w:val="24"/>
        </w:rPr>
      </w:pPr>
    </w:p>
    <w:p w14:paraId="2796EF6F" w14:textId="646C4319" w:rsidR="005F1288" w:rsidRDefault="005F1288" w:rsidP="006152B8">
      <w:pPr>
        <w:jc w:val="left"/>
        <w:rPr>
          <w:rFonts w:cstheme="minorHAnsi"/>
          <w:sz w:val="24"/>
          <w:szCs w:val="24"/>
        </w:rPr>
      </w:pPr>
    </w:p>
    <w:p w14:paraId="285704C1" w14:textId="2D5E1E75" w:rsidR="005F1288" w:rsidRDefault="005F1288" w:rsidP="006152B8">
      <w:pPr>
        <w:jc w:val="left"/>
        <w:rPr>
          <w:rFonts w:cstheme="minorHAnsi"/>
          <w:sz w:val="24"/>
          <w:szCs w:val="24"/>
        </w:rPr>
      </w:pPr>
    </w:p>
    <w:p w14:paraId="0EC326C7" w14:textId="6FB36393" w:rsidR="005F1288" w:rsidRDefault="005F1288" w:rsidP="006152B8">
      <w:pPr>
        <w:jc w:val="left"/>
        <w:rPr>
          <w:rFonts w:cstheme="minorHAnsi"/>
          <w:sz w:val="24"/>
          <w:szCs w:val="24"/>
        </w:rPr>
      </w:pPr>
    </w:p>
    <w:p w14:paraId="500002F3" w14:textId="2B7E0A8E" w:rsidR="005F1288" w:rsidRDefault="005F1288" w:rsidP="006152B8">
      <w:pPr>
        <w:jc w:val="left"/>
        <w:rPr>
          <w:rFonts w:cstheme="minorHAnsi"/>
          <w:sz w:val="24"/>
          <w:szCs w:val="24"/>
        </w:rPr>
      </w:pPr>
    </w:p>
    <w:p w14:paraId="1D67C11B" w14:textId="3067E248" w:rsidR="005F1288" w:rsidRDefault="005F1288" w:rsidP="006152B8">
      <w:pPr>
        <w:jc w:val="left"/>
        <w:rPr>
          <w:rFonts w:cstheme="minorHAnsi"/>
          <w:sz w:val="24"/>
          <w:szCs w:val="24"/>
        </w:rPr>
      </w:pPr>
    </w:p>
    <w:p w14:paraId="1C60A3D9" w14:textId="427A7E72" w:rsidR="005F1288" w:rsidRDefault="005F1288" w:rsidP="006152B8">
      <w:pPr>
        <w:jc w:val="left"/>
        <w:rPr>
          <w:rFonts w:cstheme="minorHAnsi"/>
          <w:sz w:val="24"/>
          <w:szCs w:val="24"/>
        </w:rPr>
      </w:pPr>
    </w:p>
    <w:p w14:paraId="7051A13F" w14:textId="06A3D2D2" w:rsidR="005F1288" w:rsidRDefault="005F1288" w:rsidP="006152B8">
      <w:pPr>
        <w:jc w:val="left"/>
        <w:rPr>
          <w:rFonts w:cstheme="minorHAnsi"/>
          <w:sz w:val="24"/>
          <w:szCs w:val="24"/>
        </w:rPr>
      </w:pPr>
    </w:p>
    <w:p w14:paraId="55DB692D" w14:textId="5D5EC79A" w:rsidR="005F1288" w:rsidRDefault="005F1288" w:rsidP="006152B8">
      <w:pPr>
        <w:jc w:val="left"/>
        <w:rPr>
          <w:rFonts w:cstheme="minorHAnsi"/>
          <w:sz w:val="24"/>
          <w:szCs w:val="24"/>
        </w:rPr>
      </w:pPr>
    </w:p>
    <w:p w14:paraId="181C3A23" w14:textId="0DEF065E" w:rsidR="005F1288" w:rsidRDefault="005F1288" w:rsidP="006152B8">
      <w:pPr>
        <w:jc w:val="left"/>
        <w:rPr>
          <w:rFonts w:cstheme="minorHAnsi"/>
          <w:sz w:val="24"/>
          <w:szCs w:val="24"/>
        </w:rPr>
      </w:pPr>
    </w:p>
    <w:p w14:paraId="25D3F9B9" w14:textId="5020032D" w:rsidR="005F1288" w:rsidRDefault="005F1288" w:rsidP="006152B8">
      <w:pPr>
        <w:jc w:val="left"/>
        <w:rPr>
          <w:rFonts w:cstheme="minorHAnsi"/>
          <w:sz w:val="24"/>
          <w:szCs w:val="24"/>
        </w:rPr>
      </w:pPr>
    </w:p>
    <w:p w14:paraId="489A66A8" w14:textId="66610582" w:rsidR="005F1288" w:rsidRDefault="005F1288" w:rsidP="006152B8">
      <w:pPr>
        <w:jc w:val="left"/>
        <w:rPr>
          <w:rFonts w:cstheme="minorHAnsi"/>
          <w:sz w:val="24"/>
          <w:szCs w:val="24"/>
        </w:rPr>
      </w:pPr>
    </w:p>
    <w:p w14:paraId="331D3B32" w14:textId="57ADF55C" w:rsidR="005F1288" w:rsidRDefault="005F1288" w:rsidP="006152B8">
      <w:pPr>
        <w:jc w:val="left"/>
        <w:rPr>
          <w:rFonts w:cstheme="minorHAnsi"/>
          <w:b/>
          <w:bCs/>
          <w:sz w:val="24"/>
          <w:szCs w:val="24"/>
        </w:rPr>
      </w:pPr>
      <w:r>
        <w:rPr>
          <w:rFonts w:cstheme="minorHAnsi"/>
          <w:b/>
          <w:bCs/>
          <w:sz w:val="24"/>
          <w:szCs w:val="24"/>
        </w:rPr>
        <w:lastRenderedPageBreak/>
        <w:t>BIBLIOGRAPHY:</w:t>
      </w:r>
    </w:p>
    <w:p w14:paraId="277B984B" w14:textId="77777777" w:rsidR="008B0D9A" w:rsidRDefault="008B0D9A" w:rsidP="006152B8">
      <w:pPr>
        <w:jc w:val="left"/>
        <w:rPr>
          <w:rFonts w:cstheme="minorHAnsi"/>
          <w:sz w:val="24"/>
          <w:szCs w:val="24"/>
        </w:rPr>
      </w:pPr>
    </w:p>
    <w:p w14:paraId="47AAAB14" w14:textId="30CA6928" w:rsidR="005F1288" w:rsidRDefault="008B0D9A" w:rsidP="006152B8">
      <w:pPr>
        <w:jc w:val="left"/>
        <w:rPr>
          <w:rFonts w:cstheme="minorHAnsi"/>
          <w:sz w:val="24"/>
          <w:szCs w:val="24"/>
        </w:rPr>
      </w:pPr>
      <w:r>
        <w:rPr>
          <w:rFonts w:cstheme="minorHAnsi"/>
          <w:sz w:val="24"/>
          <w:szCs w:val="24"/>
        </w:rPr>
        <w:t xml:space="preserve">Burton, Janet (ed.), </w:t>
      </w:r>
      <w:r>
        <w:rPr>
          <w:rFonts w:cstheme="minorHAnsi"/>
          <w:i/>
          <w:iCs/>
          <w:sz w:val="24"/>
          <w:szCs w:val="24"/>
        </w:rPr>
        <w:t xml:space="preserve">The Cartulary </w:t>
      </w:r>
      <w:proofErr w:type="gramStart"/>
      <w:r>
        <w:rPr>
          <w:rFonts w:cstheme="minorHAnsi"/>
          <w:i/>
          <w:iCs/>
          <w:sz w:val="24"/>
          <w:szCs w:val="24"/>
        </w:rPr>
        <w:t>Of</w:t>
      </w:r>
      <w:proofErr w:type="gramEnd"/>
      <w:r>
        <w:rPr>
          <w:rFonts w:cstheme="minorHAnsi"/>
          <w:i/>
          <w:iCs/>
          <w:sz w:val="24"/>
          <w:szCs w:val="24"/>
        </w:rPr>
        <w:t xml:space="preserve"> Byland Abbey: The Surtees Society 208 </w:t>
      </w:r>
      <w:r>
        <w:rPr>
          <w:rFonts w:cstheme="minorHAnsi"/>
          <w:sz w:val="24"/>
          <w:szCs w:val="24"/>
        </w:rPr>
        <w:t>(Woodbridge: The Surtees Society / Boydell Press, 2004).</w:t>
      </w:r>
    </w:p>
    <w:p w14:paraId="603100F7" w14:textId="52FEF0FA" w:rsidR="00C176B8" w:rsidRDefault="00C176B8" w:rsidP="006152B8">
      <w:pPr>
        <w:jc w:val="left"/>
        <w:rPr>
          <w:rFonts w:cstheme="minorHAnsi"/>
          <w:sz w:val="24"/>
          <w:szCs w:val="24"/>
        </w:rPr>
      </w:pPr>
    </w:p>
    <w:p w14:paraId="196F7A38" w14:textId="75F2075F" w:rsidR="00C176B8" w:rsidRPr="00C176B8" w:rsidRDefault="00C176B8" w:rsidP="006152B8">
      <w:pPr>
        <w:jc w:val="left"/>
        <w:rPr>
          <w:rFonts w:cstheme="minorHAnsi"/>
          <w:sz w:val="24"/>
          <w:szCs w:val="24"/>
        </w:rPr>
      </w:pPr>
      <w:r>
        <w:rPr>
          <w:rFonts w:cstheme="minorHAnsi"/>
          <w:sz w:val="24"/>
          <w:szCs w:val="24"/>
        </w:rPr>
        <w:t xml:space="preserve">Clemens, Raymond and Graham, Timothy, </w:t>
      </w:r>
      <w:r>
        <w:rPr>
          <w:rFonts w:cstheme="minorHAnsi"/>
          <w:i/>
          <w:iCs/>
          <w:sz w:val="24"/>
          <w:szCs w:val="24"/>
        </w:rPr>
        <w:t xml:space="preserve">Introduction </w:t>
      </w:r>
      <w:proofErr w:type="gramStart"/>
      <w:r>
        <w:rPr>
          <w:rFonts w:cstheme="minorHAnsi"/>
          <w:i/>
          <w:iCs/>
          <w:sz w:val="24"/>
          <w:szCs w:val="24"/>
        </w:rPr>
        <w:t>To</w:t>
      </w:r>
      <w:proofErr w:type="gramEnd"/>
      <w:r>
        <w:rPr>
          <w:rFonts w:cstheme="minorHAnsi"/>
          <w:i/>
          <w:iCs/>
          <w:sz w:val="24"/>
          <w:szCs w:val="24"/>
        </w:rPr>
        <w:t xml:space="preserve"> Manuscript Studies </w:t>
      </w:r>
      <w:r>
        <w:rPr>
          <w:rFonts w:cstheme="minorHAnsi"/>
          <w:sz w:val="24"/>
          <w:szCs w:val="24"/>
        </w:rPr>
        <w:t>(New York: Cornell University Press, 2007).</w:t>
      </w:r>
    </w:p>
    <w:p w14:paraId="6956729C" w14:textId="3477C508" w:rsidR="00741D2F" w:rsidRDefault="00741D2F" w:rsidP="006152B8">
      <w:pPr>
        <w:jc w:val="left"/>
        <w:rPr>
          <w:rFonts w:cstheme="minorHAnsi"/>
          <w:sz w:val="24"/>
          <w:szCs w:val="24"/>
        </w:rPr>
      </w:pPr>
    </w:p>
    <w:p w14:paraId="71CE8F22" w14:textId="38E4C09A" w:rsidR="00741D2F" w:rsidRDefault="00741D2F" w:rsidP="006152B8">
      <w:pPr>
        <w:jc w:val="left"/>
        <w:rPr>
          <w:rFonts w:cstheme="minorHAnsi"/>
          <w:sz w:val="24"/>
          <w:szCs w:val="24"/>
        </w:rPr>
      </w:pPr>
      <w:r>
        <w:rPr>
          <w:rFonts w:cstheme="minorHAnsi"/>
          <w:sz w:val="24"/>
          <w:szCs w:val="24"/>
        </w:rPr>
        <w:t xml:space="preserve">Davis, G.R.C., </w:t>
      </w:r>
      <w:r>
        <w:rPr>
          <w:rFonts w:cstheme="minorHAnsi"/>
          <w:i/>
          <w:iCs/>
          <w:sz w:val="24"/>
          <w:szCs w:val="24"/>
        </w:rPr>
        <w:t xml:space="preserve">Medieval Cartularies </w:t>
      </w:r>
      <w:proofErr w:type="gramStart"/>
      <w:r>
        <w:rPr>
          <w:rFonts w:cstheme="minorHAnsi"/>
          <w:i/>
          <w:iCs/>
          <w:sz w:val="24"/>
          <w:szCs w:val="24"/>
        </w:rPr>
        <w:t>Of</w:t>
      </w:r>
      <w:proofErr w:type="gramEnd"/>
      <w:r>
        <w:rPr>
          <w:rFonts w:cstheme="minorHAnsi"/>
          <w:i/>
          <w:iCs/>
          <w:sz w:val="24"/>
          <w:szCs w:val="24"/>
        </w:rPr>
        <w:t xml:space="preserve"> Great Britain: A Short Catalogue </w:t>
      </w:r>
      <w:r>
        <w:rPr>
          <w:rFonts w:cstheme="minorHAnsi"/>
          <w:sz w:val="24"/>
          <w:szCs w:val="24"/>
        </w:rPr>
        <w:t>(London: Longmans, Green &amp; Co., 1958).</w:t>
      </w:r>
    </w:p>
    <w:p w14:paraId="3ABDB1AE" w14:textId="1A5642F8" w:rsidR="0057766E" w:rsidRDefault="0057766E" w:rsidP="006152B8">
      <w:pPr>
        <w:jc w:val="left"/>
        <w:rPr>
          <w:rFonts w:cstheme="minorHAnsi"/>
          <w:sz w:val="24"/>
          <w:szCs w:val="24"/>
        </w:rPr>
      </w:pPr>
    </w:p>
    <w:p w14:paraId="7A53E700" w14:textId="2C9EA948" w:rsidR="0057766E" w:rsidRDefault="0057766E" w:rsidP="006152B8">
      <w:pPr>
        <w:jc w:val="left"/>
        <w:rPr>
          <w:rFonts w:cstheme="minorHAnsi"/>
          <w:sz w:val="24"/>
          <w:szCs w:val="24"/>
        </w:rPr>
      </w:pPr>
      <w:r>
        <w:rPr>
          <w:rFonts w:cstheme="minorHAnsi"/>
          <w:sz w:val="24"/>
          <w:szCs w:val="24"/>
        </w:rPr>
        <w:t xml:space="preserve">Elton, G.R., </w:t>
      </w:r>
      <w:r>
        <w:rPr>
          <w:rFonts w:cstheme="minorHAnsi"/>
          <w:i/>
          <w:iCs/>
          <w:sz w:val="24"/>
          <w:szCs w:val="24"/>
        </w:rPr>
        <w:t xml:space="preserve">The Sources </w:t>
      </w:r>
      <w:proofErr w:type="gramStart"/>
      <w:r>
        <w:rPr>
          <w:rFonts w:cstheme="minorHAnsi"/>
          <w:i/>
          <w:iCs/>
          <w:sz w:val="24"/>
          <w:szCs w:val="24"/>
        </w:rPr>
        <w:t>Of</w:t>
      </w:r>
      <w:proofErr w:type="gramEnd"/>
      <w:r>
        <w:rPr>
          <w:rFonts w:cstheme="minorHAnsi"/>
          <w:i/>
          <w:iCs/>
          <w:sz w:val="24"/>
          <w:szCs w:val="24"/>
        </w:rPr>
        <w:t xml:space="preserve"> History: England 1200 – 1640 </w:t>
      </w:r>
      <w:r>
        <w:rPr>
          <w:rFonts w:cstheme="minorHAnsi"/>
          <w:sz w:val="24"/>
          <w:szCs w:val="24"/>
        </w:rPr>
        <w:t>(London: Hodder and Stoughton, 1969).</w:t>
      </w:r>
    </w:p>
    <w:p w14:paraId="5DD0EAB9" w14:textId="32C9A48F" w:rsidR="004D5BD8" w:rsidRDefault="004D5BD8" w:rsidP="006152B8">
      <w:pPr>
        <w:jc w:val="left"/>
        <w:rPr>
          <w:rFonts w:cstheme="minorHAnsi"/>
          <w:sz w:val="24"/>
          <w:szCs w:val="24"/>
        </w:rPr>
      </w:pPr>
    </w:p>
    <w:p w14:paraId="7CBAC442" w14:textId="3E0E4508" w:rsidR="004D5BD8" w:rsidRDefault="004D5BD8" w:rsidP="006152B8">
      <w:pPr>
        <w:jc w:val="left"/>
        <w:rPr>
          <w:rFonts w:cstheme="minorHAnsi"/>
          <w:sz w:val="24"/>
          <w:szCs w:val="24"/>
        </w:rPr>
      </w:pPr>
      <w:proofErr w:type="spellStart"/>
      <w:r>
        <w:rPr>
          <w:rFonts w:cstheme="minorHAnsi"/>
          <w:sz w:val="24"/>
          <w:szCs w:val="24"/>
        </w:rPr>
        <w:t>Foulds</w:t>
      </w:r>
      <w:proofErr w:type="spellEnd"/>
      <w:r>
        <w:rPr>
          <w:rFonts w:cstheme="minorHAnsi"/>
          <w:sz w:val="24"/>
          <w:szCs w:val="24"/>
        </w:rPr>
        <w:t xml:space="preserve">, Trevor, ‘Medieval Cartularies’, </w:t>
      </w:r>
      <w:r>
        <w:rPr>
          <w:rFonts w:cstheme="minorHAnsi"/>
          <w:i/>
          <w:iCs/>
          <w:sz w:val="24"/>
          <w:szCs w:val="24"/>
        </w:rPr>
        <w:t>Archives</w:t>
      </w:r>
      <w:r>
        <w:rPr>
          <w:rFonts w:cstheme="minorHAnsi"/>
          <w:sz w:val="24"/>
          <w:szCs w:val="24"/>
        </w:rPr>
        <w:t>, XVIII 77 (1987), pp. 3-35.</w:t>
      </w:r>
    </w:p>
    <w:p w14:paraId="447B1FB2" w14:textId="427BB6B2" w:rsidR="007F5E13" w:rsidRDefault="007F5E13" w:rsidP="006152B8">
      <w:pPr>
        <w:jc w:val="left"/>
        <w:rPr>
          <w:rFonts w:cstheme="minorHAnsi"/>
          <w:sz w:val="24"/>
          <w:szCs w:val="24"/>
        </w:rPr>
      </w:pPr>
    </w:p>
    <w:p w14:paraId="1F1CAC00" w14:textId="2552FD68" w:rsidR="007F5E13" w:rsidRPr="007F5E13" w:rsidRDefault="007F5E13" w:rsidP="006152B8">
      <w:pPr>
        <w:jc w:val="left"/>
        <w:rPr>
          <w:rFonts w:cstheme="minorHAnsi"/>
          <w:sz w:val="24"/>
          <w:szCs w:val="24"/>
        </w:rPr>
      </w:pPr>
      <w:proofErr w:type="spellStart"/>
      <w:r>
        <w:rPr>
          <w:rFonts w:cstheme="minorHAnsi"/>
          <w:sz w:val="24"/>
          <w:szCs w:val="24"/>
        </w:rPr>
        <w:t>Tinti</w:t>
      </w:r>
      <w:proofErr w:type="spellEnd"/>
      <w:r>
        <w:rPr>
          <w:rFonts w:cstheme="minorHAnsi"/>
          <w:sz w:val="24"/>
          <w:szCs w:val="24"/>
        </w:rPr>
        <w:t xml:space="preserve">, Francesca, ‘From Episcopal Conception </w:t>
      </w:r>
      <w:proofErr w:type="gramStart"/>
      <w:r>
        <w:rPr>
          <w:rFonts w:cstheme="minorHAnsi"/>
          <w:sz w:val="24"/>
          <w:szCs w:val="24"/>
        </w:rPr>
        <w:t>To</w:t>
      </w:r>
      <w:proofErr w:type="gramEnd"/>
      <w:r>
        <w:rPr>
          <w:rFonts w:cstheme="minorHAnsi"/>
          <w:sz w:val="24"/>
          <w:szCs w:val="24"/>
        </w:rPr>
        <w:t xml:space="preserve"> Monastic Compilation: Hemming’s Cartulary In Context’, </w:t>
      </w:r>
      <w:r>
        <w:rPr>
          <w:rFonts w:cstheme="minorHAnsi"/>
          <w:i/>
          <w:iCs/>
          <w:sz w:val="24"/>
          <w:szCs w:val="24"/>
        </w:rPr>
        <w:t>Early Medieval Europe</w:t>
      </w:r>
      <w:r>
        <w:rPr>
          <w:rFonts w:cstheme="minorHAnsi"/>
          <w:sz w:val="24"/>
          <w:szCs w:val="24"/>
        </w:rPr>
        <w:t>, 9 (2002), pp. 233-261.</w:t>
      </w:r>
    </w:p>
    <w:p w14:paraId="077D4C87" w14:textId="6CED94C8" w:rsidR="004D5BD8" w:rsidRDefault="004D5BD8" w:rsidP="006152B8">
      <w:pPr>
        <w:jc w:val="left"/>
        <w:rPr>
          <w:rFonts w:cstheme="minorHAnsi"/>
          <w:sz w:val="24"/>
          <w:szCs w:val="24"/>
        </w:rPr>
      </w:pPr>
    </w:p>
    <w:p w14:paraId="7171B045" w14:textId="209C70C3" w:rsidR="004D5BD8" w:rsidRPr="004D5BD8" w:rsidRDefault="004D5BD8" w:rsidP="006152B8">
      <w:pPr>
        <w:jc w:val="left"/>
        <w:rPr>
          <w:rFonts w:cstheme="minorHAnsi"/>
          <w:sz w:val="24"/>
          <w:szCs w:val="24"/>
        </w:rPr>
      </w:pPr>
      <w:proofErr w:type="spellStart"/>
      <w:r>
        <w:rPr>
          <w:rFonts w:cstheme="minorHAnsi"/>
          <w:sz w:val="24"/>
          <w:szCs w:val="24"/>
        </w:rPr>
        <w:t>Wacha</w:t>
      </w:r>
      <w:proofErr w:type="spellEnd"/>
      <w:r>
        <w:rPr>
          <w:rFonts w:cstheme="minorHAnsi"/>
          <w:sz w:val="24"/>
          <w:szCs w:val="24"/>
        </w:rPr>
        <w:t xml:space="preserve">, Heather, ‘The Cartulary </w:t>
      </w:r>
      <w:proofErr w:type="gramStart"/>
      <w:r>
        <w:rPr>
          <w:rFonts w:cstheme="minorHAnsi"/>
          <w:sz w:val="24"/>
          <w:szCs w:val="24"/>
        </w:rPr>
        <w:t>Of</w:t>
      </w:r>
      <w:proofErr w:type="gramEnd"/>
      <w:r>
        <w:rPr>
          <w:rFonts w:cstheme="minorHAnsi"/>
          <w:sz w:val="24"/>
          <w:szCs w:val="24"/>
        </w:rPr>
        <w:t xml:space="preserve"> The Abbey Of </w:t>
      </w:r>
      <w:proofErr w:type="spellStart"/>
      <w:r>
        <w:rPr>
          <w:rFonts w:cstheme="minorHAnsi"/>
          <w:sz w:val="24"/>
          <w:szCs w:val="24"/>
        </w:rPr>
        <w:t>Prémontré</w:t>
      </w:r>
      <w:proofErr w:type="spellEnd"/>
      <w:r>
        <w:rPr>
          <w:rFonts w:cstheme="minorHAnsi"/>
          <w:sz w:val="24"/>
          <w:szCs w:val="24"/>
        </w:rPr>
        <w:t xml:space="preserve">: A Story Of Conflict And Resolution’, </w:t>
      </w:r>
      <w:r>
        <w:rPr>
          <w:rFonts w:cstheme="minorHAnsi"/>
          <w:i/>
          <w:iCs/>
          <w:sz w:val="24"/>
          <w:szCs w:val="24"/>
        </w:rPr>
        <w:t>Essays In Medieval Studies</w:t>
      </w:r>
      <w:r>
        <w:rPr>
          <w:rFonts w:cstheme="minorHAnsi"/>
          <w:sz w:val="24"/>
          <w:szCs w:val="24"/>
        </w:rPr>
        <w:t>, 31 (2015), pp. 125-142.</w:t>
      </w:r>
    </w:p>
    <w:p w14:paraId="3CE10F7B" w14:textId="77777777" w:rsidR="00741D2F" w:rsidRDefault="00741D2F" w:rsidP="006152B8">
      <w:pPr>
        <w:jc w:val="left"/>
        <w:rPr>
          <w:rFonts w:cstheme="minorHAnsi"/>
          <w:sz w:val="24"/>
          <w:szCs w:val="24"/>
        </w:rPr>
      </w:pPr>
    </w:p>
    <w:p w14:paraId="2764EFA4" w14:textId="39A25FF5" w:rsidR="008B0D9A" w:rsidRDefault="008B0D9A" w:rsidP="006152B8">
      <w:pPr>
        <w:jc w:val="left"/>
        <w:rPr>
          <w:rFonts w:cstheme="minorHAnsi"/>
          <w:sz w:val="24"/>
          <w:szCs w:val="24"/>
        </w:rPr>
      </w:pPr>
      <w:r>
        <w:rPr>
          <w:rFonts w:cstheme="minorHAnsi"/>
          <w:sz w:val="24"/>
          <w:szCs w:val="24"/>
        </w:rPr>
        <w:t xml:space="preserve">Walker, David, ‘The Organisation </w:t>
      </w:r>
      <w:proofErr w:type="gramStart"/>
      <w:r>
        <w:rPr>
          <w:rFonts w:cstheme="minorHAnsi"/>
          <w:sz w:val="24"/>
          <w:szCs w:val="24"/>
        </w:rPr>
        <w:t>Of</w:t>
      </w:r>
      <w:proofErr w:type="gramEnd"/>
      <w:r>
        <w:rPr>
          <w:rFonts w:cstheme="minorHAnsi"/>
          <w:sz w:val="24"/>
          <w:szCs w:val="24"/>
        </w:rPr>
        <w:t xml:space="preserve"> Material In Medieval Cartularies’, in Bullough, D.A. and Storey, R.L. (eds.), </w:t>
      </w:r>
      <w:r>
        <w:rPr>
          <w:rFonts w:cstheme="minorHAnsi"/>
          <w:i/>
          <w:iCs/>
          <w:sz w:val="24"/>
          <w:szCs w:val="24"/>
        </w:rPr>
        <w:t xml:space="preserve">The Study Of Medieval Records: Essays In Honour Of Kathleen Major </w:t>
      </w:r>
      <w:r>
        <w:rPr>
          <w:rFonts w:cstheme="minorHAnsi"/>
          <w:sz w:val="24"/>
          <w:szCs w:val="24"/>
        </w:rPr>
        <w:t xml:space="preserve">(Oxford: Clarendon Press, </w:t>
      </w:r>
      <w:r w:rsidR="00741D2F">
        <w:rPr>
          <w:rFonts w:cstheme="minorHAnsi"/>
          <w:sz w:val="24"/>
          <w:szCs w:val="24"/>
        </w:rPr>
        <w:t>1971).</w:t>
      </w:r>
    </w:p>
    <w:p w14:paraId="25480F46" w14:textId="587EBF07" w:rsidR="00B329F6" w:rsidRDefault="00B329F6" w:rsidP="006152B8">
      <w:pPr>
        <w:jc w:val="left"/>
        <w:rPr>
          <w:rFonts w:cstheme="minorHAnsi"/>
          <w:sz w:val="24"/>
          <w:szCs w:val="24"/>
        </w:rPr>
      </w:pPr>
    </w:p>
    <w:p w14:paraId="11735E24" w14:textId="11EF4274" w:rsidR="00B329F6" w:rsidRDefault="00B329F6" w:rsidP="006152B8">
      <w:pPr>
        <w:jc w:val="left"/>
        <w:rPr>
          <w:rFonts w:cstheme="minorHAnsi"/>
          <w:sz w:val="24"/>
          <w:szCs w:val="24"/>
        </w:rPr>
      </w:pPr>
    </w:p>
    <w:p w14:paraId="22D51889" w14:textId="641B02AE" w:rsidR="00B329F6" w:rsidRDefault="00B329F6" w:rsidP="006152B8">
      <w:pPr>
        <w:jc w:val="left"/>
        <w:rPr>
          <w:rFonts w:cstheme="minorHAnsi"/>
          <w:sz w:val="24"/>
          <w:szCs w:val="24"/>
        </w:rPr>
      </w:pPr>
    </w:p>
    <w:p w14:paraId="1E0B7E3C" w14:textId="39F679F9" w:rsidR="00B329F6" w:rsidRDefault="00B329F6" w:rsidP="006152B8">
      <w:pPr>
        <w:jc w:val="left"/>
        <w:rPr>
          <w:rFonts w:cstheme="minorHAnsi"/>
          <w:sz w:val="24"/>
          <w:szCs w:val="24"/>
        </w:rPr>
      </w:pPr>
    </w:p>
    <w:p w14:paraId="3FB20572" w14:textId="2B87C4E6" w:rsidR="00B329F6" w:rsidRDefault="00B329F6" w:rsidP="006152B8">
      <w:pPr>
        <w:jc w:val="left"/>
        <w:rPr>
          <w:rFonts w:cstheme="minorHAnsi"/>
          <w:sz w:val="24"/>
          <w:szCs w:val="24"/>
        </w:rPr>
      </w:pPr>
    </w:p>
    <w:p w14:paraId="690CCC87" w14:textId="77777777" w:rsidR="00AE72C3" w:rsidRPr="00AE72C3" w:rsidRDefault="00AE72C3" w:rsidP="00E90E09">
      <w:pPr>
        <w:jc w:val="left"/>
        <w:rPr>
          <w:b/>
          <w:bCs/>
          <w:sz w:val="24"/>
          <w:szCs w:val="24"/>
        </w:rPr>
      </w:pPr>
    </w:p>
    <w:sectPr w:rsidR="00AE72C3" w:rsidRPr="00AE72C3" w:rsidSect="009F6699">
      <w:headerReference w:type="default" r:id="rId8"/>
      <w:footerReference w:type="default" r:id="rId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1E53A" w14:textId="77777777" w:rsidR="003245EB" w:rsidRDefault="003245EB" w:rsidP="00AE72C3">
      <w:pPr>
        <w:spacing w:line="240" w:lineRule="auto"/>
      </w:pPr>
      <w:r>
        <w:separator/>
      </w:r>
    </w:p>
  </w:endnote>
  <w:endnote w:type="continuationSeparator" w:id="0">
    <w:p w14:paraId="273DAE7B" w14:textId="77777777" w:rsidR="003245EB" w:rsidRDefault="003245EB" w:rsidP="00AE7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191451"/>
      <w:docPartObj>
        <w:docPartGallery w:val="Page Numbers (Bottom of Page)"/>
        <w:docPartUnique/>
      </w:docPartObj>
    </w:sdtPr>
    <w:sdtEndPr>
      <w:rPr>
        <w:noProof/>
      </w:rPr>
    </w:sdtEndPr>
    <w:sdtContent>
      <w:p w14:paraId="69928706" w14:textId="47654C68" w:rsidR="009F6699" w:rsidRDefault="009F66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3D437" w14:textId="77777777" w:rsidR="009F6699" w:rsidRDefault="009F6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E2B8B" w14:textId="77777777" w:rsidR="003245EB" w:rsidRDefault="003245EB" w:rsidP="00AE72C3">
      <w:pPr>
        <w:spacing w:line="240" w:lineRule="auto"/>
      </w:pPr>
      <w:r>
        <w:separator/>
      </w:r>
    </w:p>
  </w:footnote>
  <w:footnote w:type="continuationSeparator" w:id="0">
    <w:p w14:paraId="2DB49B1F" w14:textId="77777777" w:rsidR="003245EB" w:rsidRDefault="003245EB" w:rsidP="00AE72C3">
      <w:pPr>
        <w:spacing w:line="240" w:lineRule="auto"/>
      </w:pPr>
      <w:r>
        <w:continuationSeparator/>
      </w:r>
    </w:p>
  </w:footnote>
  <w:footnote w:id="1">
    <w:p w14:paraId="30A81B87" w14:textId="1D551E7C" w:rsidR="00AE72C3" w:rsidRPr="00AE72C3" w:rsidRDefault="00AE72C3" w:rsidP="00AE72C3">
      <w:pPr>
        <w:pStyle w:val="FootnoteText"/>
        <w:jc w:val="left"/>
      </w:pPr>
      <w:r>
        <w:rPr>
          <w:rStyle w:val="FootnoteReference"/>
        </w:rPr>
        <w:footnoteRef/>
      </w:r>
      <w:r>
        <w:t xml:space="preserve"> Raymond Clemens and Timothy Graham, </w:t>
      </w:r>
      <w:r>
        <w:rPr>
          <w:i/>
          <w:iCs/>
        </w:rPr>
        <w:t xml:space="preserve">Introduction </w:t>
      </w:r>
      <w:proofErr w:type="gramStart"/>
      <w:r>
        <w:rPr>
          <w:i/>
          <w:iCs/>
        </w:rPr>
        <w:t>To</w:t>
      </w:r>
      <w:proofErr w:type="gramEnd"/>
      <w:r>
        <w:rPr>
          <w:i/>
          <w:iCs/>
        </w:rPr>
        <w:t xml:space="preserve"> Manuscript Studies </w:t>
      </w:r>
      <w:r>
        <w:t>(New York: Cornell University Press, 2007), p. 222.</w:t>
      </w:r>
    </w:p>
  </w:footnote>
  <w:footnote w:id="2">
    <w:p w14:paraId="21FBD640" w14:textId="0BCB0987" w:rsidR="005A35AB" w:rsidRPr="005A35AB" w:rsidRDefault="005A35AB" w:rsidP="005A35AB">
      <w:pPr>
        <w:pStyle w:val="FootnoteText"/>
        <w:jc w:val="left"/>
      </w:pPr>
      <w:r>
        <w:rPr>
          <w:rStyle w:val="FootnoteReference"/>
        </w:rPr>
        <w:footnoteRef/>
      </w:r>
      <w:r>
        <w:t xml:space="preserve"> Clemens and Graham, </w:t>
      </w:r>
      <w:r>
        <w:rPr>
          <w:i/>
          <w:iCs/>
        </w:rPr>
        <w:t xml:space="preserve">Introduction </w:t>
      </w:r>
      <w:proofErr w:type="gramStart"/>
      <w:r>
        <w:rPr>
          <w:i/>
          <w:iCs/>
        </w:rPr>
        <w:t>To</w:t>
      </w:r>
      <w:proofErr w:type="gramEnd"/>
      <w:r>
        <w:rPr>
          <w:i/>
          <w:iCs/>
        </w:rPr>
        <w:t xml:space="preserve"> Manuscript Studies</w:t>
      </w:r>
      <w:r>
        <w:t>, p. 222.</w:t>
      </w:r>
    </w:p>
  </w:footnote>
  <w:footnote w:id="3">
    <w:p w14:paraId="428E271A" w14:textId="57A238D3" w:rsidR="0008323D" w:rsidRPr="007F2C82" w:rsidRDefault="0008323D" w:rsidP="0008323D">
      <w:pPr>
        <w:pStyle w:val="FootnoteText"/>
        <w:jc w:val="left"/>
      </w:pPr>
      <w:r>
        <w:rPr>
          <w:rStyle w:val="FootnoteReference"/>
        </w:rPr>
        <w:footnoteRef/>
      </w:r>
      <w:r>
        <w:t xml:space="preserve"> G.R.C. Davis,</w:t>
      </w:r>
      <w:r>
        <w:rPr>
          <w:i/>
          <w:iCs/>
        </w:rPr>
        <w:t xml:space="preserve"> Medieval Cartularies </w:t>
      </w:r>
      <w:proofErr w:type="gramStart"/>
      <w:r w:rsidR="00316B3D">
        <w:rPr>
          <w:i/>
          <w:iCs/>
        </w:rPr>
        <w:t>O</w:t>
      </w:r>
      <w:r>
        <w:rPr>
          <w:i/>
          <w:iCs/>
        </w:rPr>
        <w:t>f</w:t>
      </w:r>
      <w:proofErr w:type="gramEnd"/>
      <w:r>
        <w:rPr>
          <w:i/>
          <w:iCs/>
        </w:rPr>
        <w:t xml:space="preserve"> Great Britain: A Short Catalogue</w:t>
      </w:r>
      <w:r w:rsidR="007F2C82">
        <w:rPr>
          <w:i/>
          <w:iCs/>
        </w:rPr>
        <w:t xml:space="preserve"> </w:t>
      </w:r>
      <w:r w:rsidR="007F2C82">
        <w:t>(London: Longmans, Green &amp; Co., 1958), p. xi.</w:t>
      </w:r>
    </w:p>
  </w:footnote>
  <w:footnote w:id="4">
    <w:p w14:paraId="08C880D8" w14:textId="5FA22212" w:rsidR="00E10E74" w:rsidRPr="00E10E74" w:rsidRDefault="00E10E74" w:rsidP="00E10E74">
      <w:pPr>
        <w:pStyle w:val="FootnoteText"/>
        <w:jc w:val="left"/>
      </w:pPr>
      <w:r>
        <w:rPr>
          <w:rStyle w:val="FootnoteReference"/>
        </w:rPr>
        <w:footnoteRef/>
      </w:r>
      <w:r>
        <w:t xml:space="preserve"> Trevor </w:t>
      </w:r>
      <w:proofErr w:type="spellStart"/>
      <w:r>
        <w:t>Foulds</w:t>
      </w:r>
      <w:proofErr w:type="spellEnd"/>
      <w:r>
        <w:t xml:space="preserve">, ‘Medieval Cartularies’, </w:t>
      </w:r>
      <w:r>
        <w:rPr>
          <w:i/>
          <w:iCs/>
        </w:rPr>
        <w:t>Archives</w:t>
      </w:r>
      <w:r>
        <w:t>, Vol. XVIII 77 (1987), pp.3-35, p. 3.</w:t>
      </w:r>
    </w:p>
  </w:footnote>
  <w:footnote w:id="5">
    <w:p w14:paraId="1761CD66" w14:textId="403ABB2C" w:rsidR="00316B3D" w:rsidRPr="008A4071" w:rsidRDefault="00316B3D" w:rsidP="00316B3D">
      <w:pPr>
        <w:pStyle w:val="FootnoteText"/>
        <w:jc w:val="left"/>
      </w:pPr>
      <w:r>
        <w:rPr>
          <w:rStyle w:val="FootnoteReference"/>
        </w:rPr>
        <w:footnoteRef/>
      </w:r>
      <w:r>
        <w:t xml:space="preserve"> David Walker, ‘The Organisation </w:t>
      </w:r>
      <w:proofErr w:type="gramStart"/>
      <w:r>
        <w:t>Of</w:t>
      </w:r>
      <w:proofErr w:type="gramEnd"/>
      <w:r>
        <w:t xml:space="preserve"> Material In Medieval Cartularies</w:t>
      </w:r>
      <w:r w:rsidR="008A4071">
        <w:t xml:space="preserve">’, in </w:t>
      </w:r>
      <w:r w:rsidR="008A4071">
        <w:rPr>
          <w:i/>
          <w:iCs/>
        </w:rPr>
        <w:t xml:space="preserve">The Study Of Medieval Records: Essays In Honour Of Kathleen Major, </w:t>
      </w:r>
      <w:r w:rsidR="008A4071">
        <w:t>eds. D.A. Bullough and R.L. Storey (Oxford: Clarendon Press, 1971), pp.132-150, (p.134).</w:t>
      </w:r>
    </w:p>
  </w:footnote>
  <w:footnote w:id="6">
    <w:p w14:paraId="71035F07" w14:textId="0E61C493" w:rsidR="009F1641" w:rsidRPr="009F1641" w:rsidRDefault="009F1641" w:rsidP="009F1641">
      <w:pPr>
        <w:pStyle w:val="FootnoteText"/>
        <w:jc w:val="left"/>
      </w:pPr>
      <w:r>
        <w:rPr>
          <w:rStyle w:val="FootnoteReference"/>
        </w:rPr>
        <w:footnoteRef/>
      </w:r>
      <w:r>
        <w:t xml:space="preserve"> G.R. Elton, </w:t>
      </w:r>
      <w:r>
        <w:rPr>
          <w:i/>
          <w:iCs/>
        </w:rPr>
        <w:t xml:space="preserve">The Sources </w:t>
      </w:r>
      <w:proofErr w:type="gramStart"/>
      <w:r>
        <w:rPr>
          <w:i/>
          <w:iCs/>
        </w:rPr>
        <w:t>Of</w:t>
      </w:r>
      <w:proofErr w:type="gramEnd"/>
      <w:r>
        <w:rPr>
          <w:i/>
          <w:iCs/>
        </w:rPr>
        <w:t xml:space="preserve"> History: England 1200-1640 </w:t>
      </w:r>
      <w:r>
        <w:t>(London: Hodder and Stoughton, 1969), p. 140.</w:t>
      </w:r>
    </w:p>
  </w:footnote>
  <w:footnote w:id="7">
    <w:p w14:paraId="27D15F38" w14:textId="6C7FFB12" w:rsidR="009F1641" w:rsidRPr="008334EE" w:rsidRDefault="009F1641" w:rsidP="009F1641">
      <w:pPr>
        <w:pStyle w:val="FootnoteText"/>
        <w:jc w:val="left"/>
      </w:pPr>
      <w:r>
        <w:rPr>
          <w:rStyle w:val="FootnoteReference"/>
        </w:rPr>
        <w:footnoteRef/>
      </w:r>
      <w:r>
        <w:t xml:space="preserve"> Davis,</w:t>
      </w:r>
      <w:r>
        <w:rPr>
          <w:i/>
          <w:iCs/>
        </w:rPr>
        <w:t xml:space="preserve"> Medieval Cartularies </w:t>
      </w:r>
      <w:proofErr w:type="gramStart"/>
      <w:r>
        <w:rPr>
          <w:i/>
          <w:iCs/>
        </w:rPr>
        <w:t>Of</w:t>
      </w:r>
      <w:proofErr w:type="gramEnd"/>
      <w:r>
        <w:rPr>
          <w:i/>
          <w:iCs/>
        </w:rPr>
        <w:t xml:space="preserve"> Great Britain: A Short Catalogue</w:t>
      </w:r>
      <w:r w:rsidR="008334EE">
        <w:t>, p. xi &amp; xii.</w:t>
      </w:r>
    </w:p>
  </w:footnote>
  <w:footnote w:id="8">
    <w:p w14:paraId="34E467E7" w14:textId="2FFCA6B7" w:rsidR="000E1AB2" w:rsidRPr="000E1AB2" w:rsidRDefault="000E1AB2" w:rsidP="000E1AB2">
      <w:pPr>
        <w:pStyle w:val="FootnoteText"/>
        <w:jc w:val="left"/>
      </w:pPr>
      <w:r>
        <w:rPr>
          <w:rStyle w:val="FootnoteReference"/>
        </w:rPr>
        <w:footnoteRef/>
      </w:r>
      <w:r>
        <w:t xml:space="preserve"> Janet Burton (ed.), </w:t>
      </w:r>
      <w:r>
        <w:rPr>
          <w:i/>
          <w:iCs/>
        </w:rPr>
        <w:t xml:space="preserve">The Cartulary </w:t>
      </w:r>
      <w:proofErr w:type="gramStart"/>
      <w:r>
        <w:rPr>
          <w:i/>
          <w:iCs/>
        </w:rPr>
        <w:t>Of</w:t>
      </w:r>
      <w:proofErr w:type="gramEnd"/>
      <w:r>
        <w:rPr>
          <w:i/>
          <w:iCs/>
        </w:rPr>
        <w:t xml:space="preserve"> Byland Abbey: The Surtees Society 208</w:t>
      </w:r>
      <w:r>
        <w:t xml:space="preserve"> (Woodbridge: The Surtees Society/Boydell Press, 2004), p. xxxii.</w:t>
      </w:r>
    </w:p>
  </w:footnote>
  <w:footnote w:id="9">
    <w:p w14:paraId="162F96C8" w14:textId="76CFF3F7" w:rsidR="000E1AB2" w:rsidRPr="000E1AB2" w:rsidRDefault="000E1AB2" w:rsidP="000E1AB2">
      <w:pPr>
        <w:pStyle w:val="FootnoteText"/>
        <w:jc w:val="left"/>
      </w:pPr>
      <w:r>
        <w:rPr>
          <w:rStyle w:val="FootnoteReference"/>
        </w:rPr>
        <w:footnoteRef/>
      </w:r>
      <w:r>
        <w:t xml:space="preserve"> Burton, </w:t>
      </w:r>
      <w:r>
        <w:rPr>
          <w:i/>
          <w:iCs/>
        </w:rPr>
        <w:t xml:space="preserve">The Cartulary </w:t>
      </w:r>
      <w:proofErr w:type="gramStart"/>
      <w:r>
        <w:rPr>
          <w:i/>
          <w:iCs/>
        </w:rPr>
        <w:t>Of</w:t>
      </w:r>
      <w:proofErr w:type="gramEnd"/>
      <w:r>
        <w:rPr>
          <w:i/>
          <w:iCs/>
        </w:rPr>
        <w:t xml:space="preserve"> Byland Abbey: The Surtees Society 208</w:t>
      </w:r>
      <w:r>
        <w:t>, p. lvi.</w:t>
      </w:r>
    </w:p>
  </w:footnote>
  <w:footnote w:id="10">
    <w:p w14:paraId="2CAF27DC" w14:textId="4A2B2AB4" w:rsidR="00DA65A2" w:rsidRDefault="00DA65A2" w:rsidP="00DA65A2">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144.</w:t>
      </w:r>
    </w:p>
  </w:footnote>
  <w:footnote w:id="11">
    <w:p w14:paraId="52DC5274" w14:textId="02C38EAC" w:rsidR="005F4A33" w:rsidRDefault="005F4A33" w:rsidP="005F4A33">
      <w:pPr>
        <w:pStyle w:val="FootnoteText"/>
        <w:jc w:val="left"/>
      </w:pPr>
      <w:r>
        <w:rPr>
          <w:rStyle w:val="FootnoteReference"/>
        </w:rPr>
        <w:footnoteRef/>
      </w:r>
      <w:r>
        <w:t xml:space="preserve"> Davis,</w:t>
      </w:r>
      <w:r>
        <w:rPr>
          <w:i/>
          <w:iCs/>
        </w:rPr>
        <w:t xml:space="preserve"> Medieval Cartularies </w:t>
      </w:r>
      <w:proofErr w:type="gramStart"/>
      <w:r>
        <w:rPr>
          <w:i/>
          <w:iCs/>
        </w:rPr>
        <w:t>Of</w:t>
      </w:r>
      <w:proofErr w:type="gramEnd"/>
      <w:r>
        <w:rPr>
          <w:i/>
          <w:iCs/>
        </w:rPr>
        <w:t xml:space="preserve"> Great Britain: A Short Catalogue</w:t>
      </w:r>
      <w:r>
        <w:t>, p. xii.</w:t>
      </w:r>
    </w:p>
  </w:footnote>
  <w:footnote w:id="12">
    <w:p w14:paraId="5CBD6F70" w14:textId="1474DDD3" w:rsidR="002A344B" w:rsidRPr="002A344B" w:rsidRDefault="002A344B" w:rsidP="002A344B">
      <w:pPr>
        <w:pStyle w:val="FootnoteText"/>
        <w:jc w:val="left"/>
      </w:pPr>
      <w:r>
        <w:rPr>
          <w:rStyle w:val="FootnoteReference"/>
        </w:rPr>
        <w:footnoteRef/>
      </w:r>
      <w:r>
        <w:t xml:space="preserve"> Davis,</w:t>
      </w:r>
      <w:r>
        <w:rPr>
          <w:i/>
          <w:iCs/>
        </w:rPr>
        <w:t xml:space="preserve"> Medieval Cartularies </w:t>
      </w:r>
      <w:proofErr w:type="gramStart"/>
      <w:r>
        <w:rPr>
          <w:i/>
          <w:iCs/>
        </w:rPr>
        <w:t>Of</w:t>
      </w:r>
      <w:proofErr w:type="gramEnd"/>
      <w:r>
        <w:rPr>
          <w:i/>
          <w:iCs/>
        </w:rPr>
        <w:t xml:space="preserve"> Great Britain: A Short Catalogue</w:t>
      </w:r>
      <w:r>
        <w:t>, p. xii.</w:t>
      </w:r>
    </w:p>
  </w:footnote>
  <w:footnote w:id="13">
    <w:p w14:paraId="6B97C1AF" w14:textId="0CCF596E" w:rsidR="002A344B" w:rsidRDefault="002A344B" w:rsidP="002A344B">
      <w:pPr>
        <w:pStyle w:val="FootnoteText"/>
        <w:jc w:val="left"/>
      </w:pPr>
      <w:r>
        <w:rPr>
          <w:rStyle w:val="FootnoteReference"/>
        </w:rPr>
        <w:footnoteRef/>
      </w:r>
      <w:r>
        <w:t xml:space="preserve"> Davis,</w:t>
      </w:r>
      <w:r>
        <w:rPr>
          <w:i/>
          <w:iCs/>
        </w:rPr>
        <w:t xml:space="preserve"> Medieval Cartularies </w:t>
      </w:r>
      <w:proofErr w:type="gramStart"/>
      <w:r>
        <w:rPr>
          <w:i/>
          <w:iCs/>
        </w:rPr>
        <w:t>Of</w:t>
      </w:r>
      <w:proofErr w:type="gramEnd"/>
      <w:r>
        <w:rPr>
          <w:i/>
          <w:iCs/>
        </w:rPr>
        <w:t xml:space="preserve"> Great Britain: A Short Catalogue</w:t>
      </w:r>
      <w:r>
        <w:t>, p. xii.</w:t>
      </w:r>
    </w:p>
  </w:footnote>
  <w:footnote w:id="14">
    <w:p w14:paraId="6D310283" w14:textId="55ECA657" w:rsidR="002A344B" w:rsidRDefault="002A344B" w:rsidP="002A344B">
      <w:pPr>
        <w:pStyle w:val="FootnoteText"/>
        <w:jc w:val="left"/>
      </w:pPr>
      <w:r>
        <w:rPr>
          <w:rStyle w:val="FootnoteReference"/>
        </w:rPr>
        <w:footnoteRef/>
      </w:r>
      <w:r>
        <w:t xml:space="preserve"> Davis,</w:t>
      </w:r>
      <w:r>
        <w:rPr>
          <w:i/>
          <w:iCs/>
        </w:rPr>
        <w:t xml:space="preserve"> Medieval Cartularies </w:t>
      </w:r>
      <w:proofErr w:type="gramStart"/>
      <w:r>
        <w:rPr>
          <w:i/>
          <w:iCs/>
        </w:rPr>
        <w:t>Of</w:t>
      </w:r>
      <w:proofErr w:type="gramEnd"/>
      <w:r>
        <w:rPr>
          <w:i/>
          <w:iCs/>
        </w:rPr>
        <w:t xml:space="preserve"> Great Britain: A Short Catalogue</w:t>
      </w:r>
      <w:r>
        <w:t>, p. xii.</w:t>
      </w:r>
    </w:p>
  </w:footnote>
  <w:footnote w:id="15">
    <w:p w14:paraId="2064DD0E" w14:textId="6101A57B" w:rsidR="002A344B" w:rsidRDefault="002A344B" w:rsidP="002A344B">
      <w:pPr>
        <w:pStyle w:val="FootnoteText"/>
        <w:jc w:val="left"/>
      </w:pPr>
      <w:r>
        <w:rPr>
          <w:rStyle w:val="FootnoteReference"/>
        </w:rPr>
        <w:footnoteRef/>
      </w:r>
      <w:r>
        <w:t xml:space="preserve"> Davis,</w:t>
      </w:r>
      <w:r>
        <w:rPr>
          <w:i/>
          <w:iCs/>
        </w:rPr>
        <w:t xml:space="preserve"> Medieval Cartularies </w:t>
      </w:r>
      <w:proofErr w:type="gramStart"/>
      <w:r>
        <w:rPr>
          <w:i/>
          <w:iCs/>
        </w:rPr>
        <w:t>Of</w:t>
      </w:r>
      <w:proofErr w:type="gramEnd"/>
      <w:r>
        <w:rPr>
          <w:i/>
          <w:iCs/>
        </w:rPr>
        <w:t xml:space="preserve"> Great Britain: A Short Catalogue</w:t>
      </w:r>
      <w:r>
        <w:t>, p. xiii.</w:t>
      </w:r>
    </w:p>
  </w:footnote>
  <w:footnote w:id="16">
    <w:p w14:paraId="3C3B919A" w14:textId="179BF196" w:rsidR="00D96157" w:rsidRDefault="00D96157" w:rsidP="00D96157">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133.</w:t>
      </w:r>
    </w:p>
  </w:footnote>
  <w:footnote w:id="17">
    <w:p w14:paraId="2933B52E" w14:textId="5B79938B" w:rsidR="00ED2744" w:rsidRDefault="00ED2744" w:rsidP="00ED2744">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133.</w:t>
      </w:r>
    </w:p>
  </w:footnote>
  <w:footnote w:id="18">
    <w:p w14:paraId="776A5963" w14:textId="7FCBF2F6" w:rsidR="00665A93" w:rsidRDefault="00665A93" w:rsidP="00665A93">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134.</w:t>
      </w:r>
    </w:p>
  </w:footnote>
  <w:footnote w:id="19">
    <w:p w14:paraId="070D57DC" w14:textId="50980815" w:rsidR="00665A93" w:rsidRDefault="00665A93" w:rsidP="00665A93">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139.</w:t>
      </w:r>
    </w:p>
  </w:footnote>
  <w:footnote w:id="20">
    <w:p w14:paraId="11CBD12D" w14:textId="1B9FE32D" w:rsidR="008C4D1D" w:rsidRDefault="008C4D1D" w:rsidP="008C4D1D">
      <w:pPr>
        <w:pStyle w:val="FootnoteText"/>
        <w:jc w:val="left"/>
      </w:pPr>
      <w:r>
        <w:rPr>
          <w:rStyle w:val="FootnoteReference"/>
        </w:rPr>
        <w:footnoteRef/>
      </w:r>
      <w:r>
        <w:t xml:space="preserve"> </w:t>
      </w:r>
      <w:proofErr w:type="spellStart"/>
      <w:r>
        <w:t>Foulds</w:t>
      </w:r>
      <w:proofErr w:type="spellEnd"/>
      <w:r>
        <w:t>, ‘Medieval Cartularies’, p. 21.</w:t>
      </w:r>
    </w:p>
  </w:footnote>
  <w:footnote w:id="21">
    <w:p w14:paraId="6FB014FD" w14:textId="7EBC4EFB" w:rsidR="008C4D1D" w:rsidRDefault="008C4D1D" w:rsidP="008C4D1D">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148.</w:t>
      </w:r>
    </w:p>
  </w:footnote>
  <w:footnote w:id="22">
    <w:p w14:paraId="643F6CAB" w14:textId="548B8378" w:rsidR="004B4F57" w:rsidRDefault="004B4F57" w:rsidP="004B4F57">
      <w:pPr>
        <w:pStyle w:val="FootnoteText"/>
        <w:jc w:val="left"/>
      </w:pPr>
      <w:r>
        <w:rPr>
          <w:rStyle w:val="FootnoteReference"/>
        </w:rPr>
        <w:footnoteRef/>
      </w:r>
      <w:r>
        <w:t xml:space="preserve"> </w:t>
      </w:r>
      <w:proofErr w:type="spellStart"/>
      <w:r>
        <w:t>Foulds</w:t>
      </w:r>
      <w:proofErr w:type="spellEnd"/>
      <w:r>
        <w:t>, ‘Medieval Cartularies’, p. 20 &amp; 22.</w:t>
      </w:r>
    </w:p>
  </w:footnote>
  <w:footnote w:id="23">
    <w:p w14:paraId="2C4AEFB2" w14:textId="25E8D78E" w:rsidR="007A645C" w:rsidRDefault="007A645C" w:rsidP="007A645C">
      <w:pPr>
        <w:pStyle w:val="FootnoteText"/>
        <w:jc w:val="left"/>
      </w:pPr>
      <w:r>
        <w:rPr>
          <w:rStyle w:val="FootnoteReference"/>
        </w:rPr>
        <w:footnoteRef/>
      </w:r>
      <w:r>
        <w:t xml:space="preserve"> Burton, </w:t>
      </w:r>
      <w:r>
        <w:rPr>
          <w:i/>
          <w:iCs/>
        </w:rPr>
        <w:t xml:space="preserve">The Cartulary </w:t>
      </w:r>
      <w:proofErr w:type="gramStart"/>
      <w:r>
        <w:rPr>
          <w:i/>
          <w:iCs/>
        </w:rPr>
        <w:t>Of</w:t>
      </w:r>
      <w:proofErr w:type="gramEnd"/>
      <w:r>
        <w:rPr>
          <w:i/>
          <w:iCs/>
        </w:rPr>
        <w:t xml:space="preserve"> Byland Abbey: The Surtees Society 208</w:t>
      </w:r>
      <w:r>
        <w:t>, p. xlvi.</w:t>
      </w:r>
    </w:p>
  </w:footnote>
  <w:footnote w:id="24">
    <w:p w14:paraId="7D1F6351" w14:textId="1839DA8B" w:rsidR="000372BB" w:rsidRPr="000372BB" w:rsidRDefault="000372BB" w:rsidP="000372BB">
      <w:pPr>
        <w:pStyle w:val="FootnoteText"/>
        <w:jc w:val="left"/>
      </w:pPr>
      <w:r>
        <w:rPr>
          <w:rStyle w:val="FootnoteReference"/>
        </w:rPr>
        <w:footnoteRef/>
      </w:r>
      <w:r>
        <w:t xml:space="preserve"> Francesca </w:t>
      </w:r>
      <w:proofErr w:type="spellStart"/>
      <w:r>
        <w:t>Tinti</w:t>
      </w:r>
      <w:proofErr w:type="spellEnd"/>
      <w:r>
        <w:t xml:space="preserve">, ‘From Episcopal Conception </w:t>
      </w:r>
      <w:proofErr w:type="gramStart"/>
      <w:r>
        <w:t>To</w:t>
      </w:r>
      <w:proofErr w:type="gramEnd"/>
      <w:r>
        <w:t xml:space="preserve"> Monastic Compilation: Hemming’s Cartulary In Context’, </w:t>
      </w:r>
      <w:r>
        <w:rPr>
          <w:i/>
          <w:iCs/>
        </w:rPr>
        <w:t>Early Medieval Europe</w:t>
      </w:r>
      <w:r>
        <w:t>, 9 (2002), pp. 233-261, p. 241.</w:t>
      </w:r>
    </w:p>
  </w:footnote>
  <w:footnote w:id="25">
    <w:p w14:paraId="3F3C8072" w14:textId="37FA3DD4" w:rsidR="00AA7677" w:rsidRPr="00AA7677" w:rsidRDefault="00AA7677" w:rsidP="00AA7677">
      <w:pPr>
        <w:pStyle w:val="FootnoteText"/>
        <w:jc w:val="left"/>
      </w:pPr>
      <w:r>
        <w:rPr>
          <w:rStyle w:val="FootnoteReference"/>
        </w:rPr>
        <w:footnoteRef/>
      </w:r>
      <w:r>
        <w:t xml:space="preserve"> Heather </w:t>
      </w:r>
      <w:proofErr w:type="spellStart"/>
      <w:r>
        <w:t>Wacha</w:t>
      </w:r>
      <w:proofErr w:type="spellEnd"/>
      <w:r>
        <w:t xml:space="preserve">, ‘The Cartulary </w:t>
      </w:r>
      <w:proofErr w:type="gramStart"/>
      <w:r>
        <w:t>Of</w:t>
      </w:r>
      <w:proofErr w:type="gramEnd"/>
      <w:r>
        <w:t xml:space="preserve"> The Abbey of </w:t>
      </w:r>
      <w:proofErr w:type="spellStart"/>
      <w:r>
        <w:t>Pr</w:t>
      </w:r>
      <w:r>
        <w:rPr>
          <w:rFonts w:cstheme="minorHAnsi"/>
        </w:rPr>
        <w:t>é</w:t>
      </w:r>
      <w:r>
        <w:t>montr</w:t>
      </w:r>
      <w:r>
        <w:rPr>
          <w:rFonts w:cstheme="minorHAnsi"/>
        </w:rPr>
        <w:t>é</w:t>
      </w:r>
      <w:proofErr w:type="spellEnd"/>
      <w:r>
        <w:t xml:space="preserve">: A Story Of Conflict And Resolution’, </w:t>
      </w:r>
      <w:r>
        <w:rPr>
          <w:i/>
          <w:iCs/>
        </w:rPr>
        <w:t>Essays In Medieval Studies</w:t>
      </w:r>
      <w:r>
        <w:t>, 31 (2015), pp. 125-142, p. 126.</w:t>
      </w:r>
    </w:p>
  </w:footnote>
  <w:footnote w:id="26">
    <w:p w14:paraId="483A660D" w14:textId="5E6CF983" w:rsidR="0058027E" w:rsidRDefault="0058027E" w:rsidP="0058027E">
      <w:pPr>
        <w:pStyle w:val="FootnoteText"/>
        <w:jc w:val="left"/>
      </w:pPr>
      <w:r>
        <w:rPr>
          <w:rStyle w:val="FootnoteReference"/>
        </w:rPr>
        <w:footnoteRef/>
      </w:r>
      <w:r>
        <w:t xml:space="preserve"> Davis, </w:t>
      </w:r>
      <w:r>
        <w:rPr>
          <w:i/>
          <w:iCs/>
        </w:rPr>
        <w:t xml:space="preserve">Medieval Cartularies </w:t>
      </w:r>
      <w:proofErr w:type="gramStart"/>
      <w:r>
        <w:rPr>
          <w:i/>
          <w:iCs/>
        </w:rPr>
        <w:t>Of</w:t>
      </w:r>
      <w:proofErr w:type="gramEnd"/>
      <w:r>
        <w:rPr>
          <w:i/>
          <w:iCs/>
        </w:rPr>
        <w:t xml:space="preserve"> Great Britain: A Short Catalogue</w:t>
      </w:r>
      <w:r>
        <w:t>, p. xiv.</w:t>
      </w:r>
    </w:p>
  </w:footnote>
  <w:footnote w:id="27">
    <w:p w14:paraId="5FC44459" w14:textId="3AE90A67" w:rsidR="00FE3AC2" w:rsidRPr="00FE3AC2" w:rsidRDefault="00FE3AC2" w:rsidP="00FE3AC2">
      <w:pPr>
        <w:pStyle w:val="FootnoteText"/>
        <w:jc w:val="left"/>
      </w:pPr>
      <w:r>
        <w:rPr>
          <w:rStyle w:val="FootnoteReference"/>
        </w:rPr>
        <w:footnoteRef/>
      </w:r>
      <w:r>
        <w:t xml:space="preserve"> Elton, </w:t>
      </w:r>
      <w:r>
        <w:rPr>
          <w:i/>
          <w:iCs/>
        </w:rPr>
        <w:t xml:space="preserve">The Sources </w:t>
      </w:r>
      <w:proofErr w:type="gramStart"/>
      <w:r>
        <w:rPr>
          <w:i/>
          <w:iCs/>
        </w:rPr>
        <w:t>Of</w:t>
      </w:r>
      <w:proofErr w:type="gramEnd"/>
      <w:r>
        <w:rPr>
          <w:i/>
          <w:iCs/>
        </w:rPr>
        <w:t xml:space="preserve"> History: England 1200-1640</w:t>
      </w:r>
      <w:r>
        <w:t>, p. 141.</w:t>
      </w:r>
    </w:p>
  </w:footnote>
  <w:footnote w:id="28">
    <w:p w14:paraId="5F9AB176" w14:textId="6A36AA87" w:rsidR="005C3580" w:rsidRDefault="005C3580" w:rsidP="005C3580">
      <w:pPr>
        <w:pStyle w:val="FootnoteText"/>
        <w:jc w:val="left"/>
      </w:pPr>
      <w:r>
        <w:rPr>
          <w:rStyle w:val="FootnoteReference"/>
        </w:rPr>
        <w:footnoteRef/>
      </w:r>
      <w:r>
        <w:t xml:space="preserve"> Burton, </w:t>
      </w:r>
      <w:r>
        <w:rPr>
          <w:i/>
          <w:iCs/>
        </w:rPr>
        <w:t xml:space="preserve">The Cartulary </w:t>
      </w:r>
      <w:proofErr w:type="gramStart"/>
      <w:r>
        <w:rPr>
          <w:i/>
          <w:iCs/>
        </w:rPr>
        <w:t>Of</w:t>
      </w:r>
      <w:proofErr w:type="gramEnd"/>
      <w:r>
        <w:rPr>
          <w:i/>
          <w:iCs/>
        </w:rPr>
        <w:t xml:space="preserve"> Byland Abbey: The Surtees Society 208</w:t>
      </w:r>
      <w:r>
        <w:t>, p. xxxviii.</w:t>
      </w:r>
    </w:p>
  </w:footnote>
  <w:footnote w:id="29">
    <w:p w14:paraId="48923F74" w14:textId="48613DEA" w:rsidR="00084BD2" w:rsidRDefault="00084BD2" w:rsidP="00084BD2">
      <w:pPr>
        <w:pStyle w:val="FootnoteText"/>
        <w:jc w:val="left"/>
      </w:pPr>
      <w:r>
        <w:rPr>
          <w:rStyle w:val="FootnoteReference"/>
        </w:rPr>
        <w:footnoteRef/>
      </w:r>
      <w:r>
        <w:t xml:space="preserve"> </w:t>
      </w:r>
      <w:proofErr w:type="spellStart"/>
      <w:r>
        <w:t>Tinti</w:t>
      </w:r>
      <w:proofErr w:type="spellEnd"/>
      <w:r>
        <w:t xml:space="preserve">, ‘From Episcopal Conception </w:t>
      </w:r>
      <w:proofErr w:type="gramStart"/>
      <w:r>
        <w:t>To</w:t>
      </w:r>
      <w:proofErr w:type="gramEnd"/>
      <w:r>
        <w:t xml:space="preserve"> Monastic Compilation: Hemming’s Cartulary In Context’, p. 251 &amp; 252.</w:t>
      </w:r>
    </w:p>
  </w:footnote>
  <w:footnote w:id="30">
    <w:p w14:paraId="476221A5" w14:textId="70E0BA62" w:rsidR="008072A6" w:rsidRDefault="008072A6" w:rsidP="008072A6">
      <w:pPr>
        <w:pStyle w:val="FootnoteText"/>
        <w:jc w:val="left"/>
      </w:pPr>
      <w:r>
        <w:rPr>
          <w:rStyle w:val="FootnoteReference"/>
        </w:rPr>
        <w:footnoteRef/>
      </w:r>
      <w:r>
        <w:t xml:space="preserve"> Burton, </w:t>
      </w:r>
      <w:r>
        <w:rPr>
          <w:i/>
          <w:iCs/>
        </w:rPr>
        <w:t xml:space="preserve">The Cartulary </w:t>
      </w:r>
      <w:proofErr w:type="gramStart"/>
      <w:r>
        <w:rPr>
          <w:i/>
          <w:iCs/>
        </w:rPr>
        <w:t>Of</w:t>
      </w:r>
      <w:proofErr w:type="gramEnd"/>
      <w:r>
        <w:rPr>
          <w:i/>
          <w:iCs/>
        </w:rPr>
        <w:t xml:space="preserve"> Byland Abbey: The Surtees Society 208</w:t>
      </w:r>
      <w:r>
        <w:t>, p. xxxiii.</w:t>
      </w:r>
    </w:p>
  </w:footnote>
  <w:footnote w:id="31">
    <w:p w14:paraId="457DEB77" w14:textId="1D5257B5" w:rsidR="00DE02DA" w:rsidRDefault="00DE02DA" w:rsidP="00DE02DA">
      <w:pPr>
        <w:pStyle w:val="FootnoteText"/>
        <w:jc w:val="left"/>
      </w:pPr>
      <w:r>
        <w:rPr>
          <w:rStyle w:val="FootnoteReference"/>
        </w:rPr>
        <w:footnoteRef/>
      </w:r>
      <w:r>
        <w:t xml:space="preserve"> </w:t>
      </w:r>
      <w:proofErr w:type="spellStart"/>
      <w:r>
        <w:t>Wacha</w:t>
      </w:r>
      <w:proofErr w:type="spellEnd"/>
      <w:r>
        <w:t xml:space="preserve">, ‘The Cartulary </w:t>
      </w:r>
      <w:proofErr w:type="gramStart"/>
      <w:r>
        <w:t>Of</w:t>
      </w:r>
      <w:proofErr w:type="gramEnd"/>
      <w:r>
        <w:t xml:space="preserve"> The Abbey of </w:t>
      </w:r>
      <w:proofErr w:type="spellStart"/>
      <w:r>
        <w:t>Pr</w:t>
      </w:r>
      <w:r>
        <w:rPr>
          <w:rFonts w:cstheme="minorHAnsi"/>
        </w:rPr>
        <w:t>é</w:t>
      </w:r>
      <w:r>
        <w:t>montr</w:t>
      </w:r>
      <w:r>
        <w:rPr>
          <w:rFonts w:cstheme="minorHAnsi"/>
        </w:rPr>
        <w:t>é</w:t>
      </w:r>
      <w:proofErr w:type="spellEnd"/>
      <w:r>
        <w:t>: A Story Of Conflict And Resolution’, p. 133.</w:t>
      </w:r>
    </w:p>
  </w:footnote>
  <w:footnote w:id="32">
    <w:p w14:paraId="32CDD8FB" w14:textId="16DEC393" w:rsidR="009472D0" w:rsidRDefault="009472D0" w:rsidP="009472D0">
      <w:pPr>
        <w:pStyle w:val="FootnoteText"/>
        <w:jc w:val="left"/>
      </w:pPr>
      <w:r>
        <w:rPr>
          <w:rStyle w:val="FootnoteReference"/>
        </w:rPr>
        <w:footnoteRef/>
      </w:r>
      <w:r>
        <w:t xml:space="preserve"> Elton, </w:t>
      </w:r>
      <w:r>
        <w:rPr>
          <w:i/>
          <w:iCs/>
        </w:rPr>
        <w:t xml:space="preserve">The Sources </w:t>
      </w:r>
      <w:proofErr w:type="gramStart"/>
      <w:r>
        <w:rPr>
          <w:i/>
          <w:iCs/>
        </w:rPr>
        <w:t>Of</w:t>
      </w:r>
      <w:proofErr w:type="gramEnd"/>
      <w:r>
        <w:rPr>
          <w:i/>
          <w:iCs/>
        </w:rPr>
        <w:t xml:space="preserve"> History: England 1200-1640</w:t>
      </w:r>
      <w:r>
        <w:t>, p. 141.</w:t>
      </w:r>
    </w:p>
  </w:footnote>
  <w:footnote w:id="33">
    <w:p w14:paraId="4AB8841C" w14:textId="166ADAEA" w:rsidR="009472D0" w:rsidRDefault="009472D0" w:rsidP="009472D0">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146.</w:t>
      </w:r>
    </w:p>
  </w:footnote>
  <w:footnote w:id="34">
    <w:p w14:paraId="6685DAFA" w14:textId="0593A31F" w:rsidR="005444EB" w:rsidRDefault="005444EB" w:rsidP="005444EB">
      <w:pPr>
        <w:pStyle w:val="FootnoteText"/>
        <w:jc w:val="left"/>
      </w:pPr>
      <w:r>
        <w:rPr>
          <w:rStyle w:val="FootnoteReference"/>
        </w:rPr>
        <w:footnoteRef/>
      </w:r>
      <w:r>
        <w:t xml:space="preserve"> Burton, </w:t>
      </w:r>
      <w:r>
        <w:rPr>
          <w:i/>
          <w:iCs/>
        </w:rPr>
        <w:t xml:space="preserve">The Cartulary </w:t>
      </w:r>
      <w:proofErr w:type="gramStart"/>
      <w:r>
        <w:rPr>
          <w:i/>
          <w:iCs/>
        </w:rPr>
        <w:t>Of</w:t>
      </w:r>
      <w:proofErr w:type="gramEnd"/>
      <w:r>
        <w:rPr>
          <w:i/>
          <w:iCs/>
        </w:rPr>
        <w:t xml:space="preserve"> Byland Abbey: The Surtees Society 208</w:t>
      </w:r>
      <w:r>
        <w:t>, p. xxvii.</w:t>
      </w:r>
    </w:p>
  </w:footnote>
  <w:footnote w:id="35">
    <w:p w14:paraId="471A4BFD" w14:textId="0117ACEC" w:rsidR="000364DD" w:rsidRDefault="000364DD" w:rsidP="000364DD">
      <w:pPr>
        <w:pStyle w:val="FootnoteText"/>
        <w:jc w:val="left"/>
      </w:pPr>
      <w:r>
        <w:rPr>
          <w:rStyle w:val="FootnoteReference"/>
        </w:rPr>
        <w:footnoteRef/>
      </w:r>
      <w:r>
        <w:t xml:space="preserve"> </w:t>
      </w:r>
      <w:proofErr w:type="spellStart"/>
      <w:r>
        <w:t>Foulds</w:t>
      </w:r>
      <w:proofErr w:type="spellEnd"/>
      <w:r>
        <w:t>, ‘Medieval Cartularies’, p. 9.</w:t>
      </w:r>
    </w:p>
  </w:footnote>
  <w:footnote w:id="36">
    <w:p w14:paraId="14C7780B" w14:textId="1AC2E12B" w:rsidR="000364DD" w:rsidRDefault="000364DD" w:rsidP="000364DD">
      <w:pPr>
        <w:pStyle w:val="FootnoteText"/>
        <w:jc w:val="left"/>
      </w:pPr>
      <w:r>
        <w:rPr>
          <w:rStyle w:val="FootnoteReference"/>
        </w:rPr>
        <w:footnoteRef/>
      </w:r>
      <w:r>
        <w:t xml:space="preserve"> Davis, </w:t>
      </w:r>
      <w:r w:rsidR="00E92FAB">
        <w:rPr>
          <w:i/>
          <w:iCs/>
        </w:rPr>
        <w:t xml:space="preserve">Medieval Cartularies </w:t>
      </w:r>
      <w:proofErr w:type="gramStart"/>
      <w:r w:rsidR="00E92FAB">
        <w:rPr>
          <w:i/>
          <w:iCs/>
        </w:rPr>
        <w:t>Of</w:t>
      </w:r>
      <w:proofErr w:type="gramEnd"/>
      <w:r w:rsidR="00E92FAB">
        <w:rPr>
          <w:i/>
          <w:iCs/>
        </w:rPr>
        <w:t xml:space="preserve"> Great Britain: A Short Catalogue</w:t>
      </w:r>
      <w:r w:rsidR="00E92FAB">
        <w:t>, p. xi.</w:t>
      </w:r>
    </w:p>
  </w:footnote>
  <w:footnote w:id="37">
    <w:p w14:paraId="47A1332F" w14:textId="0A500F0B" w:rsidR="00DC51A2" w:rsidRDefault="00DC51A2" w:rsidP="00DC51A2">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135.</w:t>
      </w:r>
    </w:p>
  </w:footnote>
  <w:footnote w:id="38">
    <w:p w14:paraId="4F496661" w14:textId="35877925" w:rsidR="00DC51A2" w:rsidRDefault="00DC51A2" w:rsidP="00DC51A2">
      <w:pPr>
        <w:pStyle w:val="FootnoteText"/>
        <w:jc w:val="left"/>
      </w:pPr>
      <w:r>
        <w:rPr>
          <w:rStyle w:val="FootnoteReference"/>
        </w:rPr>
        <w:footnoteRef/>
      </w:r>
      <w:r>
        <w:t xml:space="preserve"> Elton, </w:t>
      </w:r>
      <w:r>
        <w:rPr>
          <w:i/>
          <w:iCs/>
        </w:rPr>
        <w:t xml:space="preserve">The Sources </w:t>
      </w:r>
      <w:proofErr w:type="gramStart"/>
      <w:r>
        <w:rPr>
          <w:i/>
          <w:iCs/>
        </w:rPr>
        <w:t>Of</w:t>
      </w:r>
      <w:proofErr w:type="gramEnd"/>
      <w:r>
        <w:rPr>
          <w:i/>
          <w:iCs/>
        </w:rPr>
        <w:t xml:space="preserve"> History: England 1200-1640</w:t>
      </w:r>
      <w:r>
        <w:t>, p. 141.</w:t>
      </w:r>
    </w:p>
  </w:footnote>
  <w:footnote w:id="39">
    <w:p w14:paraId="76D18DC8" w14:textId="65737E19" w:rsidR="006152B8" w:rsidRDefault="006152B8" w:rsidP="006152B8">
      <w:pPr>
        <w:pStyle w:val="FootnoteText"/>
        <w:jc w:val="left"/>
      </w:pPr>
      <w:r>
        <w:rPr>
          <w:rStyle w:val="FootnoteReference"/>
        </w:rPr>
        <w:footnoteRef/>
      </w:r>
      <w:r>
        <w:t xml:space="preserve"> </w:t>
      </w:r>
      <w:proofErr w:type="spellStart"/>
      <w:r>
        <w:t>Foulds</w:t>
      </w:r>
      <w:proofErr w:type="spellEnd"/>
      <w:r>
        <w:t>, ‘Medieval Cartularies’, p. 11.</w:t>
      </w:r>
    </w:p>
  </w:footnote>
  <w:footnote w:id="40">
    <w:p w14:paraId="290DE15F" w14:textId="6E3BCF9F" w:rsidR="006B62C4" w:rsidRDefault="006B62C4" w:rsidP="006B62C4">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135.</w:t>
      </w:r>
    </w:p>
  </w:footnote>
  <w:footnote w:id="41">
    <w:p w14:paraId="0610F960" w14:textId="4E9EA303" w:rsidR="007A4AE0" w:rsidRDefault="007A4AE0" w:rsidP="007A4AE0">
      <w:pPr>
        <w:pStyle w:val="FootnoteText"/>
        <w:jc w:val="left"/>
      </w:pPr>
      <w:r>
        <w:rPr>
          <w:rStyle w:val="FootnoteReference"/>
        </w:rPr>
        <w:footnoteRef/>
      </w:r>
      <w:r>
        <w:t xml:space="preserve"> Burton, </w:t>
      </w:r>
      <w:r>
        <w:rPr>
          <w:i/>
          <w:iCs/>
        </w:rPr>
        <w:t xml:space="preserve">The Cartulary </w:t>
      </w:r>
      <w:proofErr w:type="gramStart"/>
      <w:r>
        <w:rPr>
          <w:i/>
          <w:iCs/>
        </w:rPr>
        <w:t>Of</w:t>
      </w:r>
      <w:proofErr w:type="gramEnd"/>
      <w:r>
        <w:rPr>
          <w:i/>
          <w:iCs/>
        </w:rPr>
        <w:t xml:space="preserve"> Byland Abbey: The Surtees Society 208</w:t>
      </w:r>
      <w:r>
        <w:t>, p. xlii.</w:t>
      </w:r>
    </w:p>
  </w:footnote>
  <w:footnote w:id="42">
    <w:p w14:paraId="38CC3773" w14:textId="4FB82062" w:rsidR="0052097A" w:rsidRDefault="0052097A" w:rsidP="0052097A">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140 &amp; 142.</w:t>
      </w:r>
    </w:p>
    <w:p w14:paraId="3F9BDDC4" w14:textId="0D77F92B" w:rsidR="0052097A" w:rsidRDefault="0052097A" w:rsidP="0052097A">
      <w:pPr>
        <w:pStyle w:val="FootnoteText"/>
        <w:jc w:val="left"/>
      </w:pPr>
    </w:p>
  </w:footnote>
  <w:footnote w:id="43">
    <w:p w14:paraId="0976E5B4" w14:textId="533F62ED" w:rsidR="00D56F95" w:rsidRDefault="00D56F95" w:rsidP="00D56F95">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144.</w:t>
      </w:r>
    </w:p>
  </w:footnote>
  <w:footnote w:id="44">
    <w:p w14:paraId="42072247" w14:textId="146C0160" w:rsidR="00D56F95" w:rsidRDefault="00D56F95" w:rsidP="00D56F95">
      <w:pPr>
        <w:pStyle w:val="FootnoteText"/>
        <w:jc w:val="left"/>
      </w:pPr>
      <w:r>
        <w:rPr>
          <w:rStyle w:val="FootnoteReference"/>
        </w:rPr>
        <w:footnoteRef/>
      </w:r>
      <w:r>
        <w:t xml:space="preserve"> Walker, ‘The Organisation </w:t>
      </w:r>
      <w:proofErr w:type="gramStart"/>
      <w:r>
        <w:t>Of</w:t>
      </w:r>
      <w:proofErr w:type="gramEnd"/>
      <w:r>
        <w:t xml:space="preserve"> Material In Medieval Cartularies’, p. 145.</w:t>
      </w:r>
    </w:p>
  </w:footnote>
  <w:footnote w:id="45">
    <w:p w14:paraId="0ED28F6B" w14:textId="1B5B93E4" w:rsidR="005A5C13" w:rsidRDefault="005A5C13" w:rsidP="005A5C13">
      <w:pPr>
        <w:pStyle w:val="FootnoteText"/>
        <w:jc w:val="left"/>
      </w:pPr>
      <w:r>
        <w:rPr>
          <w:rStyle w:val="FootnoteReference"/>
        </w:rPr>
        <w:footnoteRef/>
      </w:r>
      <w:r>
        <w:t xml:space="preserve"> Clemens and Graham, </w:t>
      </w:r>
      <w:r>
        <w:rPr>
          <w:i/>
          <w:iCs/>
        </w:rPr>
        <w:t xml:space="preserve">Introduction </w:t>
      </w:r>
      <w:proofErr w:type="gramStart"/>
      <w:r>
        <w:rPr>
          <w:i/>
          <w:iCs/>
        </w:rPr>
        <w:t>To</w:t>
      </w:r>
      <w:proofErr w:type="gramEnd"/>
      <w:r>
        <w:rPr>
          <w:i/>
          <w:iCs/>
        </w:rPr>
        <w:t xml:space="preserve"> Manuscript Studies</w:t>
      </w:r>
      <w:r>
        <w:t>, p. 238.</w:t>
      </w:r>
    </w:p>
  </w:footnote>
  <w:footnote w:id="46">
    <w:p w14:paraId="7D13D9D4" w14:textId="6D48FEE4" w:rsidR="002C0AFC" w:rsidRDefault="002C0AFC" w:rsidP="002C0AFC">
      <w:pPr>
        <w:pStyle w:val="FootnoteText"/>
        <w:jc w:val="left"/>
      </w:pPr>
      <w:r>
        <w:rPr>
          <w:rStyle w:val="FootnoteReference"/>
        </w:rPr>
        <w:footnoteRef/>
      </w:r>
      <w:r>
        <w:t xml:space="preserve"> Elton, </w:t>
      </w:r>
      <w:r>
        <w:rPr>
          <w:i/>
          <w:iCs/>
        </w:rPr>
        <w:t xml:space="preserve">The Sources </w:t>
      </w:r>
      <w:proofErr w:type="gramStart"/>
      <w:r>
        <w:rPr>
          <w:i/>
          <w:iCs/>
        </w:rPr>
        <w:t>Of</w:t>
      </w:r>
      <w:proofErr w:type="gramEnd"/>
      <w:r>
        <w:rPr>
          <w:i/>
          <w:iCs/>
        </w:rPr>
        <w:t xml:space="preserve"> History: England 1200-1640</w:t>
      </w:r>
      <w:r>
        <w:t>, p. 141.</w:t>
      </w:r>
    </w:p>
  </w:footnote>
  <w:footnote w:id="47">
    <w:p w14:paraId="02B92BBE" w14:textId="073E533A" w:rsidR="002C0AFC" w:rsidRDefault="002C0AFC" w:rsidP="002C0AFC">
      <w:pPr>
        <w:pStyle w:val="FootnoteText"/>
        <w:jc w:val="left"/>
      </w:pPr>
      <w:r>
        <w:rPr>
          <w:rStyle w:val="FootnoteReference"/>
        </w:rPr>
        <w:footnoteRef/>
      </w:r>
      <w:r>
        <w:t xml:space="preserve"> </w:t>
      </w:r>
      <w:proofErr w:type="spellStart"/>
      <w:r>
        <w:t>Wacha</w:t>
      </w:r>
      <w:proofErr w:type="spellEnd"/>
      <w:r>
        <w:t xml:space="preserve">, ‘The Cartulary </w:t>
      </w:r>
      <w:proofErr w:type="gramStart"/>
      <w:r>
        <w:t>Of</w:t>
      </w:r>
      <w:proofErr w:type="gramEnd"/>
      <w:r>
        <w:t xml:space="preserve"> The Abbey of </w:t>
      </w:r>
      <w:proofErr w:type="spellStart"/>
      <w:r>
        <w:t>Pr</w:t>
      </w:r>
      <w:r>
        <w:rPr>
          <w:rFonts w:cstheme="minorHAnsi"/>
        </w:rPr>
        <w:t>é</w:t>
      </w:r>
      <w:r>
        <w:t>montr</w:t>
      </w:r>
      <w:r>
        <w:rPr>
          <w:rFonts w:cstheme="minorHAnsi"/>
        </w:rPr>
        <w:t>é</w:t>
      </w:r>
      <w:proofErr w:type="spellEnd"/>
      <w:r>
        <w:t>: A Story Of Conflict And Resolution’, p. 125.</w:t>
      </w:r>
    </w:p>
  </w:footnote>
  <w:footnote w:id="48">
    <w:p w14:paraId="3E4581AE" w14:textId="37DF20A5" w:rsidR="000A5965" w:rsidRDefault="000A5965" w:rsidP="000A5965">
      <w:pPr>
        <w:pStyle w:val="FootnoteText"/>
        <w:jc w:val="left"/>
      </w:pPr>
      <w:r>
        <w:rPr>
          <w:rStyle w:val="FootnoteReference"/>
        </w:rPr>
        <w:footnoteRef/>
      </w:r>
      <w:r>
        <w:t xml:space="preserve"> </w:t>
      </w:r>
      <w:proofErr w:type="spellStart"/>
      <w:r>
        <w:t>Foulds</w:t>
      </w:r>
      <w:proofErr w:type="spellEnd"/>
      <w:r>
        <w:t>, ‘Medieval Cartularies’, p. 34.</w:t>
      </w:r>
    </w:p>
  </w:footnote>
  <w:footnote w:id="49">
    <w:p w14:paraId="4A0CA803" w14:textId="3C428D91" w:rsidR="0024378D" w:rsidRDefault="0024378D" w:rsidP="0024378D">
      <w:pPr>
        <w:pStyle w:val="FootnoteText"/>
        <w:jc w:val="left"/>
      </w:pPr>
      <w:r>
        <w:rPr>
          <w:rStyle w:val="FootnoteReference"/>
        </w:rPr>
        <w:footnoteRef/>
      </w:r>
      <w:r>
        <w:t xml:space="preserve"> </w:t>
      </w:r>
      <w:proofErr w:type="spellStart"/>
      <w:r>
        <w:t>Tinti</w:t>
      </w:r>
      <w:proofErr w:type="spellEnd"/>
      <w:r>
        <w:t xml:space="preserve">, ‘From Episcopal Conception </w:t>
      </w:r>
      <w:proofErr w:type="gramStart"/>
      <w:r>
        <w:t>To</w:t>
      </w:r>
      <w:proofErr w:type="gramEnd"/>
      <w:r>
        <w:t xml:space="preserve"> Monastic Compilation: Hemming’s Cartulary In Context’, p. </w:t>
      </w:r>
      <w:r w:rsidR="00BA5113">
        <w:t>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87372" w14:textId="007AFA27" w:rsidR="009F6699" w:rsidRPr="009F6699" w:rsidRDefault="009F6699" w:rsidP="009F6699">
    <w:pPr>
      <w:pStyle w:val="Header"/>
      <w:jc w:val="left"/>
      <w:rPr>
        <w:sz w:val="20"/>
        <w:szCs w:val="20"/>
      </w:rPr>
    </w:pPr>
    <w:r>
      <w:rPr>
        <w:sz w:val="20"/>
        <w:szCs w:val="20"/>
      </w:rPr>
      <w:t xml:space="preserve">1807205 Judith </w:t>
    </w:r>
    <w:proofErr w:type="spellStart"/>
    <w:r>
      <w:rPr>
        <w:sz w:val="20"/>
        <w:szCs w:val="20"/>
      </w:rPr>
      <w:t>Dunkling</w:t>
    </w:r>
    <w:proofErr w:type="spellEnd"/>
    <w:r w:rsidR="00271CEC">
      <w:rPr>
        <w:sz w:val="20"/>
        <w:szCs w:val="20"/>
      </w:rPr>
      <w:t>, AHHI7016</w:t>
    </w:r>
  </w:p>
  <w:p w14:paraId="34742C9E" w14:textId="77777777" w:rsidR="009F6699" w:rsidRDefault="009F66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377"/>
    <w:rsid w:val="00016059"/>
    <w:rsid w:val="000364DD"/>
    <w:rsid w:val="000372BB"/>
    <w:rsid w:val="0008323D"/>
    <w:rsid w:val="00084BD2"/>
    <w:rsid w:val="000851C6"/>
    <w:rsid w:val="000A01FA"/>
    <w:rsid w:val="000A5965"/>
    <w:rsid w:val="000E0D8C"/>
    <w:rsid w:val="000E1AB2"/>
    <w:rsid w:val="0024378D"/>
    <w:rsid w:val="002614C7"/>
    <w:rsid w:val="00271CEC"/>
    <w:rsid w:val="002871FB"/>
    <w:rsid w:val="002A344B"/>
    <w:rsid w:val="002B0626"/>
    <w:rsid w:val="002C0AFC"/>
    <w:rsid w:val="002D67D8"/>
    <w:rsid w:val="002F3867"/>
    <w:rsid w:val="00316B3D"/>
    <w:rsid w:val="003245EB"/>
    <w:rsid w:val="003253B4"/>
    <w:rsid w:val="003C23D6"/>
    <w:rsid w:val="003F4989"/>
    <w:rsid w:val="00445A01"/>
    <w:rsid w:val="004A3E96"/>
    <w:rsid w:val="004B4F57"/>
    <w:rsid w:val="004D5BD8"/>
    <w:rsid w:val="004F076B"/>
    <w:rsid w:val="0052097A"/>
    <w:rsid w:val="005215FC"/>
    <w:rsid w:val="005302D1"/>
    <w:rsid w:val="005444EB"/>
    <w:rsid w:val="005673B7"/>
    <w:rsid w:val="00575CEB"/>
    <w:rsid w:val="0057766E"/>
    <w:rsid w:val="0058027E"/>
    <w:rsid w:val="005A35AB"/>
    <w:rsid w:val="005A5C13"/>
    <w:rsid w:val="005C06F8"/>
    <w:rsid w:val="005C3580"/>
    <w:rsid w:val="005F1288"/>
    <w:rsid w:val="005F4A33"/>
    <w:rsid w:val="005F60A8"/>
    <w:rsid w:val="006152B8"/>
    <w:rsid w:val="00647013"/>
    <w:rsid w:val="00665A93"/>
    <w:rsid w:val="006B62C4"/>
    <w:rsid w:val="00711A1B"/>
    <w:rsid w:val="00741D2F"/>
    <w:rsid w:val="00775D78"/>
    <w:rsid w:val="007A4AE0"/>
    <w:rsid w:val="007A645C"/>
    <w:rsid w:val="007E6CE3"/>
    <w:rsid w:val="007F2C82"/>
    <w:rsid w:val="007F5E13"/>
    <w:rsid w:val="008072A6"/>
    <w:rsid w:val="00816BBE"/>
    <w:rsid w:val="008334EE"/>
    <w:rsid w:val="008A4071"/>
    <w:rsid w:val="008B0D9A"/>
    <w:rsid w:val="008C4D1D"/>
    <w:rsid w:val="008D7377"/>
    <w:rsid w:val="009472D0"/>
    <w:rsid w:val="009721CF"/>
    <w:rsid w:val="009C3687"/>
    <w:rsid w:val="009D1284"/>
    <w:rsid w:val="009D42CE"/>
    <w:rsid w:val="009F1641"/>
    <w:rsid w:val="009F6699"/>
    <w:rsid w:val="00A047F6"/>
    <w:rsid w:val="00A34555"/>
    <w:rsid w:val="00AA7677"/>
    <w:rsid w:val="00AE72C3"/>
    <w:rsid w:val="00B329F6"/>
    <w:rsid w:val="00B87104"/>
    <w:rsid w:val="00BA5113"/>
    <w:rsid w:val="00BE1985"/>
    <w:rsid w:val="00C176B8"/>
    <w:rsid w:val="00D111F8"/>
    <w:rsid w:val="00D56F95"/>
    <w:rsid w:val="00D96157"/>
    <w:rsid w:val="00DA65A2"/>
    <w:rsid w:val="00DC51A2"/>
    <w:rsid w:val="00DE02DA"/>
    <w:rsid w:val="00E10E74"/>
    <w:rsid w:val="00E40EDA"/>
    <w:rsid w:val="00E90E09"/>
    <w:rsid w:val="00E92FAB"/>
    <w:rsid w:val="00E9798D"/>
    <w:rsid w:val="00ED2744"/>
    <w:rsid w:val="00F30E65"/>
    <w:rsid w:val="00F43992"/>
    <w:rsid w:val="00FE3AC2"/>
    <w:rsid w:val="00FE701B"/>
    <w:rsid w:val="00FF4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AB838"/>
  <w15:chartTrackingRefBased/>
  <w15:docId w15:val="{45E5160C-7354-4B4A-B501-76B370DF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2871FB"/>
    <w:pPr>
      <w:keepNext/>
      <w:spacing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E72C3"/>
    <w:pPr>
      <w:spacing w:line="240" w:lineRule="auto"/>
    </w:pPr>
    <w:rPr>
      <w:sz w:val="20"/>
      <w:szCs w:val="20"/>
    </w:rPr>
  </w:style>
  <w:style w:type="character" w:customStyle="1" w:styleId="FootnoteTextChar">
    <w:name w:val="Footnote Text Char"/>
    <w:basedOn w:val="DefaultParagraphFont"/>
    <w:link w:val="FootnoteText"/>
    <w:uiPriority w:val="99"/>
    <w:semiHidden/>
    <w:rsid w:val="00AE72C3"/>
    <w:rPr>
      <w:sz w:val="20"/>
      <w:szCs w:val="20"/>
    </w:rPr>
  </w:style>
  <w:style w:type="character" w:styleId="FootnoteReference">
    <w:name w:val="footnote reference"/>
    <w:basedOn w:val="DefaultParagraphFont"/>
    <w:uiPriority w:val="99"/>
    <w:semiHidden/>
    <w:unhideWhenUsed/>
    <w:rsid w:val="00AE72C3"/>
    <w:rPr>
      <w:vertAlign w:val="superscript"/>
    </w:rPr>
  </w:style>
  <w:style w:type="paragraph" w:styleId="Header">
    <w:name w:val="header"/>
    <w:basedOn w:val="Normal"/>
    <w:link w:val="HeaderChar"/>
    <w:uiPriority w:val="99"/>
    <w:unhideWhenUsed/>
    <w:rsid w:val="009F6699"/>
    <w:pPr>
      <w:tabs>
        <w:tab w:val="center" w:pos="4513"/>
        <w:tab w:val="right" w:pos="9026"/>
      </w:tabs>
      <w:spacing w:line="240" w:lineRule="auto"/>
    </w:pPr>
  </w:style>
  <w:style w:type="character" w:customStyle="1" w:styleId="HeaderChar">
    <w:name w:val="Header Char"/>
    <w:basedOn w:val="DefaultParagraphFont"/>
    <w:link w:val="Header"/>
    <w:uiPriority w:val="99"/>
    <w:rsid w:val="009F6699"/>
  </w:style>
  <w:style w:type="paragraph" w:styleId="Footer">
    <w:name w:val="footer"/>
    <w:basedOn w:val="Normal"/>
    <w:link w:val="FooterChar"/>
    <w:uiPriority w:val="99"/>
    <w:unhideWhenUsed/>
    <w:rsid w:val="009F6699"/>
    <w:pPr>
      <w:tabs>
        <w:tab w:val="center" w:pos="4513"/>
        <w:tab w:val="right" w:pos="9026"/>
      </w:tabs>
      <w:spacing w:line="240" w:lineRule="auto"/>
    </w:pPr>
  </w:style>
  <w:style w:type="character" w:customStyle="1" w:styleId="FooterChar">
    <w:name w:val="Footer Char"/>
    <w:basedOn w:val="DefaultParagraphFont"/>
    <w:link w:val="Footer"/>
    <w:uiPriority w:val="99"/>
    <w:rsid w:val="009F6699"/>
  </w:style>
  <w:style w:type="paragraph" w:styleId="BalloonText">
    <w:name w:val="Balloon Text"/>
    <w:basedOn w:val="Normal"/>
    <w:link w:val="BalloonTextChar"/>
    <w:uiPriority w:val="99"/>
    <w:semiHidden/>
    <w:unhideWhenUsed/>
    <w:rsid w:val="00B329F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9F6"/>
    <w:rPr>
      <w:rFonts w:ascii="Segoe UI" w:hAnsi="Segoe UI" w:cs="Segoe UI"/>
      <w:sz w:val="18"/>
      <w:szCs w:val="18"/>
    </w:rPr>
  </w:style>
  <w:style w:type="character" w:customStyle="1" w:styleId="Heading3Char">
    <w:name w:val="Heading 3 Char"/>
    <w:basedOn w:val="DefaultParagraphFont"/>
    <w:link w:val="Heading3"/>
    <w:rsid w:val="002871FB"/>
    <w:rPr>
      <w:rFonts w:ascii="Tahoma" w:eastAsia="SimSun" w:hAnsi="Tahoma" w:cs="Tahoma"/>
      <w:b/>
      <w:bCs/>
      <w:sz w:val="20"/>
      <w:szCs w:val="20"/>
      <w:lang w:eastAsia="zh-CN"/>
    </w:rPr>
  </w:style>
  <w:style w:type="paragraph" w:styleId="NormalWeb">
    <w:name w:val="Normal (Web)"/>
    <w:basedOn w:val="Normal"/>
    <w:rsid w:val="002871FB"/>
    <w:pPr>
      <w:spacing w:before="100" w:beforeAutospacing="1" w:after="100" w:afterAutospacing="1" w:line="240" w:lineRule="auto"/>
      <w:jc w:val="left"/>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884FD-FC36-4FAC-8F1F-C94AC4D11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11</Pages>
  <Words>2733</Words>
  <Characters>15582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dc:creator>
  <cp:keywords/>
  <dc:description/>
  <cp:lastModifiedBy>Judith</cp:lastModifiedBy>
  <cp:revision>59</cp:revision>
  <cp:lastPrinted>2020-04-16T11:23:00Z</cp:lastPrinted>
  <dcterms:created xsi:type="dcterms:W3CDTF">2020-04-14T16:06:00Z</dcterms:created>
  <dcterms:modified xsi:type="dcterms:W3CDTF">2020-04-17T09:34:00Z</dcterms:modified>
</cp:coreProperties>
</file>