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080046" w14:textId="77777777" w:rsidR="008375B5" w:rsidRDefault="00B16167" w:rsidP="008375B5">
      <w:pPr>
        <w:spacing w:line="360" w:lineRule="auto"/>
      </w:pPr>
      <w:r>
        <w:rPr>
          <w:noProof/>
        </w:rPr>
        <w:drawing>
          <wp:inline distT="0" distB="0" distL="0" distR="0" wp14:anchorId="0A68B21A" wp14:editId="6D854FE2">
            <wp:extent cx="3348990" cy="1348740"/>
            <wp:effectExtent l="0" t="0" r="0" b="0"/>
            <wp:docPr id="1" name="Picture 1" descr="UWTSD logo | Discover Dylan Thoma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348990" cy="1348740"/>
                    </a:xfrm>
                    <a:prstGeom prst="rect">
                      <a:avLst/>
                    </a:prstGeom>
                    <a:noFill/>
                    <a:ln>
                      <a:noFill/>
                    </a:ln>
                  </pic:spPr>
                </pic:pic>
              </a:graphicData>
            </a:graphic>
          </wp:inline>
        </w:drawing>
      </w:r>
    </w:p>
    <w:p w14:paraId="3EFF3494" w14:textId="77777777" w:rsidR="008375B5" w:rsidRDefault="008375B5" w:rsidP="008375B5">
      <w:pPr>
        <w:spacing w:line="360" w:lineRule="auto"/>
        <w:rPr>
          <w:rStyle w:val="Strong"/>
          <w:rFonts w:ascii="Segoe UI" w:hAnsi="Segoe UI" w:cs="Segoe UI"/>
          <w:color w:val="1D2125"/>
        </w:rPr>
      </w:pPr>
    </w:p>
    <w:p w14:paraId="5F90F69E" w14:textId="77777777" w:rsidR="008375B5" w:rsidRDefault="008375B5" w:rsidP="008375B5">
      <w:pPr>
        <w:spacing w:line="360" w:lineRule="auto"/>
        <w:rPr>
          <w:rStyle w:val="Strong"/>
          <w:rFonts w:ascii="Arial" w:hAnsi="Arial" w:cs="Arial"/>
          <w:color w:val="1D2125"/>
          <w:sz w:val="36"/>
          <w:szCs w:val="36"/>
        </w:rPr>
      </w:pPr>
    </w:p>
    <w:p w14:paraId="5751F7F8" w14:textId="77777777" w:rsidR="00871C29" w:rsidRDefault="00871C29" w:rsidP="008375B5">
      <w:pPr>
        <w:spacing w:line="360" w:lineRule="auto"/>
        <w:jc w:val="center"/>
        <w:rPr>
          <w:rStyle w:val="Strong"/>
          <w:rFonts w:ascii="Arial" w:hAnsi="Arial" w:cs="Arial"/>
          <w:color w:val="1D2125"/>
          <w:sz w:val="36"/>
          <w:szCs w:val="36"/>
        </w:rPr>
      </w:pPr>
      <w:r>
        <w:rPr>
          <w:rStyle w:val="Strong"/>
          <w:rFonts w:ascii="Segoe UI" w:hAnsi="Segoe UI" w:cs="Segoe UI"/>
          <w:color w:val="1D2125"/>
          <w:sz w:val="36"/>
          <w:szCs w:val="36"/>
          <w:shd w:val="clear" w:color="auto" w:fill="FFFFFF"/>
        </w:rPr>
        <w:t>Changemakers: Creativity and Value Creation</w:t>
      </w:r>
    </w:p>
    <w:p w14:paraId="7EA2C67F" w14:textId="77777777" w:rsidR="008375B5" w:rsidRDefault="008375B5" w:rsidP="008375B5">
      <w:pPr>
        <w:spacing w:line="360" w:lineRule="auto"/>
        <w:jc w:val="center"/>
        <w:rPr>
          <w:rStyle w:val="Strong"/>
          <w:rFonts w:ascii="Arial" w:hAnsi="Arial" w:cs="Arial"/>
          <w:color w:val="1D2125"/>
          <w:sz w:val="36"/>
          <w:szCs w:val="36"/>
        </w:rPr>
      </w:pPr>
      <w:r w:rsidRPr="008375B5">
        <w:rPr>
          <w:rStyle w:val="Strong"/>
          <w:rFonts w:ascii="Arial" w:hAnsi="Arial" w:cs="Arial"/>
          <w:color w:val="1D2125"/>
          <w:sz w:val="36"/>
          <w:szCs w:val="36"/>
        </w:rPr>
        <w:t>Professions (BMHP</w:t>
      </w:r>
      <w:r w:rsidR="00871C29">
        <w:rPr>
          <w:rStyle w:val="Strong"/>
          <w:rFonts w:ascii="Arial" w:hAnsi="Arial" w:cs="Arial"/>
          <w:color w:val="1D2125"/>
          <w:sz w:val="36"/>
          <w:szCs w:val="36"/>
        </w:rPr>
        <w:t>5014</w:t>
      </w:r>
      <w:r>
        <w:rPr>
          <w:rStyle w:val="Strong"/>
          <w:rFonts w:ascii="Arial" w:hAnsi="Arial" w:cs="Arial"/>
          <w:color w:val="1D2125"/>
          <w:sz w:val="36"/>
          <w:szCs w:val="36"/>
        </w:rPr>
        <w:t>)</w:t>
      </w:r>
    </w:p>
    <w:p w14:paraId="45A5FB6F" w14:textId="77777777" w:rsidR="008375B5" w:rsidRDefault="008375B5" w:rsidP="008375B5">
      <w:pPr>
        <w:spacing w:line="360" w:lineRule="auto"/>
        <w:jc w:val="center"/>
        <w:rPr>
          <w:rStyle w:val="Strong"/>
          <w:rFonts w:ascii="Arial" w:hAnsi="Arial" w:cs="Arial"/>
          <w:color w:val="1D2125"/>
          <w:sz w:val="36"/>
          <w:szCs w:val="36"/>
        </w:rPr>
      </w:pPr>
    </w:p>
    <w:p w14:paraId="0BABB090" w14:textId="77777777" w:rsidR="008375B5" w:rsidRDefault="008375B5" w:rsidP="008375B5">
      <w:pPr>
        <w:spacing w:line="360" w:lineRule="auto"/>
        <w:jc w:val="center"/>
        <w:rPr>
          <w:rStyle w:val="Strong"/>
          <w:rFonts w:ascii="Arial" w:hAnsi="Arial" w:cs="Arial"/>
          <w:color w:val="1D2125"/>
          <w:sz w:val="36"/>
          <w:szCs w:val="36"/>
        </w:rPr>
      </w:pPr>
    </w:p>
    <w:p w14:paraId="54A1329E" w14:textId="77777777" w:rsidR="008375B5" w:rsidRPr="00826D77" w:rsidRDefault="008375B5" w:rsidP="002D4662">
      <w:pPr>
        <w:spacing w:after="0" w:line="240" w:lineRule="auto"/>
        <w:rPr>
          <w:rStyle w:val="Strong"/>
          <w:rFonts w:ascii="Arial" w:hAnsi="Arial" w:cs="Arial"/>
          <w:b w:val="0"/>
          <w:bCs w:val="0"/>
          <w:color w:val="1D2125"/>
          <w:sz w:val="32"/>
          <w:szCs w:val="32"/>
        </w:rPr>
      </w:pPr>
      <w:r>
        <w:rPr>
          <w:rFonts w:ascii="Arial" w:hAnsi="Arial" w:cs="Arial"/>
          <w:b/>
          <w:bCs/>
          <w:color w:val="000000"/>
          <w:sz w:val="32"/>
          <w:szCs w:val="32"/>
        </w:rPr>
        <w:t>Component 1:</w:t>
      </w:r>
      <w:r w:rsidR="00871C29" w:rsidRPr="00871C29">
        <w:t xml:space="preserve"> </w:t>
      </w:r>
      <w:r w:rsidR="00871C29" w:rsidRPr="00871C29">
        <w:rPr>
          <w:rFonts w:ascii="Arial" w:hAnsi="Arial" w:cs="Arial"/>
          <w:b/>
          <w:bCs/>
          <w:color w:val="000000"/>
          <w:sz w:val="32"/>
          <w:szCs w:val="32"/>
        </w:rPr>
        <w:t>Online portfolio of set exercises</w:t>
      </w:r>
      <w:r w:rsidR="004E53DD">
        <w:rPr>
          <w:rFonts w:ascii="Arial" w:hAnsi="Arial" w:cs="Arial"/>
          <w:b/>
          <w:bCs/>
          <w:color w:val="000000"/>
          <w:sz w:val="32"/>
          <w:szCs w:val="32"/>
        </w:rPr>
        <w:t>-</w:t>
      </w:r>
      <w:r w:rsidR="002D4662">
        <w:rPr>
          <w:rFonts w:ascii="Arial" w:hAnsi="Arial" w:cs="Arial"/>
          <w:b/>
          <w:bCs/>
          <w:color w:val="000000"/>
          <w:sz w:val="32"/>
          <w:szCs w:val="32"/>
        </w:rPr>
        <w:t xml:space="preserve"> </w:t>
      </w:r>
      <w:r w:rsidR="002D4662" w:rsidRPr="00826D77">
        <w:rPr>
          <w:rFonts w:ascii="Helvetica Neue" w:eastAsia="Times New Roman" w:hAnsi="Helvetica Neue"/>
          <w:b/>
          <w:bCs/>
          <w:color w:val="0E0E0E"/>
          <w:kern w:val="0"/>
          <w:sz w:val="32"/>
          <w:szCs w:val="32"/>
          <w:lang w:eastAsia="en-GB"/>
        </w:rPr>
        <w:t xml:space="preserve">The use of NHS virtual wards </w:t>
      </w:r>
    </w:p>
    <w:p w14:paraId="471FBAFA" w14:textId="77777777" w:rsidR="008375B5" w:rsidRDefault="008375B5" w:rsidP="008375B5">
      <w:pPr>
        <w:spacing w:line="360" w:lineRule="auto"/>
        <w:rPr>
          <w:rStyle w:val="Strong"/>
          <w:rFonts w:ascii="Arial" w:hAnsi="Arial" w:cs="Arial"/>
          <w:color w:val="1D2125"/>
          <w:sz w:val="32"/>
          <w:szCs w:val="32"/>
        </w:rPr>
      </w:pPr>
    </w:p>
    <w:p w14:paraId="2754F205" w14:textId="77777777" w:rsidR="008375B5" w:rsidRDefault="008375B5" w:rsidP="008375B5">
      <w:pPr>
        <w:spacing w:line="360" w:lineRule="auto"/>
        <w:rPr>
          <w:rStyle w:val="Strong"/>
          <w:rFonts w:ascii="Arial" w:hAnsi="Arial" w:cs="Arial"/>
          <w:color w:val="1D2125"/>
          <w:sz w:val="32"/>
          <w:szCs w:val="32"/>
        </w:rPr>
      </w:pPr>
      <w:r>
        <w:rPr>
          <w:rStyle w:val="Strong"/>
          <w:rFonts w:ascii="Arial" w:hAnsi="Arial" w:cs="Arial"/>
          <w:color w:val="1D2125"/>
          <w:sz w:val="32"/>
          <w:szCs w:val="32"/>
        </w:rPr>
        <w:t>Student name:</w:t>
      </w:r>
      <w:r w:rsidR="00883B6A">
        <w:rPr>
          <w:rStyle w:val="Strong"/>
          <w:rFonts w:ascii="Arial" w:hAnsi="Arial" w:cs="Arial"/>
          <w:color w:val="1D2125"/>
          <w:sz w:val="32"/>
          <w:szCs w:val="32"/>
        </w:rPr>
        <w:t xml:space="preserve"> Gabriela Arapu </w:t>
      </w:r>
    </w:p>
    <w:p w14:paraId="00D5848F" w14:textId="77777777" w:rsidR="008375B5" w:rsidRPr="00826D77" w:rsidRDefault="008375B5" w:rsidP="008375B5">
      <w:pPr>
        <w:spacing w:line="360" w:lineRule="auto"/>
        <w:rPr>
          <w:rStyle w:val="Strong"/>
          <w:rFonts w:ascii="Arial" w:hAnsi="Arial" w:cs="Arial"/>
          <w:color w:val="1D2125"/>
          <w:sz w:val="32"/>
          <w:szCs w:val="32"/>
        </w:rPr>
      </w:pPr>
      <w:r>
        <w:rPr>
          <w:rStyle w:val="Strong"/>
          <w:rFonts w:ascii="Arial" w:hAnsi="Arial" w:cs="Arial"/>
          <w:color w:val="1D2125"/>
          <w:sz w:val="32"/>
          <w:szCs w:val="32"/>
        </w:rPr>
        <w:t>Student number:</w:t>
      </w:r>
      <w:r w:rsidR="00826D77">
        <w:rPr>
          <w:rStyle w:val="Strong"/>
          <w:rFonts w:ascii="Arial" w:hAnsi="Arial" w:cs="Arial"/>
          <w:color w:val="1D2125"/>
          <w:sz w:val="32"/>
          <w:szCs w:val="32"/>
        </w:rPr>
        <w:t xml:space="preserve"> </w:t>
      </w:r>
      <w:r w:rsidR="00826D77">
        <w:rPr>
          <w:sz w:val="32"/>
          <w:szCs w:val="32"/>
        </w:rPr>
        <w:t>2311889</w:t>
      </w:r>
    </w:p>
    <w:p w14:paraId="4D50EA78" w14:textId="371F76DB" w:rsidR="00826D77" w:rsidRPr="00826D77" w:rsidRDefault="008375B5" w:rsidP="004C3280">
      <w:pPr>
        <w:pStyle w:val="p1"/>
        <w:rPr>
          <w:rFonts w:ascii="Arial" w:hAnsi="Arial" w:cs="Arial"/>
          <w:color w:val="000000"/>
          <w:sz w:val="32"/>
          <w:szCs w:val="32"/>
        </w:rPr>
      </w:pPr>
      <w:r>
        <w:rPr>
          <w:rStyle w:val="Strong"/>
          <w:rFonts w:ascii="Arial" w:hAnsi="Arial" w:cs="Arial"/>
          <w:color w:val="1D2125"/>
          <w:sz w:val="32"/>
          <w:szCs w:val="32"/>
        </w:rPr>
        <w:t>Lecturer’s name:</w:t>
      </w:r>
      <w:r w:rsidR="004C3280">
        <w:rPr>
          <w:rStyle w:val="Strong"/>
          <w:rFonts w:ascii="Arial" w:hAnsi="Arial" w:cs="Arial"/>
          <w:color w:val="1D2125"/>
          <w:sz w:val="32"/>
          <w:szCs w:val="32"/>
        </w:rPr>
        <w:t xml:space="preserve"> </w:t>
      </w:r>
      <w:r w:rsidR="00826D77" w:rsidRPr="00826D77">
        <w:rPr>
          <w:rFonts w:ascii="Arial" w:hAnsi="Arial" w:cs="Arial"/>
          <w:color w:val="000000"/>
          <w:sz w:val="32"/>
          <w:szCs w:val="32"/>
        </w:rPr>
        <w:t>Caroline Salami (module</w:t>
      </w:r>
    </w:p>
    <w:p w14:paraId="343FDBD1" w14:textId="77777777" w:rsidR="00826D77" w:rsidRPr="00826D77" w:rsidRDefault="00826D77" w:rsidP="00826D77">
      <w:pPr>
        <w:spacing w:after="0" w:line="240" w:lineRule="auto"/>
        <w:rPr>
          <w:rFonts w:ascii="Arial" w:eastAsia="Times New Roman" w:hAnsi="Arial" w:cs="Arial"/>
          <w:color w:val="000000"/>
          <w:kern w:val="0"/>
          <w:sz w:val="32"/>
          <w:szCs w:val="32"/>
          <w:lang w:eastAsia="en-GB"/>
        </w:rPr>
      </w:pPr>
      <w:r w:rsidRPr="00826D77">
        <w:rPr>
          <w:rFonts w:ascii="Arial" w:eastAsia="Times New Roman" w:hAnsi="Arial" w:cs="Arial"/>
          <w:color w:val="000000"/>
          <w:kern w:val="0"/>
          <w:sz w:val="32"/>
          <w:szCs w:val="32"/>
          <w:lang w:eastAsia="en-GB"/>
        </w:rPr>
        <w:t>leader)</w:t>
      </w:r>
    </w:p>
    <w:p w14:paraId="10E0B779" w14:textId="77777777" w:rsidR="008375B5" w:rsidRDefault="008375B5" w:rsidP="008375B5">
      <w:pPr>
        <w:spacing w:line="360" w:lineRule="auto"/>
        <w:rPr>
          <w:rStyle w:val="Strong"/>
          <w:rFonts w:ascii="Arial" w:hAnsi="Arial" w:cs="Arial"/>
          <w:color w:val="1D2125"/>
          <w:sz w:val="32"/>
          <w:szCs w:val="32"/>
        </w:rPr>
      </w:pPr>
    </w:p>
    <w:p w14:paraId="17EB4891" w14:textId="77777777" w:rsidR="008375B5" w:rsidRDefault="008375B5" w:rsidP="008375B5">
      <w:pPr>
        <w:spacing w:line="360" w:lineRule="auto"/>
        <w:rPr>
          <w:sz w:val="36"/>
          <w:szCs w:val="36"/>
        </w:rPr>
      </w:pPr>
    </w:p>
    <w:p w14:paraId="384BB193" w14:textId="77777777" w:rsidR="008375B5" w:rsidRDefault="008375B5" w:rsidP="008375B5">
      <w:pPr>
        <w:spacing w:line="360" w:lineRule="auto"/>
        <w:rPr>
          <w:rFonts w:ascii="Arial" w:hAnsi="Arial" w:cs="Arial"/>
          <w:sz w:val="36"/>
          <w:szCs w:val="36"/>
        </w:rPr>
      </w:pPr>
    </w:p>
    <w:sdt>
      <w:sdtPr>
        <w:rPr>
          <w:rFonts w:ascii="Aptos" w:eastAsia="Aptos" w:hAnsi="Aptos" w:cs="Times New Roman"/>
          <w:color w:val="auto"/>
          <w:kern w:val="2"/>
          <w:sz w:val="24"/>
          <w:szCs w:val="24"/>
          <w:lang w:val="en-GB"/>
        </w:rPr>
        <w:id w:val="200209071"/>
        <w:docPartObj>
          <w:docPartGallery w:val="Table of Contents"/>
          <w:docPartUnique/>
        </w:docPartObj>
      </w:sdtPr>
      <w:sdtEndPr>
        <w:rPr>
          <w:b w:val="0"/>
          <w:bCs w:val="0"/>
          <w:noProof/>
        </w:rPr>
      </w:sdtEndPr>
      <w:sdtContent>
        <w:p w14:paraId="3E8CC4D9" w14:textId="768FCEA3" w:rsidR="004727D5" w:rsidRPr="00E76C86" w:rsidRDefault="004727D5">
          <w:pPr>
            <w:pStyle w:val="TOCHeading"/>
            <w:rPr>
              <w:lang w:val="en-GB"/>
            </w:rPr>
          </w:pPr>
          <w:r>
            <w:t>Table of Contents</w:t>
          </w:r>
        </w:p>
        <w:p w14:paraId="114E84CF" w14:textId="3A73D3CB" w:rsidR="00A174C2" w:rsidRDefault="004727D5">
          <w:pPr>
            <w:pStyle w:val="TOC1"/>
            <w:tabs>
              <w:tab w:val="right" w:leader="dot" w:pos="9016"/>
            </w:tabs>
            <w:rPr>
              <w:rFonts w:eastAsiaTheme="minorEastAsia" w:cstheme="minorBidi"/>
              <w:b w:val="0"/>
              <w:bCs w:val="0"/>
              <w:i w:val="0"/>
              <w:iCs w:val="0"/>
              <w:noProof/>
              <w:lang w:eastAsia="en-GB"/>
              <w14:ligatures w14:val="standardContextual"/>
            </w:rPr>
          </w:pPr>
          <w:r>
            <w:rPr>
              <w:b w:val="0"/>
              <w:bCs w:val="0"/>
            </w:rPr>
            <w:fldChar w:fldCharType="begin"/>
          </w:r>
          <w:r>
            <w:instrText xml:space="preserve"> TOC \o "1-3" \h \z \u </w:instrText>
          </w:r>
          <w:r>
            <w:rPr>
              <w:b w:val="0"/>
              <w:bCs w:val="0"/>
            </w:rPr>
            <w:fldChar w:fldCharType="separate"/>
          </w:r>
          <w:hyperlink w:anchor="_Toc226968580" w:history="1">
            <w:r w:rsidR="00A174C2" w:rsidRPr="006F41D3">
              <w:rPr>
                <w:rStyle w:val="Hyperlink"/>
                <w:noProof/>
              </w:rPr>
              <w:t>Introduction</w:t>
            </w:r>
            <w:r w:rsidR="00A174C2">
              <w:rPr>
                <w:noProof/>
                <w:webHidden/>
              </w:rPr>
              <w:tab/>
            </w:r>
            <w:r w:rsidR="00A174C2">
              <w:rPr>
                <w:noProof/>
                <w:webHidden/>
              </w:rPr>
              <w:fldChar w:fldCharType="begin"/>
            </w:r>
            <w:r w:rsidR="00A174C2">
              <w:rPr>
                <w:noProof/>
                <w:webHidden/>
              </w:rPr>
              <w:instrText xml:space="preserve"> PAGEREF _Toc226968580 \h </w:instrText>
            </w:r>
            <w:r w:rsidR="00A174C2">
              <w:rPr>
                <w:noProof/>
                <w:webHidden/>
              </w:rPr>
            </w:r>
            <w:r w:rsidR="00A174C2">
              <w:rPr>
                <w:noProof/>
                <w:webHidden/>
              </w:rPr>
              <w:fldChar w:fldCharType="separate"/>
            </w:r>
            <w:r w:rsidR="00A174C2">
              <w:rPr>
                <w:noProof/>
                <w:webHidden/>
              </w:rPr>
              <w:t>3</w:t>
            </w:r>
            <w:r w:rsidR="00A174C2">
              <w:rPr>
                <w:noProof/>
                <w:webHidden/>
              </w:rPr>
              <w:fldChar w:fldCharType="end"/>
            </w:r>
          </w:hyperlink>
        </w:p>
        <w:p w14:paraId="0C49BBD0" w14:textId="3ABCE912" w:rsidR="00A174C2" w:rsidRDefault="00A174C2">
          <w:pPr>
            <w:pStyle w:val="TOC1"/>
            <w:tabs>
              <w:tab w:val="right" w:leader="dot" w:pos="9016"/>
            </w:tabs>
            <w:rPr>
              <w:rFonts w:eastAsiaTheme="minorEastAsia" w:cstheme="minorBidi"/>
              <w:b w:val="0"/>
              <w:bCs w:val="0"/>
              <w:i w:val="0"/>
              <w:iCs w:val="0"/>
              <w:noProof/>
              <w:lang w:eastAsia="en-GB"/>
              <w14:ligatures w14:val="standardContextual"/>
            </w:rPr>
          </w:pPr>
          <w:hyperlink w:anchor="_Toc226968581" w:history="1">
            <w:r w:rsidRPr="006F41D3">
              <w:rPr>
                <w:rStyle w:val="Hyperlink"/>
                <w:rFonts w:ascii="Arial" w:hAnsi="Arial" w:cs="Arial"/>
                <w:noProof/>
              </w:rPr>
              <w:t>Task 1- Defining Key Concepts in Practice</w:t>
            </w:r>
            <w:r>
              <w:rPr>
                <w:noProof/>
                <w:webHidden/>
              </w:rPr>
              <w:tab/>
            </w:r>
            <w:r>
              <w:rPr>
                <w:noProof/>
                <w:webHidden/>
              </w:rPr>
              <w:fldChar w:fldCharType="begin"/>
            </w:r>
            <w:r>
              <w:rPr>
                <w:noProof/>
                <w:webHidden/>
              </w:rPr>
              <w:instrText xml:space="preserve"> PAGEREF _Toc226968581 \h </w:instrText>
            </w:r>
            <w:r>
              <w:rPr>
                <w:noProof/>
                <w:webHidden/>
              </w:rPr>
            </w:r>
            <w:r>
              <w:rPr>
                <w:noProof/>
                <w:webHidden/>
              </w:rPr>
              <w:fldChar w:fldCharType="separate"/>
            </w:r>
            <w:r>
              <w:rPr>
                <w:noProof/>
                <w:webHidden/>
              </w:rPr>
              <w:t>3</w:t>
            </w:r>
            <w:r>
              <w:rPr>
                <w:noProof/>
                <w:webHidden/>
              </w:rPr>
              <w:fldChar w:fldCharType="end"/>
            </w:r>
          </w:hyperlink>
        </w:p>
        <w:p w14:paraId="03B6E066" w14:textId="2A62D91D" w:rsidR="00A174C2" w:rsidRDefault="00A174C2">
          <w:pPr>
            <w:pStyle w:val="TOC1"/>
            <w:tabs>
              <w:tab w:val="right" w:leader="dot" w:pos="9016"/>
            </w:tabs>
            <w:rPr>
              <w:rFonts w:eastAsiaTheme="minorEastAsia" w:cstheme="minorBidi"/>
              <w:b w:val="0"/>
              <w:bCs w:val="0"/>
              <w:i w:val="0"/>
              <w:iCs w:val="0"/>
              <w:noProof/>
              <w:lang w:eastAsia="en-GB"/>
              <w14:ligatures w14:val="standardContextual"/>
            </w:rPr>
          </w:pPr>
          <w:hyperlink w:anchor="_Toc226968582" w:history="1">
            <w:r w:rsidRPr="006F41D3">
              <w:rPr>
                <w:rStyle w:val="Hyperlink"/>
                <w:rFonts w:ascii="Arial" w:hAnsi="Arial" w:cs="Arial"/>
                <w:noProof/>
              </w:rPr>
              <w:t xml:space="preserve">Task 2 - Mind Map </w:t>
            </w:r>
            <w:r w:rsidRPr="006F41D3">
              <w:rPr>
                <w:rStyle w:val="Hyperlink"/>
                <w:rFonts w:ascii="Arial" w:hAnsi="Arial" w:cs="Arial"/>
                <w:noProof/>
                <w:lang w:eastAsia="en-GB"/>
              </w:rPr>
              <w:t>The use of NHS virtual wards</w:t>
            </w:r>
            <w:r>
              <w:rPr>
                <w:noProof/>
                <w:webHidden/>
              </w:rPr>
              <w:tab/>
            </w:r>
            <w:r>
              <w:rPr>
                <w:noProof/>
                <w:webHidden/>
              </w:rPr>
              <w:fldChar w:fldCharType="begin"/>
            </w:r>
            <w:r>
              <w:rPr>
                <w:noProof/>
                <w:webHidden/>
              </w:rPr>
              <w:instrText xml:space="preserve"> PAGEREF _Toc226968582 \h </w:instrText>
            </w:r>
            <w:r>
              <w:rPr>
                <w:noProof/>
                <w:webHidden/>
              </w:rPr>
            </w:r>
            <w:r>
              <w:rPr>
                <w:noProof/>
                <w:webHidden/>
              </w:rPr>
              <w:fldChar w:fldCharType="separate"/>
            </w:r>
            <w:r>
              <w:rPr>
                <w:noProof/>
                <w:webHidden/>
              </w:rPr>
              <w:t>5</w:t>
            </w:r>
            <w:r>
              <w:rPr>
                <w:noProof/>
                <w:webHidden/>
              </w:rPr>
              <w:fldChar w:fldCharType="end"/>
            </w:r>
          </w:hyperlink>
        </w:p>
        <w:p w14:paraId="19CB679F" w14:textId="22702F66" w:rsidR="00A174C2" w:rsidRDefault="00A174C2">
          <w:pPr>
            <w:pStyle w:val="TOC1"/>
            <w:tabs>
              <w:tab w:val="right" w:leader="dot" w:pos="9016"/>
            </w:tabs>
            <w:rPr>
              <w:rFonts w:eastAsiaTheme="minorEastAsia" w:cstheme="minorBidi"/>
              <w:b w:val="0"/>
              <w:bCs w:val="0"/>
              <w:i w:val="0"/>
              <w:iCs w:val="0"/>
              <w:noProof/>
              <w:lang w:eastAsia="en-GB"/>
              <w14:ligatures w14:val="standardContextual"/>
            </w:rPr>
          </w:pPr>
          <w:hyperlink w:anchor="_Toc226968583" w:history="1">
            <w:r w:rsidRPr="006F41D3">
              <w:rPr>
                <w:rStyle w:val="Hyperlink"/>
                <w:rFonts w:ascii="Arial" w:hAnsi="Arial" w:cs="Arial"/>
                <w:noProof/>
                <w:lang w:val="en-US" w:eastAsia="en-GB"/>
              </w:rPr>
              <w:t>Task 3 - Self-Reflection of Group Activity</w:t>
            </w:r>
            <w:r>
              <w:rPr>
                <w:noProof/>
                <w:webHidden/>
              </w:rPr>
              <w:tab/>
            </w:r>
            <w:r>
              <w:rPr>
                <w:noProof/>
                <w:webHidden/>
              </w:rPr>
              <w:fldChar w:fldCharType="begin"/>
            </w:r>
            <w:r>
              <w:rPr>
                <w:noProof/>
                <w:webHidden/>
              </w:rPr>
              <w:instrText xml:space="preserve"> PAGEREF _Toc226968583 \h </w:instrText>
            </w:r>
            <w:r>
              <w:rPr>
                <w:noProof/>
                <w:webHidden/>
              </w:rPr>
            </w:r>
            <w:r>
              <w:rPr>
                <w:noProof/>
                <w:webHidden/>
              </w:rPr>
              <w:fldChar w:fldCharType="separate"/>
            </w:r>
            <w:r>
              <w:rPr>
                <w:noProof/>
                <w:webHidden/>
              </w:rPr>
              <w:t>6</w:t>
            </w:r>
            <w:r>
              <w:rPr>
                <w:noProof/>
                <w:webHidden/>
              </w:rPr>
              <w:fldChar w:fldCharType="end"/>
            </w:r>
          </w:hyperlink>
        </w:p>
        <w:p w14:paraId="2B530BF0" w14:textId="0DB47574" w:rsidR="00A174C2" w:rsidRDefault="00A174C2">
          <w:pPr>
            <w:pStyle w:val="TOC1"/>
            <w:tabs>
              <w:tab w:val="right" w:leader="dot" w:pos="9016"/>
            </w:tabs>
            <w:rPr>
              <w:rFonts w:eastAsiaTheme="minorEastAsia" w:cstheme="minorBidi"/>
              <w:b w:val="0"/>
              <w:bCs w:val="0"/>
              <w:i w:val="0"/>
              <w:iCs w:val="0"/>
              <w:noProof/>
              <w:lang w:eastAsia="en-GB"/>
              <w14:ligatures w14:val="standardContextual"/>
            </w:rPr>
          </w:pPr>
          <w:hyperlink w:anchor="_Toc226968584" w:history="1">
            <w:r w:rsidRPr="006F41D3">
              <w:rPr>
                <w:rStyle w:val="Hyperlink"/>
                <w:rFonts w:ascii="Arial" w:hAnsi="Arial" w:cs="Arial"/>
                <w:noProof/>
              </w:rPr>
              <w:t>Task 4 - Case Study Analysis of a UK Innovation.</w:t>
            </w:r>
            <w:r>
              <w:rPr>
                <w:noProof/>
                <w:webHidden/>
              </w:rPr>
              <w:tab/>
            </w:r>
            <w:r>
              <w:rPr>
                <w:noProof/>
                <w:webHidden/>
              </w:rPr>
              <w:fldChar w:fldCharType="begin"/>
            </w:r>
            <w:r>
              <w:rPr>
                <w:noProof/>
                <w:webHidden/>
              </w:rPr>
              <w:instrText xml:space="preserve"> PAGEREF _Toc226968584 \h </w:instrText>
            </w:r>
            <w:r>
              <w:rPr>
                <w:noProof/>
                <w:webHidden/>
              </w:rPr>
            </w:r>
            <w:r>
              <w:rPr>
                <w:noProof/>
                <w:webHidden/>
              </w:rPr>
              <w:fldChar w:fldCharType="separate"/>
            </w:r>
            <w:r>
              <w:rPr>
                <w:noProof/>
                <w:webHidden/>
              </w:rPr>
              <w:t>7</w:t>
            </w:r>
            <w:r>
              <w:rPr>
                <w:noProof/>
                <w:webHidden/>
              </w:rPr>
              <w:fldChar w:fldCharType="end"/>
            </w:r>
          </w:hyperlink>
        </w:p>
        <w:p w14:paraId="2BFDD37A" w14:textId="37B0957F" w:rsidR="00A174C2" w:rsidRDefault="00A174C2">
          <w:pPr>
            <w:pStyle w:val="TOC1"/>
            <w:tabs>
              <w:tab w:val="right" w:leader="dot" w:pos="9016"/>
            </w:tabs>
            <w:rPr>
              <w:rFonts w:eastAsiaTheme="minorEastAsia" w:cstheme="minorBidi"/>
              <w:b w:val="0"/>
              <w:bCs w:val="0"/>
              <w:i w:val="0"/>
              <w:iCs w:val="0"/>
              <w:noProof/>
              <w:lang w:eastAsia="en-GB"/>
              <w14:ligatures w14:val="standardContextual"/>
            </w:rPr>
          </w:pPr>
          <w:hyperlink w:anchor="_Toc226968585" w:history="1">
            <w:r w:rsidRPr="006F41D3">
              <w:rPr>
                <w:rStyle w:val="Hyperlink"/>
                <w:rFonts w:ascii="Arial" w:hAnsi="Arial" w:cs="Arial"/>
                <w:noProof/>
              </w:rPr>
              <w:t>Task 5 - Research Task.</w:t>
            </w:r>
            <w:r>
              <w:rPr>
                <w:noProof/>
                <w:webHidden/>
              </w:rPr>
              <w:tab/>
            </w:r>
            <w:r>
              <w:rPr>
                <w:noProof/>
                <w:webHidden/>
              </w:rPr>
              <w:fldChar w:fldCharType="begin"/>
            </w:r>
            <w:r>
              <w:rPr>
                <w:noProof/>
                <w:webHidden/>
              </w:rPr>
              <w:instrText xml:space="preserve"> PAGEREF _Toc226968585 \h </w:instrText>
            </w:r>
            <w:r>
              <w:rPr>
                <w:noProof/>
                <w:webHidden/>
              </w:rPr>
            </w:r>
            <w:r>
              <w:rPr>
                <w:noProof/>
                <w:webHidden/>
              </w:rPr>
              <w:fldChar w:fldCharType="separate"/>
            </w:r>
            <w:r>
              <w:rPr>
                <w:noProof/>
                <w:webHidden/>
              </w:rPr>
              <w:t>7</w:t>
            </w:r>
            <w:r>
              <w:rPr>
                <w:noProof/>
                <w:webHidden/>
              </w:rPr>
              <w:fldChar w:fldCharType="end"/>
            </w:r>
          </w:hyperlink>
        </w:p>
        <w:p w14:paraId="43A6A844" w14:textId="747F7ABB" w:rsidR="00A174C2" w:rsidRDefault="00A174C2">
          <w:pPr>
            <w:pStyle w:val="TOC1"/>
            <w:tabs>
              <w:tab w:val="right" w:leader="dot" w:pos="9016"/>
            </w:tabs>
            <w:rPr>
              <w:rFonts w:eastAsiaTheme="minorEastAsia" w:cstheme="minorBidi"/>
              <w:b w:val="0"/>
              <w:bCs w:val="0"/>
              <w:i w:val="0"/>
              <w:iCs w:val="0"/>
              <w:noProof/>
              <w:lang w:eastAsia="en-GB"/>
              <w14:ligatures w14:val="standardContextual"/>
            </w:rPr>
          </w:pPr>
          <w:hyperlink w:anchor="_Toc226968586" w:history="1">
            <w:r w:rsidRPr="006F41D3">
              <w:rPr>
                <w:rStyle w:val="Hyperlink"/>
                <w:rFonts w:ascii="Arial" w:hAnsi="Arial" w:cs="Arial"/>
                <w:noProof/>
                <w:lang w:val="en-US" w:eastAsia="en-GB"/>
              </w:rPr>
              <w:t>Task 6 - Exploring Digital Innovation in Health and Social Care</w:t>
            </w:r>
            <w:r>
              <w:rPr>
                <w:noProof/>
                <w:webHidden/>
              </w:rPr>
              <w:tab/>
            </w:r>
            <w:r>
              <w:rPr>
                <w:noProof/>
                <w:webHidden/>
              </w:rPr>
              <w:fldChar w:fldCharType="begin"/>
            </w:r>
            <w:r>
              <w:rPr>
                <w:noProof/>
                <w:webHidden/>
              </w:rPr>
              <w:instrText xml:space="preserve"> PAGEREF _Toc226968586 \h </w:instrText>
            </w:r>
            <w:r>
              <w:rPr>
                <w:noProof/>
                <w:webHidden/>
              </w:rPr>
            </w:r>
            <w:r>
              <w:rPr>
                <w:noProof/>
                <w:webHidden/>
              </w:rPr>
              <w:fldChar w:fldCharType="separate"/>
            </w:r>
            <w:r>
              <w:rPr>
                <w:noProof/>
                <w:webHidden/>
              </w:rPr>
              <w:t>8</w:t>
            </w:r>
            <w:r>
              <w:rPr>
                <w:noProof/>
                <w:webHidden/>
              </w:rPr>
              <w:fldChar w:fldCharType="end"/>
            </w:r>
          </w:hyperlink>
        </w:p>
        <w:p w14:paraId="6B921457" w14:textId="286566BA" w:rsidR="00A174C2" w:rsidRDefault="00A174C2">
          <w:pPr>
            <w:pStyle w:val="TOC1"/>
            <w:tabs>
              <w:tab w:val="right" w:leader="dot" w:pos="9016"/>
            </w:tabs>
            <w:rPr>
              <w:rFonts w:eastAsiaTheme="minorEastAsia" w:cstheme="minorBidi"/>
              <w:b w:val="0"/>
              <w:bCs w:val="0"/>
              <w:i w:val="0"/>
              <w:iCs w:val="0"/>
              <w:noProof/>
              <w:lang w:eastAsia="en-GB"/>
              <w14:ligatures w14:val="standardContextual"/>
            </w:rPr>
          </w:pPr>
          <w:hyperlink w:anchor="_Toc226968587" w:history="1">
            <w:r w:rsidRPr="006F41D3">
              <w:rPr>
                <w:rStyle w:val="Hyperlink"/>
                <w:rFonts w:ascii="Arial" w:hAnsi="Arial" w:cs="Arial"/>
                <w:noProof/>
              </w:rPr>
              <w:t>Task 7 - Understanding the NHS Leadership Framework.</w:t>
            </w:r>
            <w:r>
              <w:rPr>
                <w:noProof/>
                <w:webHidden/>
              </w:rPr>
              <w:tab/>
            </w:r>
            <w:r>
              <w:rPr>
                <w:noProof/>
                <w:webHidden/>
              </w:rPr>
              <w:fldChar w:fldCharType="begin"/>
            </w:r>
            <w:r>
              <w:rPr>
                <w:noProof/>
                <w:webHidden/>
              </w:rPr>
              <w:instrText xml:space="preserve"> PAGEREF _Toc226968587 \h </w:instrText>
            </w:r>
            <w:r>
              <w:rPr>
                <w:noProof/>
                <w:webHidden/>
              </w:rPr>
            </w:r>
            <w:r>
              <w:rPr>
                <w:noProof/>
                <w:webHidden/>
              </w:rPr>
              <w:fldChar w:fldCharType="separate"/>
            </w:r>
            <w:r>
              <w:rPr>
                <w:noProof/>
                <w:webHidden/>
              </w:rPr>
              <w:t>9</w:t>
            </w:r>
            <w:r>
              <w:rPr>
                <w:noProof/>
                <w:webHidden/>
              </w:rPr>
              <w:fldChar w:fldCharType="end"/>
            </w:r>
          </w:hyperlink>
        </w:p>
        <w:p w14:paraId="5E232D10" w14:textId="2E4C66BA" w:rsidR="00A174C2" w:rsidRDefault="00A174C2">
          <w:pPr>
            <w:pStyle w:val="TOC1"/>
            <w:tabs>
              <w:tab w:val="right" w:leader="dot" w:pos="9016"/>
            </w:tabs>
            <w:rPr>
              <w:rFonts w:eastAsiaTheme="minorEastAsia" w:cstheme="minorBidi"/>
              <w:b w:val="0"/>
              <w:bCs w:val="0"/>
              <w:i w:val="0"/>
              <w:iCs w:val="0"/>
              <w:noProof/>
              <w:lang w:eastAsia="en-GB"/>
              <w14:ligatures w14:val="standardContextual"/>
            </w:rPr>
          </w:pPr>
          <w:hyperlink w:anchor="_Toc226968588" w:history="1">
            <w:r w:rsidRPr="006F41D3">
              <w:rPr>
                <w:rStyle w:val="Hyperlink"/>
                <w:rFonts w:ascii="Arial" w:hAnsi="Arial" w:cs="Arial"/>
                <w:noProof/>
              </w:rPr>
              <w:t>Task 8 - Self-Reflection Journal Entry.</w:t>
            </w:r>
            <w:r>
              <w:rPr>
                <w:noProof/>
                <w:webHidden/>
              </w:rPr>
              <w:tab/>
            </w:r>
            <w:r>
              <w:rPr>
                <w:noProof/>
                <w:webHidden/>
              </w:rPr>
              <w:fldChar w:fldCharType="begin"/>
            </w:r>
            <w:r>
              <w:rPr>
                <w:noProof/>
                <w:webHidden/>
              </w:rPr>
              <w:instrText xml:space="preserve"> PAGEREF _Toc226968588 \h </w:instrText>
            </w:r>
            <w:r>
              <w:rPr>
                <w:noProof/>
                <w:webHidden/>
              </w:rPr>
            </w:r>
            <w:r>
              <w:rPr>
                <w:noProof/>
                <w:webHidden/>
              </w:rPr>
              <w:fldChar w:fldCharType="separate"/>
            </w:r>
            <w:r>
              <w:rPr>
                <w:noProof/>
                <w:webHidden/>
              </w:rPr>
              <w:t>10</w:t>
            </w:r>
            <w:r>
              <w:rPr>
                <w:noProof/>
                <w:webHidden/>
              </w:rPr>
              <w:fldChar w:fldCharType="end"/>
            </w:r>
          </w:hyperlink>
        </w:p>
        <w:p w14:paraId="0684A864" w14:textId="605CF0AB" w:rsidR="00A174C2" w:rsidRDefault="00A174C2">
          <w:pPr>
            <w:pStyle w:val="TOC1"/>
            <w:tabs>
              <w:tab w:val="right" w:leader="dot" w:pos="9016"/>
            </w:tabs>
            <w:rPr>
              <w:rFonts w:eastAsiaTheme="minorEastAsia" w:cstheme="minorBidi"/>
              <w:b w:val="0"/>
              <w:bCs w:val="0"/>
              <w:i w:val="0"/>
              <w:iCs w:val="0"/>
              <w:noProof/>
              <w:lang w:eastAsia="en-GB"/>
              <w14:ligatures w14:val="standardContextual"/>
            </w:rPr>
          </w:pPr>
          <w:hyperlink w:anchor="_Toc226968589" w:history="1">
            <w:r w:rsidRPr="006F41D3">
              <w:rPr>
                <w:rStyle w:val="Hyperlink"/>
                <w:noProof/>
              </w:rPr>
              <w:t>References</w:t>
            </w:r>
            <w:r>
              <w:rPr>
                <w:noProof/>
                <w:webHidden/>
              </w:rPr>
              <w:tab/>
            </w:r>
            <w:r>
              <w:rPr>
                <w:noProof/>
                <w:webHidden/>
              </w:rPr>
              <w:fldChar w:fldCharType="begin"/>
            </w:r>
            <w:r>
              <w:rPr>
                <w:noProof/>
                <w:webHidden/>
              </w:rPr>
              <w:instrText xml:space="preserve"> PAGEREF _Toc226968589 \h </w:instrText>
            </w:r>
            <w:r>
              <w:rPr>
                <w:noProof/>
                <w:webHidden/>
              </w:rPr>
            </w:r>
            <w:r>
              <w:rPr>
                <w:noProof/>
                <w:webHidden/>
              </w:rPr>
              <w:fldChar w:fldCharType="separate"/>
            </w:r>
            <w:r>
              <w:rPr>
                <w:noProof/>
                <w:webHidden/>
              </w:rPr>
              <w:t>12</w:t>
            </w:r>
            <w:r>
              <w:rPr>
                <w:noProof/>
                <w:webHidden/>
              </w:rPr>
              <w:fldChar w:fldCharType="end"/>
            </w:r>
          </w:hyperlink>
        </w:p>
        <w:p w14:paraId="39689811" w14:textId="2A3CB52F" w:rsidR="004727D5" w:rsidRDefault="004727D5">
          <w:r>
            <w:rPr>
              <w:b/>
              <w:bCs/>
              <w:noProof/>
            </w:rPr>
            <w:fldChar w:fldCharType="end"/>
          </w:r>
        </w:p>
      </w:sdtContent>
    </w:sdt>
    <w:p w14:paraId="79C77E96" w14:textId="77777777" w:rsidR="008375B5" w:rsidRDefault="008375B5" w:rsidP="008375B5">
      <w:pPr>
        <w:pStyle w:val="NormalWeb"/>
        <w:spacing w:line="360" w:lineRule="auto"/>
        <w:rPr>
          <w:rFonts w:ascii="Arial" w:hAnsi="Arial" w:cs="Arial"/>
          <w:b/>
          <w:bCs/>
          <w:color w:val="000000"/>
        </w:rPr>
      </w:pPr>
    </w:p>
    <w:p w14:paraId="755042DD" w14:textId="77777777" w:rsidR="008375B5" w:rsidRDefault="008375B5" w:rsidP="008375B5">
      <w:pPr>
        <w:pStyle w:val="NormalWeb"/>
        <w:spacing w:line="360" w:lineRule="auto"/>
        <w:rPr>
          <w:rFonts w:ascii="Arial" w:hAnsi="Arial" w:cs="Arial"/>
          <w:b/>
          <w:bCs/>
          <w:color w:val="000000"/>
        </w:rPr>
      </w:pPr>
    </w:p>
    <w:p w14:paraId="23221A96" w14:textId="77777777" w:rsidR="008375B5" w:rsidRDefault="008375B5" w:rsidP="008375B5">
      <w:pPr>
        <w:pStyle w:val="NormalWeb"/>
        <w:spacing w:line="360" w:lineRule="auto"/>
        <w:rPr>
          <w:rFonts w:ascii="Arial" w:hAnsi="Arial" w:cs="Arial"/>
          <w:b/>
          <w:bCs/>
          <w:color w:val="000000"/>
        </w:rPr>
      </w:pPr>
    </w:p>
    <w:p w14:paraId="6E62C189" w14:textId="77777777" w:rsidR="008375B5" w:rsidRDefault="008375B5" w:rsidP="008375B5">
      <w:pPr>
        <w:pStyle w:val="NormalWeb"/>
        <w:spacing w:line="360" w:lineRule="auto"/>
        <w:rPr>
          <w:rFonts w:ascii="Arial" w:hAnsi="Arial" w:cs="Arial"/>
          <w:b/>
          <w:bCs/>
          <w:color w:val="000000"/>
        </w:rPr>
      </w:pPr>
    </w:p>
    <w:p w14:paraId="5DA784D3" w14:textId="77777777" w:rsidR="008375B5" w:rsidRDefault="008375B5" w:rsidP="008375B5">
      <w:pPr>
        <w:pStyle w:val="NormalWeb"/>
        <w:spacing w:line="360" w:lineRule="auto"/>
        <w:rPr>
          <w:rFonts w:ascii="Arial" w:hAnsi="Arial" w:cs="Arial"/>
          <w:b/>
          <w:bCs/>
          <w:color w:val="000000"/>
        </w:rPr>
      </w:pPr>
    </w:p>
    <w:p w14:paraId="7E9F8D9B" w14:textId="77777777" w:rsidR="008375B5" w:rsidRDefault="008375B5" w:rsidP="008375B5">
      <w:pPr>
        <w:pStyle w:val="NormalWeb"/>
        <w:spacing w:line="360" w:lineRule="auto"/>
        <w:rPr>
          <w:rFonts w:ascii="Arial" w:hAnsi="Arial" w:cs="Arial"/>
          <w:b/>
          <w:bCs/>
          <w:color w:val="000000"/>
        </w:rPr>
      </w:pPr>
    </w:p>
    <w:p w14:paraId="4A087648" w14:textId="77777777" w:rsidR="008375B5" w:rsidRDefault="008375B5" w:rsidP="008375B5">
      <w:pPr>
        <w:pStyle w:val="NormalWeb"/>
        <w:spacing w:line="360" w:lineRule="auto"/>
        <w:rPr>
          <w:rFonts w:ascii="Arial" w:hAnsi="Arial" w:cs="Arial"/>
          <w:b/>
          <w:bCs/>
          <w:color w:val="000000"/>
        </w:rPr>
      </w:pPr>
    </w:p>
    <w:p w14:paraId="41AE957A" w14:textId="77777777" w:rsidR="008375B5" w:rsidRDefault="008375B5" w:rsidP="008375B5">
      <w:pPr>
        <w:pStyle w:val="NormalWeb"/>
        <w:spacing w:line="360" w:lineRule="auto"/>
        <w:rPr>
          <w:rFonts w:ascii="Arial" w:hAnsi="Arial" w:cs="Arial"/>
          <w:b/>
          <w:bCs/>
          <w:color w:val="000000"/>
        </w:rPr>
      </w:pPr>
    </w:p>
    <w:p w14:paraId="61A943AF" w14:textId="77777777" w:rsidR="008375B5" w:rsidRDefault="008375B5" w:rsidP="008375B5">
      <w:pPr>
        <w:pStyle w:val="NormalWeb"/>
        <w:spacing w:line="360" w:lineRule="auto"/>
        <w:rPr>
          <w:rFonts w:ascii="Arial" w:hAnsi="Arial" w:cs="Arial"/>
          <w:b/>
          <w:bCs/>
          <w:color w:val="000000"/>
        </w:rPr>
      </w:pPr>
    </w:p>
    <w:p w14:paraId="4B7CF11A" w14:textId="77777777" w:rsidR="00A01C28" w:rsidRDefault="00A01C28" w:rsidP="008375B5">
      <w:pPr>
        <w:spacing w:line="360" w:lineRule="auto"/>
        <w:rPr>
          <w:rFonts w:ascii="Times New Roman" w:hAnsi="Times New Roman"/>
          <w:b/>
          <w:bCs/>
          <w:sz w:val="28"/>
          <w:szCs w:val="28"/>
        </w:rPr>
      </w:pPr>
    </w:p>
    <w:p w14:paraId="39E59424" w14:textId="77777777" w:rsidR="00367097" w:rsidRDefault="00367097" w:rsidP="008375B5">
      <w:pPr>
        <w:spacing w:line="360" w:lineRule="auto"/>
        <w:rPr>
          <w:rFonts w:ascii="Times New Roman" w:hAnsi="Times New Roman"/>
          <w:b/>
          <w:bCs/>
          <w:sz w:val="28"/>
          <w:szCs w:val="28"/>
        </w:rPr>
      </w:pPr>
    </w:p>
    <w:p w14:paraId="133A4BB0" w14:textId="77777777" w:rsidR="00A9474F" w:rsidRPr="006A67C0" w:rsidRDefault="00A9474F" w:rsidP="00B16167">
      <w:pPr>
        <w:pStyle w:val="Heading1"/>
      </w:pPr>
      <w:bookmarkStart w:id="0" w:name="_Toc226968580"/>
      <w:r w:rsidRPr="006A67C0">
        <w:lastRenderedPageBreak/>
        <w:t>Introduction</w:t>
      </w:r>
      <w:bookmarkEnd w:id="0"/>
      <w:r w:rsidRPr="006A67C0">
        <w:t> </w:t>
      </w:r>
    </w:p>
    <w:p w14:paraId="3E765F3A" w14:textId="77777777" w:rsidR="000C0F2F" w:rsidRPr="00247055" w:rsidRDefault="000C0F2F" w:rsidP="00247055">
      <w:pPr>
        <w:spacing w:line="360" w:lineRule="auto"/>
        <w:rPr>
          <w:rFonts w:ascii="Arial" w:hAnsi="Arial" w:cs="Arial"/>
          <w:sz w:val="22"/>
          <w:szCs w:val="22"/>
        </w:rPr>
      </w:pPr>
      <w:r w:rsidRPr="00247055">
        <w:rPr>
          <w:rFonts w:ascii="Arial" w:hAnsi="Arial" w:cs="Arial"/>
          <w:sz w:val="22"/>
          <w:szCs w:val="22"/>
        </w:rPr>
        <w:t>Using NHS Virtual Wards as the primary focus, this portfolio critically examines the ideas of innovation, creativity, value creation, and transformation in modern health and social care. In the UK, virtual wards—also known as the "hospital at home" model—represent a substantial shift in the provision of healthcare. Through coordinated multidisciplinary teamwork and remote monitoring technologies, they allow patients with both acute and chronic diseases to get hospital-level care in the comfort of their own homes. This strategy addresses the growing demands on the NHS, such as hospital capacity limitations, labour shortages, and increased service demand.</w:t>
      </w:r>
    </w:p>
    <w:p w14:paraId="5E300810" w14:textId="77777777" w:rsidR="000C0F2F" w:rsidRPr="00247055" w:rsidRDefault="000C0F2F" w:rsidP="00247055">
      <w:pPr>
        <w:spacing w:line="360" w:lineRule="auto"/>
        <w:rPr>
          <w:rFonts w:ascii="Arial" w:hAnsi="Arial" w:cs="Arial"/>
          <w:sz w:val="22"/>
          <w:szCs w:val="22"/>
        </w:rPr>
      </w:pPr>
    </w:p>
    <w:p w14:paraId="73B23F67" w14:textId="6C71A34B" w:rsidR="000C0F2F" w:rsidRPr="00247055" w:rsidRDefault="000C0F2F" w:rsidP="00247055">
      <w:pPr>
        <w:spacing w:line="360" w:lineRule="auto"/>
        <w:rPr>
          <w:rFonts w:ascii="Arial" w:hAnsi="Arial" w:cs="Arial"/>
          <w:sz w:val="22"/>
          <w:szCs w:val="22"/>
        </w:rPr>
      </w:pPr>
      <w:r w:rsidRPr="00247055">
        <w:rPr>
          <w:rFonts w:ascii="Arial" w:hAnsi="Arial" w:cs="Arial"/>
          <w:sz w:val="22"/>
          <w:szCs w:val="22"/>
        </w:rPr>
        <w:t>The portfolio exhibits both theoretical comprehension and real-world implementation of important ideas. Using well-established academic frameworks, it defines innovation, creativity, value creation, and change and applies them directly to the deployment of virtual wards. It also looks at how leadership practices, patient-</w:t>
      </w:r>
      <w:r w:rsidR="00E76C86" w:rsidRPr="00247055">
        <w:rPr>
          <w:rFonts w:ascii="Arial" w:hAnsi="Arial" w:cs="Arial"/>
          <w:sz w:val="22"/>
          <w:szCs w:val="22"/>
        </w:rPr>
        <w:t>cantered</w:t>
      </w:r>
      <w:r w:rsidRPr="00247055">
        <w:rPr>
          <w:rFonts w:ascii="Arial" w:hAnsi="Arial" w:cs="Arial"/>
          <w:sz w:val="22"/>
          <w:szCs w:val="22"/>
        </w:rPr>
        <w:t xml:space="preserve"> care, and service design are affected by digital transformation.</w:t>
      </w:r>
      <w:r w:rsidR="00840C2D" w:rsidRPr="00247055">
        <w:rPr>
          <w:rFonts w:ascii="Arial" w:hAnsi="Arial" w:cs="Arial"/>
          <w:sz w:val="22"/>
          <w:szCs w:val="22"/>
        </w:rPr>
        <w:t xml:space="preserve"> A case study examination assesses the innovation's stated results and scalability, while a graphic mind map highlights its interrelated advantages and difficulties. The significance of cooperative thinking, a common goal, and organised change management in fostering sustainable innovation is highlighted by reflection on group projects and leadership frameworks.</w:t>
      </w:r>
    </w:p>
    <w:p w14:paraId="18373A59" w14:textId="77777777" w:rsidR="00840C2D" w:rsidRPr="00247055" w:rsidRDefault="00840C2D" w:rsidP="00247055">
      <w:pPr>
        <w:spacing w:line="360" w:lineRule="auto"/>
        <w:rPr>
          <w:rFonts w:ascii="Arial" w:hAnsi="Arial" w:cs="Arial"/>
          <w:sz w:val="22"/>
          <w:szCs w:val="22"/>
        </w:rPr>
      </w:pPr>
    </w:p>
    <w:p w14:paraId="19C6196A" w14:textId="77777777" w:rsidR="00840C2D" w:rsidRPr="00247055" w:rsidRDefault="00840C2D" w:rsidP="00247055">
      <w:pPr>
        <w:spacing w:line="360" w:lineRule="auto"/>
        <w:rPr>
          <w:rFonts w:ascii="Arial" w:hAnsi="Arial" w:cs="Arial"/>
          <w:sz w:val="22"/>
          <w:szCs w:val="22"/>
        </w:rPr>
      </w:pPr>
      <w:r w:rsidRPr="00247055">
        <w:rPr>
          <w:rFonts w:ascii="Arial" w:hAnsi="Arial" w:cs="Arial"/>
          <w:sz w:val="22"/>
          <w:szCs w:val="22"/>
        </w:rPr>
        <w:t>Overall, this portfolio makes the case that leadership, systems thinking, equity, and reflective practice are just as important to the effective transformation of health and social care as digital technologies.</w:t>
      </w:r>
    </w:p>
    <w:p w14:paraId="5FC9AA02" w14:textId="77777777" w:rsidR="000C0F2F" w:rsidRPr="00247055" w:rsidRDefault="000C0F2F" w:rsidP="00247055">
      <w:pPr>
        <w:spacing w:line="360" w:lineRule="auto"/>
        <w:rPr>
          <w:rFonts w:ascii="Arial" w:hAnsi="Arial" w:cs="Arial"/>
          <w:sz w:val="22"/>
          <w:szCs w:val="22"/>
        </w:rPr>
      </w:pPr>
    </w:p>
    <w:p w14:paraId="568BF8E6" w14:textId="502E04B4" w:rsidR="00871C29" w:rsidRPr="00247055" w:rsidRDefault="00871C29" w:rsidP="00247055">
      <w:pPr>
        <w:pStyle w:val="Heading1"/>
        <w:spacing w:line="360" w:lineRule="auto"/>
        <w:rPr>
          <w:rFonts w:ascii="Arial" w:hAnsi="Arial" w:cs="Arial"/>
          <w:sz w:val="22"/>
          <w:szCs w:val="22"/>
        </w:rPr>
      </w:pPr>
      <w:bookmarkStart w:id="1" w:name="_Toc226968581"/>
      <w:r w:rsidRPr="00247055">
        <w:rPr>
          <w:rFonts w:ascii="Arial" w:hAnsi="Arial" w:cs="Arial"/>
          <w:sz w:val="22"/>
          <w:szCs w:val="22"/>
        </w:rPr>
        <w:t>Task 1- Defining Key Concepts in Practice</w:t>
      </w:r>
      <w:bookmarkEnd w:id="1"/>
      <w:r w:rsidRPr="00247055">
        <w:rPr>
          <w:rFonts w:ascii="Arial" w:hAnsi="Arial" w:cs="Arial"/>
          <w:sz w:val="22"/>
          <w:szCs w:val="22"/>
        </w:rPr>
        <w:t xml:space="preserve"> </w:t>
      </w:r>
    </w:p>
    <w:p w14:paraId="52D87827" w14:textId="77777777" w:rsidR="002D4662" w:rsidRPr="00247055" w:rsidRDefault="002D4662" w:rsidP="00247055">
      <w:pPr>
        <w:spacing w:line="360" w:lineRule="auto"/>
        <w:rPr>
          <w:rFonts w:ascii="Arial" w:hAnsi="Arial" w:cs="Arial"/>
          <w:sz w:val="22"/>
          <w:szCs w:val="22"/>
          <w:lang w:eastAsia="en-GB"/>
        </w:rPr>
      </w:pPr>
      <w:r w:rsidRPr="00247055">
        <w:rPr>
          <w:rFonts w:ascii="Arial" w:hAnsi="Arial" w:cs="Arial"/>
          <w:sz w:val="22"/>
          <w:szCs w:val="22"/>
          <w:lang w:eastAsia="en-GB"/>
        </w:rPr>
        <w:t xml:space="preserve">Innovation in health and social care is the application of novel strategies that enhance service effectiveness, safety, and quality. Instead of just technology, organisational context, leadership, and system preparation all play a role in the effective adoption of innovation in healthcare (Greenhalgh et al., 2004). Through integrated multidisciplinary teams and remote monitoring technologies, virtual wards within the NHS offer hospital-level care in patients' homes, representing an innovative style of care delivery. This strategy considers the need </w:t>
      </w:r>
      <w:r w:rsidRPr="00247055">
        <w:rPr>
          <w:rFonts w:ascii="Arial" w:hAnsi="Arial" w:cs="Arial"/>
          <w:sz w:val="22"/>
          <w:szCs w:val="22"/>
          <w:lang w:eastAsia="en-GB"/>
        </w:rPr>
        <w:lastRenderedPageBreak/>
        <w:t>for more sustainable care models, pressures on bed capacity, and rising demand (NHS England, 2022).</w:t>
      </w:r>
    </w:p>
    <w:p w14:paraId="55865FE3" w14:textId="77777777" w:rsidR="00871C29" w:rsidRPr="00247055" w:rsidRDefault="00871C29" w:rsidP="00247055">
      <w:pPr>
        <w:spacing w:line="360" w:lineRule="auto"/>
        <w:rPr>
          <w:rFonts w:ascii="Arial" w:hAnsi="Arial" w:cs="Arial"/>
          <w:b/>
          <w:bCs/>
          <w:i/>
          <w:iCs/>
          <w:color w:val="4C94D8"/>
          <w:sz w:val="22"/>
          <w:szCs w:val="22"/>
        </w:rPr>
      </w:pPr>
    </w:p>
    <w:p w14:paraId="2BACB875" w14:textId="77777777" w:rsidR="00247055" w:rsidRPr="00247055" w:rsidRDefault="00247055" w:rsidP="00247055">
      <w:pPr>
        <w:pStyle w:val="p1"/>
        <w:spacing w:line="360" w:lineRule="auto"/>
        <w:rPr>
          <w:rFonts w:ascii="Arial" w:hAnsi="Arial" w:cs="Arial"/>
          <w:sz w:val="22"/>
          <w:szCs w:val="22"/>
        </w:rPr>
      </w:pPr>
      <w:r w:rsidRPr="00247055">
        <w:rPr>
          <w:rFonts w:ascii="Arial" w:hAnsi="Arial" w:cs="Arial"/>
          <w:sz w:val="22"/>
          <w:szCs w:val="22"/>
        </w:rPr>
        <w:t>In the workplace, creativity involves generating and applying practical new ideas. In healthcare, it often emerges through teamwork, adapting existing practices to meet complex patient needs (West and Anderson, 1996). Virtual wards demonstrate this by transforming traditional inpatient care into digitally supported home-based care, combining clinical expertise, technology and communication to maintain patient safety. Value creation focuses on improving outcomes while using resources efficiently. The Triple Aim framework highlights enhancing patient experience, improving population health and reducing costs (Berwick, Nolan and Whittington, 2008). Virtual wards support these goals by reducing hospital admissions, improving patient comfort and increasing system efficiency.</w:t>
      </w:r>
    </w:p>
    <w:p w14:paraId="1C2D1C00" w14:textId="77777777" w:rsidR="00247055" w:rsidRPr="00247055" w:rsidRDefault="00247055" w:rsidP="00247055">
      <w:pPr>
        <w:pStyle w:val="p2"/>
        <w:spacing w:line="360" w:lineRule="auto"/>
        <w:rPr>
          <w:rFonts w:ascii="Arial" w:hAnsi="Arial" w:cs="Arial"/>
          <w:sz w:val="22"/>
          <w:szCs w:val="22"/>
        </w:rPr>
      </w:pPr>
    </w:p>
    <w:p w14:paraId="0997E805" w14:textId="77777777" w:rsidR="00247055" w:rsidRPr="00247055" w:rsidRDefault="00247055" w:rsidP="00247055">
      <w:pPr>
        <w:pStyle w:val="p1"/>
        <w:spacing w:line="360" w:lineRule="auto"/>
        <w:rPr>
          <w:rFonts w:ascii="Arial" w:hAnsi="Arial" w:cs="Arial"/>
          <w:sz w:val="22"/>
          <w:szCs w:val="22"/>
        </w:rPr>
      </w:pPr>
      <w:r w:rsidRPr="00247055">
        <w:rPr>
          <w:rFonts w:ascii="Arial" w:hAnsi="Arial" w:cs="Arial"/>
          <w:sz w:val="22"/>
          <w:szCs w:val="22"/>
        </w:rPr>
        <w:t>Change refers to the structured transition from traditional practices to improved care models. Effective change requires understanding organisational culture, professional behaviour and potential barriers (Grol and Wensing, 2004). The implementation of virtual wards depends on staff training, digital capability and strong leadership, as innovations may fail without structured change processes (Grol and Wensing, 2004).</w:t>
      </w:r>
    </w:p>
    <w:p w14:paraId="23ACCE40" w14:textId="77777777" w:rsidR="00247055" w:rsidRPr="00247055" w:rsidRDefault="00247055" w:rsidP="00247055">
      <w:pPr>
        <w:pStyle w:val="p2"/>
        <w:spacing w:line="360" w:lineRule="auto"/>
        <w:rPr>
          <w:rFonts w:ascii="Arial" w:hAnsi="Arial" w:cs="Arial"/>
          <w:sz w:val="22"/>
          <w:szCs w:val="22"/>
        </w:rPr>
      </w:pPr>
    </w:p>
    <w:p w14:paraId="37713D33" w14:textId="684AE7BA" w:rsidR="00247055" w:rsidRPr="00247055" w:rsidRDefault="00247055" w:rsidP="00247055">
      <w:pPr>
        <w:pStyle w:val="p1"/>
        <w:spacing w:line="360" w:lineRule="auto"/>
        <w:rPr>
          <w:rFonts w:ascii="Arial" w:hAnsi="Arial" w:cs="Arial"/>
          <w:sz w:val="22"/>
          <w:szCs w:val="22"/>
        </w:rPr>
      </w:pPr>
      <w:r w:rsidRPr="00247055">
        <w:rPr>
          <w:rFonts w:ascii="Arial" w:hAnsi="Arial" w:cs="Arial"/>
          <w:sz w:val="22"/>
          <w:szCs w:val="22"/>
        </w:rPr>
        <w:t xml:space="preserve">Overall, innovation introduces new service models, creativity supports solution development, value creation measures impact and change </w:t>
      </w:r>
      <w:r w:rsidR="00A174C2" w:rsidRPr="00247055">
        <w:rPr>
          <w:rFonts w:ascii="Arial" w:hAnsi="Arial" w:cs="Arial"/>
          <w:sz w:val="22"/>
          <w:szCs w:val="22"/>
        </w:rPr>
        <w:t>ensure</w:t>
      </w:r>
      <w:r w:rsidRPr="00247055">
        <w:rPr>
          <w:rFonts w:ascii="Arial" w:hAnsi="Arial" w:cs="Arial"/>
          <w:sz w:val="22"/>
          <w:szCs w:val="22"/>
        </w:rPr>
        <w:t xml:space="preserve"> sustainability. However, challenges such as digital exclusion, workforce capacity and resistance to change may limit equitable implementation within health and social care systems.</w:t>
      </w:r>
    </w:p>
    <w:p w14:paraId="7E21F8E0" w14:textId="77777777" w:rsidR="00B16167" w:rsidRPr="00247055" w:rsidRDefault="00B16167" w:rsidP="00247055">
      <w:pPr>
        <w:spacing w:line="360" w:lineRule="auto"/>
        <w:rPr>
          <w:rFonts w:ascii="Arial" w:hAnsi="Arial" w:cs="Arial"/>
          <w:sz w:val="22"/>
          <w:szCs w:val="22"/>
        </w:rPr>
      </w:pPr>
    </w:p>
    <w:p w14:paraId="0B4E6DCF" w14:textId="77777777" w:rsidR="00B16167" w:rsidRPr="00247055" w:rsidRDefault="00B16167" w:rsidP="00247055">
      <w:pPr>
        <w:spacing w:line="360" w:lineRule="auto"/>
        <w:rPr>
          <w:rFonts w:ascii="Arial" w:hAnsi="Arial" w:cs="Arial"/>
          <w:sz w:val="22"/>
          <w:szCs w:val="22"/>
        </w:rPr>
      </w:pPr>
    </w:p>
    <w:p w14:paraId="00BC4674" w14:textId="77777777" w:rsidR="00B16167" w:rsidRPr="00247055" w:rsidRDefault="00B16167" w:rsidP="00247055">
      <w:pPr>
        <w:spacing w:line="360" w:lineRule="auto"/>
        <w:rPr>
          <w:rFonts w:ascii="Arial" w:hAnsi="Arial" w:cs="Arial"/>
          <w:sz w:val="22"/>
          <w:szCs w:val="22"/>
        </w:rPr>
      </w:pPr>
    </w:p>
    <w:p w14:paraId="39271C48" w14:textId="77777777" w:rsidR="00B16167" w:rsidRPr="00247055" w:rsidRDefault="00B16167" w:rsidP="00247055">
      <w:pPr>
        <w:spacing w:line="360" w:lineRule="auto"/>
        <w:rPr>
          <w:rFonts w:ascii="Arial" w:hAnsi="Arial" w:cs="Arial"/>
          <w:b/>
          <w:bCs/>
          <w:i/>
          <w:iCs/>
          <w:color w:val="4C94D8"/>
          <w:sz w:val="22"/>
          <w:szCs w:val="22"/>
        </w:rPr>
      </w:pPr>
    </w:p>
    <w:p w14:paraId="464FB8D9" w14:textId="77777777" w:rsidR="00871C29" w:rsidRPr="00247055" w:rsidRDefault="00871C29" w:rsidP="00247055">
      <w:pPr>
        <w:spacing w:line="360" w:lineRule="auto"/>
        <w:rPr>
          <w:rFonts w:ascii="Arial" w:hAnsi="Arial" w:cs="Arial"/>
          <w:b/>
          <w:bCs/>
          <w:i/>
          <w:iCs/>
          <w:color w:val="4C94D8"/>
          <w:sz w:val="22"/>
          <w:szCs w:val="22"/>
        </w:rPr>
      </w:pPr>
    </w:p>
    <w:p w14:paraId="7B733013" w14:textId="77777777" w:rsidR="00871C29" w:rsidRPr="00247055" w:rsidRDefault="00871C29" w:rsidP="00247055">
      <w:pPr>
        <w:spacing w:line="360" w:lineRule="auto"/>
        <w:rPr>
          <w:rFonts w:ascii="Arial" w:hAnsi="Arial" w:cs="Arial"/>
          <w:b/>
          <w:bCs/>
          <w:sz w:val="22"/>
          <w:szCs w:val="22"/>
        </w:rPr>
      </w:pPr>
    </w:p>
    <w:p w14:paraId="0D08418A" w14:textId="77777777" w:rsidR="003707F9" w:rsidRPr="00247055" w:rsidRDefault="00871C29" w:rsidP="00247055">
      <w:pPr>
        <w:pStyle w:val="Heading1"/>
        <w:spacing w:line="360" w:lineRule="auto"/>
        <w:rPr>
          <w:rStyle w:val="Strong"/>
          <w:rFonts w:ascii="Arial" w:hAnsi="Arial" w:cs="Arial"/>
          <w:b w:val="0"/>
          <w:bCs w:val="0"/>
          <w:color w:val="1D2125"/>
          <w:sz w:val="22"/>
          <w:szCs w:val="22"/>
        </w:rPr>
      </w:pPr>
      <w:bookmarkStart w:id="2" w:name="_Toc226968582"/>
      <w:r w:rsidRPr="00247055">
        <w:rPr>
          <w:rFonts w:ascii="Arial" w:hAnsi="Arial" w:cs="Arial"/>
          <w:sz w:val="22"/>
          <w:szCs w:val="22"/>
        </w:rPr>
        <w:lastRenderedPageBreak/>
        <w:t xml:space="preserve">Task 2 - Mind Map </w:t>
      </w:r>
      <w:r w:rsidR="003707F9" w:rsidRPr="00247055">
        <w:rPr>
          <w:rFonts w:ascii="Arial" w:hAnsi="Arial" w:cs="Arial"/>
          <w:sz w:val="22"/>
          <w:szCs w:val="22"/>
          <w:lang w:eastAsia="en-GB"/>
        </w:rPr>
        <w:t>The use of NHS virtual wards</w:t>
      </w:r>
      <w:bookmarkEnd w:id="2"/>
      <w:r w:rsidR="003707F9" w:rsidRPr="00247055">
        <w:rPr>
          <w:rFonts w:ascii="Arial" w:hAnsi="Arial" w:cs="Arial"/>
          <w:sz w:val="22"/>
          <w:szCs w:val="22"/>
          <w:lang w:eastAsia="en-GB"/>
        </w:rPr>
        <w:t xml:space="preserve"> </w:t>
      </w:r>
    </w:p>
    <w:p w14:paraId="3FAC1B1E" w14:textId="4FF00BC5" w:rsidR="003707F9" w:rsidRPr="00247055" w:rsidRDefault="00B16167" w:rsidP="00247055">
      <w:pPr>
        <w:spacing w:line="360" w:lineRule="auto"/>
        <w:rPr>
          <w:rFonts w:ascii="Arial" w:hAnsi="Arial" w:cs="Arial"/>
          <w:b/>
          <w:bCs/>
          <w:sz w:val="22"/>
          <w:szCs w:val="22"/>
        </w:rPr>
      </w:pPr>
      <w:r w:rsidRPr="00247055">
        <w:rPr>
          <w:rFonts w:ascii="Arial" w:hAnsi="Arial" w:cs="Arial"/>
          <w:b/>
          <w:bCs/>
          <w:noProof/>
          <w:sz w:val="22"/>
          <w:szCs w:val="22"/>
        </w:rPr>
        <w:drawing>
          <wp:inline distT="0" distB="0" distL="0" distR="0" wp14:anchorId="470066A6" wp14:editId="2669259F">
            <wp:extent cx="5731510" cy="8105775"/>
            <wp:effectExtent l="0" t="0" r="0" b="0"/>
            <wp:docPr id="392446644" name="Picture 1" descr="A poster of a person with flowers on her hea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2446644" name="Picture 1" descr="A poster of a person with flowers on her head&#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8105775"/>
                    </a:xfrm>
                    <a:prstGeom prst="rect">
                      <a:avLst/>
                    </a:prstGeom>
                  </pic:spPr>
                </pic:pic>
              </a:graphicData>
            </a:graphic>
          </wp:inline>
        </w:drawing>
      </w:r>
    </w:p>
    <w:p w14:paraId="67C055B2" w14:textId="7002514D" w:rsidR="0091645B" w:rsidRPr="00247055" w:rsidRDefault="0091645B" w:rsidP="00247055">
      <w:pPr>
        <w:spacing w:line="360" w:lineRule="auto"/>
        <w:rPr>
          <w:rFonts w:ascii="Arial" w:hAnsi="Arial" w:cs="Arial"/>
          <w:b/>
          <w:bCs/>
          <w:sz w:val="22"/>
          <w:szCs w:val="22"/>
        </w:rPr>
      </w:pPr>
    </w:p>
    <w:p w14:paraId="58A474D7" w14:textId="69C09CDD" w:rsidR="00793FDB" w:rsidRPr="00247055" w:rsidRDefault="00793FDB" w:rsidP="00247055">
      <w:pPr>
        <w:spacing w:line="360" w:lineRule="auto"/>
        <w:rPr>
          <w:rFonts w:ascii="Arial" w:hAnsi="Arial" w:cs="Arial"/>
          <w:sz w:val="22"/>
          <w:szCs w:val="22"/>
        </w:rPr>
      </w:pPr>
      <w:r w:rsidRPr="00247055">
        <w:rPr>
          <w:rFonts w:ascii="Arial" w:hAnsi="Arial" w:cs="Arial"/>
          <w:sz w:val="22"/>
          <w:szCs w:val="22"/>
        </w:rPr>
        <w:t>The mind map's focal point is the NHS Virtual Wards, which show how digital innovation is changing the way health and social care are delivered. Integrated care principles, which encourage collaboration across providers to optimise efficiency and patient outcomes, are reflected in the move from hospital-based treatment to home monitoring (World Health Organization, 2016). The benefits that have been observed, such as greater independence and fewer hospital-acquired infections, are consistent with patient-</w:t>
      </w:r>
      <w:r w:rsidR="00E76C86" w:rsidRPr="00247055">
        <w:rPr>
          <w:rFonts w:ascii="Arial" w:hAnsi="Arial" w:cs="Arial"/>
          <w:sz w:val="22"/>
          <w:szCs w:val="22"/>
        </w:rPr>
        <w:t>cantered</w:t>
      </w:r>
      <w:r w:rsidRPr="00247055">
        <w:rPr>
          <w:rFonts w:ascii="Arial" w:hAnsi="Arial" w:cs="Arial"/>
          <w:sz w:val="22"/>
          <w:szCs w:val="22"/>
        </w:rPr>
        <w:t xml:space="preserve"> care, which places an emphasis on each patient's unique requirements and experience (Institute of Medicine, 2001).</w:t>
      </w:r>
    </w:p>
    <w:p w14:paraId="38233A84" w14:textId="77777777" w:rsidR="00793FDB" w:rsidRPr="00247055" w:rsidRDefault="00793FDB" w:rsidP="00247055">
      <w:pPr>
        <w:spacing w:line="360" w:lineRule="auto"/>
        <w:rPr>
          <w:rFonts w:ascii="Arial" w:hAnsi="Arial" w:cs="Arial"/>
          <w:sz w:val="22"/>
          <w:szCs w:val="22"/>
        </w:rPr>
      </w:pPr>
    </w:p>
    <w:p w14:paraId="3A88AEB3" w14:textId="77777777" w:rsidR="00793FDB" w:rsidRPr="00247055" w:rsidRDefault="00793FDB" w:rsidP="00247055">
      <w:pPr>
        <w:spacing w:line="360" w:lineRule="auto"/>
        <w:rPr>
          <w:rFonts w:ascii="Arial" w:hAnsi="Arial" w:cs="Arial"/>
          <w:sz w:val="22"/>
          <w:szCs w:val="22"/>
        </w:rPr>
      </w:pPr>
      <w:r w:rsidRPr="00247055">
        <w:rPr>
          <w:rFonts w:ascii="Arial" w:hAnsi="Arial" w:cs="Arial"/>
          <w:sz w:val="22"/>
          <w:szCs w:val="22"/>
        </w:rPr>
        <w:t>Structural health disparities within healthcare systems are highlighted by issues like workforce shortages and digital barriers (Marmot, 2010). Determining the long-term worth of service innovation also requires assessing sustainability and cost-effectiveness (Porter and Lee, 2013). All things considered, NHS virtual wards signify not only a development in technology but also a more extensive shift in the integration and delivery of care.</w:t>
      </w:r>
    </w:p>
    <w:p w14:paraId="28A2CD37" w14:textId="77777777" w:rsidR="00871C29" w:rsidRPr="00247055" w:rsidRDefault="00871C29" w:rsidP="00247055">
      <w:pPr>
        <w:spacing w:line="360" w:lineRule="auto"/>
        <w:rPr>
          <w:rFonts w:ascii="Arial" w:hAnsi="Arial" w:cs="Arial"/>
          <w:color w:val="0070C0"/>
          <w:sz w:val="22"/>
          <w:szCs w:val="22"/>
        </w:rPr>
      </w:pPr>
    </w:p>
    <w:p w14:paraId="08A775B3" w14:textId="102B6986" w:rsidR="00871C29" w:rsidRPr="00247055" w:rsidRDefault="00871C29" w:rsidP="00247055">
      <w:pPr>
        <w:pStyle w:val="Heading1"/>
        <w:spacing w:line="360" w:lineRule="auto"/>
        <w:rPr>
          <w:rFonts w:ascii="Arial" w:hAnsi="Arial" w:cs="Arial"/>
          <w:sz w:val="22"/>
          <w:szCs w:val="22"/>
          <w:lang w:val="en-US" w:eastAsia="en-GB"/>
        </w:rPr>
      </w:pPr>
      <w:bookmarkStart w:id="3" w:name="_Toc226968583"/>
      <w:r w:rsidRPr="00247055">
        <w:rPr>
          <w:rFonts w:ascii="Arial" w:hAnsi="Arial" w:cs="Arial"/>
          <w:sz w:val="22"/>
          <w:szCs w:val="22"/>
          <w:lang w:val="en-US" w:eastAsia="en-GB"/>
        </w:rPr>
        <w:t>Task 3 - Self-Reflection of Group Activity</w:t>
      </w:r>
      <w:bookmarkEnd w:id="3"/>
      <w:r w:rsidRPr="00247055">
        <w:rPr>
          <w:rFonts w:ascii="Arial" w:hAnsi="Arial" w:cs="Arial"/>
          <w:sz w:val="22"/>
          <w:szCs w:val="22"/>
          <w:lang w:val="en-US" w:eastAsia="en-GB"/>
        </w:rPr>
        <w:t xml:space="preserve"> </w:t>
      </w:r>
    </w:p>
    <w:p w14:paraId="1B5B08C8" w14:textId="29AFBD1D" w:rsidR="006B724A" w:rsidRPr="00247055" w:rsidRDefault="006B724A" w:rsidP="00247055">
      <w:pPr>
        <w:spacing w:after="100" w:afterAutospacing="1" w:line="360" w:lineRule="auto"/>
        <w:rPr>
          <w:rFonts w:ascii="Arial" w:eastAsia="Times New Roman" w:hAnsi="Arial" w:cs="Arial"/>
          <w:b/>
          <w:bCs/>
          <w:color w:val="1D2125"/>
          <w:kern w:val="0"/>
          <w:sz w:val="22"/>
          <w:szCs w:val="22"/>
          <w:lang w:val="en-US" w:eastAsia="en-GB"/>
        </w:rPr>
      </w:pPr>
      <w:r w:rsidRPr="00247055">
        <w:rPr>
          <w:rFonts w:ascii="Arial" w:eastAsia="Times New Roman" w:hAnsi="Arial" w:cs="Arial"/>
          <w:b/>
          <w:bCs/>
          <w:color w:val="1D2125"/>
          <w:kern w:val="0"/>
          <w:sz w:val="22"/>
          <w:szCs w:val="22"/>
          <w:lang w:val="en-US" w:eastAsia="en-GB"/>
        </w:rPr>
        <w:t xml:space="preserve">I examined my experience with the group exercise on convergent and divergent thinking using Kolb's experiential learning cycle as a reflective framework. Divergent thinking entails coming up with </w:t>
      </w:r>
      <w:r w:rsidR="00E76C86" w:rsidRPr="00247055">
        <w:rPr>
          <w:rFonts w:ascii="Arial" w:eastAsia="Times New Roman" w:hAnsi="Arial" w:cs="Arial"/>
          <w:b/>
          <w:bCs/>
          <w:color w:val="1D2125"/>
          <w:kern w:val="0"/>
          <w:sz w:val="22"/>
          <w:szCs w:val="22"/>
          <w:lang w:val="en-US" w:eastAsia="en-GB"/>
        </w:rPr>
        <w:t>several</w:t>
      </w:r>
      <w:r w:rsidRPr="00247055">
        <w:rPr>
          <w:rFonts w:ascii="Arial" w:eastAsia="Times New Roman" w:hAnsi="Arial" w:cs="Arial"/>
          <w:b/>
          <w:bCs/>
          <w:color w:val="1D2125"/>
          <w:kern w:val="0"/>
          <w:sz w:val="22"/>
          <w:szCs w:val="22"/>
          <w:lang w:val="en-US" w:eastAsia="en-GB"/>
        </w:rPr>
        <w:t xml:space="preserve"> original ideas, while convergent thinking concentrates on reducing those ideas to the best workable solution. I originally used a convergent approach during the task by pushing the group to assess ideas fast and come to a decision. But when opposing viewpoints surfaced, I </w:t>
      </w:r>
      <w:r w:rsidR="00E76C86" w:rsidRPr="00247055">
        <w:rPr>
          <w:rFonts w:ascii="Arial" w:eastAsia="Times New Roman" w:hAnsi="Arial" w:cs="Arial"/>
          <w:b/>
          <w:bCs/>
          <w:color w:val="1D2125"/>
          <w:kern w:val="0"/>
          <w:sz w:val="22"/>
          <w:szCs w:val="22"/>
          <w:lang w:val="en-US" w:eastAsia="en-GB"/>
        </w:rPr>
        <w:t>realized</w:t>
      </w:r>
      <w:r w:rsidRPr="00247055">
        <w:rPr>
          <w:rFonts w:ascii="Arial" w:eastAsia="Times New Roman" w:hAnsi="Arial" w:cs="Arial"/>
          <w:b/>
          <w:bCs/>
          <w:color w:val="1D2125"/>
          <w:kern w:val="0"/>
          <w:sz w:val="22"/>
          <w:szCs w:val="22"/>
          <w:lang w:val="en-US" w:eastAsia="en-GB"/>
        </w:rPr>
        <w:t xml:space="preserve"> how crucial it was to give room for divergent thought in to consider different angles.</w:t>
      </w:r>
    </w:p>
    <w:p w14:paraId="0E6C8F57" w14:textId="77777777" w:rsidR="006B724A" w:rsidRPr="00247055" w:rsidRDefault="006B724A" w:rsidP="00247055">
      <w:pPr>
        <w:spacing w:after="100" w:afterAutospacing="1" w:line="360" w:lineRule="auto"/>
        <w:rPr>
          <w:rFonts w:ascii="Arial" w:eastAsia="Times New Roman" w:hAnsi="Arial" w:cs="Arial"/>
          <w:b/>
          <w:bCs/>
          <w:color w:val="1D2125"/>
          <w:kern w:val="0"/>
          <w:sz w:val="22"/>
          <w:szCs w:val="22"/>
          <w:lang w:val="en-US" w:eastAsia="en-GB"/>
        </w:rPr>
      </w:pPr>
    </w:p>
    <w:p w14:paraId="4EF8A35D" w14:textId="285CF804" w:rsidR="00871C29" w:rsidRPr="00247055" w:rsidRDefault="006B724A" w:rsidP="00247055">
      <w:pPr>
        <w:spacing w:after="100" w:afterAutospacing="1" w:line="360" w:lineRule="auto"/>
        <w:rPr>
          <w:rFonts w:ascii="Arial" w:eastAsia="Times New Roman" w:hAnsi="Arial" w:cs="Arial"/>
          <w:b/>
          <w:bCs/>
          <w:color w:val="1D2125"/>
          <w:kern w:val="0"/>
          <w:sz w:val="22"/>
          <w:szCs w:val="22"/>
          <w:lang w:val="en-US" w:eastAsia="en-GB"/>
        </w:rPr>
      </w:pPr>
      <w:r w:rsidRPr="00247055">
        <w:rPr>
          <w:rFonts w:ascii="Arial" w:eastAsia="Times New Roman" w:hAnsi="Arial" w:cs="Arial"/>
          <w:b/>
          <w:bCs/>
          <w:color w:val="1D2125"/>
          <w:kern w:val="0"/>
          <w:sz w:val="22"/>
          <w:szCs w:val="22"/>
          <w:lang w:val="en-US" w:eastAsia="en-GB"/>
        </w:rPr>
        <w:t xml:space="preserve">When we were having trouble coming to a consensus, I proposed putting </w:t>
      </w:r>
      <w:r w:rsidR="00E76C86" w:rsidRPr="00247055">
        <w:rPr>
          <w:rFonts w:ascii="Arial" w:eastAsia="Times New Roman" w:hAnsi="Arial" w:cs="Arial"/>
          <w:b/>
          <w:bCs/>
          <w:color w:val="1D2125"/>
          <w:kern w:val="0"/>
          <w:sz w:val="22"/>
          <w:szCs w:val="22"/>
          <w:lang w:val="en-US" w:eastAsia="en-GB"/>
        </w:rPr>
        <w:t>all</w:t>
      </w:r>
      <w:r w:rsidRPr="00247055">
        <w:rPr>
          <w:rFonts w:ascii="Arial" w:eastAsia="Times New Roman" w:hAnsi="Arial" w:cs="Arial"/>
          <w:b/>
          <w:bCs/>
          <w:color w:val="1D2125"/>
          <w:kern w:val="0"/>
          <w:sz w:val="22"/>
          <w:szCs w:val="22"/>
          <w:lang w:val="en-US" w:eastAsia="en-GB"/>
        </w:rPr>
        <w:t xml:space="preserve"> our thoughts in writing before assessing them. Collaboration improved and the group dynamic changed as a result. By allowing people to critically </w:t>
      </w:r>
      <w:r w:rsidR="00E76C86" w:rsidRPr="00247055">
        <w:rPr>
          <w:rFonts w:ascii="Arial" w:eastAsia="Times New Roman" w:hAnsi="Arial" w:cs="Arial"/>
          <w:b/>
          <w:bCs/>
          <w:color w:val="1D2125"/>
          <w:kern w:val="0"/>
          <w:sz w:val="22"/>
          <w:szCs w:val="22"/>
          <w:lang w:val="en-US" w:eastAsia="en-GB"/>
        </w:rPr>
        <w:t>analyze</w:t>
      </w:r>
      <w:r w:rsidRPr="00247055">
        <w:rPr>
          <w:rFonts w:ascii="Arial" w:eastAsia="Times New Roman" w:hAnsi="Arial" w:cs="Arial"/>
          <w:b/>
          <w:bCs/>
          <w:color w:val="1D2125"/>
          <w:kern w:val="0"/>
          <w:sz w:val="22"/>
          <w:szCs w:val="22"/>
          <w:lang w:val="en-US" w:eastAsia="en-GB"/>
        </w:rPr>
        <w:t xml:space="preserve"> their experiences and modify their future </w:t>
      </w:r>
      <w:r w:rsidR="00E76C86" w:rsidRPr="00247055">
        <w:rPr>
          <w:rFonts w:ascii="Arial" w:eastAsia="Times New Roman" w:hAnsi="Arial" w:cs="Arial"/>
          <w:b/>
          <w:bCs/>
          <w:color w:val="1D2125"/>
          <w:kern w:val="0"/>
          <w:sz w:val="22"/>
          <w:szCs w:val="22"/>
          <w:lang w:val="en-US" w:eastAsia="en-GB"/>
        </w:rPr>
        <w:t>behavior</w:t>
      </w:r>
      <w:r w:rsidRPr="00247055">
        <w:rPr>
          <w:rFonts w:ascii="Arial" w:eastAsia="Times New Roman" w:hAnsi="Arial" w:cs="Arial"/>
          <w:b/>
          <w:bCs/>
          <w:color w:val="1D2125"/>
          <w:kern w:val="0"/>
          <w:sz w:val="22"/>
          <w:szCs w:val="22"/>
          <w:lang w:val="en-US" w:eastAsia="en-GB"/>
        </w:rPr>
        <w:t xml:space="preserve">, reflective practice promotes deeper learning (Nguyen et al., 2014). After some thought, I </w:t>
      </w:r>
      <w:r w:rsidR="00E76C86" w:rsidRPr="00247055">
        <w:rPr>
          <w:rFonts w:ascii="Arial" w:eastAsia="Times New Roman" w:hAnsi="Arial" w:cs="Arial"/>
          <w:b/>
          <w:bCs/>
          <w:color w:val="1D2125"/>
          <w:kern w:val="0"/>
          <w:sz w:val="22"/>
          <w:szCs w:val="22"/>
          <w:lang w:val="en-US" w:eastAsia="en-GB"/>
        </w:rPr>
        <w:t>concluded</w:t>
      </w:r>
      <w:r w:rsidRPr="00247055">
        <w:rPr>
          <w:rFonts w:ascii="Arial" w:eastAsia="Times New Roman" w:hAnsi="Arial" w:cs="Arial"/>
          <w:b/>
          <w:bCs/>
          <w:color w:val="1D2125"/>
          <w:kern w:val="0"/>
          <w:sz w:val="22"/>
          <w:szCs w:val="22"/>
          <w:lang w:val="en-US" w:eastAsia="en-GB"/>
        </w:rPr>
        <w:t xml:space="preserve"> that, despite my innate preference for methodical decision-making, productive teamwork necessitates a balance between analytical examination and creative inquiry. </w:t>
      </w:r>
      <w:r w:rsidR="00ED1B0F" w:rsidRPr="00247055">
        <w:rPr>
          <w:rFonts w:ascii="Arial" w:eastAsia="Times New Roman" w:hAnsi="Arial" w:cs="Arial"/>
          <w:b/>
          <w:bCs/>
          <w:color w:val="1D2125"/>
          <w:kern w:val="0"/>
          <w:sz w:val="22"/>
          <w:szCs w:val="22"/>
          <w:lang w:val="en-US" w:eastAsia="en-GB"/>
        </w:rPr>
        <w:t>To</w:t>
      </w:r>
      <w:r w:rsidRPr="00247055">
        <w:rPr>
          <w:rFonts w:ascii="Arial" w:eastAsia="Times New Roman" w:hAnsi="Arial" w:cs="Arial"/>
          <w:b/>
          <w:bCs/>
          <w:color w:val="1D2125"/>
          <w:kern w:val="0"/>
          <w:sz w:val="22"/>
          <w:szCs w:val="22"/>
          <w:lang w:val="en-US" w:eastAsia="en-GB"/>
        </w:rPr>
        <w:t xml:space="preserve"> make sure that </w:t>
      </w:r>
      <w:r w:rsidRPr="00247055">
        <w:rPr>
          <w:rFonts w:ascii="Arial" w:eastAsia="Times New Roman" w:hAnsi="Arial" w:cs="Arial"/>
          <w:b/>
          <w:bCs/>
          <w:color w:val="1D2125"/>
          <w:kern w:val="0"/>
          <w:sz w:val="22"/>
          <w:szCs w:val="22"/>
          <w:lang w:val="en-US" w:eastAsia="en-GB"/>
        </w:rPr>
        <w:lastRenderedPageBreak/>
        <w:t xml:space="preserve">everyone's opinions are heard, I would </w:t>
      </w:r>
      <w:r w:rsidR="00E76C86" w:rsidRPr="00247055">
        <w:rPr>
          <w:rFonts w:ascii="Arial" w:eastAsia="Times New Roman" w:hAnsi="Arial" w:cs="Arial"/>
          <w:b/>
          <w:bCs/>
          <w:color w:val="1D2125"/>
          <w:kern w:val="0"/>
          <w:sz w:val="22"/>
          <w:szCs w:val="22"/>
          <w:lang w:val="en-US" w:eastAsia="en-GB"/>
        </w:rPr>
        <w:t>priorities</w:t>
      </w:r>
      <w:r w:rsidRPr="00247055">
        <w:rPr>
          <w:rFonts w:ascii="Arial" w:eastAsia="Times New Roman" w:hAnsi="Arial" w:cs="Arial"/>
          <w:b/>
          <w:bCs/>
          <w:color w:val="1D2125"/>
          <w:kern w:val="0"/>
          <w:sz w:val="22"/>
          <w:szCs w:val="22"/>
          <w:lang w:val="en-US" w:eastAsia="en-GB"/>
        </w:rPr>
        <w:t xml:space="preserve"> </w:t>
      </w:r>
      <w:r w:rsidR="00E76C86" w:rsidRPr="00247055">
        <w:rPr>
          <w:rFonts w:ascii="Arial" w:eastAsia="Times New Roman" w:hAnsi="Arial" w:cs="Arial"/>
          <w:b/>
          <w:bCs/>
          <w:color w:val="1D2125"/>
          <w:kern w:val="0"/>
          <w:sz w:val="22"/>
          <w:szCs w:val="22"/>
          <w:lang w:val="en-US" w:eastAsia="en-GB"/>
        </w:rPr>
        <w:t>organized</w:t>
      </w:r>
      <w:r w:rsidRPr="00247055">
        <w:rPr>
          <w:rFonts w:ascii="Arial" w:eastAsia="Times New Roman" w:hAnsi="Arial" w:cs="Arial"/>
          <w:b/>
          <w:bCs/>
          <w:color w:val="1D2125"/>
          <w:kern w:val="0"/>
          <w:sz w:val="22"/>
          <w:szCs w:val="22"/>
          <w:lang w:val="en-US" w:eastAsia="en-GB"/>
        </w:rPr>
        <w:t xml:space="preserve"> brainstorming over evaluation in future sessions.</w:t>
      </w:r>
    </w:p>
    <w:p w14:paraId="339FF4C9" w14:textId="28F412C0" w:rsidR="00C80D0F" w:rsidRPr="00247055" w:rsidRDefault="00871C29" w:rsidP="00247055">
      <w:pPr>
        <w:pStyle w:val="Heading1"/>
        <w:spacing w:line="360" w:lineRule="auto"/>
        <w:rPr>
          <w:rFonts w:ascii="Arial" w:hAnsi="Arial" w:cs="Arial"/>
          <w:sz w:val="22"/>
          <w:szCs w:val="22"/>
        </w:rPr>
      </w:pPr>
      <w:bookmarkStart w:id="4" w:name="_Toc226968584"/>
      <w:r w:rsidRPr="00247055">
        <w:rPr>
          <w:rFonts w:ascii="Arial" w:hAnsi="Arial" w:cs="Arial"/>
          <w:sz w:val="22"/>
          <w:szCs w:val="22"/>
        </w:rPr>
        <w:t>Task 4 - Case Study Analysis of a UK Innovation</w:t>
      </w:r>
      <w:r w:rsidR="004727D5" w:rsidRPr="00247055">
        <w:rPr>
          <w:rFonts w:ascii="Arial" w:hAnsi="Arial" w:cs="Arial"/>
          <w:sz w:val="22"/>
          <w:szCs w:val="22"/>
        </w:rPr>
        <w:t>.</w:t>
      </w:r>
      <w:bookmarkEnd w:id="4"/>
    </w:p>
    <w:p w14:paraId="1A7EA03C" w14:textId="77777777" w:rsidR="00871C29" w:rsidRPr="00247055" w:rsidRDefault="00505872" w:rsidP="00247055">
      <w:pPr>
        <w:spacing w:line="360" w:lineRule="auto"/>
        <w:rPr>
          <w:rFonts w:ascii="Arial" w:hAnsi="Arial" w:cs="Arial"/>
          <w:i/>
          <w:iCs/>
          <w:color w:val="0070C0"/>
          <w:sz w:val="22"/>
          <w:szCs w:val="22"/>
        </w:rPr>
      </w:pPr>
      <w:r w:rsidRPr="00247055">
        <w:rPr>
          <w:rFonts w:ascii="Arial" w:hAnsi="Arial" w:cs="Arial"/>
          <w:sz w:val="22"/>
          <w:szCs w:val="22"/>
        </w:rPr>
        <w:t>The creation of NHS Virtual Wards aims to alleviate the increasing strain on hospital capacity, especially because of an ageing population with complicated chronic illnesses and an increase in emergency admissions. Overcrowding and delayed discharges are the results of traditional inpatient care models' inability to keep up with the growing demand (Bardsley et al., 2013). With the use of integrated multidisciplinary teams and remote monitoring technology, virtual wards were created to deliver hospital-quality treatment in patients' homes.</w:t>
      </w:r>
    </w:p>
    <w:p w14:paraId="06D5CFC7" w14:textId="77777777" w:rsidR="00F807A7" w:rsidRPr="00247055" w:rsidRDefault="00F807A7" w:rsidP="00247055">
      <w:pPr>
        <w:spacing w:line="360" w:lineRule="auto"/>
        <w:rPr>
          <w:rFonts w:ascii="Arial" w:hAnsi="Arial" w:cs="Arial"/>
          <w:i/>
          <w:iCs/>
          <w:color w:val="0070C0"/>
          <w:sz w:val="22"/>
          <w:szCs w:val="22"/>
        </w:rPr>
      </w:pPr>
    </w:p>
    <w:p w14:paraId="5390BEB0" w14:textId="17700EAB" w:rsidR="00F807A7" w:rsidRPr="00247055" w:rsidRDefault="00505872" w:rsidP="00247055">
      <w:pPr>
        <w:spacing w:line="360" w:lineRule="auto"/>
        <w:rPr>
          <w:rFonts w:ascii="Arial" w:hAnsi="Arial" w:cs="Arial"/>
          <w:sz w:val="22"/>
          <w:szCs w:val="22"/>
        </w:rPr>
      </w:pPr>
      <w:r w:rsidRPr="00247055">
        <w:rPr>
          <w:rFonts w:ascii="Arial" w:hAnsi="Arial" w:cs="Arial"/>
          <w:sz w:val="22"/>
          <w:szCs w:val="22"/>
        </w:rPr>
        <w:t>By changing the idea of acute care from a physical hospital setting to a home environment with digital support, creativity helped to rethink the way services are delivered. This strategy is part of a larger shift toward technology-enabled care, where digital innovation improves service coordination and continuity (Lewis et al., 2020). Safe alternatives to hospitalisation have been made possible by the innovative fusion of clinical knowledge, data exchange, and patient-</w:t>
      </w:r>
      <w:r w:rsidR="00E76C86" w:rsidRPr="00247055">
        <w:rPr>
          <w:rFonts w:ascii="Arial" w:hAnsi="Arial" w:cs="Arial"/>
          <w:sz w:val="22"/>
          <w:szCs w:val="22"/>
        </w:rPr>
        <w:t>cantered</w:t>
      </w:r>
      <w:r w:rsidRPr="00247055">
        <w:rPr>
          <w:rFonts w:ascii="Arial" w:hAnsi="Arial" w:cs="Arial"/>
          <w:sz w:val="22"/>
          <w:szCs w:val="22"/>
        </w:rPr>
        <w:t xml:space="preserve"> monitoring.</w:t>
      </w:r>
    </w:p>
    <w:p w14:paraId="72F04505" w14:textId="77777777" w:rsidR="00505872" w:rsidRPr="00247055" w:rsidRDefault="00505872" w:rsidP="00247055">
      <w:pPr>
        <w:spacing w:line="360" w:lineRule="auto"/>
        <w:rPr>
          <w:rFonts w:ascii="Arial" w:hAnsi="Arial" w:cs="Arial"/>
          <w:sz w:val="22"/>
          <w:szCs w:val="22"/>
        </w:rPr>
      </w:pPr>
    </w:p>
    <w:p w14:paraId="0694BDEA" w14:textId="58602541" w:rsidR="00505872" w:rsidRPr="00247055" w:rsidRDefault="00505872" w:rsidP="00247055">
      <w:pPr>
        <w:spacing w:line="360" w:lineRule="auto"/>
        <w:rPr>
          <w:rFonts w:ascii="Arial" w:hAnsi="Arial" w:cs="Arial"/>
          <w:sz w:val="22"/>
          <w:szCs w:val="22"/>
        </w:rPr>
      </w:pPr>
      <w:r w:rsidRPr="00247055">
        <w:rPr>
          <w:rFonts w:ascii="Arial" w:hAnsi="Arial" w:cs="Arial"/>
          <w:sz w:val="22"/>
          <w:szCs w:val="22"/>
        </w:rPr>
        <w:t>Service users have benefited from increased comfort, reduced risk of hospital-acquired infections, and increased autonomy. According to research, hospital-at-home models can improve healthcare systems' use of resources and reduce hospital stays without compromising clinical outcomes (Bardsley et al., 2013). Reports of improved patient satisfaction and system efficiency serve as evidence of scalability across integrated care systems.</w:t>
      </w:r>
      <w:r w:rsidR="00E76C86" w:rsidRPr="00247055">
        <w:rPr>
          <w:rFonts w:ascii="Arial" w:hAnsi="Arial" w:cs="Arial"/>
          <w:sz w:val="22"/>
          <w:szCs w:val="22"/>
        </w:rPr>
        <w:t xml:space="preserve"> However, the effectiveness of virtual wards may differ based on staff preparedness and patient access to digital technology, underscoring the significance of resolving disparities to guarantee inclusive and long-lasting deployment.</w:t>
      </w:r>
    </w:p>
    <w:p w14:paraId="6D7728D8" w14:textId="77777777" w:rsidR="00B16167" w:rsidRPr="00247055" w:rsidRDefault="00B16167" w:rsidP="00247055">
      <w:pPr>
        <w:spacing w:line="360" w:lineRule="auto"/>
        <w:rPr>
          <w:rFonts w:ascii="Arial" w:hAnsi="Arial" w:cs="Arial"/>
          <w:i/>
          <w:iCs/>
          <w:color w:val="0070C0"/>
          <w:sz w:val="22"/>
          <w:szCs w:val="22"/>
        </w:rPr>
      </w:pPr>
    </w:p>
    <w:p w14:paraId="60D56FAF" w14:textId="25BA65D0" w:rsidR="00871C29" w:rsidRPr="00247055" w:rsidRDefault="00871C29" w:rsidP="00247055">
      <w:pPr>
        <w:pStyle w:val="Heading1"/>
        <w:spacing w:line="360" w:lineRule="auto"/>
        <w:rPr>
          <w:rFonts w:ascii="Arial" w:hAnsi="Arial" w:cs="Arial"/>
          <w:sz w:val="22"/>
          <w:szCs w:val="22"/>
        </w:rPr>
      </w:pPr>
      <w:bookmarkStart w:id="5" w:name="_Toc226968585"/>
      <w:r w:rsidRPr="00247055">
        <w:rPr>
          <w:rFonts w:ascii="Arial" w:hAnsi="Arial" w:cs="Arial"/>
          <w:sz w:val="22"/>
          <w:szCs w:val="22"/>
        </w:rPr>
        <w:t>Task 5 - Research Task</w:t>
      </w:r>
      <w:r w:rsidR="004727D5" w:rsidRPr="00247055">
        <w:rPr>
          <w:rFonts w:ascii="Arial" w:hAnsi="Arial" w:cs="Arial"/>
          <w:sz w:val="22"/>
          <w:szCs w:val="22"/>
        </w:rPr>
        <w:t>.</w:t>
      </w:r>
      <w:bookmarkEnd w:id="5"/>
    </w:p>
    <w:p w14:paraId="2F0BF2D3" w14:textId="77777777" w:rsidR="005A79F3" w:rsidRPr="005A79F3" w:rsidRDefault="005A79F3" w:rsidP="00247055">
      <w:pPr>
        <w:spacing w:after="0" w:line="360" w:lineRule="auto"/>
        <w:rPr>
          <w:rFonts w:ascii="Arial" w:eastAsia="Times New Roman" w:hAnsi="Arial" w:cs="Arial"/>
          <w:color w:val="0E0E0E"/>
          <w:kern w:val="0"/>
          <w:sz w:val="22"/>
          <w:szCs w:val="22"/>
          <w:lang w:eastAsia="en-GB"/>
        </w:rPr>
      </w:pPr>
      <w:r w:rsidRPr="005A79F3">
        <w:rPr>
          <w:rFonts w:ascii="Arial" w:eastAsia="Times New Roman" w:hAnsi="Arial" w:cs="Arial"/>
          <w:color w:val="0E0E0E"/>
          <w:kern w:val="0"/>
          <w:sz w:val="22"/>
          <w:szCs w:val="22"/>
          <w:lang w:eastAsia="en-GB"/>
        </w:rPr>
        <w:t xml:space="preserve">A major obstacle to the growth of remote NHS services, such as virtual wards and online consultations, is digital inequality. The term “digital exclusion” describes unequal access to devices, internet connectivity, and digital literacy abilities. Digital poverty and limited digital </w:t>
      </w:r>
      <w:r w:rsidRPr="005A79F3">
        <w:rPr>
          <w:rFonts w:ascii="Arial" w:eastAsia="Times New Roman" w:hAnsi="Arial" w:cs="Arial"/>
          <w:color w:val="0E0E0E"/>
          <w:kern w:val="0"/>
          <w:sz w:val="22"/>
          <w:szCs w:val="22"/>
          <w:lang w:eastAsia="en-GB"/>
        </w:rPr>
        <w:lastRenderedPageBreak/>
        <w:t>literacy reduce patient participation in technology-enabled care, as individuals may lack access to devices, reliable internet or the skills required to use digital health tools effectively. Research indicates that those with lower socioeconomic status, older adults, and those with less education are more likely to face obstacles to digital involvement (Robinson et al., 2015). This implies that if structural disparities are not addressed, digital change may inadvertently increase health inequities.</w:t>
      </w:r>
    </w:p>
    <w:p w14:paraId="341D1A59" w14:textId="77777777" w:rsidR="002D0E36" w:rsidRPr="00247055" w:rsidRDefault="002D0E36" w:rsidP="00247055">
      <w:pPr>
        <w:spacing w:line="360" w:lineRule="auto"/>
        <w:rPr>
          <w:rFonts w:ascii="Arial" w:hAnsi="Arial" w:cs="Arial"/>
          <w:sz w:val="22"/>
          <w:szCs w:val="22"/>
        </w:rPr>
      </w:pPr>
    </w:p>
    <w:p w14:paraId="1A9A52C9" w14:textId="5879B8AC" w:rsidR="00E76C86" w:rsidRPr="00247055" w:rsidRDefault="002D0E36" w:rsidP="00247055">
      <w:pPr>
        <w:spacing w:line="360" w:lineRule="auto"/>
        <w:rPr>
          <w:rFonts w:ascii="Arial" w:eastAsia="Times New Roman" w:hAnsi="Arial" w:cs="Arial"/>
          <w:color w:val="1D2125"/>
          <w:kern w:val="0"/>
          <w:sz w:val="22"/>
          <w:szCs w:val="22"/>
          <w:lang w:eastAsia="en-GB"/>
        </w:rPr>
      </w:pPr>
      <w:r w:rsidRPr="00247055">
        <w:rPr>
          <w:rFonts w:ascii="Arial" w:hAnsi="Arial" w:cs="Arial"/>
          <w:sz w:val="22"/>
          <w:szCs w:val="22"/>
        </w:rPr>
        <w:t>Additional study demonstrates that exclusion from digital health is closely linked to more general social variables, such as geographic location, income inequality, and infrastructural accessibility (</w:t>
      </w:r>
      <w:proofErr w:type="spellStart"/>
      <w:r w:rsidRPr="00247055">
        <w:rPr>
          <w:rFonts w:ascii="Arial" w:hAnsi="Arial" w:cs="Arial"/>
          <w:sz w:val="22"/>
          <w:szCs w:val="22"/>
        </w:rPr>
        <w:t>Beaunoyer</w:t>
      </w:r>
      <w:proofErr w:type="spellEnd"/>
      <w:r w:rsidRPr="00247055">
        <w:rPr>
          <w:rFonts w:ascii="Arial" w:hAnsi="Arial" w:cs="Arial"/>
          <w:sz w:val="22"/>
          <w:szCs w:val="22"/>
        </w:rPr>
        <w:t xml:space="preserve">, </w:t>
      </w:r>
      <w:proofErr w:type="spellStart"/>
      <w:r w:rsidRPr="00247055">
        <w:rPr>
          <w:rFonts w:ascii="Arial" w:hAnsi="Arial" w:cs="Arial"/>
          <w:sz w:val="22"/>
          <w:szCs w:val="22"/>
        </w:rPr>
        <w:t>Dupéré</w:t>
      </w:r>
      <w:proofErr w:type="spellEnd"/>
      <w:r w:rsidRPr="00247055">
        <w:rPr>
          <w:rFonts w:ascii="Arial" w:hAnsi="Arial" w:cs="Arial"/>
          <w:sz w:val="22"/>
          <w:szCs w:val="22"/>
        </w:rPr>
        <w:t>, and Guitton, 2020). From a systems approach, rather than being the result of personal opposition to technology, digital inequality reflects interrelated social and economic variables. This could have an impact on continuity and equity of care in NHS practice by making it harder for some patients to use virtual ward services or remote monitoring.</w:t>
      </w:r>
      <w:r w:rsidRPr="00247055">
        <w:rPr>
          <w:rFonts w:ascii="Arial" w:hAnsi="Arial" w:cs="Arial"/>
          <w:sz w:val="22"/>
          <w:szCs w:val="22"/>
        </w:rPr>
        <w:br/>
      </w:r>
      <w:r w:rsidRPr="00247055">
        <w:rPr>
          <w:rFonts w:ascii="Arial" w:hAnsi="Arial" w:cs="Arial"/>
          <w:sz w:val="22"/>
          <w:szCs w:val="22"/>
        </w:rPr>
        <w:br/>
        <w:t xml:space="preserve">Both pieces stress that systemic measures like infrastructure spending and focused assistance for digital literacy are necessary to alleviate digital inequality. However, </w:t>
      </w:r>
      <w:r w:rsidR="009F1EC5" w:rsidRPr="00247055">
        <w:rPr>
          <w:rFonts w:ascii="Arial" w:hAnsi="Arial" w:cs="Arial"/>
          <w:sz w:val="22"/>
          <w:szCs w:val="22"/>
        </w:rPr>
        <w:t>Beau Noyer</w:t>
      </w:r>
      <w:r w:rsidRPr="00247055">
        <w:rPr>
          <w:rFonts w:ascii="Arial" w:hAnsi="Arial" w:cs="Arial"/>
          <w:sz w:val="22"/>
          <w:szCs w:val="22"/>
        </w:rPr>
        <w:t xml:space="preserve"> et al. investigate the consequences of digital exclusion particularly in health situations, while Robinson et al. concentrate on patterns of social inequality.</w:t>
      </w:r>
      <w:r w:rsidR="00E76C86" w:rsidRPr="00247055">
        <w:rPr>
          <w:rFonts w:ascii="Arial" w:eastAsia="Times New Roman" w:hAnsi="Arial" w:cs="Arial"/>
          <w:color w:val="1D2125"/>
          <w:kern w:val="0"/>
          <w:sz w:val="22"/>
          <w:szCs w:val="22"/>
          <w:lang w:eastAsia="en-GB"/>
        </w:rPr>
        <w:t xml:space="preserve"> This implies that rather than reducing current health disparities, digital innovation may inadvertently exacerbate them in the absence of focused measures.</w:t>
      </w:r>
    </w:p>
    <w:p w14:paraId="5B889E6C" w14:textId="2D66B6A6" w:rsidR="002D0E36" w:rsidRPr="00247055" w:rsidRDefault="002D0E36" w:rsidP="00247055">
      <w:pPr>
        <w:spacing w:line="360" w:lineRule="auto"/>
        <w:rPr>
          <w:rFonts w:ascii="Arial" w:hAnsi="Arial" w:cs="Arial"/>
          <w:sz w:val="22"/>
          <w:szCs w:val="22"/>
        </w:rPr>
      </w:pPr>
    </w:p>
    <w:p w14:paraId="23328A20" w14:textId="644BC2BE" w:rsidR="00F807A7" w:rsidRPr="00247055" w:rsidRDefault="00871C29" w:rsidP="00247055">
      <w:pPr>
        <w:pStyle w:val="Heading1"/>
        <w:spacing w:line="360" w:lineRule="auto"/>
        <w:rPr>
          <w:rFonts w:ascii="Arial" w:hAnsi="Arial" w:cs="Arial"/>
          <w:sz w:val="22"/>
          <w:szCs w:val="22"/>
          <w:lang w:val="en-US" w:eastAsia="en-GB"/>
        </w:rPr>
      </w:pPr>
      <w:bookmarkStart w:id="6" w:name="_Toc226968586"/>
      <w:r w:rsidRPr="00247055">
        <w:rPr>
          <w:rFonts w:ascii="Arial" w:hAnsi="Arial" w:cs="Arial"/>
          <w:sz w:val="22"/>
          <w:szCs w:val="22"/>
          <w:lang w:val="en-US" w:eastAsia="en-GB"/>
        </w:rPr>
        <w:t>Task 6 - Exploring Digital Innovation in Health and Social Care</w:t>
      </w:r>
      <w:bookmarkEnd w:id="6"/>
      <w:r w:rsidRPr="00247055">
        <w:rPr>
          <w:rFonts w:ascii="Arial" w:hAnsi="Arial" w:cs="Arial"/>
          <w:sz w:val="22"/>
          <w:szCs w:val="22"/>
          <w:lang w:val="en-US" w:eastAsia="en-GB"/>
        </w:rPr>
        <w:t xml:space="preserve"> </w:t>
      </w:r>
    </w:p>
    <w:p w14:paraId="37CDA767" w14:textId="77777777" w:rsidR="00E76C86" w:rsidRPr="00247055" w:rsidRDefault="00E76C86" w:rsidP="00247055">
      <w:pPr>
        <w:pStyle w:val="p1"/>
        <w:spacing w:line="360" w:lineRule="auto"/>
        <w:rPr>
          <w:rFonts w:ascii="Arial" w:hAnsi="Arial" w:cs="Arial"/>
          <w:sz w:val="22"/>
          <w:szCs w:val="22"/>
        </w:rPr>
      </w:pPr>
      <w:r w:rsidRPr="00247055">
        <w:rPr>
          <w:rFonts w:ascii="Arial" w:hAnsi="Arial" w:cs="Arial"/>
          <w:sz w:val="22"/>
          <w:szCs w:val="22"/>
        </w:rPr>
        <w:t>Wearable health technologies, such as smartwatches and remote monitoring devices, support chronic condition management by enabling continuous data collection outside clinical settings. They monitor indicators like heart rate and glucose levels, allowing early detection of deterioration. Evidence shows remote monitoring improves self-management and reduces hospital admissions (Inglis et al., 2015). Real-time data sharing also supports timely intervention. According to the Technology Acceptance Model, usage depends on perceived usefulness and ease of use (Davis, 1989). However, digital literacy and access may limit effectiveness.</w:t>
      </w:r>
    </w:p>
    <w:p w14:paraId="679BE3EC" w14:textId="00FDAA1F" w:rsidR="00E76C86" w:rsidRPr="00247055" w:rsidRDefault="00E76C86" w:rsidP="00247055">
      <w:pPr>
        <w:spacing w:line="360" w:lineRule="auto"/>
        <w:rPr>
          <w:rStyle w:val="s1"/>
          <w:rFonts w:ascii="Arial" w:hAnsi="Arial" w:cs="Arial"/>
          <w:sz w:val="22"/>
          <w:szCs w:val="22"/>
        </w:rPr>
      </w:pPr>
    </w:p>
    <w:p w14:paraId="71E3E287" w14:textId="1113FA77" w:rsidR="00E76C86" w:rsidRPr="00247055" w:rsidRDefault="00E76C86" w:rsidP="00247055">
      <w:pPr>
        <w:spacing w:line="360" w:lineRule="auto"/>
        <w:rPr>
          <w:rFonts w:ascii="Arial" w:hAnsi="Arial" w:cs="Arial"/>
          <w:b/>
          <w:bCs/>
          <w:sz w:val="22"/>
          <w:szCs w:val="22"/>
        </w:rPr>
      </w:pPr>
      <w:r w:rsidRPr="00247055">
        <w:rPr>
          <w:rFonts w:ascii="Arial" w:hAnsi="Arial" w:cs="Arial"/>
          <w:b/>
          <w:bCs/>
          <w:sz w:val="22"/>
          <w:szCs w:val="22"/>
        </w:rPr>
        <w:lastRenderedPageBreak/>
        <w:t>How Electronic Health Records (EHRs) Improve Communication</w:t>
      </w:r>
    </w:p>
    <w:p w14:paraId="4E7644B0" w14:textId="77777777" w:rsidR="00E76C86" w:rsidRPr="00247055" w:rsidRDefault="00E76C86" w:rsidP="00247055">
      <w:pPr>
        <w:pStyle w:val="p1"/>
        <w:spacing w:line="360" w:lineRule="auto"/>
        <w:rPr>
          <w:rFonts w:ascii="Arial" w:hAnsi="Arial" w:cs="Arial"/>
          <w:sz w:val="22"/>
          <w:szCs w:val="22"/>
        </w:rPr>
      </w:pPr>
      <w:r w:rsidRPr="00247055">
        <w:rPr>
          <w:rFonts w:ascii="Arial" w:hAnsi="Arial" w:cs="Arial"/>
          <w:sz w:val="22"/>
          <w:szCs w:val="22"/>
        </w:rPr>
        <w:t>Electronic Health Records (EHRs) improve communication by centralising patient data and enabling real-time access across services. This enhances continuity of care, reduces errors and avoids duplication. Research shows EHRs improve clinical decision-making and teamwork (Campanella et al., 2016). Shared records allow faster access to patient information, improving efficiency. Adoption depends on perceived usefulness and ease of use (Davis, 1989). However, system integration and training challenges may affect implementation.</w:t>
      </w:r>
    </w:p>
    <w:p w14:paraId="2A35E024" w14:textId="1E7407DC" w:rsidR="00E76C86" w:rsidRPr="00247055" w:rsidRDefault="00E76C86" w:rsidP="00247055">
      <w:pPr>
        <w:spacing w:line="360" w:lineRule="auto"/>
        <w:rPr>
          <w:rStyle w:val="s1"/>
          <w:rFonts w:ascii="Arial" w:hAnsi="Arial" w:cs="Arial"/>
          <w:sz w:val="22"/>
          <w:szCs w:val="22"/>
        </w:rPr>
      </w:pPr>
    </w:p>
    <w:p w14:paraId="2F21E105" w14:textId="34468974" w:rsidR="00E76C86" w:rsidRPr="00247055" w:rsidRDefault="00E76C86" w:rsidP="00247055">
      <w:pPr>
        <w:spacing w:line="360" w:lineRule="auto"/>
        <w:rPr>
          <w:rFonts w:ascii="Arial" w:hAnsi="Arial" w:cs="Arial"/>
          <w:b/>
          <w:bCs/>
          <w:sz w:val="22"/>
          <w:szCs w:val="22"/>
        </w:rPr>
      </w:pPr>
      <w:r w:rsidRPr="00247055">
        <w:rPr>
          <w:rFonts w:ascii="Arial" w:hAnsi="Arial" w:cs="Arial"/>
          <w:b/>
          <w:bCs/>
          <w:sz w:val="22"/>
          <w:szCs w:val="22"/>
        </w:rPr>
        <w:t>Digital Technology Supporting Preventative Care and Health Promotion</w:t>
      </w:r>
    </w:p>
    <w:p w14:paraId="41C253A9" w14:textId="77777777" w:rsidR="00E76C86" w:rsidRPr="00247055" w:rsidRDefault="00E76C86" w:rsidP="00247055">
      <w:pPr>
        <w:pStyle w:val="p1"/>
        <w:spacing w:line="360" w:lineRule="auto"/>
        <w:rPr>
          <w:rFonts w:ascii="Arial" w:hAnsi="Arial" w:cs="Arial"/>
          <w:sz w:val="22"/>
          <w:szCs w:val="22"/>
        </w:rPr>
      </w:pPr>
      <w:r w:rsidRPr="00247055">
        <w:rPr>
          <w:rFonts w:ascii="Arial" w:hAnsi="Arial" w:cs="Arial"/>
          <w:sz w:val="22"/>
          <w:szCs w:val="22"/>
        </w:rPr>
        <w:t>Digital technology supports preventative care through early intervention, education and behaviour change. Mobile apps and remote tools help monitor risk factors such as inactivity and obesity. Evidence suggests digital interventions improve lifestyle behaviours and prevent long-term conditions (Free et al., 2013). In NHS practice, digital platforms support screening and health promotion. Engagement depends on perceived usefulness and ease of use (Davis, 1989). However, unequal access may limit impact.</w:t>
      </w:r>
    </w:p>
    <w:p w14:paraId="3E415068" w14:textId="77777777" w:rsidR="00871C29" w:rsidRPr="00247055" w:rsidRDefault="00871C29" w:rsidP="00247055">
      <w:pPr>
        <w:spacing w:line="360" w:lineRule="auto"/>
        <w:rPr>
          <w:rFonts w:ascii="Arial" w:hAnsi="Arial" w:cs="Arial"/>
          <w:color w:val="4C94D8"/>
          <w:sz w:val="22"/>
          <w:szCs w:val="22"/>
        </w:rPr>
      </w:pPr>
    </w:p>
    <w:p w14:paraId="6AB68BC2" w14:textId="601E6B23" w:rsidR="00F807A7" w:rsidRPr="00247055" w:rsidRDefault="00F807A7" w:rsidP="00247055">
      <w:pPr>
        <w:pStyle w:val="Heading1"/>
        <w:spacing w:line="360" w:lineRule="auto"/>
        <w:rPr>
          <w:rFonts w:ascii="Arial" w:hAnsi="Arial" w:cs="Arial"/>
          <w:sz w:val="22"/>
          <w:szCs w:val="22"/>
        </w:rPr>
      </w:pPr>
      <w:bookmarkStart w:id="7" w:name="_Toc226968587"/>
      <w:r w:rsidRPr="00247055">
        <w:rPr>
          <w:rFonts w:ascii="Arial" w:hAnsi="Arial" w:cs="Arial"/>
          <w:sz w:val="22"/>
          <w:szCs w:val="22"/>
        </w:rPr>
        <w:t>Task 7 - Understanding the NHS Leadership Framework</w:t>
      </w:r>
      <w:r w:rsidR="004727D5" w:rsidRPr="00247055">
        <w:rPr>
          <w:rFonts w:ascii="Arial" w:hAnsi="Arial" w:cs="Arial"/>
          <w:sz w:val="22"/>
          <w:szCs w:val="22"/>
        </w:rPr>
        <w:t>.</w:t>
      </w:r>
      <w:bookmarkEnd w:id="7"/>
    </w:p>
    <w:p w14:paraId="781C737B" w14:textId="77777777" w:rsidR="00B52B7C" w:rsidRPr="00247055" w:rsidRDefault="00B52B7C" w:rsidP="00247055">
      <w:pPr>
        <w:spacing w:line="360" w:lineRule="auto"/>
        <w:rPr>
          <w:rFonts w:ascii="Arial" w:hAnsi="Arial" w:cs="Arial"/>
          <w:sz w:val="22"/>
          <w:szCs w:val="22"/>
        </w:rPr>
      </w:pPr>
      <w:r w:rsidRPr="00247055">
        <w:rPr>
          <w:rFonts w:ascii="Arial" w:hAnsi="Arial" w:cs="Arial"/>
          <w:sz w:val="22"/>
          <w:szCs w:val="22"/>
        </w:rPr>
        <w:t>The behaviours needed to provide safe, efficient, and compassionate care across health and social care systems are outlined in the NHS Healthcare Leadership Model. Inspiring a shared purpose, leading with care, assessing information, involving the team, and promoting development are among the nine fundamental elements identified by the framework (NHS Leadership Academy, 2013). The concept highlights that leadership is exhibited through observable behaviours at all organisational levels rather than characterising leadership by rank. This strategy is especially crucial in the health and social care sectors, where patient-</w:t>
      </w:r>
      <w:r w:rsidR="00051868" w:rsidRPr="00247055">
        <w:rPr>
          <w:rFonts w:ascii="Arial" w:hAnsi="Arial" w:cs="Arial"/>
          <w:sz w:val="22"/>
          <w:szCs w:val="22"/>
        </w:rPr>
        <w:t>centred</w:t>
      </w:r>
      <w:r w:rsidRPr="00247055">
        <w:rPr>
          <w:rFonts w:ascii="Arial" w:hAnsi="Arial" w:cs="Arial"/>
          <w:sz w:val="22"/>
          <w:szCs w:val="22"/>
        </w:rPr>
        <w:t xml:space="preserve"> values, accountability, and collaborative practice all have a direct impact on service quality. The approach facilitates workforce growth and promotes ongoing improvement in complex systems by offering an organised behavioural framework.</w:t>
      </w:r>
    </w:p>
    <w:p w14:paraId="76872600" w14:textId="77777777" w:rsidR="00B52B7C" w:rsidRPr="00247055" w:rsidRDefault="00B52B7C" w:rsidP="00247055">
      <w:pPr>
        <w:spacing w:line="360" w:lineRule="auto"/>
        <w:rPr>
          <w:rFonts w:ascii="Arial" w:hAnsi="Arial" w:cs="Arial"/>
          <w:sz w:val="22"/>
          <w:szCs w:val="22"/>
        </w:rPr>
      </w:pPr>
    </w:p>
    <w:p w14:paraId="39C9B2A1" w14:textId="77777777" w:rsidR="00051868" w:rsidRPr="00247055" w:rsidRDefault="00051868" w:rsidP="00247055">
      <w:pPr>
        <w:spacing w:line="360" w:lineRule="auto"/>
        <w:rPr>
          <w:rFonts w:ascii="Arial" w:hAnsi="Arial" w:cs="Arial"/>
          <w:sz w:val="22"/>
          <w:szCs w:val="22"/>
        </w:rPr>
      </w:pPr>
      <w:r w:rsidRPr="00247055">
        <w:rPr>
          <w:rFonts w:ascii="Arial" w:hAnsi="Arial" w:cs="Arial"/>
          <w:sz w:val="22"/>
          <w:szCs w:val="22"/>
        </w:rPr>
        <w:t xml:space="preserve">Motivating a common goal is one of the framework's essential leadership behaviours. A clear vision that links team goals with patient results is created by leaders who exhibit this attitude. </w:t>
      </w:r>
      <w:r w:rsidRPr="00247055">
        <w:rPr>
          <w:rFonts w:ascii="Arial" w:hAnsi="Arial" w:cs="Arial"/>
          <w:sz w:val="22"/>
          <w:szCs w:val="22"/>
        </w:rPr>
        <w:lastRenderedPageBreak/>
        <w:t>Leaders can encourage innovation and creativity by coordinating professional motivation with organisational objectives. According to transformational leadership theory, leaders that inspire their people with their vision and intellectual stimulation are more likely to foster creativity and boost output (Bass, 1999). By highlighting the ways in which digital innovation enhances patient safety and system sustainability, a leader putting virtual wards into practice could motivate a sense of shared purpose. Adoption of innovative service models is encouraged, and engagement is strengthened by this behavioural approach.</w:t>
      </w:r>
    </w:p>
    <w:p w14:paraId="09D6A23C" w14:textId="77777777" w:rsidR="00051868" w:rsidRPr="00247055" w:rsidRDefault="00051868" w:rsidP="00247055">
      <w:pPr>
        <w:spacing w:line="360" w:lineRule="auto"/>
        <w:rPr>
          <w:rFonts w:ascii="Arial" w:hAnsi="Arial" w:cs="Arial"/>
          <w:sz w:val="22"/>
          <w:szCs w:val="22"/>
        </w:rPr>
      </w:pPr>
    </w:p>
    <w:p w14:paraId="7306D9A5" w14:textId="46A57AF1" w:rsidR="00B16167" w:rsidRPr="00247055" w:rsidRDefault="00051868" w:rsidP="00247055">
      <w:pPr>
        <w:spacing w:line="360" w:lineRule="auto"/>
        <w:rPr>
          <w:rFonts w:ascii="Arial" w:hAnsi="Arial" w:cs="Arial"/>
          <w:sz w:val="22"/>
          <w:szCs w:val="22"/>
        </w:rPr>
      </w:pPr>
      <w:r w:rsidRPr="00247055">
        <w:rPr>
          <w:rFonts w:ascii="Arial" w:hAnsi="Arial" w:cs="Arial"/>
          <w:sz w:val="22"/>
          <w:szCs w:val="22"/>
        </w:rPr>
        <w:t>My knowledge of creativity and value creation in health and social care has greatly changed because of this training. At first, I thought that innovation mostly referred to changes in technology. But after looking at leadership frameworks and service redesign, I</w:t>
      </w:r>
      <w:r w:rsidR="007B4881" w:rsidRPr="00247055">
        <w:rPr>
          <w:rFonts w:ascii="Arial" w:hAnsi="Arial" w:cs="Arial"/>
          <w:sz w:val="22"/>
          <w:szCs w:val="22"/>
        </w:rPr>
        <w:t xml:space="preserve"> have</w:t>
      </w:r>
      <w:r w:rsidRPr="00247055">
        <w:rPr>
          <w:rFonts w:ascii="Arial" w:hAnsi="Arial" w:cs="Arial"/>
          <w:sz w:val="22"/>
          <w:szCs w:val="22"/>
        </w:rPr>
        <w:t xml:space="preserve"> come to understand that strategic leadership, teamwork, and cultural transformation are all infused with creativity. Examining virtual wards and digital transformation brought to light the ways in which effective innovation is influenced by leadership characteristics. By promoting proactive engagement, facilitating team communication, and an openness to evidence-based improvement initiatives, this lesson will influence my future professional practice.</w:t>
      </w:r>
    </w:p>
    <w:p w14:paraId="53ED5329" w14:textId="77777777" w:rsidR="00B16167" w:rsidRPr="00247055" w:rsidRDefault="00B16167" w:rsidP="00247055">
      <w:pPr>
        <w:spacing w:line="360" w:lineRule="auto"/>
        <w:rPr>
          <w:rFonts w:ascii="Arial" w:hAnsi="Arial" w:cs="Arial"/>
          <w:color w:val="4C94D8"/>
          <w:sz w:val="22"/>
          <w:szCs w:val="22"/>
        </w:rPr>
      </w:pPr>
    </w:p>
    <w:p w14:paraId="3CA34B90" w14:textId="5888B791" w:rsidR="00F807A7" w:rsidRPr="00247055" w:rsidRDefault="00F807A7" w:rsidP="00247055">
      <w:pPr>
        <w:pStyle w:val="Heading1"/>
        <w:spacing w:line="360" w:lineRule="auto"/>
        <w:rPr>
          <w:rFonts w:ascii="Arial" w:hAnsi="Arial" w:cs="Arial"/>
          <w:sz w:val="22"/>
          <w:szCs w:val="22"/>
        </w:rPr>
      </w:pPr>
      <w:bookmarkStart w:id="8" w:name="_Toc226968588"/>
      <w:r w:rsidRPr="00247055">
        <w:rPr>
          <w:rFonts w:ascii="Arial" w:hAnsi="Arial" w:cs="Arial"/>
          <w:sz w:val="22"/>
          <w:szCs w:val="22"/>
        </w:rPr>
        <w:t>Task 8 - Self-Reflection Journal Entry</w:t>
      </w:r>
      <w:r w:rsidR="004727D5" w:rsidRPr="00247055">
        <w:rPr>
          <w:rFonts w:ascii="Arial" w:hAnsi="Arial" w:cs="Arial"/>
          <w:sz w:val="22"/>
          <w:szCs w:val="22"/>
        </w:rPr>
        <w:t>.</w:t>
      </w:r>
      <w:bookmarkEnd w:id="8"/>
    </w:p>
    <w:p w14:paraId="12191D53" w14:textId="77777777" w:rsidR="002A3A44" w:rsidRPr="00247055" w:rsidRDefault="008E2ED2" w:rsidP="00247055">
      <w:pPr>
        <w:spacing w:after="0" w:line="360" w:lineRule="auto"/>
        <w:rPr>
          <w:rFonts w:ascii="Arial" w:eastAsia="Times New Roman" w:hAnsi="Arial" w:cs="Arial"/>
          <w:color w:val="0E0E0E"/>
          <w:kern w:val="0"/>
          <w:sz w:val="22"/>
          <w:szCs w:val="22"/>
          <w:lang w:eastAsia="en-GB"/>
        </w:rPr>
      </w:pPr>
      <w:r w:rsidRPr="00247055">
        <w:rPr>
          <w:rFonts w:ascii="Arial" w:hAnsi="Arial" w:cs="Arial"/>
          <w:sz w:val="22"/>
          <w:szCs w:val="22"/>
        </w:rPr>
        <w:t>My knowledge of creativity, innovation, and value creation in the context of health and social care has greatly expanded because of this module. I initially saw innovation primarily as the advent of digital tools. But my analysis of digital inequality and NHS Virtual Wards made it clear to me that innovation also calls for systems thinking, collaborative leadership, and equitable consideration. By motivating practitioners to critically assess experiences and apply insights to future practice, reflection plays a significant role in professional development (Boud and Molloy, 2013). I started to realise that value creation encompasses more than just cutting costs</w:t>
      </w:r>
      <w:r w:rsidR="002049F6" w:rsidRPr="00247055">
        <w:rPr>
          <w:rFonts w:ascii="Arial" w:hAnsi="Arial" w:cs="Arial"/>
          <w:sz w:val="22"/>
          <w:szCs w:val="22"/>
        </w:rPr>
        <w:t xml:space="preserve"> </w:t>
      </w:r>
      <w:r w:rsidRPr="00247055">
        <w:rPr>
          <w:rFonts w:ascii="Arial" w:hAnsi="Arial" w:cs="Arial"/>
          <w:sz w:val="22"/>
          <w:szCs w:val="22"/>
        </w:rPr>
        <w:t>it also involves enhancing patient experience, safety, and sustainability—after finishing the case study and leadership framework assignments.</w:t>
      </w:r>
      <w:r w:rsidR="002049F6" w:rsidRPr="00247055">
        <w:rPr>
          <w:rFonts w:ascii="Arial" w:hAnsi="Arial" w:cs="Arial"/>
          <w:sz w:val="22"/>
          <w:szCs w:val="22"/>
        </w:rPr>
        <w:t xml:space="preserve"> I became more conscious of the dangers of exclusion if innovation is not applied carefully after investigating digital transformation. I plan to actively participate in conversations about service improvement and offer suggestions that put patient-</w:t>
      </w:r>
      <w:r w:rsidR="00E76C86" w:rsidRPr="00247055">
        <w:rPr>
          <w:rFonts w:ascii="Arial" w:hAnsi="Arial" w:cs="Arial"/>
          <w:sz w:val="22"/>
          <w:szCs w:val="22"/>
        </w:rPr>
        <w:t>cantered</w:t>
      </w:r>
      <w:r w:rsidR="002049F6" w:rsidRPr="00247055">
        <w:rPr>
          <w:rFonts w:ascii="Arial" w:hAnsi="Arial" w:cs="Arial"/>
          <w:sz w:val="22"/>
          <w:szCs w:val="22"/>
        </w:rPr>
        <w:t xml:space="preserve"> and equitable care first in future placements</w:t>
      </w:r>
      <w:r w:rsidR="002A3A44" w:rsidRPr="00247055">
        <w:rPr>
          <w:rFonts w:ascii="Arial" w:hAnsi="Arial" w:cs="Arial"/>
          <w:sz w:val="22"/>
          <w:szCs w:val="22"/>
        </w:rPr>
        <w:t xml:space="preserve">. </w:t>
      </w:r>
      <w:r w:rsidR="002A3A44" w:rsidRPr="00247055">
        <w:rPr>
          <w:rFonts w:ascii="Arial" w:eastAsia="Times New Roman" w:hAnsi="Arial" w:cs="Arial"/>
          <w:color w:val="0E0E0E"/>
          <w:kern w:val="0"/>
          <w:sz w:val="22"/>
          <w:szCs w:val="22"/>
          <w:lang w:eastAsia="en-GB"/>
        </w:rPr>
        <w:t xml:space="preserve">During my studies, I recognised that my creative skills required further development, particularly in presenting ideas clearly. To address this, I enrolled in a PowerPoint skills course to improve my ability to communicate ideas visually and creatively. </w:t>
      </w:r>
      <w:r w:rsidR="002A3A44" w:rsidRPr="00247055">
        <w:rPr>
          <w:rFonts w:ascii="Arial" w:eastAsia="Times New Roman" w:hAnsi="Arial" w:cs="Arial"/>
          <w:color w:val="0E0E0E"/>
          <w:kern w:val="0"/>
          <w:sz w:val="22"/>
          <w:szCs w:val="22"/>
          <w:lang w:eastAsia="en-GB"/>
        </w:rPr>
        <w:lastRenderedPageBreak/>
        <w:t>This action increased my confidence in presenting information and demonstrated my commitment to developing practical skills that support innovation in health and social care.</w:t>
      </w:r>
    </w:p>
    <w:p w14:paraId="6058192B" w14:textId="6886B8FD" w:rsidR="00E76C86" w:rsidRPr="00247055" w:rsidRDefault="00E76C86" w:rsidP="00247055">
      <w:pPr>
        <w:spacing w:line="360" w:lineRule="auto"/>
        <w:rPr>
          <w:rFonts w:ascii="Arial" w:hAnsi="Arial" w:cs="Arial"/>
          <w:sz w:val="22"/>
          <w:szCs w:val="22"/>
        </w:rPr>
      </w:pPr>
    </w:p>
    <w:p w14:paraId="268CCD67" w14:textId="77777777" w:rsidR="00E76C86" w:rsidRDefault="00E76C86" w:rsidP="00247055">
      <w:pPr>
        <w:spacing w:line="360" w:lineRule="auto"/>
        <w:rPr>
          <w:rFonts w:ascii="Arial" w:hAnsi="Arial" w:cs="Arial"/>
          <w:sz w:val="22"/>
          <w:szCs w:val="22"/>
        </w:rPr>
      </w:pPr>
    </w:p>
    <w:p w14:paraId="495A56F8" w14:textId="77777777" w:rsidR="00ED1B0F" w:rsidRDefault="00ED1B0F" w:rsidP="00247055">
      <w:pPr>
        <w:spacing w:line="360" w:lineRule="auto"/>
        <w:rPr>
          <w:rFonts w:ascii="Arial" w:hAnsi="Arial" w:cs="Arial"/>
          <w:sz w:val="22"/>
          <w:szCs w:val="22"/>
        </w:rPr>
      </w:pPr>
    </w:p>
    <w:p w14:paraId="5F249DDF" w14:textId="77777777" w:rsidR="00ED1B0F" w:rsidRDefault="00ED1B0F" w:rsidP="00247055">
      <w:pPr>
        <w:spacing w:line="360" w:lineRule="auto"/>
        <w:rPr>
          <w:rFonts w:ascii="Arial" w:hAnsi="Arial" w:cs="Arial"/>
          <w:sz w:val="22"/>
          <w:szCs w:val="22"/>
        </w:rPr>
      </w:pPr>
    </w:p>
    <w:p w14:paraId="3812B1FD" w14:textId="77777777" w:rsidR="00ED1B0F" w:rsidRDefault="00ED1B0F" w:rsidP="00247055">
      <w:pPr>
        <w:spacing w:line="360" w:lineRule="auto"/>
        <w:rPr>
          <w:rFonts w:ascii="Arial" w:hAnsi="Arial" w:cs="Arial"/>
          <w:sz w:val="22"/>
          <w:szCs w:val="22"/>
        </w:rPr>
      </w:pPr>
    </w:p>
    <w:p w14:paraId="668D76F0" w14:textId="77777777" w:rsidR="00ED1B0F" w:rsidRDefault="00ED1B0F" w:rsidP="00247055">
      <w:pPr>
        <w:spacing w:line="360" w:lineRule="auto"/>
        <w:rPr>
          <w:rFonts w:ascii="Arial" w:hAnsi="Arial" w:cs="Arial"/>
          <w:sz w:val="22"/>
          <w:szCs w:val="22"/>
        </w:rPr>
      </w:pPr>
    </w:p>
    <w:p w14:paraId="3F0CF705" w14:textId="77777777" w:rsidR="00ED1B0F" w:rsidRDefault="00ED1B0F" w:rsidP="00247055">
      <w:pPr>
        <w:spacing w:line="360" w:lineRule="auto"/>
        <w:rPr>
          <w:rFonts w:ascii="Arial" w:hAnsi="Arial" w:cs="Arial"/>
          <w:sz w:val="22"/>
          <w:szCs w:val="22"/>
        </w:rPr>
      </w:pPr>
    </w:p>
    <w:p w14:paraId="4E5019FB" w14:textId="77777777" w:rsidR="00ED1B0F" w:rsidRDefault="00ED1B0F" w:rsidP="00247055">
      <w:pPr>
        <w:spacing w:line="360" w:lineRule="auto"/>
        <w:rPr>
          <w:rFonts w:ascii="Arial" w:hAnsi="Arial" w:cs="Arial"/>
          <w:sz w:val="22"/>
          <w:szCs w:val="22"/>
        </w:rPr>
      </w:pPr>
    </w:p>
    <w:p w14:paraId="4242BE62" w14:textId="77777777" w:rsidR="00ED1B0F" w:rsidRDefault="00ED1B0F" w:rsidP="00247055">
      <w:pPr>
        <w:spacing w:line="360" w:lineRule="auto"/>
        <w:rPr>
          <w:rFonts w:ascii="Arial" w:hAnsi="Arial" w:cs="Arial"/>
          <w:sz w:val="22"/>
          <w:szCs w:val="22"/>
        </w:rPr>
      </w:pPr>
    </w:p>
    <w:p w14:paraId="1A07A961" w14:textId="77777777" w:rsidR="00ED1B0F" w:rsidRDefault="00ED1B0F" w:rsidP="00247055">
      <w:pPr>
        <w:spacing w:line="360" w:lineRule="auto"/>
        <w:rPr>
          <w:rFonts w:ascii="Arial" w:hAnsi="Arial" w:cs="Arial"/>
          <w:sz w:val="22"/>
          <w:szCs w:val="22"/>
        </w:rPr>
      </w:pPr>
    </w:p>
    <w:p w14:paraId="30026108" w14:textId="77777777" w:rsidR="00ED1B0F" w:rsidRDefault="00ED1B0F" w:rsidP="00247055">
      <w:pPr>
        <w:spacing w:line="360" w:lineRule="auto"/>
        <w:rPr>
          <w:rFonts w:ascii="Arial" w:hAnsi="Arial" w:cs="Arial"/>
          <w:sz w:val="22"/>
          <w:szCs w:val="22"/>
        </w:rPr>
      </w:pPr>
    </w:p>
    <w:p w14:paraId="5370A522" w14:textId="77777777" w:rsidR="00ED1B0F" w:rsidRDefault="00ED1B0F" w:rsidP="00247055">
      <w:pPr>
        <w:spacing w:line="360" w:lineRule="auto"/>
        <w:rPr>
          <w:rFonts w:ascii="Arial" w:hAnsi="Arial" w:cs="Arial"/>
          <w:sz w:val="22"/>
          <w:szCs w:val="22"/>
        </w:rPr>
      </w:pPr>
    </w:p>
    <w:p w14:paraId="634BDA86" w14:textId="77777777" w:rsidR="00ED1B0F" w:rsidRDefault="00ED1B0F" w:rsidP="00247055">
      <w:pPr>
        <w:spacing w:line="360" w:lineRule="auto"/>
        <w:rPr>
          <w:rFonts w:ascii="Arial" w:hAnsi="Arial" w:cs="Arial"/>
          <w:sz w:val="22"/>
          <w:szCs w:val="22"/>
        </w:rPr>
      </w:pPr>
    </w:p>
    <w:p w14:paraId="76305CE2" w14:textId="77777777" w:rsidR="00ED1B0F" w:rsidRDefault="00ED1B0F" w:rsidP="00247055">
      <w:pPr>
        <w:spacing w:line="360" w:lineRule="auto"/>
        <w:rPr>
          <w:rFonts w:ascii="Arial" w:hAnsi="Arial" w:cs="Arial"/>
          <w:sz w:val="22"/>
          <w:szCs w:val="22"/>
        </w:rPr>
      </w:pPr>
    </w:p>
    <w:p w14:paraId="10934B24" w14:textId="77777777" w:rsidR="00ED1B0F" w:rsidRDefault="00ED1B0F" w:rsidP="00247055">
      <w:pPr>
        <w:spacing w:line="360" w:lineRule="auto"/>
        <w:rPr>
          <w:rFonts w:ascii="Arial" w:hAnsi="Arial" w:cs="Arial"/>
          <w:sz w:val="22"/>
          <w:szCs w:val="22"/>
        </w:rPr>
      </w:pPr>
    </w:p>
    <w:p w14:paraId="5ACD6BC7" w14:textId="77777777" w:rsidR="00ED1B0F" w:rsidRDefault="00ED1B0F" w:rsidP="00247055">
      <w:pPr>
        <w:spacing w:line="360" w:lineRule="auto"/>
        <w:rPr>
          <w:rFonts w:ascii="Arial" w:hAnsi="Arial" w:cs="Arial"/>
          <w:sz w:val="22"/>
          <w:szCs w:val="22"/>
        </w:rPr>
      </w:pPr>
    </w:p>
    <w:p w14:paraId="197ED0B6" w14:textId="77777777" w:rsidR="00ED1B0F" w:rsidRDefault="00ED1B0F" w:rsidP="00247055">
      <w:pPr>
        <w:spacing w:line="360" w:lineRule="auto"/>
        <w:rPr>
          <w:rFonts w:ascii="Arial" w:hAnsi="Arial" w:cs="Arial"/>
          <w:sz w:val="22"/>
          <w:szCs w:val="22"/>
        </w:rPr>
      </w:pPr>
    </w:p>
    <w:p w14:paraId="404F6962" w14:textId="77777777" w:rsidR="00ED1B0F" w:rsidRDefault="00ED1B0F" w:rsidP="00247055">
      <w:pPr>
        <w:spacing w:line="360" w:lineRule="auto"/>
        <w:rPr>
          <w:rFonts w:ascii="Arial" w:hAnsi="Arial" w:cs="Arial"/>
          <w:sz w:val="22"/>
          <w:szCs w:val="22"/>
        </w:rPr>
      </w:pPr>
    </w:p>
    <w:p w14:paraId="74CD15F3" w14:textId="77777777" w:rsidR="00ED1B0F" w:rsidRDefault="00ED1B0F" w:rsidP="00247055">
      <w:pPr>
        <w:spacing w:line="360" w:lineRule="auto"/>
        <w:rPr>
          <w:rFonts w:ascii="Arial" w:hAnsi="Arial" w:cs="Arial"/>
          <w:sz w:val="22"/>
          <w:szCs w:val="22"/>
        </w:rPr>
      </w:pPr>
    </w:p>
    <w:p w14:paraId="1B5D8587" w14:textId="77777777" w:rsidR="00ED1B0F" w:rsidRDefault="00ED1B0F" w:rsidP="00247055">
      <w:pPr>
        <w:spacing w:line="360" w:lineRule="auto"/>
        <w:rPr>
          <w:rFonts w:ascii="Arial" w:hAnsi="Arial" w:cs="Arial"/>
          <w:sz w:val="22"/>
          <w:szCs w:val="22"/>
        </w:rPr>
      </w:pPr>
    </w:p>
    <w:p w14:paraId="206AB08E" w14:textId="77777777" w:rsidR="00ED1B0F" w:rsidRPr="00247055" w:rsidRDefault="00ED1B0F" w:rsidP="00247055">
      <w:pPr>
        <w:spacing w:line="360" w:lineRule="auto"/>
        <w:rPr>
          <w:rFonts w:ascii="Arial" w:hAnsi="Arial" w:cs="Arial"/>
          <w:sz w:val="22"/>
          <w:szCs w:val="22"/>
        </w:rPr>
      </w:pPr>
    </w:p>
    <w:p w14:paraId="4CDDABEA" w14:textId="77777777" w:rsidR="00E76C86" w:rsidRDefault="00E76C86" w:rsidP="00E76C86"/>
    <w:p w14:paraId="51C381CE" w14:textId="02B09F58" w:rsidR="008375B5" w:rsidRPr="006A67C0" w:rsidRDefault="008375B5" w:rsidP="00E76C86">
      <w:pPr>
        <w:pStyle w:val="Heading1"/>
      </w:pPr>
      <w:bookmarkStart w:id="9" w:name="_Toc226968589"/>
      <w:r w:rsidRPr="006A67C0">
        <w:lastRenderedPageBreak/>
        <w:t>References</w:t>
      </w:r>
      <w:bookmarkEnd w:id="9"/>
    </w:p>
    <w:p w14:paraId="7D354266" w14:textId="0D2C052D" w:rsidR="00E76C86" w:rsidRDefault="00E76C86" w:rsidP="00E76C86">
      <w:pPr>
        <w:pStyle w:val="p1"/>
      </w:pPr>
      <w:proofErr w:type="spellStart"/>
      <w:r>
        <w:t>Allemani</w:t>
      </w:r>
      <w:proofErr w:type="spellEnd"/>
      <w:r>
        <w:t xml:space="preserve">, C. </w:t>
      </w:r>
      <w:r>
        <w:rPr>
          <w:i/>
          <w:iCs/>
        </w:rPr>
        <w:t>et al.</w:t>
      </w:r>
      <w:r>
        <w:t xml:space="preserve"> (2013) ‘Colorectal cancer survival in the USA and Europe: a CONCORD high-resolution study’, </w:t>
      </w:r>
      <w:r>
        <w:rPr>
          <w:i/>
          <w:iCs/>
        </w:rPr>
        <w:t>BMJ Open</w:t>
      </w:r>
      <w:r>
        <w:t xml:space="preserve">, 3(9), e003055. Available at: </w:t>
      </w:r>
      <w:hyperlink r:id="rId9" w:history="1">
        <w:r w:rsidRPr="00B73BCC">
          <w:rPr>
            <w:rStyle w:val="Hyperlink"/>
          </w:rPr>
          <w:t>https://doi.org/10.1136/bmjopen-2013-003055</w:t>
        </w:r>
      </w:hyperlink>
      <w:r>
        <w:t xml:space="preserve">  (Accessed: 22 February 2026).</w:t>
      </w:r>
    </w:p>
    <w:p w14:paraId="468E3652" w14:textId="77777777" w:rsidR="00E76C86" w:rsidRPr="00E76C86" w:rsidRDefault="00E76C86" w:rsidP="00E76C86">
      <w:pPr>
        <w:pStyle w:val="p2"/>
        <w:spacing w:line="360" w:lineRule="auto"/>
        <w:rPr>
          <w:rFonts w:ascii="Arial" w:hAnsi="Arial" w:cs="Arial"/>
          <w:sz w:val="22"/>
          <w:szCs w:val="22"/>
        </w:rPr>
      </w:pPr>
    </w:p>
    <w:p w14:paraId="58C6C287" w14:textId="724B87CB" w:rsidR="00E76C86" w:rsidRPr="00E76C86" w:rsidRDefault="00E76C86" w:rsidP="00E76C86">
      <w:pPr>
        <w:pStyle w:val="p1"/>
        <w:spacing w:line="360" w:lineRule="auto"/>
        <w:rPr>
          <w:rFonts w:ascii="Arial" w:hAnsi="Arial" w:cs="Arial"/>
          <w:sz w:val="22"/>
          <w:szCs w:val="22"/>
        </w:rPr>
      </w:pPr>
      <w:r w:rsidRPr="00E76C86">
        <w:rPr>
          <w:rFonts w:ascii="Arial" w:hAnsi="Arial" w:cs="Arial"/>
          <w:sz w:val="22"/>
          <w:szCs w:val="22"/>
        </w:rPr>
        <w:t xml:space="preserve">Bass, B.M. (1999) ‘Two decades of research and development in transformational leadership’, </w:t>
      </w:r>
      <w:r w:rsidRPr="00E76C86">
        <w:rPr>
          <w:rFonts w:ascii="Arial" w:hAnsi="Arial" w:cs="Arial"/>
          <w:i/>
          <w:iCs/>
          <w:sz w:val="22"/>
          <w:szCs w:val="22"/>
        </w:rPr>
        <w:t>European Journal of Work and Organizational Psychology</w:t>
      </w:r>
      <w:r w:rsidRPr="00E76C86">
        <w:rPr>
          <w:rFonts w:ascii="Arial" w:hAnsi="Arial" w:cs="Arial"/>
          <w:sz w:val="22"/>
          <w:szCs w:val="22"/>
        </w:rPr>
        <w:t xml:space="preserve">, 8(1), pp. 9–32. Available at: </w:t>
      </w:r>
      <w:hyperlink r:id="rId10" w:history="1">
        <w:r w:rsidRPr="00B73BCC">
          <w:rPr>
            <w:rStyle w:val="Hyperlink"/>
            <w:rFonts w:ascii="Arial" w:hAnsi="Arial" w:cs="Arial"/>
            <w:sz w:val="22"/>
            <w:szCs w:val="22"/>
          </w:rPr>
          <w:t>https://doi.org/10.1080/135943299398410</w:t>
        </w:r>
      </w:hyperlink>
      <w:r>
        <w:rPr>
          <w:rFonts w:ascii="Arial" w:hAnsi="Arial" w:cs="Arial"/>
          <w:sz w:val="22"/>
          <w:szCs w:val="22"/>
        </w:rPr>
        <w:t xml:space="preserve"> </w:t>
      </w:r>
      <w:r w:rsidRPr="00E76C86">
        <w:rPr>
          <w:rFonts w:ascii="Arial" w:hAnsi="Arial" w:cs="Arial"/>
          <w:sz w:val="22"/>
          <w:szCs w:val="22"/>
        </w:rPr>
        <w:t xml:space="preserve">(Accessed: </w:t>
      </w:r>
      <w:r>
        <w:rPr>
          <w:rFonts w:ascii="Arial" w:hAnsi="Arial" w:cs="Arial"/>
          <w:sz w:val="22"/>
          <w:szCs w:val="22"/>
        </w:rPr>
        <w:t xml:space="preserve">10 April </w:t>
      </w:r>
      <w:r w:rsidRPr="00E76C86">
        <w:rPr>
          <w:rFonts w:ascii="Arial" w:hAnsi="Arial" w:cs="Arial"/>
          <w:sz w:val="22"/>
          <w:szCs w:val="22"/>
        </w:rPr>
        <w:t>2026).</w:t>
      </w:r>
      <w:r>
        <w:rPr>
          <w:rFonts w:ascii="Arial" w:hAnsi="Arial" w:cs="Arial"/>
          <w:sz w:val="22"/>
          <w:szCs w:val="22"/>
        </w:rPr>
        <w:t xml:space="preserve">  </w:t>
      </w:r>
    </w:p>
    <w:p w14:paraId="5C218D9B" w14:textId="77777777" w:rsidR="00E76C86" w:rsidRPr="00E76C86" w:rsidRDefault="00E76C86" w:rsidP="00E76C86">
      <w:pPr>
        <w:pStyle w:val="p2"/>
        <w:spacing w:line="360" w:lineRule="auto"/>
        <w:rPr>
          <w:rFonts w:ascii="Arial" w:hAnsi="Arial" w:cs="Arial"/>
          <w:sz w:val="22"/>
          <w:szCs w:val="22"/>
        </w:rPr>
      </w:pPr>
    </w:p>
    <w:p w14:paraId="249B8E2E" w14:textId="606DEA4B" w:rsidR="00E76C86" w:rsidRDefault="00E76C86" w:rsidP="00E76C86">
      <w:pPr>
        <w:pStyle w:val="p1"/>
        <w:spacing w:line="360" w:lineRule="auto"/>
        <w:rPr>
          <w:rFonts w:ascii="Arial" w:hAnsi="Arial" w:cs="Arial"/>
          <w:sz w:val="22"/>
          <w:szCs w:val="22"/>
        </w:rPr>
      </w:pPr>
      <w:proofErr w:type="spellStart"/>
      <w:r w:rsidRPr="00E76C86">
        <w:rPr>
          <w:rFonts w:ascii="Arial" w:hAnsi="Arial" w:cs="Arial"/>
          <w:sz w:val="22"/>
          <w:szCs w:val="22"/>
        </w:rPr>
        <w:t>Beaunoyer</w:t>
      </w:r>
      <w:proofErr w:type="spellEnd"/>
      <w:r w:rsidRPr="00E76C86">
        <w:rPr>
          <w:rFonts w:ascii="Arial" w:hAnsi="Arial" w:cs="Arial"/>
          <w:sz w:val="22"/>
          <w:szCs w:val="22"/>
        </w:rPr>
        <w:t xml:space="preserve">, E., </w:t>
      </w:r>
      <w:proofErr w:type="spellStart"/>
      <w:r w:rsidRPr="00E76C86">
        <w:rPr>
          <w:rFonts w:ascii="Arial" w:hAnsi="Arial" w:cs="Arial"/>
          <w:sz w:val="22"/>
          <w:szCs w:val="22"/>
        </w:rPr>
        <w:t>Dupéré</w:t>
      </w:r>
      <w:proofErr w:type="spellEnd"/>
      <w:r w:rsidRPr="00E76C86">
        <w:rPr>
          <w:rFonts w:ascii="Arial" w:hAnsi="Arial" w:cs="Arial"/>
          <w:sz w:val="22"/>
          <w:szCs w:val="22"/>
        </w:rPr>
        <w:t xml:space="preserve">, S. and Guitton, M.J. (2020) ‘COVID-19 and digital inequalities: Reciprocal impacts and mitigation strategies’, </w:t>
      </w:r>
      <w:r w:rsidRPr="00E76C86">
        <w:rPr>
          <w:rFonts w:ascii="Arial" w:hAnsi="Arial" w:cs="Arial"/>
          <w:i/>
          <w:iCs/>
          <w:sz w:val="22"/>
          <w:szCs w:val="22"/>
        </w:rPr>
        <w:t xml:space="preserve">Computers in Human </w:t>
      </w:r>
      <w:proofErr w:type="spellStart"/>
      <w:r w:rsidRPr="00E76C86">
        <w:rPr>
          <w:rFonts w:ascii="Arial" w:hAnsi="Arial" w:cs="Arial"/>
          <w:i/>
          <w:iCs/>
          <w:sz w:val="22"/>
          <w:szCs w:val="22"/>
        </w:rPr>
        <w:t>Behavior</w:t>
      </w:r>
      <w:proofErr w:type="spellEnd"/>
      <w:r w:rsidRPr="00E76C86">
        <w:rPr>
          <w:rFonts w:ascii="Arial" w:hAnsi="Arial" w:cs="Arial"/>
          <w:sz w:val="22"/>
          <w:szCs w:val="22"/>
        </w:rPr>
        <w:t xml:space="preserve">, 111, p. 106424. Available at: </w:t>
      </w:r>
      <w:hyperlink r:id="rId11" w:history="1">
        <w:r w:rsidRPr="00B73BCC">
          <w:rPr>
            <w:rStyle w:val="Hyperlink"/>
            <w:rFonts w:ascii="Arial" w:hAnsi="Arial" w:cs="Arial"/>
            <w:sz w:val="22"/>
            <w:szCs w:val="22"/>
          </w:rPr>
          <w:t>https://doi.org/10.1016/j.chb.2020.106424</w:t>
        </w:r>
      </w:hyperlink>
      <w:r>
        <w:rPr>
          <w:rFonts w:ascii="Arial" w:hAnsi="Arial" w:cs="Arial"/>
          <w:sz w:val="22"/>
          <w:szCs w:val="22"/>
        </w:rPr>
        <w:t xml:space="preserve"> </w:t>
      </w:r>
      <w:r w:rsidRPr="00E76C86">
        <w:rPr>
          <w:rFonts w:ascii="Arial" w:hAnsi="Arial" w:cs="Arial"/>
          <w:sz w:val="22"/>
          <w:szCs w:val="22"/>
        </w:rPr>
        <w:t xml:space="preserve">(Accessed: </w:t>
      </w:r>
      <w:r>
        <w:rPr>
          <w:rFonts w:ascii="Arial" w:hAnsi="Arial" w:cs="Arial"/>
          <w:sz w:val="22"/>
          <w:szCs w:val="22"/>
        </w:rPr>
        <w:t xml:space="preserve">10 April </w:t>
      </w:r>
      <w:r w:rsidRPr="00E76C86">
        <w:rPr>
          <w:rFonts w:ascii="Arial" w:hAnsi="Arial" w:cs="Arial"/>
          <w:sz w:val="22"/>
          <w:szCs w:val="22"/>
        </w:rPr>
        <w:t>2026).</w:t>
      </w:r>
      <w:r>
        <w:rPr>
          <w:rFonts w:ascii="Arial" w:hAnsi="Arial" w:cs="Arial"/>
          <w:sz w:val="22"/>
          <w:szCs w:val="22"/>
        </w:rPr>
        <w:t xml:space="preserve">  </w:t>
      </w:r>
    </w:p>
    <w:p w14:paraId="7D343A04" w14:textId="77777777" w:rsidR="00E76C86" w:rsidRPr="00E76C86" w:rsidRDefault="00E76C86" w:rsidP="00E76C86">
      <w:pPr>
        <w:pStyle w:val="p1"/>
        <w:spacing w:line="360" w:lineRule="auto"/>
        <w:rPr>
          <w:rFonts w:ascii="Arial" w:hAnsi="Arial" w:cs="Arial"/>
          <w:sz w:val="22"/>
          <w:szCs w:val="22"/>
        </w:rPr>
      </w:pPr>
    </w:p>
    <w:p w14:paraId="7EAA4290" w14:textId="0F55C89D" w:rsidR="00E76C86" w:rsidRPr="00E76C86" w:rsidRDefault="00E76C86" w:rsidP="00E76C86">
      <w:pPr>
        <w:pStyle w:val="p1"/>
        <w:spacing w:line="360" w:lineRule="auto"/>
        <w:rPr>
          <w:rFonts w:ascii="Arial" w:hAnsi="Arial" w:cs="Arial"/>
          <w:sz w:val="22"/>
          <w:szCs w:val="22"/>
        </w:rPr>
      </w:pPr>
      <w:r w:rsidRPr="00E76C86">
        <w:rPr>
          <w:rFonts w:ascii="Arial" w:hAnsi="Arial" w:cs="Arial"/>
          <w:sz w:val="22"/>
          <w:szCs w:val="22"/>
        </w:rPr>
        <w:t xml:space="preserve">Berwick, D.M., Nolan, T.W. and Whittington, J. (2008) ‘The Triple Aim: Care, health, and cost’, </w:t>
      </w:r>
      <w:r w:rsidRPr="00E76C86">
        <w:rPr>
          <w:rFonts w:ascii="Arial" w:hAnsi="Arial" w:cs="Arial"/>
          <w:i/>
          <w:iCs/>
          <w:sz w:val="22"/>
          <w:szCs w:val="22"/>
        </w:rPr>
        <w:t>Health Affairs</w:t>
      </w:r>
      <w:r w:rsidRPr="00E76C86">
        <w:rPr>
          <w:rFonts w:ascii="Arial" w:hAnsi="Arial" w:cs="Arial"/>
          <w:sz w:val="22"/>
          <w:szCs w:val="22"/>
        </w:rPr>
        <w:t xml:space="preserve">, 27(3), pp. 759–769. Available at: </w:t>
      </w:r>
      <w:hyperlink r:id="rId12" w:history="1">
        <w:r w:rsidRPr="00B73BCC">
          <w:rPr>
            <w:rStyle w:val="Hyperlink"/>
            <w:rFonts w:ascii="Arial" w:hAnsi="Arial" w:cs="Arial"/>
            <w:sz w:val="22"/>
            <w:szCs w:val="22"/>
          </w:rPr>
          <w:t>https://doi.org/10.1377/hlthaff.27.3.759</w:t>
        </w:r>
      </w:hyperlink>
      <w:r>
        <w:rPr>
          <w:rFonts w:ascii="Arial" w:hAnsi="Arial" w:cs="Arial"/>
          <w:sz w:val="22"/>
          <w:szCs w:val="22"/>
        </w:rPr>
        <w:t xml:space="preserve"> </w:t>
      </w:r>
      <w:r w:rsidRPr="00E76C86">
        <w:rPr>
          <w:rFonts w:ascii="Arial" w:hAnsi="Arial" w:cs="Arial"/>
          <w:sz w:val="22"/>
          <w:szCs w:val="22"/>
        </w:rPr>
        <w:t xml:space="preserve"> (Accessed: 20 February 2026).</w:t>
      </w:r>
    </w:p>
    <w:p w14:paraId="64C895EE" w14:textId="77777777" w:rsidR="00E76C86" w:rsidRPr="00E76C86" w:rsidRDefault="00E76C86" w:rsidP="00E76C86">
      <w:pPr>
        <w:pStyle w:val="p2"/>
        <w:spacing w:line="360" w:lineRule="auto"/>
        <w:rPr>
          <w:rFonts w:ascii="Arial" w:hAnsi="Arial" w:cs="Arial"/>
          <w:sz w:val="22"/>
          <w:szCs w:val="22"/>
        </w:rPr>
      </w:pPr>
    </w:p>
    <w:p w14:paraId="0B463EC1" w14:textId="1F9D99F6" w:rsidR="00E76C86" w:rsidRPr="00E76C86" w:rsidRDefault="00E76C86" w:rsidP="00E76C86">
      <w:pPr>
        <w:pStyle w:val="p1"/>
        <w:spacing w:line="360" w:lineRule="auto"/>
        <w:rPr>
          <w:rFonts w:ascii="Arial" w:hAnsi="Arial" w:cs="Arial"/>
          <w:sz w:val="22"/>
          <w:szCs w:val="22"/>
        </w:rPr>
      </w:pPr>
      <w:r w:rsidRPr="00E76C86">
        <w:rPr>
          <w:rFonts w:ascii="Arial" w:hAnsi="Arial" w:cs="Arial"/>
          <w:sz w:val="22"/>
          <w:szCs w:val="22"/>
        </w:rPr>
        <w:t xml:space="preserve">Boud, D. and Molloy, E. (2013) ‘Rethinking models of feedback for learning: the challenge of design’, </w:t>
      </w:r>
      <w:r w:rsidRPr="00E76C86">
        <w:rPr>
          <w:rFonts w:ascii="Arial" w:hAnsi="Arial" w:cs="Arial"/>
          <w:i/>
          <w:iCs/>
          <w:sz w:val="22"/>
          <w:szCs w:val="22"/>
        </w:rPr>
        <w:t>Assessment &amp; Evaluation in Higher Education</w:t>
      </w:r>
      <w:r w:rsidRPr="00E76C86">
        <w:rPr>
          <w:rFonts w:ascii="Arial" w:hAnsi="Arial" w:cs="Arial"/>
          <w:sz w:val="22"/>
          <w:szCs w:val="22"/>
        </w:rPr>
        <w:t xml:space="preserve">, 38(6), pp. 698–712. Available at: </w:t>
      </w:r>
      <w:hyperlink r:id="rId13" w:history="1">
        <w:r w:rsidRPr="00B73BCC">
          <w:rPr>
            <w:rStyle w:val="Hyperlink"/>
            <w:rFonts w:ascii="Arial" w:hAnsi="Arial" w:cs="Arial"/>
            <w:sz w:val="22"/>
            <w:szCs w:val="22"/>
          </w:rPr>
          <w:t>https://doi.org/10.1080/02602938.2012.691462</w:t>
        </w:r>
      </w:hyperlink>
      <w:r>
        <w:rPr>
          <w:rFonts w:ascii="Arial" w:hAnsi="Arial" w:cs="Arial"/>
          <w:sz w:val="22"/>
          <w:szCs w:val="22"/>
        </w:rPr>
        <w:t xml:space="preserve"> </w:t>
      </w:r>
      <w:r w:rsidRPr="00E76C86">
        <w:rPr>
          <w:rFonts w:ascii="Arial" w:hAnsi="Arial" w:cs="Arial"/>
          <w:sz w:val="22"/>
          <w:szCs w:val="22"/>
        </w:rPr>
        <w:t xml:space="preserve">(Accessed: </w:t>
      </w:r>
      <w:r>
        <w:rPr>
          <w:rFonts w:ascii="Arial" w:hAnsi="Arial" w:cs="Arial"/>
          <w:sz w:val="22"/>
          <w:szCs w:val="22"/>
        </w:rPr>
        <w:t xml:space="preserve">10 April </w:t>
      </w:r>
      <w:r w:rsidRPr="00E76C86">
        <w:rPr>
          <w:rFonts w:ascii="Arial" w:hAnsi="Arial" w:cs="Arial"/>
          <w:sz w:val="22"/>
          <w:szCs w:val="22"/>
        </w:rPr>
        <w:t>2026).</w:t>
      </w:r>
      <w:r>
        <w:rPr>
          <w:rFonts w:ascii="Arial" w:hAnsi="Arial" w:cs="Arial"/>
          <w:sz w:val="22"/>
          <w:szCs w:val="22"/>
        </w:rPr>
        <w:t xml:space="preserve">  </w:t>
      </w:r>
    </w:p>
    <w:p w14:paraId="7E2CC2D1" w14:textId="20E22B23" w:rsidR="00E76C86" w:rsidRPr="00E76C86" w:rsidRDefault="00E76C86" w:rsidP="00E76C86">
      <w:pPr>
        <w:pStyle w:val="p1"/>
        <w:spacing w:line="360" w:lineRule="auto"/>
        <w:rPr>
          <w:rFonts w:ascii="Arial" w:hAnsi="Arial" w:cs="Arial"/>
          <w:sz w:val="22"/>
          <w:szCs w:val="22"/>
        </w:rPr>
      </w:pPr>
      <w:r>
        <w:rPr>
          <w:rFonts w:ascii="Arial" w:hAnsi="Arial" w:cs="Arial"/>
          <w:sz w:val="22"/>
          <w:szCs w:val="22"/>
        </w:rPr>
        <w:t xml:space="preserve"> </w:t>
      </w:r>
    </w:p>
    <w:p w14:paraId="163AD9B1" w14:textId="77777777" w:rsidR="00E76C86" w:rsidRPr="00E76C86" w:rsidRDefault="00E76C86" w:rsidP="00E76C86">
      <w:pPr>
        <w:pStyle w:val="p2"/>
        <w:spacing w:line="360" w:lineRule="auto"/>
        <w:rPr>
          <w:rFonts w:ascii="Arial" w:hAnsi="Arial" w:cs="Arial"/>
          <w:sz w:val="22"/>
          <w:szCs w:val="22"/>
        </w:rPr>
      </w:pPr>
    </w:p>
    <w:p w14:paraId="6ABE2840" w14:textId="06F30149" w:rsidR="00E76C86" w:rsidRPr="00E76C86" w:rsidRDefault="00E76C86" w:rsidP="00E76C86">
      <w:pPr>
        <w:pStyle w:val="p1"/>
        <w:spacing w:line="360" w:lineRule="auto"/>
        <w:rPr>
          <w:rFonts w:ascii="Arial" w:hAnsi="Arial" w:cs="Arial"/>
          <w:sz w:val="22"/>
          <w:szCs w:val="22"/>
        </w:rPr>
      </w:pPr>
      <w:r w:rsidRPr="00E76C86">
        <w:rPr>
          <w:rFonts w:ascii="Arial" w:hAnsi="Arial" w:cs="Arial"/>
          <w:sz w:val="22"/>
          <w:szCs w:val="22"/>
        </w:rPr>
        <w:t xml:space="preserve">Campanella, P., Lovato, E., Marone, C., </w:t>
      </w:r>
      <w:proofErr w:type="spellStart"/>
      <w:r w:rsidRPr="00E76C86">
        <w:rPr>
          <w:rFonts w:ascii="Arial" w:hAnsi="Arial" w:cs="Arial"/>
          <w:sz w:val="22"/>
          <w:szCs w:val="22"/>
        </w:rPr>
        <w:t>Fallacara</w:t>
      </w:r>
      <w:proofErr w:type="spellEnd"/>
      <w:r w:rsidRPr="00E76C86">
        <w:rPr>
          <w:rFonts w:ascii="Arial" w:hAnsi="Arial" w:cs="Arial"/>
          <w:sz w:val="22"/>
          <w:szCs w:val="22"/>
        </w:rPr>
        <w:t xml:space="preserve">, L., Mancuso, A., Ricciardi, W. and </w:t>
      </w:r>
      <w:proofErr w:type="spellStart"/>
      <w:r w:rsidRPr="00E76C86">
        <w:rPr>
          <w:rFonts w:ascii="Arial" w:hAnsi="Arial" w:cs="Arial"/>
          <w:sz w:val="22"/>
          <w:szCs w:val="22"/>
        </w:rPr>
        <w:t>Specchia</w:t>
      </w:r>
      <w:proofErr w:type="spellEnd"/>
      <w:r w:rsidRPr="00E76C86">
        <w:rPr>
          <w:rFonts w:ascii="Arial" w:hAnsi="Arial" w:cs="Arial"/>
          <w:sz w:val="22"/>
          <w:szCs w:val="22"/>
        </w:rPr>
        <w:t xml:space="preserve">, M.L. (2016) ‘The impact of electronic health records on healthcare quality: a systematic review and meta-analysis’, </w:t>
      </w:r>
      <w:r w:rsidRPr="00E76C86">
        <w:rPr>
          <w:rFonts w:ascii="Arial" w:hAnsi="Arial" w:cs="Arial"/>
          <w:i/>
          <w:iCs/>
          <w:sz w:val="22"/>
          <w:szCs w:val="22"/>
        </w:rPr>
        <w:t>European Journal of Public Health</w:t>
      </w:r>
      <w:r w:rsidRPr="00E76C86">
        <w:rPr>
          <w:rFonts w:ascii="Arial" w:hAnsi="Arial" w:cs="Arial"/>
          <w:sz w:val="22"/>
          <w:szCs w:val="22"/>
        </w:rPr>
        <w:t xml:space="preserve">, 26(1), pp. 60–64. Available at: </w:t>
      </w:r>
      <w:hyperlink r:id="rId14" w:history="1">
        <w:r w:rsidRPr="00B73BCC">
          <w:rPr>
            <w:rStyle w:val="Hyperlink"/>
            <w:rFonts w:ascii="Arial" w:hAnsi="Arial" w:cs="Arial"/>
            <w:sz w:val="22"/>
            <w:szCs w:val="22"/>
          </w:rPr>
          <w:t>https://doi.org/10.1093/eurpub/ckv122</w:t>
        </w:r>
      </w:hyperlink>
      <w:r>
        <w:rPr>
          <w:rFonts w:ascii="Arial" w:hAnsi="Arial" w:cs="Arial"/>
          <w:sz w:val="22"/>
          <w:szCs w:val="22"/>
        </w:rPr>
        <w:t xml:space="preserve"> </w:t>
      </w:r>
      <w:r w:rsidRPr="00E76C86">
        <w:rPr>
          <w:rFonts w:ascii="Arial" w:hAnsi="Arial" w:cs="Arial"/>
          <w:sz w:val="22"/>
          <w:szCs w:val="22"/>
        </w:rPr>
        <w:t xml:space="preserve">(Accessed: </w:t>
      </w:r>
      <w:r>
        <w:rPr>
          <w:rFonts w:ascii="Arial" w:hAnsi="Arial" w:cs="Arial"/>
          <w:sz w:val="22"/>
          <w:szCs w:val="22"/>
        </w:rPr>
        <w:t xml:space="preserve">10 April </w:t>
      </w:r>
      <w:r w:rsidRPr="00E76C86">
        <w:rPr>
          <w:rFonts w:ascii="Arial" w:hAnsi="Arial" w:cs="Arial"/>
          <w:sz w:val="22"/>
          <w:szCs w:val="22"/>
        </w:rPr>
        <w:t>2026).</w:t>
      </w:r>
      <w:r>
        <w:rPr>
          <w:rFonts w:ascii="Arial" w:hAnsi="Arial" w:cs="Arial"/>
          <w:sz w:val="22"/>
          <w:szCs w:val="22"/>
        </w:rPr>
        <w:t xml:space="preserve">  </w:t>
      </w:r>
    </w:p>
    <w:p w14:paraId="1C1B0DFF" w14:textId="77777777" w:rsidR="00E76C86" w:rsidRPr="00E76C86" w:rsidRDefault="00E76C86" w:rsidP="00E76C86">
      <w:pPr>
        <w:pStyle w:val="p2"/>
        <w:spacing w:line="360" w:lineRule="auto"/>
        <w:rPr>
          <w:rFonts w:ascii="Arial" w:hAnsi="Arial" w:cs="Arial"/>
          <w:sz w:val="22"/>
          <w:szCs w:val="22"/>
        </w:rPr>
      </w:pPr>
    </w:p>
    <w:p w14:paraId="54F4B4F2" w14:textId="031ED81B" w:rsidR="00E76C86" w:rsidRPr="00E76C86" w:rsidRDefault="00E76C86" w:rsidP="00E76C86">
      <w:pPr>
        <w:pStyle w:val="p1"/>
        <w:spacing w:line="360" w:lineRule="auto"/>
        <w:rPr>
          <w:rFonts w:ascii="Arial" w:hAnsi="Arial" w:cs="Arial"/>
          <w:sz w:val="22"/>
          <w:szCs w:val="22"/>
        </w:rPr>
      </w:pPr>
      <w:r w:rsidRPr="00E76C86">
        <w:rPr>
          <w:rFonts w:ascii="Arial" w:hAnsi="Arial" w:cs="Arial"/>
          <w:sz w:val="22"/>
          <w:szCs w:val="22"/>
        </w:rPr>
        <w:lastRenderedPageBreak/>
        <w:t xml:space="preserve">Davis, F.D. (1989) ‘Perceived usefulness, perceived ease of use, and user acceptance of information technology’, </w:t>
      </w:r>
      <w:r w:rsidRPr="00E76C86">
        <w:rPr>
          <w:rFonts w:ascii="Arial" w:hAnsi="Arial" w:cs="Arial"/>
          <w:i/>
          <w:iCs/>
          <w:sz w:val="22"/>
          <w:szCs w:val="22"/>
        </w:rPr>
        <w:t>MIS Quarterly</w:t>
      </w:r>
      <w:r w:rsidRPr="00E76C86">
        <w:rPr>
          <w:rFonts w:ascii="Arial" w:hAnsi="Arial" w:cs="Arial"/>
          <w:sz w:val="22"/>
          <w:szCs w:val="22"/>
        </w:rPr>
        <w:t xml:space="preserve">, 13(3), pp. 319–340. Available at: </w:t>
      </w:r>
      <w:hyperlink r:id="rId15" w:history="1">
        <w:r w:rsidRPr="00B73BCC">
          <w:rPr>
            <w:rStyle w:val="Hyperlink"/>
            <w:rFonts w:ascii="Arial" w:hAnsi="Arial" w:cs="Arial"/>
            <w:sz w:val="22"/>
            <w:szCs w:val="22"/>
          </w:rPr>
          <w:t>https://doi.org/10.2307/249008</w:t>
        </w:r>
      </w:hyperlink>
      <w:r>
        <w:rPr>
          <w:rFonts w:ascii="Arial" w:hAnsi="Arial" w:cs="Arial"/>
          <w:sz w:val="22"/>
          <w:szCs w:val="22"/>
        </w:rPr>
        <w:t xml:space="preserve"> </w:t>
      </w:r>
      <w:r w:rsidRPr="00E76C86">
        <w:rPr>
          <w:rFonts w:ascii="Arial" w:hAnsi="Arial" w:cs="Arial"/>
          <w:sz w:val="22"/>
          <w:szCs w:val="22"/>
        </w:rPr>
        <w:t xml:space="preserve">(Accessed: </w:t>
      </w:r>
      <w:r>
        <w:rPr>
          <w:rFonts w:ascii="Arial" w:hAnsi="Arial" w:cs="Arial"/>
          <w:sz w:val="22"/>
          <w:szCs w:val="22"/>
        </w:rPr>
        <w:t xml:space="preserve">10 April </w:t>
      </w:r>
      <w:r w:rsidRPr="00E76C86">
        <w:rPr>
          <w:rFonts w:ascii="Arial" w:hAnsi="Arial" w:cs="Arial"/>
          <w:sz w:val="22"/>
          <w:szCs w:val="22"/>
        </w:rPr>
        <w:t>2026).</w:t>
      </w:r>
      <w:r>
        <w:rPr>
          <w:rFonts w:ascii="Arial" w:hAnsi="Arial" w:cs="Arial"/>
          <w:sz w:val="22"/>
          <w:szCs w:val="22"/>
        </w:rPr>
        <w:t xml:space="preserve">  </w:t>
      </w:r>
    </w:p>
    <w:p w14:paraId="4ACE826D" w14:textId="77777777" w:rsidR="00E76C86" w:rsidRPr="00E76C86" w:rsidRDefault="00E76C86" w:rsidP="00E76C86">
      <w:pPr>
        <w:pStyle w:val="p2"/>
        <w:spacing w:line="360" w:lineRule="auto"/>
        <w:rPr>
          <w:rFonts w:ascii="Arial" w:hAnsi="Arial" w:cs="Arial"/>
          <w:sz w:val="22"/>
          <w:szCs w:val="22"/>
        </w:rPr>
      </w:pPr>
    </w:p>
    <w:p w14:paraId="6F6E799E" w14:textId="1A92DC3B" w:rsidR="00E76C86" w:rsidRPr="00E76C86" w:rsidRDefault="00E76C86" w:rsidP="00E76C86">
      <w:pPr>
        <w:pStyle w:val="p1"/>
        <w:spacing w:line="360" w:lineRule="auto"/>
        <w:rPr>
          <w:rFonts w:ascii="Arial" w:hAnsi="Arial" w:cs="Arial"/>
          <w:sz w:val="22"/>
          <w:szCs w:val="22"/>
        </w:rPr>
      </w:pPr>
      <w:r w:rsidRPr="00E76C86">
        <w:rPr>
          <w:rFonts w:ascii="Arial" w:hAnsi="Arial" w:cs="Arial"/>
          <w:sz w:val="22"/>
          <w:szCs w:val="22"/>
        </w:rPr>
        <w:t xml:space="preserve">Free, C., Phillips, G., Watson, L., Galli, L., Felix, L., Edwards, P., Patel, V. and Haines, A. (2013) ‘The effectiveness of mobile-health technologies to improve health care service delivery processes’, </w:t>
      </w:r>
      <w:r w:rsidRPr="00E76C86">
        <w:rPr>
          <w:rFonts w:ascii="Arial" w:hAnsi="Arial" w:cs="Arial"/>
          <w:i/>
          <w:iCs/>
          <w:sz w:val="22"/>
          <w:szCs w:val="22"/>
        </w:rPr>
        <w:t>PLOS Medicine</w:t>
      </w:r>
      <w:r w:rsidRPr="00E76C86">
        <w:rPr>
          <w:rFonts w:ascii="Arial" w:hAnsi="Arial" w:cs="Arial"/>
          <w:sz w:val="22"/>
          <w:szCs w:val="22"/>
        </w:rPr>
        <w:t xml:space="preserve">, 10(1), p. e1001363. Available at: </w:t>
      </w:r>
      <w:hyperlink r:id="rId16" w:history="1">
        <w:r w:rsidRPr="00B73BCC">
          <w:rPr>
            <w:rStyle w:val="Hyperlink"/>
            <w:rFonts w:ascii="Arial" w:hAnsi="Arial" w:cs="Arial"/>
            <w:sz w:val="22"/>
            <w:szCs w:val="22"/>
          </w:rPr>
          <w:t>https://doi.org/10.1371/journal.pmed.1001363</w:t>
        </w:r>
      </w:hyperlink>
      <w:r>
        <w:rPr>
          <w:rFonts w:ascii="Arial" w:hAnsi="Arial" w:cs="Arial"/>
          <w:sz w:val="22"/>
          <w:szCs w:val="22"/>
        </w:rPr>
        <w:t xml:space="preserve"> </w:t>
      </w:r>
      <w:r w:rsidRPr="00E76C86">
        <w:rPr>
          <w:rFonts w:ascii="Arial" w:hAnsi="Arial" w:cs="Arial"/>
          <w:sz w:val="22"/>
          <w:szCs w:val="22"/>
        </w:rPr>
        <w:t xml:space="preserve">(Accessed: </w:t>
      </w:r>
      <w:r>
        <w:rPr>
          <w:rFonts w:ascii="Arial" w:hAnsi="Arial" w:cs="Arial"/>
          <w:sz w:val="22"/>
          <w:szCs w:val="22"/>
        </w:rPr>
        <w:t xml:space="preserve">10 April </w:t>
      </w:r>
      <w:r w:rsidRPr="00E76C86">
        <w:rPr>
          <w:rFonts w:ascii="Arial" w:hAnsi="Arial" w:cs="Arial"/>
          <w:sz w:val="22"/>
          <w:szCs w:val="22"/>
        </w:rPr>
        <w:t>2026).</w:t>
      </w:r>
      <w:r>
        <w:rPr>
          <w:rFonts w:ascii="Arial" w:hAnsi="Arial" w:cs="Arial"/>
          <w:sz w:val="22"/>
          <w:szCs w:val="22"/>
        </w:rPr>
        <w:t xml:space="preserve">  </w:t>
      </w:r>
    </w:p>
    <w:p w14:paraId="7C3CA36C" w14:textId="77777777" w:rsidR="00E76C86" w:rsidRPr="00E76C86" w:rsidRDefault="00E76C86" w:rsidP="00E76C86">
      <w:pPr>
        <w:pStyle w:val="p2"/>
        <w:spacing w:line="360" w:lineRule="auto"/>
        <w:rPr>
          <w:rFonts w:ascii="Arial" w:hAnsi="Arial" w:cs="Arial"/>
          <w:sz w:val="22"/>
          <w:szCs w:val="22"/>
        </w:rPr>
      </w:pPr>
    </w:p>
    <w:p w14:paraId="3D565E32" w14:textId="6C0AC750" w:rsidR="00E76C86" w:rsidRPr="00E76C86" w:rsidRDefault="00E76C86" w:rsidP="00E76C86">
      <w:pPr>
        <w:pStyle w:val="p1"/>
        <w:spacing w:line="360" w:lineRule="auto"/>
        <w:rPr>
          <w:rFonts w:ascii="Arial" w:hAnsi="Arial" w:cs="Arial"/>
          <w:sz w:val="22"/>
          <w:szCs w:val="22"/>
        </w:rPr>
      </w:pPr>
      <w:r w:rsidRPr="00E76C86">
        <w:rPr>
          <w:rFonts w:ascii="Arial" w:hAnsi="Arial" w:cs="Arial"/>
          <w:sz w:val="22"/>
          <w:szCs w:val="22"/>
        </w:rPr>
        <w:t xml:space="preserve">Greenhalgh, T., Robert, G., Macfarlane, F., Bate, P. and Kyriakidou, O. (2004) ‘Diffusion of innovations in service organizations: systematic review and recommendations’, </w:t>
      </w:r>
      <w:r w:rsidRPr="00E76C86">
        <w:rPr>
          <w:rFonts w:ascii="Arial" w:hAnsi="Arial" w:cs="Arial"/>
          <w:i/>
          <w:iCs/>
          <w:sz w:val="22"/>
          <w:szCs w:val="22"/>
        </w:rPr>
        <w:t>The Milbank Quarterly</w:t>
      </w:r>
      <w:r w:rsidRPr="00E76C86">
        <w:rPr>
          <w:rFonts w:ascii="Arial" w:hAnsi="Arial" w:cs="Arial"/>
          <w:sz w:val="22"/>
          <w:szCs w:val="22"/>
        </w:rPr>
        <w:t xml:space="preserve">, 82(4), pp. 581–629. Available at: </w:t>
      </w:r>
      <w:hyperlink r:id="rId17" w:history="1">
        <w:r w:rsidRPr="00B73BCC">
          <w:rPr>
            <w:rStyle w:val="Hyperlink"/>
            <w:rFonts w:ascii="Arial" w:hAnsi="Arial" w:cs="Arial"/>
            <w:sz w:val="22"/>
            <w:szCs w:val="22"/>
          </w:rPr>
          <w:t>https://doi.org/10.1111/j.0887-378x.2004.00325.x</w:t>
        </w:r>
      </w:hyperlink>
      <w:r>
        <w:rPr>
          <w:rFonts w:ascii="Arial" w:hAnsi="Arial" w:cs="Arial"/>
          <w:sz w:val="22"/>
          <w:szCs w:val="22"/>
        </w:rPr>
        <w:t xml:space="preserve"> </w:t>
      </w:r>
      <w:r w:rsidRPr="00E76C86">
        <w:rPr>
          <w:rFonts w:ascii="Arial" w:hAnsi="Arial" w:cs="Arial"/>
          <w:sz w:val="22"/>
          <w:szCs w:val="22"/>
        </w:rPr>
        <w:t xml:space="preserve"> (Accessed: 20 February 2026).</w:t>
      </w:r>
    </w:p>
    <w:p w14:paraId="356876A9" w14:textId="77777777" w:rsidR="00E76C86" w:rsidRPr="00E76C86" w:rsidRDefault="00E76C86" w:rsidP="00E76C86">
      <w:pPr>
        <w:pStyle w:val="p2"/>
        <w:spacing w:line="360" w:lineRule="auto"/>
        <w:rPr>
          <w:rFonts w:ascii="Arial" w:hAnsi="Arial" w:cs="Arial"/>
          <w:sz w:val="22"/>
          <w:szCs w:val="22"/>
        </w:rPr>
      </w:pPr>
    </w:p>
    <w:p w14:paraId="039D0AB7" w14:textId="29893672" w:rsidR="00E76C86" w:rsidRPr="00E76C86" w:rsidRDefault="00E76C86" w:rsidP="00E76C86">
      <w:pPr>
        <w:pStyle w:val="p1"/>
        <w:spacing w:line="360" w:lineRule="auto"/>
        <w:rPr>
          <w:rFonts w:ascii="Arial" w:hAnsi="Arial" w:cs="Arial"/>
          <w:sz w:val="22"/>
          <w:szCs w:val="22"/>
        </w:rPr>
      </w:pPr>
      <w:r w:rsidRPr="00E76C86">
        <w:rPr>
          <w:rFonts w:ascii="Arial" w:hAnsi="Arial" w:cs="Arial"/>
          <w:sz w:val="22"/>
          <w:szCs w:val="22"/>
        </w:rPr>
        <w:t xml:space="preserve">Grol, R. and Wensing, M. (2004) ‘What drives change? Barriers to and incentives for achieving evidence-based practice’, </w:t>
      </w:r>
      <w:r w:rsidRPr="00E76C86">
        <w:rPr>
          <w:rFonts w:ascii="Arial" w:hAnsi="Arial" w:cs="Arial"/>
          <w:i/>
          <w:iCs/>
          <w:sz w:val="22"/>
          <w:szCs w:val="22"/>
        </w:rPr>
        <w:t>Medical Journal of Australia</w:t>
      </w:r>
      <w:r w:rsidRPr="00E76C86">
        <w:rPr>
          <w:rFonts w:ascii="Arial" w:hAnsi="Arial" w:cs="Arial"/>
          <w:sz w:val="22"/>
          <w:szCs w:val="22"/>
        </w:rPr>
        <w:t xml:space="preserve">, 180(S6). Available at: </w:t>
      </w:r>
      <w:hyperlink r:id="rId18" w:history="1">
        <w:r w:rsidRPr="00B73BCC">
          <w:rPr>
            <w:rStyle w:val="Hyperlink"/>
            <w:rFonts w:ascii="Arial" w:hAnsi="Arial" w:cs="Arial"/>
            <w:sz w:val="22"/>
            <w:szCs w:val="22"/>
          </w:rPr>
          <w:t>https://doi.org/10.5694/j.1326-5377.2004.tb05948.x</w:t>
        </w:r>
      </w:hyperlink>
      <w:r>
        <w:rPr>
          <w:rFonts w:ascii="Arial" w:hAnsi="Arial" w:cs="Arial"/>
          <w:sz w:val="22"/>
          <w:szCs w:val="22"/>
        </w:rPr>
        <w:t xml:space="preserve"> </w:t>
      </w:r>
      <w:r w:rsidRPr="00E76C86">
        <w:rPr>
          <w:rFonts w:ascii="Arial" w:hAnsi="Arial" w:cs="Arial"/>
          <w:sz w:val="22"/>
          <w:szCs w:val="22"/>
        </w:rPr>
        <w:t xml:space="preserve"> (Accessed: 20 February 2026).</w:t>
      </w:r>
    </w:p>
    <w:p w14:paraId="3AB0AF60" w14:textId="77777777" w:rsidR="00E76C86" w:rsidRPr="00E76C86" w:rsidRDefault="00E76C86" w:rsidP="00E76C86">
      <w:pPr>
        <w:pStyle w:val="p2"/>
        <w:spacing w:line="360" w:lineRule="auto"/>
        <w:rPr>
          <w:rFonts w:ascii="Arial" w:hAnsi="Arial" w:cs="Arial"/>
          <w:sz w:val="22"/>
          <w:szCs w:val="22"/>
        </w:rPr>
      </w:pPr>
    </w:p>
    <w:p w14:paraId="2744C5C0" w14:textId="7FBD5C29" w:rsidR="00E76C86" w:rsidRPr="00E76C86" w:rsidRDefault="00E76C86" w:rsidP="00E76C86">
      <w:pPr>
        <w:pStyle w:val="p1"/>
        <w:spacing w:line="360" w:lineRule="auto"/>
        <w:rPr>
          <w:rFonts w:ascii="Arial" w:hAnsi="Arial" w:cs="Arial"/>
          <w:sz w:val="22"/>
          <w:szCs w:val="22"/>
        </w:rPr>
      </w:pPr>
      <w:r w:rsidRPr="00E76C86">
        <w:rPr>
          <w:rFonts w:ascii="Arial" w:hAnsi="Arial" w:cs="Arial"/>
          <w:sz w:val="22"/>
          <w:szCs w:val="22"/>
        </w:rPr>
        <w:t xml:space="preserve">Inglis, S.C., Clark, R.A., Dierckx, R., Prieto-Merino, D. and Cleland, J.G. (2015) ‘Structured telephone support or non-invasive telemonitoring for patients with heart failure’, </w:t>
      </w:r>
      <w:r w:rsidRPr="00E76C86">
        <w:rPr>
          <w:rFonts w:ascii="Arial" w:hAnsi="Arial" w:cs="Arial"/>
          <w:i/>
          <w:iCs/>
          <w:sz w:val="22"/>
          <w:szCs w:val="22"/>
        </w:rPr>
        <w:t>Cochrane Database of Systematic Reviews</w:t>
      </w:r>
      <w:r w:rsidRPr="00E76C86">
        <w:rPr>
          <w:rFonts w:ascii="Arial" w:hAnsi="Arial" w:cs="Arial"/>
          <w:sz w:val="22"/>
          <w:szCs w:val="22"/>
        </w:rPr>
        <w:t xml:space="preserve">, (10). Available at: </w:t>
      </w:r>
      <w:hyperlink r:id="rId19" w:history="1">
        <w:r w:rsidRPr="00B73BCC">
          <w:rPr>
            <w:rStyle w:val="Hyperlink"/>
            <w:rFonts w:ascii="Arial" w:hAnsi="Arial" w:cs="Arial"/>
            <w:sz w:val="22"/>
            <w:szCs w:val="22"/>
          </w:rPr>
          <w:t>https://doi.org/10.1002/14651858.cd007228.pub3</w:t>
        </w:r>
      </w:hyperlink>
      <w:r>
        <w:rPr>
          <w:rFonts w:ascii="Arial" w:hAnsi="Arial" w:cs="Arial"/>
          <w:sz w:val="22"/>
          <w:szCs w:val="22"/>
        </w:rPr>
        <w:t xml:space="preserve"> </w:t>
      </w:r>
      <w:r w:rsidRPr="00E76C86">
        <w:rPr>
          <w:rFonts w:ascii="Arial" w:hAnsi="Arial" w:cs="Arial"/>
          <w:sz w:val="22"/>
          <w:szCs w:val="22"/>
        </w:rPr>
        <w:t xml:space="preserve">(Accessed: </w:t>
      </w:r>
      <w:r>
        <w:rPr>
          <w:rFonts w:ascii="Arial" w:hAnsi="Arial" w:cs="Arial"/>
          <w:sz w:val="22"/>
          <w:szCs w:val="22"/>
        </w:rPr>
        <w:t xml:space="preserve">10 April </w:t>
      </w:r>
      <w:r w:rsidRPr="00E76C86">
        <w:rPr>
          <w:rFonts w:ascii="Arial" w:hAnsi="Arial" w:cs="Arial"/>
          <w:sz w:val="22"/>
          <w:szCs w:val="22"/>
        </w:rPr>
        <w:t>2026).</w:t>
      </w:r>
      <w:r>
        <w:rPr>
          <w:rFonts w:ascii="Arial" w:hAnsi="Arial" w:cs="Arial"/>
          <w:sz w:val="22"/>
          <w:szCs w:val="22"/>
        </w:rPr>
        <w:t xml:space="preserve">  </w:t>
      </w:r>
    </w:p>
    <w:p w14:paraId="1463225B" w14:textId="77777777" w:rsidR="00E76C86" w:rsidRPr="00E76C86" w:rsidRDefault="00E76C86" w:rsidP="00E76C86">
      <w:pPr>
        <w:pStyle w:val="p2"/>
        <w:spacing w:line="360" w:lineRule="auto"/>
        <w:rPr>
          <w:rFonts w:ascii="Arial" w:hAnsi="Arial" w:cs="Arial"/>
          <w:sz w:val="22"/>
          <w:szCs w:val="22"/>
        </w:rPr>
      </w:pPr>
    </w:p>
    <w:p w14:paraId="15A489B3" w14:textId="6443594A" w:rsidR="00E76C86" w:rsidRPr="00E76C86" w:rsidRDefault="00E76C86" w:rsidP="00E76C86">
      <w:pPr>
        <w:pStyle w:val="p1"/>
        <w:spacing w:line="360" w:lineRule="auto"/>
        <w:rPr>
          <w:rFonts w:ascii="Arial" w:hAnsi="Arial" w:cs="Arial"/>
          <w:sz w:val="22"/>
          <w:szCs w:val="22"/>
        </w:rPr>
      </w:pPr>
      <w:r w:rsidRPr="00E76C86">
        <w:rPr>
          <w:rFonts w:ascii="Arial" w:hAnsi="Arial" w:cs="Arial"/>
          <w:sz w:val="22"/>
          <w:szCs w:val="22"/>
        </w:rPr>
        <w:t xml:space="preserve">Institute of Medicine (2001) </w:t>
      </w:r>
      <w:r w:rsidRPr="00E76C86">
        <w:rPr>
          <w:rFonts w:ascii="Arial" w:hAnsi="Arial" w:cs="Arial"/>
          <w:i/>
          <w:iCs/>
          <w:sz w:val="22"/>
          <w:szCs w:val="22"/>
        </w:rPr>
        <w:t>Crossing the Quality Chasm: A New Health System for the 21st Century</w:t>
      </w:r>
      <w:r w:rsidRPr="00E76C86">
        <w:rPr>
          <w:rFonts w:ascii="Arial" w:hAnsi="Arial" w:cs="Arial"/>
          <w:sz w:val="22"/>
          <w:szCs w:val="22"/>
        </w:rPr>
        <w:t xml:space="preserve">. Available at: </w:t>
      </w:r>
      <w:hyperlink r:id="rId20" w:history="1">
        <w:r w:rsidRPr="00B73BCC">
          <w:rPr>
            <w:rStyle w:val="Hyperlink"/>
            <w:rFonts w:ascii="Arial" w:hAnsi="Arial" w:cs="Arial"/>
            <w:sz w:val="22"/>
            <w:szCs w:val="22"/>
          </w:rPr>
          <w:t>https://www.ncbi.nlm.nih.gov/books/NBK222274/</w:t>
        </w:r>
      </w:hyperlink>
      <w:r>
        <w:rPr>
          <w:rFonts w:ascii="Arial" w:hAnsi="Arial" w:cs="Arial"/>
          <w:sz w:val="22"/>
          <w:szCs w:val="22"/>
        </w:rPr>
        <w:t xml:space="preserve"> </w:t>
      </w:r>
      <w:r w:rsidRPr="00E76C86">
        <w:rPr>
          <w:rFonts w:ascii="Arial" w:hAnsi="Arial" w:cs="Arial"/>
          <w:sz w:val="22"/>
          <w:szCs w:val="22"/>
        </w:rPr>
        <w:t xml:space="preserve">(Accessed: </w:t>
      </w:r>
      <w:r>
        <w:rPr>
          <w:rFonts w:ascii="Arial" w:hAnsi="Arial" w:cs="Arial"/>
          <w:sz w:val="22"/>
          <w:szCs w:val="22"/>
        </w:rPr>
        <w:t xml:space="preserve">10 April </w:t>
      </w:r>
      <w:r w:rsidRPr="00E76C86">
        <w:rPr>
          <w:rFonts w:ascii="Arial" w:hAnsi="Arial" w:cs="Arial"/>
          <w:sz w:val="22"/>
          <w:szCs w:val="22"/>
        </w:rPr>
        <w:t>2026).</w:t>
      </w:r>
      <w:r>
        <w:rPr>
          <w:rFonts w:ascii="Arial" w:hAnsi="Arial" w:cs="Arial"/>
          <w:sz w:val="22"/>
          <w:szCs w:val="22"/>
        </w:rPr>
        <w:t xml:space="preserve">  </w:t>
      </w:r>
    </w:p>
    <w:p w14:paraId="6DFB9734" w14:textId="77777777" w:rsidR="00E76C86" w:rsidRPr="00E76C86" w:rsidRDefault="00E76C86" w:rsidP="00E76C86">
      <w:pPr>
        <w:pStyle w:val="p2"/>
        <w:spacing w:line="360" w:lineRule="auto"/>
        <w:rPr>
          <w:rFonts w:ascii="Arial" w:hAnsi="Arial" w:cs="Arial"/>
          <w:sz w:val="22"/>
          <w:szCs w:val="22"/>
        </w:rPr>
      </w:pPr>
    </w:p>
    <w:p w14:paraId="67E4A006" w14:textId="04A7226F" w:rsidR="00E76C86" w:rsidRPr="00E76C86" w:rsidRDefault="00E76C86" w:rsidP="00E76C86">
      <w:pPr>
        <w:pStyle w:val="p1"/>
        <w:spacing w:line="360" w:lineRule="auto"/>
        <w:rPr>
          <w:rFonts w:ascii="Arial" w:hAnsi="Arial" w:cs="Arial"/>
          <w:sz w:val="22"/>
          <w:szCs w:val="22"/>
        </w:rPr>
      </w:pPr>
      <w:r w:rsidRPr="00E76C86">
        <w:rPr>
          <w:rFonts w:ascii="Arial" w:hAnsi="Arial" w:cs="Arial"/>
          <w:sz w:val="22"/>
          <w:szCs w:val="22"/>
        </w:rPr>
        <w:lastRenderedPageBreak/>
        <w:t xml:space="preserve">Marmot, M. (2010) </w:t>
      </w:r>
      <w:r w:rsidRPr="00E76C86">
        <w:rPr>
          <w:rFonts w:ascii="Arial" w:hAnsi="Arial" w:cs="Arial"/>
          <w:i/>
          <w:iCs/>
          <w:sz w:val="22"/>
          <w:szCs w:val="22"/>
        </w:rPr>
        <w:t>Fair Society, Healthy Lives (The Marmot Review)</w:t>
      </w:r>
      <w:r w:rsidRPr="00E76C86">
        <w:rPr>
          <w:rFonts w:ascii="Arial" w:hAnsi="Arial" w:cs="Arial"/>
          <w:sz w:val="22"/>
          <w:szCs w:val="22"/>
        </w:rPr>
        <w:t xml:space="preserve">. Available at: </w:t>
      </w:r>
      <w:hyperlink r:id="rId21" w:history="1">
        <w:r w:rsidRPr="00B73BCC">
          <w:rPr>
            <w:rStyle w:val="Hyperlink"/>
            <w:rFonts w:ascii="Arial" w:hAnsi="Arial" w:cs="Arial"/>
            <w:sz w:val="22"/>
            <w:szCs w:val="22"/>
          </w:rPr>
          <w:t>https://www.instituteofhealthequity.org/resources-reports/fair-society-healthy-lives-the-marmot-review</w:t>
        </w:r>
      </w:hyperlink>
      <w:r>
        <w:rPr>
          <w:rFonts w:ascii="Arial" w:hAnsi="Arial" w:cs="Arial"/>
          <w:sz w:val="22"/>
          <w:szCs w:val="22"/>
        </w:rPr>
        <w:t xml:space="preserve"> </w:t>
      </w:r>
      <w:r w:rsidRPr="00E76C86">
        <w:rPr>
          <w:rFonts w:ascii="Arial" w:hAnsi="Arial" w:cs="Arial"/>
          <w:sz w:val="22"/>
          <w:szCs w:val="22"/>
        </w:rPr>
        <w:t xml:space="preserve">(Accessed: </w:t>
      </w:r>
      <w:r>
        <w:rPr>
          <w:rFonts w:ascii="Arial" w:hAnsi="Arial" w:cs="Arial"/>
          <w:sz w:val="22"/>
          <w:szCs w:val="22"/>
        </w:rPr>
        <w:t xml:space="preserve">10 April </w:t>
      </w:r>
      <w:r w:rsidRPr="00E76C86">
        <w:rPr>
          <w:rFonts w:ascii="Arial" w:hAnsi="Arial" w:cs="Arial"/>
          <w:sz w:val="22"/>
          <w:szCs w:val="22"/>
        </w:rPr>
        <w:t>2026).</w:t>
      </w:r>
      <w:r>
        <w:rPr>
          <w:rFonts w:ascii="Arial" w:hAnsi="Arial" w:cs="Arial"/>
          <w:sz w:val="22"/>
          <w:szCs w:val="22"/>
        </w:rPr>
        <w:t xml:space="preserve">  </w:t>
      </w:r>
    </w:p>
    <w:p w14:paraId="48DBE2DE" w14:textId="77777777" w:rsidR="00E76C86" w:rsidRPr="00E76C86" w:rsidRDefault="00E76C86" w:rsidP="00E76C86">
      <w:pPr>
        <w:pStyle w:val="p2"/>
        <w:spacing w:line="360" w:lineRule="auto"/>
        <w:rPr>
          <w:rFonts w:ascii="Arial" w:hAnsi="Arial" w:cs="Arial"/>
          <w:sz w:val="22"/>
          <w:szCs w:val="22"/>
        </w:rPr>
      </w:pPr>
    </w:p>
    <w:p w14:paraId="369B2C93" w14:textId="20AD5444" w:rsidR="00E76C86" w:rsidRPr="00E76C86" w:rsidRDefault="00E76C86" w:rsidP="00E76C86">
      <w:pPr>
        <w:pStyle w:val="p1"/>
        <w:spacing w:line="360" w:lineRule="auto"/>
        <w:rPr>
          <w:rFonts w:ascii="Arial" w:hAnsi="Arial" w:cs="Arial"/>
          <w:sz w:val="22"/>
          <w:szCs w:val="22"/>
        </w:rPr>
      </w:pPr>
      <w:r w:rsidRPr="00E76C86">
        <w:rPr>
          <w:rFonts w:ascii="Arial" w:hAnsi="Arial" w:cs="Arial"/>
          <w:sz w:val="22"/>
          <w:szCs w:val="22"/>
        </w:rPr>
        <w:t xml:space="preserve">Nguyen, Q.D., Fernandez, N., </w:t>
      </w:r>
      <w:proofErr w:type="spellStart"/>
      <w:r w:rsidRPr="00E76C86">
        <w:rPr>
          <w:rFonts w:ascii="Arial" w:hAnsi="Arial" w:cs="Arial"/>
          <w:sz w:val="22"/>
          <w:szCs w:val="22"/>
        </w:rPr>
        <w:t>Karsenti</w:t>
      </w:r>
      <w:proofErr w:type="spellEnd"/>
      <w:r w:rsidRPr="00E76C86">
        <w:rPr>
          <w:rFonts w:ascii="Arial" w:hAnsi="Arial" w:cs="Arial"/>
          <w:sz w:val="22"/>
          <w:szCs w:val="22"/>
        </w:rPr>
        <w:t xml:space="preserve">, T. and Charlin, B. (2014) ‘What is reflection? A conceptual analysis of major definitions and a proposal of a five-component model’, </w:t>
      </w:r>
      <w:r w:rsidRPr="00E76C86">
        <w:rPr>
          <w:rFonts w:ascii="Arial" w:hAnsi="Arial" w:cs="Arial"/>
          <w:i/>
          <w:iCs/>
          <w:sz w:val="22"/>
          <w:szCs w:val="22"/>
        </w:rPr>
        <w:t>Medical Education</w:t>
      </w:r>
      <w:r w:rsidRPr="00E76C86">
        <w:rPr>
          <w:rFonts w:ascii="Arial" w:hAnsi="Arial" w:cs="Arial"/>
          <w:sz w:val="22"/>
          <w:szCs w:val="22"/>
        </w:rPr>
        <w:t xml:space="preserve">, 48(12), pp. 1176–1189. Available at: </w:t>
      </w:r>
      <w:hyperlink r:id="rId22" w:history="1">
        <w:r w:rsidRPr="00B73BCC">
          <w:rPr>
            <w:rStyle w:val="Hyperlink"/>
            <w:rFonts w:ascii="Arial" w:hAnsi="Arial" w:cs="Arial"/>
            <w:sz w:val="22"/>
            <w:szCs w:val="22"/>
          </w:rPr>
          <w:t>https://doi.org/10.1111/medu.12583</w:t>
        </w:r>
      </w:hyperlink>
      <w:r>
        <w:rPr>
          <w:rFonts w:ascii="Arial" w:hAnsi="Arial" w:cs="Arial"/>
          <w:sz w:val="22"/>
          <w:szCs w:val="22"/>
        </w:rPr>
        <w:t xml:space="preserve"> </w:t>
      </w:r>
      <w:r w:rsidRPr="00E76C86">
        <w:rPr>
          <w:rFonts w:ascii="Arial" w:hAnsi="Arial" w:cs="Arial"/>
          <w:sz w:val="22"/>
          <w:szCs w:val="22"/>
        </w:rPr>
        <w:t xml:space="preserve">(Accessed: </w:t>
      </w:r>
      <w:r>
        <w:rPr>
          <w:rFonts w:ascii="Arial" w:hAnsi="Arial" w:cs="Arial"/>
          <w:sz w:val="22"/>
          <w:szCs w:val="22"/>
        </w:rPr>
        <w:t xml:space="preserve">10 April </w:t>
      </w:r>
      <w:r w:rsidRPr="00E76C86">
        <w:rPr>
          <w:rFonts w:ascii="Arial" w:hAnsi="Arial" w:cs="Arial"/>
          <w:sz w:val="22"/>
          <w:szCs w:val="22"/>
        </w:rPr>
        <w:t>2026).</w:t>
      </w:r>
      <w:r>
        <w:rPr>
          <w:rFonts w:ascii="Arial" w:hAnsi="Arial" w:cs="Arial"/>
          <w:sz w:val="22"/>
          <w:szCs w:val="22"/>
        </w:rPr>
        <w:t xml:space="preserve">  </w:t>
      </w:r>
    </w:p>
    <w:p w14:paraId="7A09D9A4" w14:textId="77777777" w:rsidR="00E76C86" w:rsidRPr="00E76C86" w:rsidRDefault="00E76C86" w:rsidP="00E76C86">
      <w:pPr>
        <w:pStyle w:val="p2"/>
        <w:spacing w:line="360" w:lineRule="auto"/>
        <w:rPr>
          <w:rFonts w:ascii="Arial" w:hAnsi="Arial" w:cs="Arial"/>
          <w:sz w:val="22"/>
          <w:szCs w:val="22"/>
        </w:rPr>
      </w:pPr>
    </w:p>
    <w:p w14:paraId="66EF6B67" w14:textId="44CE5CAB" w:rsidR="00E76C86" w:rsidRPr="00E76C86" w:rsidRDefault="00E76C86" w:rsidP="00E76C86">
      <w:pPr>
        <w:pStyle w:val="p1"/>
        <w:spacing w:line="360" w:lineRule="auto"/>
        <w:rPr>
          <w:rFonts w:ascii="Arial" w:hAnsi="Arial" w:cs="Arial"/>
          <w:sz w:val="22"/>
          <w:szCs w:val="22"/>
        </w:rPr>
      </w:pPr>
      <w:r w:rsidRPr="00E76C86">
        <w:rPr>
          <w:rFonts w:ascii="Arial" w:hAnsi="Arial" w:cs="Arial"/>
          <w:sz w:val="22"/>
          <w:szCs w:val="22"/>
        </w:rPr>
        <w:t xml:space="preserve">NHS England (2022) </w:t>
      </w:r>
      <w:r w:rsidRPr="00E76C86">
        <w:rPr>
          <w:rFonts w:ascii="Arial" w:hAnsi="Arial" w:cs="Arial"/>
          <w:i/>
          <w:iCs/>
          <w:sz w:val="22"/>
          <w:szCs w:val="22"/>
        </w:rPr>
        <w:t>Virtual wards</w:t>
      </w:r>
      <w:r w:rsidRPr="00E76C86">
        <w:rPr>
          <w:rFonts w:ascii="Arial" w:hAnsi="Arial" w:cs="Arial"/>
          <w:sz w:val="22"/>
          <w:szCs w:val="22"/>
        </w:rPr>
        <w:t xml:space="preserve">. Available at: </w:t>
      </w:r>
      <w:hyperlink r:id="rId23" w:history="1">
        <w:r w:rsidRPr="00B73BCC">
          <w:rPr>
            <w:rStyle w:val="Hyperlink"/>
            <w:rFonts w:ascii="Arial" w:hAnsi="Arial" w:cs="Arial"/>
            <w:sz w:val="22"/>
            <w:szCs w:val="22"/>
          </w:rPr>
          <w:t>https://www.england.nhs.uk/virtual-wards/</w:t>
        </w:r>
      </w:hyperlink>
      <w:r>
        <w:rPr>
          <w:rFonts w:ascii="Arial" w:hAnsi="Arial" w:cs="Arial"/>
          <w:sz w:val="22"/>
          <w:szCs w:val="22"/>
        </w:rPr>
        <w:t xml:space="preserve"> </w:t>
      </w:r>
      <w:r w:rsidRPr="00E76C86">
        <w:rPr>
          <w:rFonts w:ascii="Arial" w:hAnsi="Arial" w:cs="Arial"/>
          <w:sz w:val="22"/>
          <w:szCs w:val="22"/>
        </w:rPr>
        <w:t xml:space="preserve"> </w:t>
      </w:r>
      <w:r>
        <w:rPr>
          <w:rFonts w:ascii="Arial" w:hAnsi="Arial" w:cs="Arial"/>
          <w:sz w:val="22"/>
          <w:szCs w:val="22"/>
        </w:rPr>
        <w:t xml:space="preserve"> </w:t>
      </w:r>
      <w:proofErr w:type="gramStart"/>
      <w:r>
        <w:rPr>
          <w:rFonts w:ascii="Arial" w:hAnsi="Arial" w:cs="Arial"/>
          <w:sz w:val="22"/>
          <w:szCs w:val="22"/>
        </w:rPr>
        <w:t xml:space="preserve">   </w:t>
      </w:r>
      <w:r w:rsidRPr="00E76C86">
        <w:rPr>
          <w:rFonts w:ascii="Arial" w:hAnsi="Arial" w:cs="Arial"/>
          <w:sz w:val="22"/>
          <w:szCs w:val="22"/>
        </w:rPr>
        <w:t>(</w:t>
      </w:r>
      <w:proofErr w:type="gramEnd"/>
      <w:r w:rsidRPr="00E76C86">
        <w:rPr>
          <w:rFonts w:ascii="Arial" w:hAnsi="Arial" w:cs="Arial"/>
          <w:sz w:val="22"/>
          <w:szCs w:val="22"/>
        </w:rPr>
        <w:t>Accessed: 20 February 2026).</w:t>
      </w:r>
    </w:p>
    <w:p w14:paraId="09F82DCE" w14:textId="77777777" w:rsidR="00E76C86" w:rsidRPr="00E76C86" w:rsidRDefault="00E76C86" w:rsidP="00E76C86">
      <w:pPr>
        <w:pStyle w:val="p2"/>
        <w:spacing w:line="360" w:lineRule="auto"/>
        <w:rPr>
          <w:rFonts w:ascii="Arial" w:hAnsi="Arial" w:cs="Arial"/>
          <w:sz w:val="22"/>
          <w:szCs w:val="22"/>
        </w:rPr>
      </w:pPr>
    </w:p>
    <w:p w14:paraId="1101F415" w14:textId="0A0FBC3C" w:rsidR="00E76C86" w:rsidRPr="00E76C86" w:rsidRDefault="00E76C86" w:rsidP="00E76C86">
      <w:pPr>
        <w:pStyle w:val="p1"/>
        <w:spacing w:line="360" w:lineRule="auto"/>
        <w:rPr>
          <w:rFonts w:ascii="Arial" w:hAnsi="Arial" w:cs="Arial"/>
          <w:sz w:val="22"/>
          <w:szCs w:val="22"/>
        </w:rPr>
      </w:pPr>
      <w:r w:rsidRPr="00E76C86">
        <w:rPr>
          <w:rFonts w:ascii="Arial" w:hAnsi="Arial" w:cs="Arial"/>
          <w:sz w:val="22"/>
          <w:szCs w:val="22"/>
        </w:rPr>
        <w:t xml:space="preserve">NHS Leadership Academy (2013) </w:t>
      </w:r>
      <w:r w:rsidRPr="00E76C86">
        <w:rPr>
          <w:rFonts w:ascii="Arial" w:hAnsi="Arial" w:cs="Arial"/>
          <w:i/>
          <w:iCs/>
          <w:sz w:val="22"/>
          <w:szCs w:val="22"/>
        </w:rPr>
        <w:t>Healthcare leadership model</w:t>
      </w:r>
      <w:r w:rsidRPr="00E76C86">
        <w:rPr>
          <w:rFonts w:ascii="Arial" w:hAnsi="Arial" w:cs="Arial"/>
          <w:sz w:val="22"/>
          <w:szCs w:val="22"/>
        </w:rPr>
        <w:t xml:space="preserve">. Available at: </w:t>
      </w:r>
      <w:hyperlink r:id="rId24" w:history="1">
        <w:r w:rsidRPr="00B73BCC">
          <w:rPr>
            <w:rStyle w:val="Hyperlink"/>
            <w:rFonts w:ascii="Arial" w:hAnsi="Arial" w:cs="Arial"/>
            <w:sz w:val="22"/>
            <w:szCs w:val="22"/>
          </w:rPr>
          <w:t>https://www.leadershipacademy.nhs.uk/resources/healthcare-leadership-model/</w:t>
        </w:r>
      </w:hyperlink>
      <w:r>
        <w:rPr>
          <w:rFonts w:ascii="Arial" w:hAnsi="Arial" w:cs="Arial"/>
          <w:sz w:val="22"/>
          <w:szCs w:val="22"/>
        </w:rPr>
        <w:t xml:space="preserve"> </w:t>
      </w:r>
      <w:r w:rsidRPr="00E76C86">
        <w:rPr>
          <w:rFonts w:ascii="Arial" w:hAnsi="Arial" w:cs="Arial"/>
          <w:sz w:val="22"/>
          <w:szCs w:val="22"/>
        </w:rPr>
        <w:t xml:space="preserve">(Accessed: </w:t>
      </w:r>
      <w:r>
        <w:rPr>
          <w:rFonts w:ascii="Arial" w:hAnsi="Arial" w:cs="Arial"/>
          <w:sz w:val="22"/>
          <w:szCs w:val="22"/>
        </w:rPr>
        <w:t xml:space="preserve">10 April </w:t>
      </w:r>
      <w:r w:rsidRPr="00E76C86">
        <w:rPr>
          <w:rFonts w:ascii="Arial" w:hAnsi="Arial" w:cs="Arial"/>
          <w:sz w:val="22"/>
          <w:szCs w:val="22"/>
        </w:rPr>
        <w:t>2026).</w:t>
      </w:r>
      <w:r>
        <w:rPr>
          <w:rFonts w:ascii="Arial" w:hAnsi="Arial" w:cs="Arial"/>
          <w:sz w:val="22"/>
          <w:szCs w:val="22"/>
        </w:rPr>
        <w:t xml:space="preserve">  </w:t>
      </w:r>
    </w:p>
    <w:p w14:paraId="12FD7E9B" w14:textId="77777777" w:rsidR="00E76C86" w:rsidRPr="00E76C86" w:rsidRDefault="00E76C86" w:rsidP="00E76C86">
      <w:pPr>
        <w:pStyle w:val="p2"/>
        <w:spacing w:line="360" w:lineRule="auto"/>
        <w:rPr>
          <w:rFonts w:ascii="Arial" w:hAnsi="Arial" w:cs="Arial"/>
          <w:sz w:val="22"/>
          <w:szCs w:val="22"/>
        </w:rPr>
      </w:pPr>
    </w:p>
    <w:p w14:paraId="21EEC3E5" w14:textId="126796D0" w:rsidR="00E76C86" w:rsidRPr="00E76C86" w:rsidRDefault="00E76C86" w:rsidP="00E76C86">
      <w:pPr>
        <w:pStyle w:val="p1"/>
        <w:spacing w:line="360" w:lineRule="auto"/>
        <w:rPr>
          <w:rFonts w:ascii="Arial" w:hAnsi="Arial" w:cs="Arial"/>
          <w:sz w:val="22"/>
          <w:szCs w:val="22"/>
        </w:rPr>
      </w:pPr>
      <w:r w:rsidRPr="00E76C86">
        <w:rPr>
          <w:rFonts w:ascii="Arial" w:hAnsi="Arial" w:cs="Arial"/>
          <w:sz w:val="22"/>
          <w:szCs w:val="22"/>
        </w:rPr>
        <w:t xml:space="preserve">Porter, M. and Lee, T. (2013) ‘The strategy that will fix health care’, </w:t>
      </w:r>
      <w:r w:rsidRPr="00E76C86">
        <w:rPr>
          <w:rFonts w:ascii="Arial" w:hAnsi="Arial" w:cs="Arial"/>
          <w:i/>
          <w:iCs/>
          <w:sz w:val="22"/>
          <w:szCs w:val="22"/>
        </w:rPr>
        <w:t>Harvard Business Review</w:t>
      </w:r>
      <w:r w:rsidRPr="00E76C86">
        <w:rPr>
          <w:rFonts w:ascii="Arial" w:hAnsi="Arial" w:cs="Arial"/>
          <w:sz w:val="22"/>
          <w:szCs w:val="22"/>
        </w:rPr>
        <w:t xml:space="preserve">. Available at: </w:t>
      </w:r>
      <w:hyperlink r:id="rId25" w:history="1">
        <w:r w:rsidRPr="00B73BCC">
          <w:rPr>
            <w:rStyle w:val="Hyperlink"/>
            <w:rFonts w:ascii="Arial" w:hAnsi="Arial" w:cs="Arial"/>
            <w:sz w:val="22"/>
            <w:szCs w:val="22"/>
          </w:rPr>
          <w:t>https://hbr.org/2013/10/the-strategy-that-will-fix-health-care</w:t>
        </w:r>
      </w:hyperlink>
      <w:r>
        <w:rPr>
          <w:rFonts w:ascii="Arial" w:hAnsi="Arial" w:cs="Arial"/>
          <w:sz w:val="22"/>
          <w:szCs w:val="22"/>
        </w:rPr>
        <w:t xml:space="preserve"> </w:t>
      </w:r>
      <w:r w:rsidRPr="00E76C86">
        <w:rPr>
          <w:rFonts w:ascii="Arial" w:hAnsi="Arial" w:cs="Arial"/>
          <w:sz w:val="22"/>
          <w:szCs w:val="22"/>
        </w:rPr>
        <w:t xml:space="preserve">(Accessed: </w:t>
      </w:r>
      <w:r>
        <w:rPr>
          <w:rFonts w:ascii="Arial" w:hAnsi="Arial" w:cs="Arial"/>
          <w:sz w:val="22"/>
          <w:szCs w:val="22"/>
        </w:rPr>
        <w:t xml:space="preserve">10 April </w:t>
      </w:r>
      <w:r w:rsidRPr="00E76C86">
        <w:rPr>
          <w:rFonts w:ascii="Arial" w:hAnsi="Arial" w:cs="Arial"/>
          <w:sz w:val="22"/>
          <w:szCs w:val="22"/>
        </w:rPr>
        <w:t>2026).</w:t>
      </w:r>
      <w:r>
        <w:rPr>
          <w:rFonts w:ascii="Arial" w:hAnsi="Arial" w:cs="Arial"/>
          <w:sz w:val="22"/>
          <w:szCs w:val="22"/>
        </w:rPr>
        <w:t xml:space="preserve">  </w:t>
      </w:r>
    </w:p>
    <w:p w14:paraId="5FDDFBE2" w14:textId="77777777" w:rsidR="00E76C86" w:rsidRPr="00E76C86" w:rsidRDefault="00E76C86" w:rsidP="00E76C86">
      <w:pPr>
        <w:pStyle w:val="p2"/>
        <w:spacing w:line="360" w:lineRule="auto"/>
        <w:rPr>
          <w:rFonts w:ascii="Arial" w:hAnsi="Arial" w:cs="Arial"/>
          <w:sz w:val="22"/>
          <w:szCs w:val="22"/>
        </w:rPr>
      </w:pPr>
    </w:p>
    <w:p w14:paraId="6215092E" w14:textId="66DD8546" w:rsidR="00E76C86" w:rsidRPr="00E76C86" w:rsidRDefault="00E76C86" w:rsidP="00E76C86">
      <w:pPr>
        <w:pStyle w:val="p1"/>
        <w:spacing w:line="360" w:lineRule="auto"/>
        <w:rPr>
          <w:rFonts w:ascii="Arial" w:hAnsi="Arial" w:cs="Arial"/>
          <w:sz w:val="22"/>
          <w:szCs w:val="22"/>
        </w:rPr>
      </w:pPr>
      <w:r w:rsidRPr="00E76C86">
        <w:rPr>
          <w:rFonts w:ascii="Arial" w:hAnsi="Arial" w:cs="Arial"/>
          <w:sz w:val="22"/>
          <w:szCs w:val="22"/>
        </w:rPr>
        <w:t xml:space="preserve">Robinson, L., Cotten, S.R., Ono, H., Quan-Haase, A., Mesch, G., Chen, W., Schulz, J., Hale, T.M. and Stern, M.J. (2015) ‘Digital inequalities and why they matter’, </w:t>
      </w:r>
      <w:r w:rsidRPr="00E76C86">
        <w:rPr>
          <w:rFonts w:ascii="Arial" w:hAnsi="Arial" w:cs="Arial"/>
          <w:i/>
          <w:iCs/>
          <w:sz w:val="22"/>
          <w:szCs w:val="22"/>
        </w:rPr>
        <w:t>Information, Communication &amp; Society</w:t>
      </w:r>
      <w:r w:rsidRPr="00E76C86">
        <w:rPr>
          <w:rFonts w:ascii="Arial" w:hAnsi="Arial" w:cs="Arial"/>
          <w:sz w:val="22"/>
          <w:szCs w:val="22"/>
        </w:rPr>
        <w:t xml:space="preserve">, 18(5), pp. 569–582. Available at: </w:t>
      </w:r>
      <w:hyperlink r:id="rId26" w:history="1">
        <w:r w:rsidRPr="00B73BCC">
          <w:rPr>
            <w:rStyle w:val="Hyperlink"/>
            <w:rFonts w:ascii="Arial" w:hAnsi="Arial" w:cs="Arial"/>
            <w:sz w:val="22"/>
            <w:szCs w:val="22"/>
          </w:rPr>
          <w:t>https://doi.org/10.1080/1369118x.2015.1012532</w:t>
        </w:r>
      </w:hyperlink>
      <w:r>
        <w:rPr>
          <w:rFonts w:ascii="Arial" w:hAnsi="Arial" w:cs="Arial"/>
          <w:sz w:val="22"/>
          <w:szCs w:val="22"/>
        </w:rPr>
        <w:t xml:space="preserve"> </w:t>
      </w:r>
      <w:r w:rsidRPr="00E76C86">
        <w:rPr>
          <w:rFonts w:ascii="Arial" w:hAnsi="Arial" w:cs="Arial"/>
          <w:sz w:val="22"/>
          <w:szCs w:val="22"/>
        </w:rPr>
        <w:t xml:space="preserve">(Accessed: </w:t>
      </w:r>
      <w:r>
        <w:rPr>
          <w:rFonts w:ascii="Arial" w:hAnsi="Arial" w:cs="Arial"/>
          <w:sz w:val="22"/>
          <w:szCs w:val="22"/>
        </w:rPr>
        <w:t xml:space="preserve">10 April </w:t>
      </w:r>
      <w:r w:rsidRPr="00E76C86">
        <w:rPr>
          <w:rFonts w:ascii="Arial" w:hAnsi="Arial" w:cs="Arial"/>
          <w:sz w:val="22"/>
          <w:szCs w:val="22"/>
        </w:rPr>
        <w:t>2026).</w:t>
      </w:r>
      <w:r>
        <w:rPr>
          <w:rFonts w:ascii="Arial" w:hAnsi="Arial" w:cs="Arial"/>
          <w:sz w:val="22"/>
          <w:szCs w:val="22"/>
        </w:rPr>
        <w:t xml:space="preserve"> </w:t>
      </w:r>
    </w:p>
    <w:p w14:paraId="5C0E221F" w14:textId="77777777" w:rsidR="00E76C86" w:rsidRPr="00E76C86" w:rsidRDefault="00E76C86" w:rsidP="00E76C86">
      <w:pPr>
        <w:pStyle w:val="p2"/>
        <w:spacing w:line="360" w:lineRule="auto"/>
        <w:rPr>
          <w:rFonts w:ascii="Arial" w:hAnsi="Arial" w:cs="Arial"/>
          <w:sz w:val="22"/>
          <w:szCs w:val="22"/>
        </w:rPr>
      </w:pPr>
    </w:p>
    <w:p w14:paraId="253FD522" w14:textId="04E82C4F" w:rsidR="00E76C86" w:rsidRPr="00E76C86" w:rsidRDefault="00E76C86" w:rsidP="00E76C86">
      <w:pPr>
        <w:pStyle w:val="p1"/>
        <w:spacing w:line="360" w:lineRule="auto"/>
        <w:rPr>
          <w:rFonts w:ascii="Arial" w:hAnsi="Arial" w:cs="Arial"/>
          <w:sz w:val="22"/>
          <w:szCs w:val="22"/>
        </w:rPr>
      </w:pPr>
      <w:r w:rsidRPr="00E76C86">
        <w:rPr>
          <w:rFonts w:ascii="Arial" w:hAnsi="Arial" w:cs="Arial"/>
          <w:sz w:val="22"/>
          <w:szCs w:val="22"/>
        </w:rPr>
        <w:lastRenderedPageBreak/>
        <w:t xml:space="preserve">World Health Organization (2016) </w:t>
      </w:r>
      <w:r w:rsidRPr="00E76C86">
        <w:rPr>
          <w:rFonts w:ascii="Arial" w:hAnsi="Arial" w:cs="Arial"/>
          <w:i/>
          <w:iCs/>
          <w:sz w:val="22"/>
          <w:szCs w:val="22"/>
        </w:rPr>
        <w:t>Framework on integrated, people-centred health services</w:t>
      </w:r>
      <w:r w:rsidRPr="00E76C86">
        <w:rPr>
          <w:rFonts w:ascii="Arial" w:hAnsi="Arial" w:cs="Arial"/>
          <w:sz w:val="22"/>
          <w:szCs w:val="22"/>
        </w:rPr>
        <w:t xml:space="preserve">. Available at: </w:t>
      </w:r>
      <w:hyperlink r:id="rId27" w:history="1">
        <w:r w:rsidRPr="00B73BCC">
          <w:rPr>
            <w:rStyle w:val="Hyperlink"/>
            <w:rFonts w:ascii="Arial" w:hAnsi="Arial" w:cs="Arial"/>
            <w:sz w:val="22"/>
            <w:szCs w:val="22"/>
          </w:rPr>
          <w:t>https://apps.who.int/gb/ebwha/pdf_files/WHA69/A69_39-en.pdf</w:t>
        </w:r>
      </w:hyperlink>
      <w:r>
        <w:rPr>
          <w:rFonts w:ascii="Arial" w:hAnsi="Arial" w:cs="Arial"/>
          <w:sz w:val="22"/>
          <w:szCs w:val="22"/>
        </w:rPr>
        <w:t xml:space="preserve"> </w:t>
      </w:r>
      <w:r w:rsidRPr="00E76C86">
        <w:rPr>
          <w:rFonts w:ascii="Arial" w:hAnsi="Arial" w:cs="Arial"/>
          <w:sz w:val="22"/>
          <w:szCs w:val="22"/>
        </w:rPr>
        <w:t xml:space="preserve">(Accessed: </w:t>
      </w:r>
      <w:r>
        <w:rPr>
          <w:rFonts w:ascii="Arial" w:hAnsi="Arial" w:cs="Arial"/>
          <w:sz w:val="22"/>
          <w:szCs w:val="22"/>
        </w:rPr>
        <w:t xml:space="preserve">10 April </w:t>
      </w:r>
      <w:r w:rsidRPr="00E76C86">
        <w:rPr>
          <w:rFonts w:ascii="Arial" w:hAnsi="Arial" w:cs="Arial"/>
          <w:sz w:val="22"/>
          <w:szCs w:val="22"/>
        </w:rPr>
        <w:t>2026).</w:t>
      </w:r>
      <w:r>
        <w:rPr>
          <w:rFonts w:ascii="Arial" w:hAnsi="Arial" w:cs="Arial"/>
          <w:sz w:val="22"/>
          <w:szCs w:val="22"/>
        </w:rPr>
        <w:t xml:space="preserve">  </w:t>
      </w:r>
    </w:p>
    <w:p w14:paraId="0D419E4C" w14:textId="77777777" w:rsidR="00505872" w:rsidRDefault="00505872" w:rsidP="006A67C0">
      <w:pPr>
        <w:pStyle w:val="NormalWeb"/>
        <w:shd w:val="clear" w:color="auto" w:fill="FFFFFF"/>
        <w:ind w:left="720"/>
        <w:rPr>
          <w:rFonts w:ascii="Calibri" w:hAnsi="Calibri" w:cs="Calibri"/>
          <w:color w:val="000000"/>
          <w:sz w:val="27"/>
          <w:szCs w:val="27"/>
        </w:rPr>
      </w:pPr>
    </w:p>
    <w:p w14:paraId="29627EF6" w14:textId="77777777" w:rsidR="00CF7B6D" w:rsidRPr="00CF7B6D" w:rsidRDefault="00CF7B6D" w:rsidP="00CF7B6D">
      <w:pPr>
        <w:pStyle w:val="NormalWeb"/>
        <w:shd w:val="clear" w:color="auto" w:fill="FFFFFF"/>
        <w:spacing w:line="360" w:lineRule="auto"/>
        <w:rPr>
          <w:rFonts w:ascii="Arial" w:hAnsi="Arial" w:cs="Arial"/>
          <w:color w:val="000000"/>
          <w:sz w:val="22"/>
          <w:szCs w:val="22"/>
        </w:rPr>
      </w:pPr>
    </w:p>
    <w:p w14:paraId="42AD636E" w14:textId="77777777" w:rsidR="00CF7B6D" w:rsidRDefault="00CF7B6D" w:rsidP="00CF7B6D">
      <w:pPr>
        <w:pStyle w:val="NormalWeb"/>
        <w:shd w:val="clear" w:color="auto" w:fill="FFFFFF"/>
        <w:rPr>
          <w:rFonts w:ascii="Calibri" w:hAnsi="Calibri" w:cs="Calibri"/>
          <w:color w:val="000000"/>
        </w:rPr>
      </w:pPr>
    </w:p>
    <w:p w14:paraId="10CC586B" w14:textId="77777777" w:rsidR="002D4662" w:rsidRPr="00F807A7" w:rsidRDefault="002D4662" w:rsidP="008375B5">
      <w:pPr>
        <w:spacing w:line="360" w:lineRule="auto"/>
        <w:rPr>
          <w:rFonts w:ascii="Times New Roman" w:hAnsi="Times New Roman"/>
          <w:sz w:val="28"/>
          <w:szCs w:val="28"/>
        </w:rPr>
      </w:pPr>
    </w:p>
    <w:sectPr w:rsidR="002D4662" w:rsidRPr="00F807A7" w:rsidSect="008375B5">
      <w:footerReference w:type="default" r:id="rId2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F3414D" w14:textId="77777777" w:rsidR="00AC2FB5" w:rsidRDefault="00AC2FB5" w:rsidP="008375B5">
      <w:pPr>
        <w:spacing w:after="0" w:line="240" w:lineRule="auto"/>
      </w:pPr>
      <w:r>
        <w:separator/>
      </w:r>
    </w:p>
  </w:endnote>
  <w:endnote w:type="continuationSeparator" w:id="0">
    <w:p w14:paraId="12585356" w14:textId="77777777" w:rsidR="00AC2FB5" w:rsidRDefault="00AC2FB5" w:rsidP="008375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4E1DB2" w14:textId="77777777" w:rsidR="008375B5" w:rsidRDefault="008375B5">
    <w:pPr>
      <w:pStyle w:val="Footer"/>
      <w:jc w:val="center"/>
    </w:pPr>
    <w:r>
      <w:fldChar w:fldCharType="begin"/>
    </w:r>
    <w:r>
      <w:instrText xml:space="preserve"> PAGE   \* MERGEFORMAT </w:instrText>
    </w:r>
    <w:r>
      <w:fldChar w:fldCharType="separate"/>
    </w:r>
    <w:r>
      <w:rPr>
        <w:noProof/>
      </w:rPr>
      <w:t>2</w:t>
    </w:r>
    <w:r>
      <w:rPr>
        <w:noProof/>
      </w:rPr>
      <w:fldChar w:fldCharType="end"/>
    </w:r>
  </w:p>
  <w:p w14:paraId="5FD61B31" w14:textId="77777777" w:rsidR="008375B5" w:rsidRDefault="008375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7EF5B1" w14:textId="77777777" w:rsidR="00AC2FB5" w:rsidRDefault="00AC2FB5" w:rsidP="008375B5">
      <w:pPr>
        <w:spacing w:after="0" w:line="240" w:lineRule="auto"/>
      </w:pPr>
      <w:r>
        <w:separator/>
      </w:r>
    </w:p>
  </w:footnote>
  <w:footnote w:type="continuationSeparator" w:id="0">
    <w:p w14:paraId="082F73C1" w14:textId="77777777" w:rsidR="00AC2FB5" w:rsidRDefault="00AC2FB5" w:rsidP="008375B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BE796F"/>
    <w:multiLevelType w:val="multilevel"/>
    <w:tmpl w:val="DB000E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185521C"/>
    <w:multiLevelType w:val="multilevel"/>
    <w:tmpl w:val="7CC4F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840027C"/>
    <w:multiLevelType w:val="hybridMultilevel"/>
    <w:tmpl w:val="713474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F73EA6"/>
    <w:multiLevelType w:val="multilevel"/>
    <w:tmpl w:val="47AE48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4797A47"/>
    <w:multiLevelType w:val="hybridMultilevel"/>
    <w:tmpl w:val="F4C02892"/>
    <w:lvl w:ilvl="0" w:tplc="0B3422EA">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90A1530"/>
    <w:multiLevelType w:val="multilevel"/>
    <w:tmpl w:val="091837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AE96E7A"/>
    <w:multiLevelType w:val="multilevel"/>
    <w:tmpl w:val="2F6228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B440048"/>
    <w:multiLevelType w:val="hybridMultilevel"/>
    <w:tmpl w:val="05CA77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C8C38FC"/>
    <w:multiLevelType w:val="hybridMultilevel"/>
    <w:tmpl w:val="306CE9BC"/>
    <w:lvl w:ilvl="0" w:tplc="D152E2C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11B2484"/>
    <w:multiLevelType w:val="hybridMultilevel"/>
    <w:tmpl w:val="31D664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5D73A0A"/>
    <w:multiLevelType w:val="hybridMultilevel"/>
    <w:tmpl w:val="98E649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F0E4EB0"/>
    <w:multiLevelType w:val="hybridMultilevel"/>
    <w:tmpl w:val="E43EDD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F310881"/>
    <w:multiLevelType w:val="hybridMultilevel"/>
    <w:tmpl w:val="024442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43403798">
    <w:abstractNumId w:val="2"/>
  </w:num>
  <w:num w:numId="2" w16cid:durableId="206836961">
    <w:abstractNumId w:val="3"/>
  </w:num>
  <w:num w:numId="3" w16cid:durableId="1107507025">
    <w:abstractNumId w:val="5"/>
  </w:num>
  <w:num w:numId="4" w16cid:durableId="1673529186">
    <w:abstractNumId w:val="0"/>
  </w:num>
  <w:num w:numId="5" w16cid:durableId="1598364107">
    <w:abstractNumId w:val="1"/>
  </w:num>
  <w:num w:numId="6" w16cid:durableId="989092136">
    <w:abstractNumId w:val="6"/>
  </w:num>
  <w:num w:numId="7" w16cid:durableId="247422111">
    <w:abstractNumId w:val="8"/>
  </w:num>
  <w:num w:numId="8" w16cid:durableId="2147240923">
    <w:abstractNumId w:val="9"/>
  </w:num>
  <w:num w:numId="9" w16cid:durableId="1504129043">
    <w:abstractNumId w:val="10"/>
  </w:num>
  <w:num w:numId="10" w16cid:durableId="157238144">
    <w:abstractNumId w:val="12"/>
  </w:num>
  <w:num w:numId="11" w16cid:durableId="901252233">
    <w:abstractNumId w:val="11"/>
  </w:num>
  <w:num w:numId="12" w16cid:durableId="524828405">
    <w:abstractNumId w:val="7"/>
  </w:num>
  <w:num w:numId="13" w16cid:durableId="18527211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3"/>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254B"/>
    <w:rsid w:val="00051868"/>
    <w:rsid w:val="000C0F2F"/>
    <w:rsid w:val="000C44F5"/>
    <w:rsid w:val="00125285"/>
    <w:rsid w:val="00141EF0"/>
    <w:rsid w:val="001F233D"/>
    <w:rsid w:val="002049F6"/>
    <w:rsid w:val="00207A13"/>
    <w:rsid w:val="0022412F"/>
    <w:rsid w:val="00247055"/>
    <w:rsid w:val="002539D3"/>
    <w:rsid w:val="00255D51"/>
    <w:rsid w:val="00263DA4"/>
    <w:rsid w:val="002A1C19"/>
    <w:rsid w:val="002A3A44"/>
    <w:rsid w:val="002D0E36"/>
    <w:rsid w:val="002D4662"/>
    <w:rsid w:val="00367097"/>
    <w:rsid w:val="003707F9"/>
    <w:rsid w:val="00427065"/>
    <w:rsid w:val="004727D5"/>
    <w:rsid w:val="004C3280"/>
    <w:rsid w:val="004E53DD"/>
    <w:rsid w:val="004F725D"/>
    <w:rsid w:val="00501EAD"/>
    <w:rsid w:val="00505872"/>
    <w:rsid w:val="00537FF6"/>
    <w:rsid w:val="0058254B"/>
    <w:rsid w:val="005A79F3"/>
    <w:rsid w:val="006A67C0"/>
    <w:rsid w:val="006B724A"/>
    <w:rsid w:val="0078119E"/>
    <w:rsid w:val="00793FDB"/>
    <w:rsid w:val="007B4881"/>
    <w:rsid w:val="008265EC"/>
    <w:rsid w:val="00826D77"/>
    <w:rsid w:val="008375B5"/>
    <w:rsid w:val="00840C2D"/>
    <w:rsid w:val="00871C29"/>
    <w:rsid w:val="00883B6A"/>
    <w:rsid w:val="008E2ED2"/>
    <w:rsid w:val="008E31E6"/>
    <w:rsid w:val="008F1C3F"/>
    <w:rsid w:val="0091645B"/>
    <w:rsid w:val="009334D8"/>
    <w:rsid w:val="009709E3"/>
    <w:rsid w:val="00987802"/>
    <w:rsid w:val="009F1EC5"/>
    <w:rsid w:val="00A01C28"/>
    <w:rsid w:val="00A16DBB"/>
    <w:rsid w:val="00A174C2"/>
    <w:rsid w:val="00A875D4"/>
    <w:rsid w:val="00A9474F"/>
    <w:rsid w:val="00AB707B"/>
    <w:rsid w:val="00AC2DCE"/>
    <w:rsid w:val="00AC2FB5"/>
    <w:rsid w:val="00AC3FDE"/>
    <w:rsid w:val="00B16167"/>
    <w:rsid w:val="00B52B7C"/>
    <w:rsid w:val="00B8573D"/>
    <w:rsid w:val="00B9015A"/>
    <w:rsid w:val="00BD2E4E"/>
    <w:rsid w:val="00C26857"/>
    <w:rsid w:val="00C80D0F"/>
    <w:rsid w:val="00CF7B6D"/>
    <w:rsid w:val="00D40915"/>
    <w:rsid w:val="00DD3C9A"/>
    <w:rsid w:val="00E334A4"/>
    <w:rsid w:val="00E51FC0"/>
    <w:rsid w:val="00E76C86"/>
    <w:rsid w:val="00ED1B0F"/>
    <w:rsid w:val="00EE7B7C"/>
    <w:rsid w:val="00F807A7"/>
    <w:rsid w:val="00FA09DD"/>
    <w:rsid w:val="00FE61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F71B94"/>
  <w15:chartTrackingRefBased/>
  <w15:docId w15:val="{2D02932C-6228-CC4E-BDFF-ED79B0AD90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78" w:lineRule="auto"/>
    </w:pPr>
    <w:rPr>
      <w:kern w:val="2"/>
      <w:sz w:val="24"/>
      <w:szCs w:val="24"/>
      <w:lang w:eastAsia="en-US"/>
    </w:rPr>
  </w:style>
  <w:style w:type="paragraph" w:styleId="Heading1">
    <w:name w:val="heading 1"/>
    <w:basedOn w:val="Normal"/>
    <w:next w:val="Normal"/>
    <w:link w:val="Heading1Char"/>
    <w:uiPriority w:val="9"/>
    <w:qFormat/>
    <w:rsid w:val="0058254B"/>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link w:val="Heading2Char"/>
    <w:uiPriority w:val="9"/>
    <w:semiHidden/>
    <w:unhideWhenUsed/>
    <w:qFormat/>
    <w:rsid w:val="0058254B"/>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link w:val="Heading3Char"/>
    <w:uiPriority w:val="9"/>
    <w:semiHidden/>
    <w:unhideWhenUsed/>
    <w:qFormat/>
    <w:rsid w:val="0058254B"/>
    <w:pPr>
      <w:keepNext/>
      <w:keepLines/>
      <w:spacing w:before="160" w:after="80"/>
      <w:outlineLvl w:val="2"/>
    </w:pPr>
    <w:rPr>
      <w:rFonts w:eastAsia="Times New Roman"/>
      <w:color w:val="0F4761"/>
      <w:sz w:val="28"/>
      <w:szCs w:val="28"/>
    </w:rPr>
  </w:style>
  <w:style w:type="paragraph" w:styleId="Heading4">
    <w:name w:val="heading 4"/>
    <w:basedOn w:val="Normal"/>
    <w:next w:val="Normal"/>
    <w:link w:val="Heading4Char"/>
    <w:uiPriority w:val="9"/>
    <w:semiHidden/>
    <w:unhideWhenUsed/>
    <w:qFormat/>
    <w:rsid w:val="0058254B"/>
    <w:pPr>
      <w:keepNext/>
      <w:keepLines/>
      <w:spacing w:before="80" w:after="40"/>
      <w:outlineLvl w:val="3"/>
    </w:pPr>
    <w:rPr>
      <w:rFonts w:eastAsia="Times New Roman"/>
      <w:i/>
      <w:iCs/>
      <w:color w:val="0F4761"/>
    </w:rPr>
  </w:style>
  <w:style w:type="paragraph" w:styleId="Heading5">
    <w:name w:val="heading 5"/>
    <w:basedOn w:val="Normal"/>
    <w:next w:val="Normal"/>
    <w:link w:val="Heading5Char"/>
    <w:uiPriority w:val="9"/>
    <w:semiHidden/>
    <w:unhideWhenUsed/>
    <w:qFormat/>
    <w:rsid w:val="0058254B"/>
    <w:pPr>
      <w:keepNext/>
      <w:keepLines/>
      <w:spacing w:before="80" w:after="40"/>
      <w:outlineLvl w:val="4"/>
    </w:pPr>
    <w:rPr>
      <w:rFonts w:eastAsia="Times New Roman"/>
      <w:color w:val="0F4761"/>
    </w:rPr>
  </w:style>
  <w:style w:type="paragraph" w:styleId="Heading6">
    <w:name w:val="heading 6"/>
    <w:basedOn w:val="Normal"/>
    <w:next w:val="Normal"/>
    <w:link w:val="Heading6Char"/>
    <w:uiPriority w:val="9"/>
    <w:semiHidden/>
    <w:unhideWhenUsed/>
    <w:qFormat/>
    <w:rsid w:val="0058254B"/>
    <w:pPr>
      <w:keepNext/>
      <w:keepLines/>
      <w:spacing w:before="40" w:after="0"/>
      <w:outlineLvl w:val="5"/>
    </w:pPr>
    <w:rPr>
      <w:rFonts w:eastAsia="Times New Roman"/>
      <w:i/>
      <w:iCs/>
      <w:color w:val="595959"/>
    </w:rPr>
  </w:style>
  <w:style w:type="paragraph" w:styleId="Heading7">
    <w:name w:val="heading 7"/>
    <w:basedOn w:val="Normal"/>
    <w:next w:val="Normal"/>
    <w:link w:val="Heading7Char"/>
    <w:uiPriority w:val="9"/>
    <w:semiHidden/>
    <w:unhideWhenUsed/>
    <w:qFormat/>
    <w:rsid w:val="0058254B"/>
    <w:pPr>
      <w:keepNext/>
      <w:keepLines/>
      <w:spacing w:before="40" w:after="0"/>
      <w:outlineLvl w:val="6"/>
    </w:pPr>
    <w:rPr>
      <w:rFonts w:eastAsia="Times New Roman"/>
      <w:color w:val="595959"/>
    </w:rPr>
  </w:style>
  <w:style w:type="paragraph" w:styleId="Heading8">
    <w:name w:val="heading 8"/>
    <w:basedOn w:val="Normal"/>
    <w:next w:val="Normal"/>
    <w:link w:val="Heading8Char"/>
    <w:uiPriority w:val="9"/>
    <w:semiHidden/>
    <w:unhideWhenUsed/>
    <w:qFormat/>
    <w:rsid w:val="0058254B"/>
    <w:pPr>
      <w:keepNext/>
      <w:keepLines/>
      <w:spacing w:after="0"/>
      <w:outlineLvl w:val="7"/>
    </w:pPr>
    <w:rPr>
      <w:rFonts w:eastAsia="Times New Roman"/>
      <w:i/>
      <w:iCs/>
      <w:color w:val="272727"/>
    </w:rPr>
  </w:style>
  <w:style w:type="paragraph" w:styleId="Heading9">
    <w:name w:val="heading 9"/>
    <w:basedOn w:val="Normal"/>
    <w:next w:val="Normal"/>
    <w:link w:val="Heading9Char"/>
    <w:uiPriority w:val="9"/>
    <w:semiHidden/>
    <w:unhideWhenUsed/>
    <w:qFormat/>
    <w:rsid w:val="0058254B"/>
    <w:pPr>
      <w:keepNext/>
      <w:keepLines/>
      <w:spacing w:after="0"/>
      <w:outlineLvl w:val="8"/>
    </w:pPr>
    <w:rPr>
      <w:rFonts w:eastAsia="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58254B"/>
    <w:rPr>
      <w:rFonts w:ascii="Aptos Display" w:eastAsia="Times New Roman" w:hAnsi="Aptos Display" w:cs="Times New Roman"/>
      <w:color w:val="0F4761"/>
      <w:sz w:val="40"/>
      <w:szCs w:val="40"/>
    </w:rPr>
  </w:style>
  <w:style w:type="character" w:customStyle="1" w:styleId="Heading2Char">
    <w:name w:val="Heading 2 Char"/>
    <w:link w:val="Heading2"/>
    <w:uiPriority w:val="9"/>
    <w:semiHidden/>
    <w:rsid w:val="0058254B"/>
    <w:rPr>
      <w:rFonts w:ascii="Aptos Display" w:eastAsia="Times New Roman" w:hAnsi="Aptos Display" w:cs="Times New Roman"/>
      <w:color w:val="0F4761"/>
      <w:sz w:val="32"/>
      <w:szCs w:val="32"/>
    </w:rPr>
  </w:style>
  <w:style w:type="character" w:customStyle="1" w:styleId="Heading3Char">
    <w:name w:val="Heading 3 Char"/>
    <w:link w:val="Heading3"/>
    <w:uiPriority w:val="9"/>
    <w:semiHidden/>
    <w:rsid w:val="0058254B"/>
    <w:rPr>
      <w:rFonts w:eastAsia="Times New Roman" w:cs="Times New Roman"/>
      <w:color w:val="0F4761"/>
      <w:sz w:val="28"/>
      <w:szCs w:val="28"/>
    </w:rPr>
  </w:style>
  <w:style w:type="character" w:customStyle="1" w:styleId="Heading4Char">
    <w:name w:val="Heading 4 Char"/>
    <w:link w:val="Heading4"/>
    <w:uiPriority w:val="9"/>
    <w:semiHidden/>
    <w:rsid w:val="0058254B"/>
    <w:rPr>
      <w:rFonts w:eastAsia="Times New Roman" w:cs="Times New Roman"/>
      <w:i/>
      <w:iCs/>
      <w:color w:val="0F4761"/>
    </w:rPr>
  </w:style>
  <w:style w:type="character" w:customStyle="1" w:styleId="Heading5Char">
    <w:name w:val="Heading 5 Char"/>
    <w:link w:val="Heading5"/>
    <w:uiPriority w:val="9"/>
    <w:semiHidden/>
    <w:rsid w:val="0058254B"/>
    <w:rPr>
      <w:rFonts w:eastAsia="Times New Roman" w:cs="Times New Roman"/>
      <w:color w:val="0F4761"/>
    </w:rPr>
  </w:style>
  <w:style w:type="character" w:customStyle="1" w:styleId="Heading6Char">
    <w:name w:val="Heading 6 Char"/>
    <w:link w:val="Heading6"/>
    <w:uiPriority w:val="9"/>
    <w:semiHidden/>
    <w:rsid w:val="0058254B"/>
    <w:rPr>
      <w:rFonts w:eastAsia="Times New Roman" w:cs="Times New Roman"/>
      <w:i/>
      <w:iCs/>
      <w:color w:val="595959"/>
    </w:rPr>
  </w:style>
  <w:style w:type="character" w:customStyle="1" w:styleId="Heading7Char">
    <w:name w:val="Heading 7 Char"/>
    <w:link w:val="Heading7"/>
    <w:uiPriority w:val="9"/>
    <w:semiHidden/>
    <w:rsid w:val="0058254B"/>
    <w:rPr>
      <w:rFonts w:eastAsia="Times New Roman" w:cs="Times New Roman"/>
      <w:color w:val="595959"/>
    </w:rPr>
  </w:style>
  <w:style w:type="character" w:customStyle="1" w:styleId="Heading8Char">
    <w:name w:val="Heading 8 Char"/>
    <w:link w:val="Heading8"/>
    <w:uiPriority w:val="9"/>
    <w:semiHidden/>
    <w:rsid w:val="0058254B"/>
    <w:rPr>
      <w:rFonts w:eastAsia="Times New Roman" w:cs="Times New Roman"/>
      <w:i/>
      <w:iCs/>
      <w:color w:val="272727"/>
    </w:rPr>
  </w:style>
  <w:style w:type="character" w:customStyle="1" w:styleId="Heading9Char">
    <w:name w:val="Heading 9 Char"/>
    <w:link w:val="Heading9"/>
    <w:uiPriority w:val="9"/>
    <w:semiHidden/>
    <w:rsid w:val="0058254B"/>
    <w:rPr>
      <w:rFonts w:eastAsia="Times New Roman" w:cs="Times New Roman"/>
      <w:color w:val="272727"/>
    </w:rPr>
  </w:style>
  <w:style w:type="paragraph" w:styleId="Title">
    <w:name w:val="Title"/>
    <w:basedOn w:val="Normal"/>
    <w:next w:val="Normal"/>
    <w:link w:val="TitleChar"/>
    <w:uiPriority w:val="10"/>
    <w:qFormat/>
    <w:rsid w:val="0058254B"/>
    <w:pPr>
      <w:spacing w:after="80" w:line="240" w:lineRule="auto"/>
      <w:contextualSpacing/>
    </w:pPr>
    <w:rPr>
      <w:rFonts w:ascii="Aptos Display" w:eastAsia="Times New Roman" w:hAnsi="Aptos Display"/>
      <w:spacing w:val="-10"/>
      <w:kern w:val="28"/>
      <w:sz w:val="56"/>
      <w:szCs w:val="56"/>
    </w:rPr>
  </w:style>
  <w:style w:type="character" w:customStyle="1" w:styleId="TitleChar">
    <w:name w:val="Title Char"/>
    <w:link w:val="Title"/>
    <w:uiPriority w:val="10"/>
    <w:rsid w:val="0058254B"/>
    <w:rPr>
      <w:rFonts w:ascii="Aptos Display" w:eastAsia="Times New Roman" w:hAnsi="Aptos Display" w:cs="Times New Roman"/>
      <w:spacing w:val="-10"/>
      <w:kern w:val="28"/>
      <w:sz w:val="56"/>
      <w:szCs w:val="56"/>
    </w:rPr>
  </w:style>
  <w:style w:type="paragraph" w:styleId="Subtitle">
    <w:name w:val="Subtitle"/>
    <w:basedOn w:val="Normal"/>
    <w:next w:val="Normal"/>
    <w:link w:val="SubtitleChar"/>
    <w:uiPriority w:val="11"/>
    <w:qFormat/>
    <w:rsid w:val="0058254B"/>
    <w:pPr>
      <w:numPr>
        <w:ilvl w:val="1"/>
      </w:numPr>
    </w:pPr>
    <w:rPr>
      <w:rFonts w:eastAsia="Times New Roman"/>
      <w:color w:val="595959"/>
      <w:spacing w:val="15"/>
      <w:sz w:val="28"/>
      <w:szCs w:val="28"/>
    </w:rPr>
  </w:style>
  <w:style w:type="character" w:customStyle="1" w:styleId="SubtitleChar">
    <w:name w:val="Subtitle Char"/>
    <w:link w:val="Subtitle"/>
    <w:uiPriority w:val="11"/>
    <w:rsid w:val="0058254B"/>
    <w:rPr>
      <w:rFonts w:eastAsia="Times New Roman" w:cs="Times New Roman"/>
      <w:color w:val="595959"/>
      <w:spacing w:val="15"/>
      <w:sz w:val="28"/>
      <w:szCs w:val="28"/>
    </w:rPr>
  </w:style>
  <w:style w:type="paragraph" w:styleId="Quote">
    <w:name w:val="Quote"/>
    <w:basedOn w:val="Normal"/>
    <w:next w:val="Normal"/>
    <w:link w:val="QuoteChar"/>
    <w:uiPriority w:val="29"/>
    <w:qFormat/>
    <w:rsid w:val="0058254B"/>
    <w:pPr>
      <w:spacing w:before="160"/>
      <w:jc w:val="center"/>
    </w:pPr>
    <w:rPr>
      <w:i/>
      <w:iCs/>
      <w:color w:val="404040"/>
    </w:rPr>
  </w:style>
  <w:style w:type="character" w:customStyle="1" w:styleId="QuoteChar">
    <w:name w:val="Quote Char"/>
    <w:link w:val="Quote"/>
    <w:uiPriority w:val="29"/>
    <w:rsid w:val="0058254B"/>
    <w:rPr>
      <w:i/>
      <w:iCs/>
      <w:color w:val="404040"/>
    </w:rPr>
  </w:style>
  <w:style w:type="paragraph" w:styleId="ListParagraph">
    <w:name w:val="List Paragraph"/>
    <w:basedOn w:val="Normal"/>
    <w:uiPriority w:val="34"/>
    <w:qFormat/>
    <w:rsid w:val="0058254B"/>
    <w:pPr>
      <w:ind w:left="720"/>
      <w:contextualSpacing/>
    </w:pPr>
  </w:style>
  <w:style w:type="character" w:styleId="IntenseEmphasis">
    <w:name w:val="Intense Emphasis"/>
    <w:uiPriority w:val="21"/>
    <w:qFormat/>
    <w:rsid w:val="0058254B"/>
    <w:rPr>
      <w:i/>
      <w:iCs/>
      <w:color w:val="0F4761"/>
    </w:rPr>
  </w:style>
  <w:style w:type="paragraph" w:styleId="IntenseQuote">
    <w:name w:val="Intense Quote"/>
    <w:basedOn w:val="Normal"/>
    <w:next w:val="Normal"/>
    <w:link w:val="IntenseQuoteChar"/>
    <w:uiPriority w:val="30"/>
    <w:qFormat/>
    <w:rsid w:val="0058254B"/>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link w:val="IntenseQuote"/>
    <w:uiPriority w:val="30"/>
    <w:rsid w:val="0058254B"/>
    <w:rPr>
      <w:i/>
      <w:iCs/>
      <w:color w:val="0F4761"/>
    </w:rPr>
  </w:style>
  <w:style w:type="character" w:styleId="IntenseReference">
    <w:name w:val="Intense Reference"/>
    <w:uiPriority w:val="32"/>
    <w:qFormat/>
    <w:rsid w:val="0058254B"/>
    <w:rPr>
      <w:b/>
      <w:bCs/>
      <w:smallCaps/>
      <w:color w:val="0F4761"/>
      <w:spacing w:val="5"/>
    </w:rPr>
  </w:style>
  <w:style w:type="paragraph" w:styleId="NormalWeb">
    <w:name w:val="Normal (Web)"/>
    <w:basedOn w:val="Normal"/>
    <w:uiPriority w:val="99"/>
    <w:unhideWhenUsed/>
    <w:rsid w:val="008375B5"/>
    <w:pPr>
      <w:spacing w:before="100" w:beforeAutospacing="1" w:after="100" w:afterAutospacing="1" w:line="240" w:lineRule="auto"/>
    </w:pPr>
    <w:rPr>
      <w:rFonts w:ascii="Times New Roman" w:eastAsia="Times New Roman" w:hAnsi="Times New Roman"/>
      <w:kern w:val="0"/>
      <w:lang w:eastAsia="en-GB"/>
    </w:rPr>
  </w:style>
  <w:style w:type="character" w:customStyle="1" w:styleId="apple-converted-space">
    <w:name w:val="apple-converted-space"/>
    <w:basedOn w:val="DefaultParagraphFont"/>
    <w:rsid w:val="008375B5"/>
  </w:style>
  <w:style w:type="character" w:styleId="Strong">
    <w:name w:val="Strong"/>
    <w:uiPriority w:val="22"/>
    <w:qFormat/>
    <w:rsid w:val="008375B5"/>
    <w:rPr>
      <w:b/>
      <w:bCs/>
    </w:rPr>
  </w:style>
  <w:style w:type="paragraph" w:styleId="Header">
    <w:name w:val="header"/>
    <w:basedOn w:val="Normal"/>
    <w:link w:val="HeaderChar"/>
    <w:uiPriority w:val="99"/>
    <w:unhideWhenUsed/>
    <w:rsid w:val="008375B5"/>
    <w:pPr>
      <w:tabs>
        <w:tab w:val="center" w:pos="4513"/>
        <w:tab w:val="right" w:pos="9026"/>
      </w:tabs>
    </w:pPr>
  </w:style>
  <w:style w:type="character" w:customStyle="1" w:styleId="HeaderChar">
    <w:name w:val="Header Char"/>
    <w:link w:val="Header"/>
    <w:uiPriority w:val="99"/>
    <w:rsid w:val="008375B5"/>
    <w:rPr>
      <w:kern w:val="2"/>
      <w:sz w:val="24"/>
      <w:szCs w:val="24"/>
      <w:lang w:eastAsia="en-US"/>
    </w:rPr>
  </w:style>
  <w:style w:type="paragraph" w:styleId="Footer">
    <w:name w:val="footer"/>
    <w:basedOn w:val="Normal"/>
    <w:link w:val="FooterChar"/>
    <w:uiPriority w:val="99"/>
    <w:unhideWhenUsed/>
    <w:rsid w:val="008375B5"/>
    <w:pPr>
      <w:tabs>
        <w:tab w:val="center" w:pos="4513"/>
        <w:tab w:val="right" w:pos="9026"/>
      </w:tabs>
    </w:pPr>
  </w:style>
  <w:style w:type="character" w:customStyle="1" w:styleId="FooterChar">
    <w:name w:val="Footer Char"/>
    <w:link w:val="Footer"/>
    <w:uiPriority w:val="99"/>
    <w:rsid w:val="008375B5"/>
    <w:rPr>
      <w:kern w:val="2"/>
      <w:sz w:val="24"/>
      <w:szCs w:val="24"/>
      <w:lang w:eastAsia="en-US"/>
    </w:rPr>
  </w:style>
  <w:style w:type="paragraph" w:customStyle="1" w:styleId="p1">
    <w:name w:val="p1"/>
    <w:basedOn w:val="Normal"/>
    <w:rsid w:val="00CF7B6D"/>
    <w:pPr>
      <w:spacing w:before="100" w:beforeAutospacing="1" w:after="100" w:afterAutospacing="1" w:line="240" w:lineRule="auto"/>
    </w:pPr>
    <w:rPr>
      <w:rFonts w:ascii="Times New Roman" w:eastAsia="Times New Roman" w:hAnsi="Times New Roman"/>
      <w:kern w:val="0"/>
      <w:lang w:eastAsia="en-GB"/>
    </w:rPr>
  </w:style>
  <w:style w:type="character" w:styleId="Hyperlink">
    <w:name w:val="Hyperlink"/>
    <w:uiPriority w:val="99"/>
    <w:unhideWhenUsed/>
    <w:rsid w:val="00CF7B6D"/>
    <w:rPr>
      <w:color w:val="467886"/>
      <w:u w:val="single"/>
    </w:rPr>
  </w:style>
  <w:style w:type="character" w:styleId="UnresolvedMention">
    <w:name w:val="Unresolved Mention"/>
    <w:uiPriority w:val="99"/>
    <w:semiHidden/>
    <w:unhideWhenUsed/>
    <w:rsid w:val="00CF7B6D"/>
    <w:rPr>
      <w:color w:val="605E5C"/>
      <w:shd w:val="clear" w:color="auto" w:fill="E1DFDD"/>
    </w:rPr>
  </w:style>
  <w:style w:type="table" w:styleId="TableGrid">
    <w:name w:val="Table Grid"/>
    <w:basedOn w:val="TableNormal"/>
    <w:uiPriority w:val="59"/>
    <w:rsid w:val="0091645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B16167"/>
    <w:pPr>
      <w:spacing w:before="480" w:after="0" w:line="276" w:lineRule="auto"/>
      <w:outlineLvl w:val="9"/>
    </w:pPr>
    <w:rPr>
      <w:rFonts w:asciiTheme="majorHAnsi" w:eastAsiaTheme="majorEastAsia" w:hAnsiTheme="majorHAnsi" w:cstheme="majorBidi"/>
      <w:b/>
      <w:bCs/>
      <w:color w:val="0F4761" w:themeColor="accent1" w:themeShade="BF"/>
      <w:kern w:val="0"/>
      <w:sz w:val="28"/>
      <w:szCs w:val="28"/>
      <w:lang w:val="en-US"/>
    </w:rPr>
  </w:style>
  <w:style w:type="paragraph" w:styleId="TOC1">
    <w:name w:val="toc 1"/>
    <w:basedOn w:val="Normal"/>
    <w:next w:val="Normal"/>
    <w:autoRedefine/>
    <w:uiPriority w:val="39"/>
    <w:unhideWhenUsed/>
    <w:rsid w:val="00B16167"/>
    <w:pPr>
      <w:spacing w:before="120" w:after="0"/>
    </w:pPr>
    <w:rPr>
      <w:rFonts w:asciiTheme="minorHAnsi" w:hAnsiTheme="minorHAnsi"/>
      <w:b/>
      <w:bCs/>
      <w:i/>
      <w:iCs/>
    </w:rPr>
  </w:style>
  <w:style w:type="paragraph" w:styleId="TOC2">
    <w:name w:val="toc 2"/>
    <w:basedOn w:val="Normal"/>
    <w:next w:val="Normal"/>
    <w:autoRedefine/>
    <w:uiPriority w:val="39"/>
    <w:semiHidden/>
    <w:unhideWhenUsed/>
    <w:rsid w:val="00B16167"/>
    <w:pPr>
      <w:spacing w:before="120" w:after="0"/>
      <w:ind w:left="240"/>
    </w:pPr>
    <w:rPr>
      <w:rFonts w:asciiTheme="minorHAnsi" w:hAnsiTheme="minorHAnsi"/>
      <w:b/>
      <w:bCs/>
      <w:sz w:val="22"/>
      <w:szCs w:val="22"/>
    </w:rPr>
  </w:style>
  <w:style w:type="paragraph" w:styleId="TOC3">
    <w:name w:val="toc 3"/>
    <w:basedOn w:val="Normal"/>
    <w:next w:val="Normal"/>
    <w:autoRedefine/>
    <w:uiPriority w:val="39"/>
    <w:semiHidden/>
    <w:unhideWhenUsed/>
    <w:rsid w:val="00B16167"/>
    <w:pPr>
      <w:spacing w:after="0"/>
      <w:ind w:left="480"/>
    </w:pPr>
    <w:rPr>
      <w:rFonts w:asciiTheme="minorHAnsi" w:hAnsiTheme="minorHAnsi"/>
      <w:sz w:val="20"/>
      <w:szCs w:val="20"/>
    </w:rPr>
  </w:style>
  <w:style w:type="paragraph" w:styleId="TOC4">
    <w:name w:val="toc 4"/>
    <w:basedOn w:val="Normal"/>
    <w:next w:val="Normal"/>
    <w:autoRedefine/>
    <w:uiPriority w:val="39"/>
    <w:semiHidden/>
    <w:unhideWhenUsed/>
    <w:rsid w:val="00B16167"/>
    <w:pPr>
      <w:spacing w:after="0"/>
      <w:ind w:left="720"/>
    </w:pPr>
    <w:rPr>
      <w:rFonts w:asciiTheme="minorHAnsi" w:hAnsiTheme="minorHAnsi"/>
      <w:sz w:val="20"/>
      <w:szCs w:val="20"/>
    </w:rPr>
  </w:style>
  <w:style w:type="paragraph" w:styleId="TOC5">
    <w:name w:val="toc 5"/>
    <w:basedOn w:val="Normal"/>
    <w:next w:val="Normal"/>
    <w:autoRedefine/>
    <w:uiPriority w:val="39"/>
    <w:semiHidden/>
    <w:unhideWhenUsed/>
    <w:rsid w:val="00B16167"/>
    <w:pPr>
      <w:spacing w:after="0"/>
      <w:ind w:left="960"/>
    </w:pPr>
    <w:rPr>
      <w:rFonts w:asciiTheme="minorHAnsi" w:hAnsiTheme="minorHAnsi"/>
      <w:sz w:val="20"/>
      <w:szCs w:val="20"/>
    </w:rPr>
  </w:style>
  <w:style w:type="paragraph" w:styleId="TOC6">
    <w:name w:val="toc 6"/>
    <w:basedOn w:val="Normal"/>
    <w:next w:val="Normal"/>
    <w:autoRedefine/>
    <w:uiPriority w:val="39"/>
    <w:semiHidden/>
    <w:unhideWhenUsed/>
    <w:rsid w:val="00B16167"/>
    <w:pPr>
      <w:spacing w:after="0"/>
      <w:ind w:left="1200"/>
    </w:pPr>
    <w:rPr>
      <w:rFonts w:asciiTheme="minorHAnsi" w:hAnsiTheme="minorHAnsi"/>
      <w:sz w:val="20"/>
      <w:szCs w:val="20"/>
    </w:rPr>
  </w:style>
  <w:style w:type="paragraph" w:styleId="TOC7">
    <w:name w:val="toc 7"/>
    <w:basedOn w:val="Normal"/>
    <w:next w:val="Normal"/>
    <w:autoRedefine/>
    <w:uiPriority w:val="39"/>
    <w:semiHidden/>
    <w:unhideWhenUsed/>
    <w:rsid w:val="00B16167"/>
    <w:pPr>
      <w:spacing w:after="0"/>
      <w:ind w:left="1440"/>
    </w:pPr>
    <w:rPr>
      <w:rFonts w:asciiTheme="minorHAnsi" w:hAnsiTheme="minorHAnsi"/>
      <w:sz w:val="20"/>
      <w:szCs w:val="20"/>
    </w:rPr>
  </w:style>
  <w:style w:type="paragraph" w:styleId="TOC8">
    <w:name w:val="toc 8"/>
    <w:basedOn w:val="Normal"/>
    <w:next w:val="Normal"/>
    <w:autoRedefine/>
    <w:uiPriority w:val="39"/>
    <w:semiHidden/>
    <w:unhideWhenUsed/>
    <w:rsid w:val="00B16167"/>
    <w:pPr>
      <w:spacing w:after="0"/>
      <w:ind w:left="1680"/>
    </w:pPr>
    <w:rPr>
      <w:rFonts w:asciiTheme="minorHAnsi" w:hAnsiTheme="minorHAnsi"/>
      <w:sz w:val="20"/>
      <w:szCs w:val="20"/>
    </w:rPr>
  </w:style>
  <w:style w:type="paragraph" w:styleId="TOC9">
    <w:name w:val="toc 9"/>
    <w:basedOn w:val="Normal"/>
    <w:next w:val="Normal"/>
    <w:autoRedefine/>
    <w:uiPriority w:val="39"/>
    <w:semiHidden/>
    <w:unhideWhenUsed/>
    <w:rsid w:val="00B16167"/>
    <w:pPr>
      <w:spacing w:after="0"/>
      <w:ind w:left="1920"/>
    </w:pPr>
    <w:rPr>
      <w:rFonts w:asciiTheme="minorHAnsi" w:hAnsiTheme="minorHAnsi"/>
      <w:sz w:val="20"/>
      <w:szCs w:val="20"/>
    </w:rPr>
  </w:style>
  <w:style w:type="paragraph" w:customStyle="1" w:styleId="p2">
    <w:name w:val="p2"/>
    <w:basedOn w:val="Normal"/>
    <w:rsid w:val="00E76C86"/>
    <w:pPr>
      <w:spacing w:before="100" w:beforeAutospacing="1" w:after="100" w:afterAutospacing="1" w:line="240" w:lineRule="auto"/>
    </w:pPr>
    <w:rPr>
      <w:rFonts w:ascii="Times New Roman" w:eastAsia="Times New Roman" w:hAnsi="Times New Roman"/>
      <w:kern w:val="0"/>
      <w:lang w:eastAsia="en-GB"/>
    </w:rPr>
  </w:style>
  <w:style w:type="character" w:customStyle="1" w:styleId="s1">
    <w:name w:val="s1"/>
    <w:basedOn w:val="DefaultParagraphFont"/>
    <w:rsid w:val="00E76C86"/>
  </w:style>
  <w:style w:type="paragraph" w:customStyle="1" w:styleId="p3">
    <w:name w:val="p3"/>
    <w:basedOn w:val="Normal"/>
    <w:rsid w:val="00E76C86"/>
    <w:pPr>
      <w:spacing w:before="100" w:beforeAutospacing="1" w:after="100" w:afterAutospacing="1" w:line="240" w:lineRule="auto"/>
    </w:pPr>
    <w:rPr>
      <w:rFonts w:ascii="Times New Roman" w:eastAsia="Times New Roman" w:hAnsi="Times New Roman"/>
      <w:kern w:val="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4256466">
      <w:bodyDiv w:val="1"/>
      <w:marLeft w:val="0"/>
      <w:marRight w:val="0"/>
      <w:marTop w:val="0"/>
      <w:marBottom w:val="0"/>
      <w:divBdr>
        <w:top w:val="none" w:sz="0" w:space="0" w:color="auto"/>
        <w:left w:val="none" w:sz="0" w:space="0" w:color="auto"/>
        <w:bottom w:val="none" w:sz="0" w:space="0" w:color="auto"/>
        <w:right w:val="none" w:sz="0" w:space="0" w:color="auto"/>
      </w:divBdr>
    </w:div>
    <w:div w:id="1307203677">
      <w:bodyDiv w:val="1"/>
      <w:marLeft w:val="0"/>
      <w:marRight w:val="0"/>
      <w:marTop w:val="0"/>
      <w:marBottom w:val="0"/>
      <w:divBdr>
        <w:top w:val="none" w:sz="0" w:space="0" w:color="auto"/>
        <w:left w:val="none" w:sz="0" w:space="0" w:color="auto"/>
        <w:bottom w:val="none" w:sz="0" w:space="0" w:color="auto"/>
        <w:right w:val="none" w:sz="0" w:space="0" w:color="auto"/>
      </w:divBdr>
    </w:div>
    <w:div w:id="1542402545">
      <w:bodyDiv w:val="1"/>
      <w:marLeft w:val="0"/>
      <w:marRight w:val="0"/>
      <w:marTop w:val="0"/>
      <w:marBottom w:val="0"/>
      <w:divBdr>
        <w:top w:val="none" w:sz="0" w:space="0" w:color="auto"/>
        <w:left w:val="none" w:sz="0" w:space="0" w:color="auto"/>
        <w:bottom w:val="none" w:sz="0" w:space="0" w:color="auto"/>
        <w:right w:val="none" w:sz="0" w:space="0" w:color="auto"/>
      </w:divBdr>
    </w:div>
    <w:div w:id="1564412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doi.org/10.1080/02602938.2012.691462" TargetMode="External"/><Relationship Id="rId18" Type="http://schemas.openxmlformats.org/officeDocument/2006/relationships/hyperlink" Target="https://doi.org/10.5694/j.1326-5377.2004.tb05948.x" TargetMode="External"/><Relationship Id="rId26" Type="http://schemas.openxmlformats.org/officeDocument/2006/relationships/hyperlink" Target="https://doi.org/10.1080/1369118x.2015.1012532" TargetMode="External"/><Relationship Id="rId3" Type="http://schemas.openxmlformats.org/officeDocument/2006/relationships/settings" Target="settings.xml"/><Relationship Id="rId21" Type="http://schemas.openxmlformats.org/officeDocument/2006/relationships/hyperlink" Target="https://www.instituteofhealthequity.org/resources-reports/fair-society-healthy-lives-the-marmot-review" TargetMode="External"/><Relationship Id="rId7" Type="http://schemas.openxmlformats.org/officeDocument/2006/relationships/image" Target="media/image1.jpeg"/><Relationship Id="rId12" Type="http://schemas.openxmlformats.org/officeDocument/2006/relationships/hyperlink" Target="https://doi.org/10.1377/hlthaff.27.3.759" TargetMode="External"/><Relationship Id="rId17" Type="http://schemas.openxmlformats.org/officeDocument/2006/relationships/hyperlink" Target="https://doi.org/10.1111/j.0887-378x.2004.00325.x" TargetMode="External"/><Relationship Id="rId25" Type="http://schemas.openxmlformats.org/officeDocument/2006/relationships/hyperlink" Target="https://hbr.org/2013/10/the-strategy-that-will-fix-health-care" TargetMode="External"/><Relationship Id="rId2" Type="http://schemas.openxmlformats.org/officeDocument/2006/relationships/styles" Target="styles.xml"/><Relationship Id="rId16" Type="http://schemas.openxmlformats.org/officeDocument/2006/relationships/hyperlink" Target="https://doi.org/10.1371/journal.pmed.1001363" TargetMode="External"/><Relationship Id="rId20" Type="http://schemas.openxmlformats.org/officeDocument/2006/relationships/hyperlink" Target="https://www.ncbi.nlm.nih.gov/books/NBK222274/"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16/j.chb.2020.106424" TargetMode="External"/><Relationship Id="rId24" Type="http://schemas.openxmlformats.org/officeDocument/2006/relationships/hyperlink" Target="https://www.leadershipacademy.nhs.uk/resources/healthcare-leadership-model/" TargetMode="External"/><Relationship Id="rId5" Type="http://schemas.openxmlformats.org/officeDocument/2006/relationships/footnotes" Target="footnotes.xml"/><Relationship Id="rId15" Type="http://schemas.openxmlformats.org/officeDocument/2006/relationships/hyperlink" Target="https://doi.org/10.2307/249008" TargetMode="External"/><Relationship Id="rId23" Type="http://schemas.openxmlformats.org/officeDocument/2006/relationships/hyperlink" Target="https://www.england.nhs.uk/virtual-wards/" TargetMode="External"/><Relationship Id="rId28" Type="http://schemas.openxmlformats.org/officeDocument/2006/relationships/footer" Target="footer1.xml"/><Relationship Id="rId10" Type="http://schemas.openxmlformats.org/officeDocument/2006/relationships/hyperlink" Target="https://doi.org/10.1080/135943299398410" TargetMode="External"/><Relationship Id="rId19" Type="http://schemas.openxmlformats.org/officeDocument/2006/relationships/hyperlink" Target="https://doi.org/10.1002/14651858.cd007228.pub3" TargetMode="External"/><Relationship Id="rId4" Type="http://schemas.openxmlformats.org/officeDocument/2006/relationships/webSettings" Target="webSettings.xml"/><Relationship Id="rId9" Type="http://schemas.openxmlformats.org/officeDocument/2006/relationships/hyperlink" Target="https://doi.org/10.1136/bmjopen-2013-003055" TargetMode="External"/><Relationship Id="rId14" Type="http://schemas.openxmlformats.org/officeDocument/2006/relationships/hyperlink" Target="https://doi.org/10.1093/eurpub/ckv122" TargetMode="External"/><Relationship Id="rId22" Type="http://schemas.openxmlformats.org/officeDocument/2006/relationships/hyperlink" Target="https://doi.org/10.1111/medu.12583" TargetMode="External"/><Relationship Id="rId27" Type="http://schemas.openxmlformats.org/officeDocument/2006/relationships/hyperlink" Target="https://apps.who.int/gb/ebwha/pdf_files/WHA69/A69_39-en.pdf"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51</TotalTime>
  <Pages>15</Pages>
  <Words>3462</Words>
  <Characters>19735</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23151</CharactersWithSpaces>
  <SharedDoc>false</SharedDoc>
  <HLinks>
    <vt:vector size="36" baseType="variant">
      <vt:variant>
        <vt:i4>7078001</vt:i4>
      </vt:variant>
      <vt:variant>
        <vt:i4>18</vt:i4>
      </vt:variant>
      <vt:variant>
        <vt:i4>0</vt:i4>
      </vt:variant>
      <vt:variant>
        <vt:i4>5</vt:i4>
      </vt:variant>
      <vt:variant>
        <vt:lpwstr>https://apps.who.int/gb/ebwha/pdf_files/WHA69/A69_39-en.pdf</vt:lpwstr>
      </vt:variant>
      <vt:variant>
        <vt:lpwstr/>
      </vt:variant>
      <vt:variant>
        <vt:i4>2490494</vt:i4>
      </vt:variant>
      <vt:variant>
        <vt:i4>15</vt:i4>
      </vt:variant>
      <vt:variant>
        <vt:i4>0</vt:i4>
      </vt:variant>
      <vt:variant>
        <vt:i4>5</vt:i4>
      </vt:variant>
      <vt:variant>
        <vt:lpwstr>https://hbr.org/2013/10/the-strategy-that-will-fix-health-care</vt:lpwstr>
      </vt:variant>
      <vt:variant>
        <vt:lpwstr/>
      </vt:variant>
      <vt:variant>
        <vt:i4>7536742</vt:i4>
      </vt:variant>
      <vt:variant>
        <vt:i4>12</vt:i4>
      </vt:variant>
      <vt:variant>
        <vt:i4>0</vt:i4>
      </vt:variant>
      <vt:variant>
        <vt:i4>5</vt:i4>
      </vt:variant>
      <vt:variant>
        <vt:lpwstr>https://www.instituteofhealthequity.org/resources-reports/fair-society-healthy-lives-the-marmot-review</vt:lpwstr>
      </vt:variant>
      <vt:variant>
        <vt:lpwstr/>
      </vt:variant>
      <vt:variant>
        <vt:i4>2228350</vt:i4>
      </vt:variant>
      <vt:variant>
        <vt:i4>9</vt:i4>
      </vt:variant>
      <vt:variant>
        <vt:i4>0</vt:i4>
      </vt:variant>
      <vt:variant>
        <vt:i4>5</vt:i4>
      </vt:variant>
      <vt:variant>
        <vt:lpwstr>https://pmc.ncbi.nlm.nih.gov/articles/PMC3341696/pdf/BLT.11.099820.pdf</vt:lpwstr>
      </vt:variant>
      <vt:variant>
        <vt:lpwstr/>
      </vt:variant>
      <vt:variant>
        <vt:i4>2228279</vt:i4>
      </vt:variant>
      <vt:variant>
        <vt:i4>6</vt:i4>
      </vt:variant>
      <vt:variant>
        <vt:i4>0</vt:i4>
      </vt:variant>
      <vt:variant>
        <vt:i4>5</vt:i4>
      </vt:variant>
      <vt:variant>
        <vt:lpwstr>https://psycnet.apa.org/doiLanding?doi=10.1037%2F0021-9010.81.6.680</vt:lpwstr>
      </vt:variant>
      <vt:variant>
        <vt:lpwstr/>
      </vt:variant>
      <vt:variant>
        <vt:i4>4980820</vt:i4>
      </vt:variant>
      <vt:variant>
        <vt:i4>3</vt:i4>
      </vt:variant>
      <vt:variant>
        <vt:i4>0</vt:i4>
      </vt:variant>
      <vt:variant>
        <vt:i4>5</vt:i4>
      </vt:variant>
      <vt:variant>
        <vt:lpwstr>https://www.england.nhs.uk/virtual-wards/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Laila Surani</dc:creator>
  <cp:keywords/>
  <dc:description/>
  <cp:lastModifiedBy>Gabriela Arapu (2311889)</cp:lastModifiedBy>
  <cp:revision>10</cp:revision>
  <dcterms:created xsi:type="dcterms:W3CDTF">2026-03-21T16:47:00Z</dcterms:created>
  <dcterms:modified xsi:type="dcterms:W3CDTF">2026-04-13T09:31:00Z</dcterms:modified>
</cp:coreProperties>
</file>