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F6FE3A" w14:textId="77777777" w:rsidR="00925CF0" w:rsidRDefault="00B860DA" w:rsidP="00B860DA">
      <w:pPr>
        <w:jc w:val="center"/>
        <w:rPr>
          <w:b/>
          <w:sz w:val="28"/>
          <w:szCs w:val="28"/>
          <w:u w:val="single"/>
        </w:rPr>
      </w:pPr>
      <w:r w:rsidRPr="00B860DA">
        <w:rPr>
          <w:b/>
          <w:sz w:val="28"/>
          <w:szCs w:val="28"/>
          <w:u w:val="single"/>
        </w:rPr>
        <w:t>How D</w:t>
      </w:r>
      <w:r>
        <w:rPr>
          <w:b/>
          <w:sz w:val="28"/>
          <w:szCs w:val="28"/>
          <w:u w:val="single"/>
        </w:rPr>
        <w:t>oes Kierke</w:t>
      </w:r>
      <w:r w:rsidRPr="00B860DA">
        <w:rPr>
          <w:b/>
          <w:sz w:val="28"/>
          <w:szCs w:val="28"/>
          <w:u w:val="single"/>
        </w:rPr>
        <w:t>gaard Conceive of Truth, and is His Conception Coherent?</w:t>
      </w:r>
    </w:p>
    <w:p w14:paraId="3283C153" w14:textId="77777777" w:rsidR="00B860DA" w:rsidRPr="00B860DA" w:rsidRDefault="00B860DA" w:rsidP="00B860DA">
      <w:pPr>
        <w:jc w:val="center"/>
        <w:rPr>
          <w:b/>
          <w:sz w:val="28"/>
          <w:szCs w:val="28"/>
          <w:u w:val="single"/>
        </w:rPr>
      </w:pPr>
    </w:p>
    <w:p w14:paraId="039C6738" w14:textId="77777777" w:rsidR="00B860DA" w:rsidRDefault="00B860DA" w:rsidP="00B860DA">
      <w:pPr>
        <w:jc w:val="center"/>
        <w:rPr>
          <w:b/>
        </w:rPr>
      </w:pPr>
      <w:r w:rsidRPr="00B860DA">
        <w:rPr>
          <w:b/>
        </w:rPr>
        <w:t>(Present an answer that focuses on a close reading of the primary text, yet which relates your discussion to broader themes in Phenomenology and Existentialism.)</w:t>
      </w:r>
    </w:p>
    <w:p w14:paraId="22308F8F" w14:textId="77777777" w:rsidR="00B860DA" w:rsidRDefault="00B860DA" w:rsidP="00B860DA">
      <w:pPr>
        <w:jc w:val="center"/>
        <w:rPr>
          <w:b/>
        </w:rPr>
      </w:pPr>
    </w:p>
    <w:p w14:paraId="74EEC6DA" w14:textId="6D99D79F" w:rsidR="008E29B6" w:rsidRPr="001620C2" w:rsidRDefault="00B860DA" w:rsidP="008E29B6">
      <w:pPr>
        <w:rPr>
          <w:b/>
        </w:rPr>
      </w:pPr>
      <w:r w:rsidRPr="00A07291">
        <w:t>Kierkegaard longed for a relationship with the truth</w:t>
      </w:r>
      <w:r w:rsidR="00CC337F">
        <w:t xml:space="preserve"> by the way of</w:t>
      </w:r>
      <w:r w:rsidR="00E22318">
        <w:t xml:space="preserve"> appropriation</w:t>
      </w:r>
      <w:r w:rsidR="00BB3623">
        <w:t>.  Objective thinkers us</w:t>
      </w:r>
      <w:r w:rsidR="00FF464B">
        <w:t>e</w:t>
      </w:r>
      <w:r w:rsidR="00CC337F">
        <w:t xml:space="preserve"> approximation; this is a form of certainty, or </w:t>
      </w:r>
      <w:r w:rsidR="00BB3623">
        <w:t xml:space="preserve">a </w:t>
      </w:r>
      <w:r w:rsidR="00FF464B">
        <w:t xml:space="preserve">particular </w:t>
      </w:r>
      <w:r w:rsidR="00BB3623">
        <w:t>probability</w:t>
      </w:r>
      <w:r w:rsidR="00FF464B">
        <w:t xml:space="preserve"> that a truth they hold relates objectively to reality - it is a rational approach to the ‘mode of being’.</w:t>
      </w:r>
      <w:r w:rsidR="00BB3623">
        <w:t xml:space="preserve"> </w:t>
      </w:r>
      <w:r w:rsidR="00FF464B">
        <w:t xml:space="preserve"> Appropriation is what a subjective thinker uses to associate themselves with truth, and for Kierkegaard it is by way of faith.  Faith embodies objective uncertainties, but allows the individual </w:t>
      </w:r>
      <w:r w:rsidR="009E3CF6">
        <w:t>a relationship with</w:t>
      </w:r>
      <w:r w:rsidR="00FF464B">
        <w:t xml:space="preserve"> truth in their own subjective experience of life.  Importantly, Kierkegaard acknowledges that this must embrace the condition of uncertainty, yet living </w:t>
      </w:r>
      <w:r w:rsidR="00E973F7">
        <w:t>according to</w:t>
      </w:r>
      <w:r w:rsidR="00FF464B">
        <w:t xml:space="preserve"> faith (or by way of appropriation) fully allows the </w:t>
      </w:r>
      <w:r w:rsidR="00E973F7">
        <w:t>individual to look</w:t>
      </w:r>
      <w:r w:rsidR="00FF464B">
        <w:t xml:space="preserve"> outward at the world from their own inwardly appropriated viewpoint.  This</w:t>
      </w:r>
      <w:r w:rsidRPr="00A07291">
        <w:t xml:space="preserve"> he associates with what he believes is every human’s desired result in an atte</w:t>
      </w:r>
      <w:r w:rsidR="008E29B6">
        <w:t xml:space="preserve">mpt to find eternal happiness: </w:t>
      </w:r>
      <w:r w:rsidR="008E29B6" w:rsidRPr="008E29B6">
        <w:t>“That the knowing spirit is an existing individual spirit, and that every human being is such an entity existing for himself, is a truth I cannot too often repeat; for the fantastic neglect of this is responsible for much confusion.”</w:t>
      </w:r>
      <w:r w:rsidR="008E29B6" w:rsidRPr="008E29B6">
        <w:rPr>
          <w:rStyle w:val="FootnoteReference"/>
        </w:rPr>
        <w:footnoteReference w:id="1"/>
      </w:r>
      <w:r w:rsidR="00CC337F">
        <w:t xml:space="preserve">  He rejects a completely objectiv</w:t>
      </w:r>
      <w:r w:rsidR="00FF40E7">
        <w:t xml:space="preserve">e view of the world and describes it as ‘confusing’, </w:t>
      </w:r>
      <w:r w:rsidR="00E973F7">
        <w:t>and also disallows</w:t>
      </w:r>
      <w:r w:rsidR="00FF40E7">
        <w:t xml:space="preserve"> us to be fully connected with ourselves before we connect with the world.</w:t>
      </w:r>
    </w:p>
    <w:p w14:paraId="30A90FA8" w14:textId="373D22C6" w:rsidR="003C4CFC" w:rsidRPr="00895F14" w:rsidRDefault="00E973F7" w:rsidP="00895F14">
      <w:pPr>
        <w:ind w:firstLine="720"/>
      </w:pPr>
      <w:r>
        <w:t>Kierkegaard’s upbringing meant</w:t>
      </w:r>
      <w:r w:rsidR="00B860DA" w:rsidRPr="00A07291">
        <w:t xml:space="preserve"> being immersed in German</w:t>
      </w:r>
      <w:r w:rsidR="00A91B68" w:rsidRPr="00A07291">
        <w:t xml:space="preserve"> Christian culture, with an eno</w:t>
      </w:r>
      <w:r w:rsidR="00B860DA" w:rsidRPr="00A07291">
        <w:t>rmous influence from his father as a man of faith.  It was this ‘faith’ that may</w:t>
      </w:r>
      <w:r w:rsidR="00655821" w:rsidRPr="00A07291">
        <w:t xml:space="preserve"> have</w:t>
      </w:r>
      <w:r w:rsidR="00B860DA" w:rsidRPr="00A07291">
        <w:t xml:space="preserve"> been indoctrinated into the young Kierkegaard before he was able to quantify or </w:t>
      </w:r>
      <w:r w:rsidR="00BB013A" w:rsidRPr="00A07291">
        <w:t xml:space="preserve">freely </w:t>
      </w:r>
      <w:r w:rsidR="002F0C53">
        <w:t xml:space="preserve">pursue such a lifestyle.  </w:t>
      </w:r>
      <w:r w:rsidR="00D27BD7">
        <w:t>“The decision of faith entails an ethical decision to renounce the world…”</w:t>
      </w:r>
      <w:r w:rsidR="00D27BD7">
        <w:rPr>
          <w:rStyle w:val="FootnoteReference"/>
        </w:rPr>
        <w:footnoteReference w:id="2"/>
      </w:r>
      <w:r w:rsidR="00D27BD7">
        <w:t xml:space="preserve">  </w:t>
      </w:r>
      <w:r w:rsidR="00BD35E0">
        <w:t xml:space="preserve"> </w:t>
      </w:r>
      <w:r w:rsidR="00523A44">
        <w:t>This claim highlights how a subjective thinker can appropriate themselves with what is true for them, with no requirement to objectively c</w:t>
      </w:r>
      <w:r w:rsidR="003469F9">
        <w:t>on</w:t>
      </w:r>
      <w:r w:rsidR="00B8480B">
        <w:t>firm their beliefs.  T</w:t>
      </w:r>
      <w:r w:rsidR="009426FD">
        <w:t>he</w:t>
      </w:r>
      <w:r w:rsidR="00655821" w:rsidRPr="00A07291">
        <w:t xml:space="preserve"> ability for</w:t>
      </w:r>
      <w:r w:rsidR="009426FD">
        <w:t xml:space="preserve"> </w:t>
      </w:r>
      <w:r w:rsidR="00523A44">
        <w:t xml:space="preserve">Kierkegaard to make a decision </w:t>
      </w:r>
      <w:r w:rsidR="009426FD">
        <w:t>to</w:t>
      </w:r>
      <w:r w:rsidR="00655821" w:rsidRPr="00A07291">
        <w:t xml:space="preserve"> break away from</w:t>
      </w:r>
      <w:r w:rsidR="00523A44">
        <w:t xml:space="preserve"> Christianity -</w:t>
      </w:r>
      <w:r w:rsidR="00655821" w:rsidRPr="00A07291">
        <w:t xml:space="preserve"> what he would have previously consider</w:t>
      </w:r>
      <w:r w:rsidR="00523A44">
        <w:t>ed to be ‘the only way to live’ -</w:t>
      </w:r>
      <w:r w:rsidR="00655821" w:rsidRPr="00A07291">
        <w:t xml:space="preserve"> was only ever going to reaffirm for him his ability to think rationally, freely, and to be able to m</w:t>
      </w:r>
      <w:r w:rsidR="009426FD">
        <w:t>ake such decisions for himself (</w:t>
      </w:r>
      <w:r w:rsidR="00655821" w:rsidRPr="00A07291">
        <w:t>even if such an entity as God should exist</w:t>
      </w:r>
      <w:r w:rsidR="009426FD">
        <w:t>)</w:t>
      </w:r>
      <w:r w:rsidR="00655821" w:rsidRPr="00A07291">
        <w:t xml:space="preserve">.  </w:t>
      </w:r>
      <w:r w:rsidR="00593474">
        <w:t>This</w:t>
      </w:r>
      <w:r w:rsidR="009426FD">
        <w:t xml:space="preserve"> way of living ‘true to oneself’ was one of the highest</w:t>
      </w:r>
      <w:r w:rsidR="00B8480B">
        <w:t xml:space="preserve"> orders of truth for him</w:t>
      </w:r>
      <w:r w:rsidR="009426FD">
        <w:t xml:space="preserve">.  </w:t>
      </w:r>
      <w:r w:rsidR="00B8480B">
        <w:t xml:space="preserve">He certainly did not deny the importance of objective truths either, but gave higher regard to them in matters that did </w:t>
      </w:r>
      <w:r w:rsidR="00B8480B" w:rsidRPr="00B8480B">
        <w:rPr>
          <w:i/>
        </w:rPr>
        <w:t>not</w:t>
      </w:r>
      <w:r w:rsidR="00B8480B">
        <w:t xml:space="preserve"> concern an element of faith:</w:t>
      </w:r>
      <w:r w:rsidR="00F86336">
        <w:t xml:space="preserve">  </w:t>
      </w:r>
      <w:r w:rsidR="00AD66E4" w:rsidRPr="00F86336">
        <w:t>“To exist under the guidance of pure thought alone is like travelling in Denmark with the help of a small map of Europe, on which Denmark shows no larger than a steel pen point.”</w:t>
      </w:r>
      <w:r w:rsidR="00AD66E4" w:rsidRPr="00F86336">
        <w:rPr>
          <w:rStyle w:val="FootnoteReference"/>
        </w:rPr>
        <w:footnoteReference w:id="3"/>
      </w:r>
      <w:r w:rsidR="00F86336">
        <w:t xml:space="preserve">  He fully understood the importance of an objective truth, but did not think it was wise to repudiate the importance of allowing oneself to be crafted according to an inflective thinking process, and not simply forever making an attempt to marry their thoughts and beliefs with an objective reality.</w:t>
      </w:r>
      <w:r w:rsidR="00895F14">
        <w:t xml:space="preserve">  </w:t>
      </w:r>
      <w:r w:rsidR="003C4CFC" w:rsidRPr="00895F14">
        <w:t>“The accommodating and objective subject holds himself aloof, d</w:t>
      </w:r>
      <w:r w:rsidR="00E96645" w:rsidRPr="00895F14">
        <w:t>isplaying an applauded heroism.</w:t>
      </w:r>
      <w:r w:rsidR="003C4CFC" w:rsidRPr="00895F14">
        <w:t xml:space="preserve"> He is completely at your service and ready to accept truth as soon as it is brought to light.”</w:t>
      </w:r>
      <w:r w:rsidR="003C4CFC" w:rsidRPr="00895F14">
        <w:rPr>
          <w:rStyle w:val="FootnoteReference"/>
        </w:rPr>
        <w:footnoteReference w:id="4"/>
      </w:r>
      <w:r w:rsidR="00895F14">
        <w:t xml:space="preserve">  With a humorous undertone, he laughs at the </w:t>
      </w:r>
      <w:r w:rsidR="00895F14">
        <w:lastRenderedPageBreak/>
        <w:t xml:space="preserve">objective thinker for simply looking at what the world has to offer them, instead perhaps of what they can offer themselves. </w:t>
      </w:r>
    </w:p>
    <w:p w14:paraId="61FDE91A" w14:textId="3BF0B594" w:rsidR="00F86336" w:rsidRPr="00415639" w:rsidRDefault="00901660" w:rsidP="00173DD3">
      <w:pPr>
        <w:pStyle w:val="NoSpacing"/>
        <w:ind w:firstLine="720"/>
      </w:pPr>
      <w:r w:rsidRPr="00A07291">
        <w:t xml:space="preserve">Kierkegaard may have become torn during his adult life, and as he developed his ideas throughout adulthood came to realise that he may have abandoned something that should maybe have remained central to his character.  </w:t>
      </w:r>
      <w:r w:rsidR="007E1A61">
        <w:t>“</w:t>
      </w:r>
      <w:r w:rsidR="00D11993">
        <w:t xml:space="preserve">If being…is understood as empirical being, truth is at once transformed into a </w:t>
      </w:r>
      <w:r w:rsidR="00D11993">
        <w:rPr>
          <w:i/>
        </w:rPr>
        <w:t>desideratum</w:t>
      </w:r>
      <w:r w:rsidR="00E96645">
        <w:rPr>
          <w:rStyle w:val="FootnoteReference"/>
          <w:i/>
        </w:rPr>
        <w:footnoteReference w:id="5"/>
      </w:r>
      <w:r w:rsidR="00D11993">
        <w:t>, and everything must be understood in terms of becoming; for the empirical object is unfinished and the existing cognitive spirit is itself in process of becoming</w:t>
      </w:r>
      <w:r w:rsidR="00550EA0">
        <w:t>.”</w:t>
      </w:r>
      <w:r w:rsidR="00550EA0">
        <w:rPr>
          <w:rStyle w:val="FootnoteReference"/>
        </w:rPr>
        <w:footnoteReference w:id="6"/>
      </w:r>
      <w:r w:rsidR="00550EA0">
        <w:t xml:space="preserve">  </w:t>
      </w:r>
      <w:r w:rsidR="000B6657">
        <w:t>This is his justification of the</w:t>
      </w:r>
      <w:r w:rsidRPr="00A07291">
        <w:t xml:space="preserve"> transitions </w:t>
      </w:r>
      <w:r w:rsidR="00D11993">
        <w:t xml:space="preserve">(or leaps from, and back to Christianity) </w:t>
      </w:r>
      <w:r w:rsidRPr="00A07291">
        <w:t>by proclaiming three main stagers of life for the human character:</w:t>
      </w:r>
      <w:r w:rsidR="00832B77" w:rsidRPr="00A07291">
        <w:t xml:space="preserve"> The Aesthetic was for him the stage of being a young child and being focussed on learning and enjoyment.  Following that was The Ethical stage, where the adult character would beg</w:t>
      </w:r>
      <w:r w:rsidR="0030055B" w:rsidRPr="00A07291">
        <w:t>in to develop, and finally the third stage was</w:t>
      </w:r>
      <w:r w:rsidR="00100636">
        <w:t xml:space="preserve"> The Religious stage.</w:t>
      </w:r>
      <w:r w:rsidR="00F44CDD">
        <w:t xml:space="preserve">  In</w:t>
      </w:r>
      <w:r w:rsidR="00832B77" w:rsidRPr="00A07291">
        <w:t xml:space="preserve"> </w:t>
      </w:r>
      <w:r w:rsidR="00F44CDD">
        <w:t xml:space="preserve">later life, he </w:t>
      </w:r>
      <w:r w:rsidR="00832B77" w:rsidRPr="00A07291">
        <w:t>claimed to have entered Th</w:t>
      </w:r>
      <w:r w:rsidR="005537C4">
        <w:t>e Religious stage -</w:t>
      </w:r>
      <w:r w:rsidR="00832B77" w:rsidRPr="00A07291">
        <w:t xml:space="preserve"> this being the highest form of development that one char</w:t>
      </w:r>
      <w:r w:rsidR="004A7C26" w:rsidRPr="00A07291">
        <w:t xml:space="preserve">acter could exude. The important factor for Kierkegaard was that the choice to move between the stages was a free and committed choice. </w:t>
      </w:r>
      <w:r w:rsidR="0086338D">
        <w:t xml:space="preserve"> </w:t>
      </w:r>
      <w:r w:rsidR="004A7C26" w:rsidRPr="00A07291">
        <w:t>His main principles regarding truth are what I consider to be his justification of feeling torn between a life devout to a fait</w:t>
      </w:r>
      <w:r w:rsidR="00610558" w:rsidRPr="00A07291">
        <w:t>h, and a life devoid of it, without renouncing either as a perfectly acceptable way of progressing as a person committed to continually developing themselves</w:t>
      </w:r>
      <w:r w:rsidR="00EE3356">
        <w:t xml:space="preserve"> spiritually</w:t>
      </w:r>
      <w:r w:rsidR="00610558" w:rsidRPr="00A07291">
        <w:t>.</w:t>
      </w:r>
      <w:r w:rsidR="00B87556">
        <w:t xml:space="preserve">  “The goal of movement for an existing individual is to arrive at a decision, and renew it.”</w:t>
      </w:r>
      <w:r w:rsidR="00B87556">
        <w:rPr>
          <w:rStyle w:val="FootnoteReference"/>
        </w:rPr>
        <w:footnoteReference w:id="7"/>
      </w:r>
      <w:r w:rsidR="00EE3356">
        <w:t xml:space="preserve"> </w:t>
      </w:r>
      <w:r w:rsidR="00E5406D" w:rsidRPr="00A07291">
        <w:t xml:space="preserve"> His philosophy certainly leaves room for both rational and cognitive thought processes, as well as a faith describable only subjectively, yet of the highest order of truth for the existent individual.</w:t>
      </w:r>
      <w:r w:rsidR="00304788">
        <w:t xml:space="preserve">  He seems to point at the fac</w:t>
      </w:r>
      <w:r w:rsidR="00C03CB3">
        <w:t xml:space="preserve">t that truth may be </w:t>
      </w:r>
      <w:r w:rsidR="00304788">
        <w:t>unobtainable as he describes his notions of ‘becoming’</w:t>
      </w:r>
      <w:r w:rsidR="0086338D">
        <w:t xml:space="preserve">: </w:t>
      </w:r>
      <w:r w:rsidR="00C40BF4">
        <w:t>“As soon as the being which corresponds to the truth comes to be empirically concrete, the truth is put in process of becoming…”</w:t>
      </w:r>
      <w:r w:rsidR="00C40BF4">
        <w:rPr>
          <w:rStyle w:val="FootnoteReference"/>
        </w:rPr>
        <w:footnoteReference w:id="8"/>
      </w:r>
      <w:r w:rsidR="00756132">
        <w:t xml:space="preserve">  If we are to appropriate ourselves with the truth</w:t>
      </w:r>
      <w:r w:rsidR="00415639">
        <w:t xml:space="preserve">, Kierkegaard points at the fact that we, as beings, </w:t>
      </w:r>
      <w:r w:rsidR="00415639">
        <w:rPr>
          <w:i/>
        </w:rPr>
        <w:t xml:space="preserve">are </w:t>
      </w:r>
      <w:r w:rsidR="00415639">
        <w:t>truth.  This being so, it is essential to continue to develop ourselves, our thoughts, and our natures, leaving the ‘being’ that quantifies a subjective truth in a constant state of flux.  This does not allow two finite bodies to represent each other objectively, whereas an objective thinker may expect, and wish to be able to quantise the world and their reality in this manner.</w:t>
      </w:r>
    </w:p>
    <w:p w14:paraId="6DF09F2B" w14:textId="060E11B1" w:rsidR="00655821" w:rsidRPr="00A07291" w:rsidRDefault="0086338D" w:rsidP="00F86336">
      <w:pPr>
        <w:pStyle w:val="NoSpacing"/>
        <w:ind w:firstLine="720"/>
      </w:pPr>
      <w:r>
        <w:t>He continues</w:t>
      </w:r>
      <w:r w:rsidR="0079488C" w:rsidRPr="00A07291">
        <w:t xml:space="preserve"> that Truth is Subjectivity, and </w:t>
      </w:r>
      <w:r>
        <w:t xml:space="preserve">that </w:t>
      </w:r>
      <w:r w:rsidR="0079488C" w:rsidRPr="00A07291">
        <w:t>Subjectivity is Truth</w:t>
      </w:r>
      <w:r>
        <w:t>.</w:t>
      </w:r>
      <w:r w:rsidR="00593474">
        <w:t xml:space="preserve"> </w:t>
      </w:r>
      <w:r w:rsidR="001322D9">
        <w:t xml:space="preserve"> </w:t>
      </w:r>
      <w:r w:rsidR="008C1AD7">
        <w:t>“</w:t>
      </w:r>
      <w:r w:rsidR="001322D9">
        <w:t>The only thing certain is the ethical-religious…”</w:t>
      </w:r>
      <w:r w:rsidR="001322D9">
        <w:rPr>
          <w:rStyle w:val="FootnoteReference"/>
        </w:rPr>
        <w:footnoteReference w:id="9"/>
      </w:r>
      <w:r w:rsidR="001322D9">
        <w:t xml:space="preserve">. </w:t>
      </w:r>
      <w:r w:rsidR="003859C5">
        <w:t xml:space="preserve">This allows </w:t>
      </w:r>
      <w:r>
        <w:t xml:space="preserve">an </w:t>
      </w:r>
      <w:r w:rsidR="0079488C" w:rsidRPr="00A07291">
        <w:t>individual perspective of the world (or of God) to hold a true value, despite not being observed or proven objectively.</w:t>
      </w:r>
      <w:r w:rsidR="001C13A9" w:rsidRPr="00A07291">
        <w:t xml:space="preserve">  He concurrently did not d</w:t>
      </w:r>
      <w:r w:rsidR="00AF5E39">
        <w:t>eny any objective truths either.  “Kierkegaard is not denying that there is any such thing as objective, personal truth.  But mathematical truths, for example, do not concern the ‘existing individual’ as such.  That is to say, they are irrelevant to a man’s</w:t>
      </w:r>
      <w:r w:rsidR="007921D2">
        <w:t xml:space="preserve"> </w:t>
      </w:r>
      <w:r w:rsidR="00AF5E39">
        <w:t>life of total self-commitment.”</w:t>
      </w:r>
      <w:r w:rsidR="00AF5E39">
        <w:rPr>
          <w:rStyle w:val="FootnoteReference"/>
        </w:rPr>
        <w:footnoteReference w:id="10"/>
      </w:r>
      <w:r w:rsidR="00D46669">
        <w:t xml:space="preserve">  This leaves</w:t>
      </w:r>
      <w:r w:rsidR="001C13A9" w:rsidRPr="00A07291">
        <w:t xml:space="preserve"> room for both rationality and faith to co-exist; they do so in human existence</w:t>
      </w:r>
      <w:r w:rsidR="007E7B73" w:rsidRPr="00A07291">
        <w:t xml:space="preserve"> for Kierkegaard.  “Thought and imagination are unified in the medium of existence.”</w:t>
      </w:r>
      <w:r w:rsidR="007E7B73" w:rsidRPr="00A07291">
        <w:rPr>
          <w:rStyle w:val="FootnoteReference"/>
        </w:rPr>
        <w:footnoteReference w:id="11"/>
      </w:r>
      <w:r w:rsidR="007E7B73" w:rsidRPr="00A07291">
        <w:t xml:space="preserve">. </w:t>
      </w:r>
      <w:r w:rsidR="00C40BF4">
        <w:t xml:space="preserve"> </w:t>
      </w:r>
      <w:r w:rsidR="00593474">
        <w:t>Here is demonstrated</w:t>
      </w:r>
      <w:r w:rsidR="007E7B73" w:rsidRPr="00A07291">
        <w:t xml:space="preserve"> how he eventually justifies our existential presences to contain elements of objectiv</w:t>
      </w:r>
      <w:r w:rsidR="000508EA" w:rsidRPr="00A07291">
        <w:t>ity and subjectivity, using existence</w:t>
      </w:r>
      <w:r w:rsidR="007E7B73" w:rsidRPr="00A07291">
        <w:t xml:space="preserve"> as a platform for the marriage</w:t>
      </w:r>
      <w:r w:rsidR="00C97BD0" w:rsidRPr="00A07291">
        <w:t xml:space="preserve"> </w:t>
      </w:r>
      <w:r w:rsidR="007E7B73" w:rsidRPr="00A07291">
        <w:t>of the two.</w:t>
      </w:r>
    </w:p>
    <w:p w14:paraId="55D33601" w14:textId="796FE086" w:rsidR="00C17268" w:rsidRPr="00A07291" w:rsidRDefault="00C17268" w:rsidP="00B860DA">
      <w:r w:rsidRPr="00A07291">
        <w:tab/>
        <w:t>It is important to consider how Kierkegaard values subjective and objective truths to understand the core of his belief system.  A good and healthy relationship with a</w:t>
      </w:r>
      <w:r w:rsidR="00C97BD0" w:rsidRPr="00A07291">
        <w:t>n</w:t>
      </w:r>
      <w:r w:rsidRPr="00A07291">
        <w:t xml:space="preserve"> objectively palpable untruth (but subjective truth) was a far less appealing idea to him than a bad or non-existent relationship with an objective truth</w:t>
      </w:r>
      <w:r w:rsidR="0086338D">
        <w:t xml:space="preserve"> (or subjective falsehood)</w:t>
      </w:r>
      <w:r w:rsidRPr="00A07291">
        <w:t>.  He was far more interested in ‘how’ we are acquainted with our beliefs, rather than ‘what’ we are acquainted with, or</w:t>
      </w:r>
      <w:r w:rsidR="0086338D">
        <w:t xml:space="preserve"> in what we</w:t>
      </w:r>
      <w:r w:rsidRPr="00A07291">
        <w:t xml:space="preserve"> believe.</w:t>
      </w:r>
      <w:r w:rsidR="000474CA">
        <w:t xml:space="preserve">  (As much as the</w:t>
      </w:r>
      <w:r w:rsidR="001322D9">
        <w:t xml:space="preserve"> reiterated notion of</w:t>
      </w:r>
      <w:r w:rsidR="000474CA">
        <w:t xml:space="preserve"> no denial of objective truths appears in his work, he had previously written in a journal entry </w:t>
      </w:r>
      <w:r w:rsidR="000474CA" w:rsidRPr="005C7A1D">
        <w:rPr>
          <w:i/>
        </w:rPr>
        <w:t>“In the end all corruption will come about as a consequence of the natural sciences…”</w:t>
      </w:r>
      <w:r w:rsidR="000474CA">
        <w:rPr>
          <w:rStyle w:val="FootnoteReference"/>
        </w:rPr>
        <w:footnoteReference w:id="12"/>
      </w:r>
      <w:r w:rsidR="005C7A1D">
        <w:t>)</w:t>
      </w:r>
      <w:r w:rsidR="000474CA">
        <w:t xml:space="preserve"> </w:t>
      </w:r>
      <w:r w:rsidR="001322D9">
        <w:t xml:space="preserve"> </w:t>
      </w:r>
      <w:r w:rsidR="00C97BD0" w:rsidRPr="00A07291">
        <w:t>This was certainly how he justified hi</w:t>
      </w:r>
      <w:r w:rsidR="0086338D">
        <w:t xml:space="preserve">s return to Christianity in </w:t>
      </w:r>
      <w:r w:rsidR="00C97BD0" w:rsidRPr="00A07291">
        <w:t xml:space="preserve">later life, by allowing his relationship (or faith) with the truth of God’s existence and Christian faith to be a free, unbounded, unconditional, and freely-made decision.  For example, when </w:t>
      </w:r>
      <w:r w:rsidR="0011327A" w:rsidRPr="00A07291">
        <w:t>a person in our day and age can b</w:t>
      </w:r>
      <w:r w:rsidR="009570C1">
        <w:t>elieve that the earth is flat</w:t>
      </w:r>
      <w:r w:rsidR="00415007">
        <w:t xml:space="preserve"> </w:t>
      </w:r>
      <w:r w:rsidR="0011327A" w:rsidRPr="00A07291">
        <w:t xml:space="preserve">and not a globe, Kierkegaard would acknowledge </w:t>
      </w:r>
      <w:r w:rsidR="00415007">
        <w:t xml:space="preserve">this as </w:t>
      </w:r>
      <w:r w:rsidR="0011327A" w:rsidRPr="00A07291">
        <w:t xml:space="preserve">an objective uncertainty.  This allows for the ‘belief’ aspect of the Tripartite </w:t>
      </w:r>
      <w:r w:rsidR="00D46669">
        <w:t xml:space="preserve">Theory of Knowledge </w:t>
      </w:r>
      <w:r w:rsidR="0011327A" w:rsidRPr="00A07291">
        <w:t xml:space="preserve">to be founded on subjectively employed faith.  </w:t>
      </w:r>
      <w:r w:rsidR="002B0B18">
        <w:t>If knowledge can be founded on ‘</w:t>
      </w:r>
      <w:r w:rsidR="0011327A" w:rsidRPr="00A07291">
        <w:t xml:space="preserve">Justification, </w:t>
      </w:r>
      <w:r w:rsidR="0011327A" w:rsidRPr="002B0B18">
        <w:rPr>
          <w:i/>
        </w:rPr>
        <w:t>Faith</w:t>
      </w:r>
      <w:r w:rsidR="002B0B18">
        <w:t>, and Belief’</w:t>
      </w:r>
      <w:r w:rsidR="0011327A" w:rsidRPr="00A07291">
        <w:t>, Kierkegaard’s indirect and unintentional system of philosophy can be applied existentially to</w:t>
      </w:r>
      <w:r w:rsidR="00AA3CD7">
        <w:t xml:space="preserve"> all members of the human race, and </w:t>
      </w:r>
      <w:r w:rsidR="0011327A" w:rsidRPr="00A07291">
        <w:t>here lies the beauty in his thinking.</w:t>
      </w:r>
    </w:p>
    <w:p w14:paraId="4E0A5087" w14:textId="5AC0FFEC" w:rsidR="0011327A" w:rsidRDefault="0011327A" w:rsidP="002B0B18">
      <w:pPr>
        <w:ind w:firstLine="720"/>
      </w:pPr>
      <w:r w:rsidRPr="00A07291">
        <w:t>Heidegger</w:t>
      </w:r>
      <w:r w:rsidR="00362008">
        <w:t>, in ‘Being and Time’</w:t>
      </w:r>
      <w:r w:rsidRPr="00A07291">
        <w:t xml:space="preserve"> later adopted</w:t>
      </w:r>
      <w:r w:rsidR="0086338D">
        <w:t xml:space="preserve"> and ‘put under the philosophical microscope’</w:t>
      </w:r>
      <w:r w:rsidRPr="00A07291">
        <w:t xml:space="preserve"> what I consider to be some of Kierkegaard’s most funda</w:t>
      </w:r>
      <w:r w:rsidR="002B0B18">
        <w:t>mental ideas</w:t>
      </w:r>
      <w:r w:rsidRPr="00A07291">
        <w:t>, where Kierkegaard had years earlier perceived existence</w:t>
      </w:r>
      <w:r w:rsidR="00C6222C">
        <w:t xml:space="preserve"> to be compounded in motion, </w:t>
      </w:r>
      <w:r w:rsidRPr="00A07291">
        <w:t>continuity,</w:t>
      </w:r>
      <w:r w:rsidR="00C6222C">
        <w:t xml:space="preserve"> and thought – “Thought and being mean one and the same thing, and the correspondence spoken of is merely an abstract self-identity.”</w:t>
      </w:r>
      <w:r w:rsidR="00C6222C">
        <w:rPr>
          <w:rStyle w:val="FootnoteReference"/>
        </w:rPr>
        <w:footnoteReference w:id="13"/>
      </w:r>
      <w:r w:rsidR="00C951D4">
        <w:t xml:space="preserve">  </w:t>
      </w:r>
      <w:r w:rsidRPr="00A07291">
        <w:t xml:space="preserve">Heidegger merely went on to </w:t>
      </w:r>
      <w:r w:rsidR="002B0B18">
        <w:t xml:space="preserve">state that Existence was </w:t>
      </w:r>
      <w:r w:rsidRPr="00A07291">
        <w:t>made up of</w:t>
      </w:r>
      <w:r w:rsidR="001F667E" w:rsidRPr="00A07291">
        <w:t xml:space="preserve"> a ‘being’</w:t>
      </w:r>
      <w:r w:rsidRPr="00A07291">
        <w:t xml:space="preserve"> in space-time in order for it to resemble </w:t>
      </w:r>
      <w:r w:rsidR="00783AC3" w:rsidRPr="00A07291">
        <w:t>a co-ordinate in history by which it could be remembered, and</w:t>
      </w:r>
      <w:r w:rsidR="000070E6" w:rsidRPr="00A07291">
        <w:t>, by which, to be</w:t>
      </w:r>
      <w:r w:rsidR="00783AC3" w:rsidRPr="00A07291">
        <w:t xml:space="preserve"> known to have </w:t>
      </w:r>
      <w:r w:rsidR="000070E6" w:rsidRPr="00A07291">
        <w:t xml:space="preserve">had </w:t>
      </w:r>
      <w:r w:rsidR="00783AC3" w:rsidRPr="00A07291">
        <w:t>an existence.</w:t>
      </w:r>
      <w:r w:rsidR="000070E6" w:rsidRPr="00A07291">
        <w:t xml:space="preserve">  This is for me </w:t>
      </w:r>
      <w:r w:rsidR="001F667E" w:rsidRPr="00A07291">
        <w:t xml:space="preserve">is </w:t>
      </w:r>
      <w:r w:rsidR="002B0B18">
        <w:t>a</w:t>
      </w:r>
      <w:r w:rsidR="000070E6" w:rsidRPr="00A07291">
        <w:t xml:space="preserve"> small step to have taken from the Existential </w:t>
      </w:r>
      <w:r w:rsidR="00C03E6B">
        <w:t>problem awakened by Kierkegaard</w:t>
      </w:r>
      <w:r w:rsidR="000070E6" w:rsidRPr="00A07291">
        <w:t xml:space="preserve"> in defining exact</w:t>
      </w:r>
      <w:r w:rsidR="00C03E6B">
        <w:t xml:space="preserve">ly what our existences </w:t>
      </w:r>
      <w:r w:rsidR="000070E6" w:rsidRPr="00A07291">
        <w:t xml:space="preserve">mean to us as the direct </w:t>
      </w:r>
      <w:r w:rsidR="00D35193" w:rsidRPr="00A07291">
        <w:t xml:space="preserve">observer of them, and </w:t>
      </w:r>
      <w:r w:rsidR="00D35193" w:rsidRPr="00C03E6B">
        <w:rPr>
          <w:i/>
        </w:rPr>
        <w:t>how</w:t>
      </w:r>
      <w:r w:rsidR="00D35193" w:rsidRPr="00A07291">
        <w:t xml:space="preserve"> we go about defining them.  Heidegger </w:t>
      </w:r>
      <w:r w:rsidR="00C03E6B">
        <w:t>almost responded to</w:t>
      </w:r>
      <w:r w:rsidR="0027633C" w:rsidRPr="00A07291">
        <w:t xml:space="preserve"> a question </w:t>
      </w:r>
      <w:r w:rsidR="00C03E6B">
        <w:t xml:space="preserve">for </w:t>
      </w:r>
      <w:r w:rsidR="00D35193" w:rsidRPr="00A07291">
        <w:t>which the answer had already been assumed by the fact that we are even able to explore our own existences</w:t>
      </w:r>
      <w:r w:rsidR="00722A67">
        <w:rPr>
          <w:rStyle w:val="FootnoteReference"/>
        </w:rPr>
        <w:footnoteReference w:id="14"/>
      </w:r>
      <w:r w:rsidR="00D35193" w:rsidRPr="00A07291">
        <w:t>; it is a presupposed view that Existence is a definite and objective truth about our reality if we are to read Kierkegaard at all.</w:t>
      </w:r>
      <w:r w:rsidR="001F667E" w:rsidRPr="00A07291">
        <w:t xml:space="preserve">  He had obviously already accepted the notion of existence representing time, or that ‘being’ and ‘time’ were one and the same thing in the way he allowed for different stages of life to be accounted for in the development of a continued existence </w:t>
      </w:r>
      <w:r w:rsidR="001F667E" w:rsidRPr="002B0B18">
        <w:rPr>
          <w:i/>
        </w:rPr>
        <w:t>through</w:t>
      </w:r>
      <w:r w:rsidR="001F667E" w:rsidRPr="00A07291">
        <w:t xml:space="preserve"> time.</w:t>
      </w:r>
      <w:r w:rsidR="005B1121" w:rsidRPr="00A07291">
        <w:t xml:space="preserve">  </w:t>
      </w:r>
      <w:r w:rsidR="00EB6D7B">
        <w:t>In fact, most of the problems that</w:t>
      </w:r>
      <w:r w:rsidR="005B1121" w:rsidRPr="00A07291">
        <w:t xml:space="preserve"> Existentialism </w:t>
      </w:r>
      <w:r w:rsidR="00EB6D7B">
        <w:t>has made</w:t>
      </w:r>
      <w:r w:rsidR="00CF2D05" w:rsidRPr="00A07291">
        <w:t xml:space="preserve"> apparent since Kierkegaard </w:t>
      </w:r>
      <w:r w:rsidR="0073096F" w:rsidRPr="00A07291">
        <w:t xml:space="preserve">‘uncovered’ this new approach to philosophical thinking, </w:t>
      </w:r>
      <w:r w:rsidR="009478A2" w:rsidRPr="00A07291">
        <w:t>(</w:t>
      </w:r>
      <w:r w:rsidR="0073096F" w:rsidRPr="00A07291">
        <w:t xml:space="preserve">albeit somewhat satirical </w:t>
      </w:r>
      <w:r w:rsidR="00FC7531" w:rsidRPr="00A07291">
        <w:t>and conveyed in a ‘tongue-in-cheek’ manner</w:t>
      </w:r>
      <w:r w:rsidR="009478A2" w:rsidRPr="00A07291">
        <w:t xml:space="preserve">) </w:t>
      </w:r>
      <w:r w:rsidR="002B0B18">
        <w:t xml:space="preserve">and </w:t>
      </w:r>
      <w:r w:rsidR="00106A3F" w:rsidRPr="00A07291">
        <w:t>have become recognised as ‘themes’ in Existentialism</w:t>
      </w:r>
      <w:r w:rsidR="00EB6D7B">
        <w:t>,</w:t>
      </w:r>
      <w:r w:rsidR="00106A3F" w:rsidRPr="00A07291">
        <w:t xml:space="preserve"> were all </w:t>
      </w:r>
      <w:r w:rsidR="00D71FF4" w:rsidRPr="00A07291">
        <w:t xml:space="preserve">presupposed and already justified by following Kierkegaard’s arguments.  </w:t>
      </w:r>
      <w:r w:rsidR="00802559" w:rsidRPr="00A07291">
        <w:t>This area of ph</w:t>
      </w:r>
      <w:r w:rsidR="002B0B18">
        <w:t xml:space="preserve">ilosophy almost always </w:t>
      </w:r>
      <w:r w:rsidR="006228C9" w:rsidRPr="00A07291">
        <w:t xml:space="preserve">attempts to reduce human existence down so far that it </w:t>
      </w:r>
      <w:r w:rsidR="002B0B18">
        <w:t xml:space="preserve">eventually </w:t>
      </w:r>
      <w:r w:rsidR="006228C9" w:rsidRPr="00A07291">
        <w:t>begins to</w:t>
      </w:r>
      <w:r w:rsidR="00EB6D7B">
        <w:t xml:space="preserve"> appear a rather bleak notion</w:t>
      </w:r>
      <w:r w:rsidR="006228C9" w:rsidRPr="00A07291">
        <w:t>.</w:t>
      </w:r>
      <w:r w:rsidR="000200F2" w:rsidRPr="00A07291">
        <w:t xml:space="preserve">  It at least acknowledges that </w:t>
      </w:r>
      <w:r w:rsidR="000E5E3C" w:rsidRPr="00A07291">
        <w:t>existence precedes essence</w:t>
      </w:r>
      <w:r w:rsidR="00B51103" w:rsidRPr="00A07291">
        <w:t>, an</w:t>
      </w:r>
      <w:r w:rsidR="00C40BF4">
        <w:t>d that man is a conscious existe</w:t>
      </w:r>
      <w:r w:rsidR="00B51103" w:rsidRPr="00A07291">
        <w:t>nt having the capability of free choice and something of a rational capability (as difficult as it can be to dec</w:t>
      </w:r>
      <w:r w:rsidR="00381DA2" w:rsidRPr="00A07291">
        <w:t>ide what role this plays in our personal development through existential appeals</w:t>
      </w:r>
      <w:r w:rsidR="00C505AC" w:rsidRPr="00A07291">
        <w:t>)</w:t>
      </w:r>
      <w:r w:rsidR="0019467C" w:rsidRPr="00A07291">
        <w:t xml:space="preserve">.  </w:t>
      </w:r>
      <w:r w:rsidR="007E1C63" w:rsidRPr="00A07291">
        <w:t>An apparent theme of anguish or anxie</w:t>
      </w:r>
      <w:r w:rsidR="00EB6D7B">
        <w:t>ty becomes prevalent in many</w:t>
      </w:r>
      <w:r w:rsidR="007E1C63" w:rsidRPr="00A07291">
        <w:t xml:space="preserve"> Existential works,</w:t>
      </w:r>
      <w:r w:rsidR="00C2659C" w:rsidRPr="00A07291">
        <w:t xml:space="preserve"> supported by the notions of popular religious faiths that highlight one of the only truly universal connections among members of the human race</w:t>
      </w:r>
      <w:r w:rsidR="003B7184" w:rsidRPr="00A07291">
        <w:t>, and</w:t>
      </w:r>
      <w:r w:rsidR="002B0B18">
        <w:t xml:space="preserve"> may have been</w:t>
      </w:r>
      <w:r w:rsidR="007E1C63" w:rsidRPr="00A07291">
        <w:t xml:space="preserve"> </w:t>
      </w:r>
      <w:r w:rsidR="00C2659C" w:rsidRPr="00A07291">
        <w:t>a gateway</w:t>
      </w:r>
      <w:r w:rsidR="007E1C63" w:rsidRPr="00A07291">
        <w:t xml:space="preserve"> to </w:t>
      </w:r>
      <w:r w:rsidR="00C3787C">
        <w:t xml:space="preserve">notions described by </w:t>
      </w:r>
      <w:r w:rsidR="007E1C63" w:rsidRPr="00A07291">
        <w:t>such phil</w:t>
      </w:r>
      <w:r w:rsidR="00C3787C">
        <w:t>osophers as Camus, who attributed</w:t>
      </w:r>
      <w:r w:rsidR="007E1C63" w:rsidRPr="00A07291">
        <w:t xml:space="preserve"> the notion of the Absurd </w:t>
      </w:r>
      <w:r w:rsidR="00C3787C">
        <w:t>to human existence – a feeling of disconnected</w:t>
      </w:r>
      <w:r w:rsidR="007E1C63" w:rsidRPr="00A07291">
        <w:t xml:space="preserve"> dissatisfaction when attempting to fulf</w:t>
      </w:r>
      <w:r w:rsidR="002B0B18">
        <w:t>il one’s dreams and desires</w:t>
      </w:r>
      <w:r w:rsidR="00C3787C">
        <w:t xml:space="preserve"> and</w:t>
      </w:r>
      <w:r w:rsidR="007E1C63" w:rsidRPr="00A07291">
        <w:t xml:space="preserve"> never quite achieving the desired result.  (Maybe th</w:t>
      </w:r>
      <w:r w:rsidR="00101B8B" w:rsidRPr="00A07291">
        <w:t>is should be recognised as</w:t>
      </w:r>
      <w:r w:rsidR="007E1C63" w:rsidRPr="00A07291">
        <w:t xml:space="preserve"> a greater reflection of man’s insatiable quality</w:t>
      </w:r>
      <w:r w:rsidR="00101B8B" w:rsidRPr="00A07291">
        <w:t>, rather than</w:t>
      </w:r>
      <w:r w:rsidR="00564FEE" w:rsidRPr="00A07291">
        <w:t xml:space="preserve"> attack</w:t>
      </w:r>
      <w:r w:rsidR="00BC2BC1">
        <w:t>ing</w:t>
      </w:r>
      <w:r w:rsidR="00564FEE" w:rsidRPr="00A07291">
        <w:t xml:space="preserve"> Existentialist </w:t>
      </w:r>
      <w:r w:rsidR="00BC2BC1">
        <w:t>philosophers</w:t>
      </w:r>
      <w:r w:rsidR="003B7184" w:rsidRPr="00A07291">
        <w:t>.)</w:t>
      </w:r>
      <w:r w:rsidR="002B0B18">
        <w:t>. In this respect, Kierkegaard attributes satisfaction to an inwardly, spiritual connection with one’s existence, bringing him closer to the truth of God in a way that is held true for all – in a subjective manner.</w:t>
      </w:r>
    </w:p>
    <w:p w14:paraId="17C3997F" w14:textId="271CB737" w:rsidR="00EC0573" w:rsidRDefault="00EC0573" w:rsidP="00B860DA">
      <w:r>
        <w:tab/>
        <w:t>Kierkegaard’</w:t>
      </w:r>
      <w:r w:rsidR="00593474">
        <w:t>s analysis of Truth, and the</w:t>
      </w:r>
      <w:r>
        <w:t xml:space="preserve"> emphasis on how it is central to the proper development of the spiritual character in order to align oneself with God, remains a far more </w:t>
      </w:r>
      <w:r w:rsidR="00662F43">
        <w:t>plausible</w:t>
      </w:r>
      <w:r w:rsidR="00593474">
        <w:t xml:space="preserve"> proposition than arriving at a deep</w:t>
      </w:r>
      <w:r>
        <w:t xml:space="preserve"> question</w:t>
      </w:r>
      <w:r w:rsidR="00593474">
        <w:t>ing of</w:t>
      </w:r>
      <w:r>
        <w:t xml:space="preserve"> human life in such a red</w:t>
      </w:r>
      <w:r w:rsidR="0040514A">
        <w:t>uctionist way that we are</w:t>
      </w:r>
      <w:r>
        <w:t xml:space="preserve"> left with nothing but a collection of experiences and emotions that are freely floating through time without being passionately driven </w:t>
      </w:r>
      <w:r w:rsidR="00593474">
        <w:t xml:space="preserve">by their embodied </w:t>
      </w:r>
      <w:proofErr w:type="spellStart"/>
      <w:r w:rsidR="00593474">
        <w:t>existant</w:t>
      </w:r>
      <w:proofErr w:type="spellEnd"/>
      <w:r w:rsidR="00593474">
        <w:t>.</w:t>
      </w:r>
    </w:p>
    <w:p w14:paraId="09081088" w14:textId="77777777" w:rsidR="0043489E" w:rsidRDefault="0043489E" w:rsidP="00B860DA"/>
    <w:p w14:paraId="5907D284" w14:textId="25A5ACFB" w:rsidR="0043489E" w:rsidRDefault="0043489E" w:rsidP="00292412">
      <w:pPr>
        <w:rPr>
          <w:b/>
        </w:rPr>
      </w:pPr>
      <w:r w:rsidRPr="0043489E">
        <w:rPr>
          <w:b/>
        </w:rPr>
        <w:t>“Christianity is spirit, spirit is inwardness, inwardness is subjectivity, subjectivity is essentially passion, and in its maximum an infinite, personal, passionate interest in one’s eternal happiness.</w:t>
      </w:r>
      <w:r w:rsidR="00292412">
        <w:rPr>
          <w:b/>
        </w:rPr>
        <w:t xml:space="preserve">  </w:t>
      </w:r>
      <w:r>
        <w:rPr>
          <w:b/>
        </w:rPr>
        <w:t xml:space="preserve">As soon as subjectivity is eliminated, and passion eliminated from subjectivity, and the infinite interest eliminated from passion, there is in general no decision at all, either in this problem or </w:t>
      </w:r>
      <w:r w:rsidR="00FB57CB">
        <w:rPr>
          <w:b/>
        </w:rPr>
        <w:t>in any other.  All decisiveness, all essential decisiveness, is rooted in subjectivity.</w:t>
      </w:r>
      <w:r w:rsidRPr="0043489E">
        <w:rPr>
          <w:b/>
        </w:rPr>
        <w:t>”</w:t>
      </w:r>
      <w:r>
        <w:rPr>
          <w:rStyle w:val="FootnoteReference"/>
          <w:b/>
        </w:rPr>
        <w:footnoteReference w:id="15"/>
      </w:r>
    </w:p>
    <w:p w14:paraId="62FEE981" w14:textId="77777777" w:rsidR="0043489E" w:rsidRDefault="0043489E" w:rsidP="00B860DA">
      <w:pPr>
        <w:rPr>
          <w:b/>
        </w:rPr>
      </w:pPr>
    </w:p>
    <w:p w14:paraId="635BC222" w14:textId="5161286A" w:rsidR="004A1D29" w:rsidRPr="002247EA" w:rsidRDefault="0043489E" w:rsidP="00B860DA">
      <w:r>
        <w:t>This quotation beautifully encapsulates the foundation</w:t>
      </w:r>
      <w:r w:rsidR="0040514A">
        <w:t>s</w:t>
      </w:r>
      <w:r>
        <w:t xml:space="preserve"> on which the </w:t>
      </w:r>
      <w:proofErr w:type="spellStart"/>
      <w:r>
        <w:t>Kierkegaardian</w:t>
      </w:r>
      <w:proofErr w:type="spellEnd"/>
      <w:r>
        <w:t xml:space="preserve"> ‘system’ is based.  This ties together the most important elements of engaging with one’s existence in a subjective manner, and channelling the thoughts and efforts of the individual towards a goal achievable only through subjective consideration.  He writes of the </w:t>
      </w:r>
      <w:proofErr w:type="spellStart"/>
      <w:r w:rsidR="00FB57CB">
        <w:rPr>
          <w:i/>
        </w:rPr>
        <w:t>falsum</w:t>
      </w:r>
      <w:proofErr w:type="spellEnd"/>
      <w:r w:rsidR="00FB57CB">
        <w:t xml:space="preserve"> </w:t>
      </w:r>
      <w:r w:rsidR="004F2483">
        <w:t xml:space="preserve">inherent </w:t>
      </w:r>
      <w:r w:rsidR="00FB57CB">
        <w:t>in objectivity</w:t>
      </w:r>
      <w:r w:rsidR="004F2483">
        <w:t xml:space="preserve"> – the fact that no decisiveness is required for the individual who accepts reality and existence as it is presented to them with no requirement to go outside of set guidelines, and of what that individual accepts to be true.  This truth is realised by different means, and does not require a passionate engagement with oneself, or </w:t>
      </w:r>
      <w:r w:rsidR="0022265C">
        <w:t>with one’</w:t>
      </w:r>
      <w:r w:rsidR="00024D0D">
        <w:t>s surroundings; i</w:t>
      </w:r>
      <w:r w:rsidR="0022265C">
        <w:t xml:space="preserve">t can </w:t>
      </w:r>
      <w:r w:rsidR="00024D0D">
        <w:t>lead to a very blindly-experienced existence for Kierkegaard.</w:t>
      </w:r>
      <w:r w:rsidR="00875254">
        <w:t xml:space="preserve">  It is difficult to imagine anyone willingly adopting or ascribing this type of blinkered and passive attitude to their lives, as every individual </w:t>
      </w:r>
      <w:proofErr w:type="gramStart"/>
      <w:r w:rsidR="00875254">
        <w:t>likes</w:t>
      </w:r>
      <w:proofErr w:type="gramEnd"/>
      <w:r w:rsidR="00875254">
        <w:t xml:space="preserve"> to feel a level of control over their own </w:t>
      </w:r>
      <w:r w:rsidR="004C6CCC">
        <w:t>lives and experiences</w:t>
      </w:r>
      <w:r w:rsidR="00875254">
        <w:t xml:space="preserve">, despite the fact that any objective truths about our world are necessarily out of our control.  </w:t>
      </w:r>
      <w:r w:rsidR="00552C95" w:rsidRPr="00552C95">
        <w:t>Kierkegaard obviously found clarity in his life by adopting these philosophies and beliefs, yet unfortunately his line of argument begins with ‘Christianity’ which may make it inaccessible for a number of people.</w:t>
      </w:r>
      <w:r w:rsidR="00552C95">
        <w:t xml:space="preserve">  </w:t>
      </w:r>
      <w:r w:rsidR="003460BB">
        <w:t xml:space="preserve">It seems to come across as a personal justification for returning to a life of faith for the spiritually developed philosopher.  </w:t>
      </w:r>
      <w:r w:rsidR="003A0FD6">
        <w:t>In reference</w:t>
      </w:r>
      <w:r w:rsidR="00C43AEB">
        <w:t xml:space="preserve"> to the Cohe</w:t>
      </w:r>
      <w:r w:rsidR="00006302">
        <w:t>r</w:t>
      </w:r>
      <w:r w:rsidR="00C43AEB">
        <w:t>e</w:t>
      </w:r>
      <w:r w:rsidR="00006302">
        <w:t>nce Theory of Truth, Kierkegaard’</w:t>
      </w:r>
      <w:r w:rsidR="007D11DE">
        <w:t>s conception of truth does follow as being</w:t>
      </w:r>
      <w:r w:rsidR="00C43AEB">
        <w:t xml:space="preserve"> coherent; it refers to truth as being coherent within beliefs, proposi</w:t>
      </w:r>
      <w:r w:rsidR="007D11DE">
        <w:t>tions, or specific sentences and i</w:t>
      </w:r>
      <w:r w:rsidR="00C43AEB">
        <w:t xml:space="preserve">t allows for a multitude of perspectives to exist </w:t>
      </w:r>
      <w:r w:rsidR="001866D7">
        <w:t xml:space="preserve">- </w:t>
      </w:r>
      <w:r w:rsidR="00E4180B">
        <w:t>subjectively to each individual</w:t>
      </w:r>
      <w:r w:rsidR="00384BB3">
        <w:t>.</w:t>
      </w:r>
      <w:r w:rsidR="001866D7">
        <w:t xml:space="preserve"> </w:t>
      </w:r>
      <w:r w:rsidR="00384BB3">
        <w:t xml:space="preserve"> </w:t>
      </w:r>
      <w:r w:rsidR="001866D7">
        <w:t xml:space="preserve">(This is in opposition to the Correspondence Theory of Truth, </w:t>
      </w:r>
      <w:r w:rsidR="00352CEB">
        <w:t>where the validity of a proposition is determined by how it relates to the world; this would be the objective thinker’s perspective.)</w:t>
      </w:r>
      <w:r w:rsidR="001866D7">
        <w:t xml:space="preserve"> </w:t>
      </w:r>
      <w:r w:rsidR="00C43AEB">
        <w:t xml:space="preserve"> </w:t>
      </w:r>
      <w:r w:rsidR="00875254">
        <w:t>By following Kierkegaard’s argument (or solution) to this, we leave ourselves open to a proper engagement with ourselves, the world around us</w:t>
      </w:r>
      <w:r w:rsidR="00B636EF">
        <w:t>, and to embrace the fact that our individual systems of belief cannot lead us astray as we will be spiritually developed enough in our characters to live according to the truth, as long as we inherit the subjective s</w:t>
      </w:r>
      <w:r w:rsidR="00036999">
        <w:t xml:space="preserve">tandpoint that ‘being human’ </w:t>
      </w:r>
      <w:r w:rsidR="00B636EF">
        <w:t>offer</w:t>
      </w:r>
      <w:r w:rsidR="00036999">
        <w:t>s</w:t>
      </w:r>
      <w:r w:rsidR="00B636EF">
        <w:t xml:space="preserve"> us.</w:t>
      </w:r>
      <w:r w:rsidR="00DF69F5">
        <w:t xml:space="preserve">  A notion that stands in the way of </w:t>
      </w:r>
      <w:r w:rsidR="002247EA">
        <w:t xml:space="preserve">Kierkegaard’s coherence, is that this way of thinking potentially allows for a different set of truths to exist within every single individual.  This could prove to be problematic if we all had radically different approaches to questions of morality, justice, equality, and even metaphysics.  Ironically, we would all also have to hold his philosophies as objectively good and correct in order to experience our own subjectivity and appropriations to truths in the way Kierkegaard wishes us to.  Nonetheless with no denial of objective truths, he seems to have presented a full-circle argument on </w:t>
      </w:r>
      <w:r w:rsidR="002247EA">
        <w:rPr>
          <w:i/>
        </w:rPr>
        <w:t xml:space="preserve">how </w:t>
      </w:r>
      <w:r w:rsidR="002247EA">
        <w:t>we should relate ourselves to the world.</w:t>
      </w:r>
      <w:bookmarkStart w:id="0" w:name="_GoBack"/>
      <w:bookmarkEnd w:id="0"/>
    </w:p>
    <w:p w14:paraId="0D94BE3F" w14:textId="77777777" w:rsidR="004A1D29" w:rsidRDefault="004A1D29">
      <w:r>
        <w:br w:type="page"/>
      </w:r>
    </w:p>
    <w:p w14:paraId="71C9EEE8" w14:textId="1E5339A6" w:rsidR="001620C2" w:rsidRDefault="004A1D29" w:rsidP="00B860DA">
      <w:pPr>
        <w:rPr>
          <w:b/>
          <w:sz w:val="28"/>
          <w:szCs w:val="28"/>
          <w:u w:val="single"/>
        </w:rPr>
      </w:pPr>
      <w:r w:rsidRPr="004A1D29">
        <w:rPr>
          <w:b/>
          <w:sz w:val="28"/>
          <w:szCs w:val="28"/>
          <w:u w:val="single"/>
        </w:rPr>
        <w:t>Bibliography</w:t>
      </w:r>
    </w:p>
    <w:p w14:paraId="79D76912" w14:textId="77777777" w:rsidR="004A1D29" w:rsidRDefault="004A1D29" w:rsidP="00B860DA">
      <w:pPr>
        <w:rPr>
          <w:b/>
          <w:sz w:val="28"/>
          <w:szCs w:val="28"/>
          <w:u w:val="single"/>
        </w:rPr>
      </w:pPr>
    </w:p>
    <w:p w14:paraId="5A745F45" w14:textId="35F8490A" w:rsidR="00F041DE" w:rsidRPr="007921D2" w:rsidRDefault="00F041DE" w:rsidP="00B860DA">
      <w:pPr>
        <w:rPr>
          <w:rFonts w:ascii="Calibri" w:eastAsia="Times New Roman" w:hAnsi="Calibri" w:cs="Arial"/>
          <w:color w:val="666666"/>
          <w:shd w:val="clear" w:color="auto" w:fill="FFF5AA"/>
          <w:lang w:eastAsia="en-GB"/>
        </w:rPr>
      </w:pPr>
      <w:r w:rsidRPr="007921D2">
        <w:rPr>
          <w:rFonts w:ascii="Calibri" w:eastAsia="Times New Roman" w:hAnsi="Calibri" w:cs="Arial"/>
          <w:color w:val="666666"/>
          <w:shd w:val="clear" w:color="auto" w:fill="FFFFFF"/>
          <w:lang w:eastAsia="en-GB"/>
        </w:rPr>
        <w:t>Blackham, H., Marcel, G. and Jaspers, K. (1961). </w:t>
      </w:r>
      <w:r w:rsidRPr="007921D2">
        <w:rPr>
          <w:rFonts w:ascii="Calibri" w:eastAsia="Times New Roman" w:hAnsi="Calibri" w:cs="Arial"/>
          <w:i/>
          <w:iCs/>
          <w:color w:val="666666"/>
          <w:lang w:eastAsia="en-GB"/>
        </w:rPr>
        <w:t>Six existentialist thinkers</w:t>
      </w:r>
      <w:r w:rsidRPr="007921D2">
        <w:rPr>
          <w:rFonts w:ascii="Calibri" w:eastAsia="Times New Roman" w:hAnsi="Calibri" w:cs="Arial"/>
          <w:color w:val="666666"/>
          <w:shd w:val="clear" w:color="auto" w:fill="FFFFFF"/>
          <w:lang w:eastAsia="en-GB"/>
        </w:rPr>
        <w:t>. New York: Routledge</w:t>
      </w:r>
    </w:p>
    <w:p w14:paraId="3D77BF72" w14:textId="77777777" w:rsidR="00F041DE" w:rsidRPr="007921D2" w:rsidRDefault="00F041DE" w:rsidP="00B860DA">
      <w:pPr>
        <w:rPr>
          <w:rFonts w:ascii="Calibri" w:eastAsia="Times New Roman" w:hAnsi="Calibri" w:cs="Arial"/>
          <w:color w:val="666666"/>
          <w:shd w:val="clear" w:color="auto" w:fill="FFF5AA"/>
          <w:lang w:eastAsia="en-GB"/>
        </w:rPr>
      </w:pPr>
    </w:p>
    <w:p w14:paraId="2DBCC215" w14:textId="39D9B105" w:rsidR="007921D2" w:rsidRPr="007921D2" w:rsidRDefault="007921D2" w:rsidP="007921D2">
      <w:pPr>
        <w:rPr>
          <w:rFonts w:ascii="Calibri" w:eastAsia="Times New Roman" w:hAnsi="Calibri" w:cs="Times New Roman"/>
          <w:lang w:eastAsia="en-GB"/>
        </w:rPr>
      </w:pPr>
      <w:r w:rsidRPr="007921D2">
        <w:rPr>
          <w:rFonts w:ascii="Calibri" w:eastAsia="Times New Roman" w:hAnsi="Calibri" w:cs="Arial"/>
          <w:color w:val="666666"/>
          <w:shd w:val="clear" w:color="auto" w:fill="FFF5AA"/>
          <w:lang w:eastAsia="en-GB"/>
        </w:rPr>
        <w:t>Hughes, E. (1995). How Subjectivity is Truth in the Concluding Unscientific Postscript. </w:t>
      </w:r>
      <w:r w:rsidRPr="007921D2">
        <w:rPr>
          <w:rFonts w:ascii="Calibri" w:eastAsia="Times New Roman" w:hAnsi="Calibri" w:cs="Arial"/>
          <w:i/>
          <w:iCs/>
          <w:color w:val="666666"/>
          <w:lang w:eastAsia="en-GB"/>
        </w:rPr>
        <w:t>Religious Studies</w:t>
      </w:r>
      <w:r w:rsidRPr="007921D2">
        <w:rPr>
          <w:rFonts w:ascii="Calibri" w:eastAsia="Times New Roman" w:hAnsi="Calibri" w:cs="Arial"/>
          <w:color w:val="666666"/>
          <w:shd w:val="clear" w:color="auto" w:fill="FFF5AA"/>
          <w:lang w:eastAsia="en-GB"/>
        </w:rPr>
        <w:t>, 31(02)</w:t>
      </w:r>
    </w:p>
    <w:p w14:paraId="1AE94F74" w14:textId="77777777" w:rsidR="007921D2" w:rsidRPr="007921D2" w:rsidRDefault="007921D2" w:rsidP="00B860DA">
      <w:pPr>
        <w:rPr>
          <w:rFonts w:ascii="Calibri" w:eastAsia="Times New Roman" w:hAnsi="Calibri" w:cs="Arial"/>
          <w:color w:val="666666"/>
          <w:shd w:val="clear" w:color="auto" w:fill="FFF5AA"/>
          <w:lang w:eastAsia="en-GB"/>
        </w:rPr>
      </w:pPr>
    </w:p>
    <w:p w14:paraId="57E6DA96" w14:textId="7FA77974" w:rsidR="004A1D29" w:rsidRPr="007921D2" w:rsidRDefault="00F041DE" w:rsidP="00B860DA">
      <w:pPr>
        <w:rPr>
          <w:rFonts w:ascii="Calibri" w:hAnsi="Calibri"/>
        </w:rPr>
      </w:pPr>
      <w:r w:rsidRPr="007921D2">
        <w:rPr>
          <w:rFonts w:ascii="Calibri" w:eastAsia="Times New Roman" w:hAnsi="Calibri" w:cs="Arial"/>
          <w:color w:val="666666"/>
          <w:shd w:val="clear" w:color="auto" w:fill="FFF5AA"/>
          <w:lang w:eastAsia="en-GB"/>
        </w:rPr>
        <w:t xml:space="preserve">Kierkegaard, S., </w:t>
      </w:r>
      <w:proofErr w:type="spellStart"/>
      <w:r w:rsidRPr="007921D2">
        <w:rPr>
          <w:rFonts w:ascii="Calibri" w:eastAsia="Times New Roman" w:hAnsi="Calibri" w:cs="Arial"/>
          <w:color w:val="666666"/>
          <w:shd w:val="clear" w:color="auto" w:fill="FFF5AA"/>
          <w:lang w:eastAsia="en-GB"/>
        </w:rPr>
        <w:t>Lowrie</w:t>
      </w:r>
      <w:proofErr w:type="spellEnd"/>
      <w:r w:rsidRPr="007921D2">
        <w:rPr>
          <w:rFonts w:ascii="Calibri" w:eastAsia="Times New Roman" w:hAnsi="Calibri" w:cs="Arial"/>
          <w:color w:val="666666"/>
          <w:shd w:val="clear" w:color="auto" w:fill="FFF5AA"/>
          <w:lang w:eastAsia="en-GB"/>
        </w:rPr>
        <w:t>, W. and Swenson, D. (1941). </w:t>
      </w:r>
      <w:r w:rsidRPr="007921D2">
        <w:rPr>
          <w:rFonts w:ascii="Calibri" w:eastAsia="Times New Roman" w:hAnsi="Calibri" w:cs="Arial"/>
          <w:i/>
          <w:iCs/>
          <w:color w:val="666666"/>
          <w:lang w:eastAsia="en-GB"/>
        </w:rPr>
        <w:t>Concluding unscientific postscript</w:t>
      </w:r>
      <w:r w:rsidRPr="007921D2">
        <w:rPr>
          <w:rFonts w:ascii="Calibri" w:eastAsia="Times New Roman" w:hAnsi="Calibri" w:cs="Arial"/>
          <w:color w:val="666666"/>
          <w:shd w:val="clear" w:color="auto" w:fill="FFF5AA"/>
          <w:lang w:eastAsia="en-GB"/>
        </w:rPr>
        <w:t>. Princeton, N.J.: University Press</w:t>
      </w:r>
    </w:p>
    <w:sectPr w:rsidR="004A1D29" w:rsidRPr="007921D2" w:rsidSect="0099467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568D17" w14:textId="77777777" w:rsidR="00C14161" w:rsidRDefault="00C14161" w:rsidP="007E7B73">
      <w:r>
        <w:separator/>
      </w:r>
    </w:p>
  </w:endnote>
  <w:endnote w:type="continuationSeparator" w:id="0">
    <w:p w14:paraId="4389B587" w14:textId="77777777" w:rsidR="00C14161" w:rsidRDefault="00C14161" w:rsidP="007E7B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E43E9A" w14:textId="77777777" w:rsidR="00C14161" w:rsidRDefault="00C14161" w:rsidP="007E7B73">
      <w:r>
        <w:separator/>
      </w:r>
    </w:p>
  </w:footnote>
  <w:footnote w:type="continuationSeparator" w:id="0">
    <w:p w14:paraId="39490AB0" w14:textId="77777777" w:rsidR="00C14161" w:rsidRDefault="00C14161" w:rsidP="007E7B73">
      <w:r>
        <w:continuationSeparator/>
      </w:r>
    </w:p>
  </w:footnote>
  <w:footnote w:id="1">
    <w:p w14:paraId="074FA1DE" w14:textId="77777777" w:rsidR="008E29B6" w:rsidRDefault="008E29B6" w:rsidP="008E29B6">
      <w:pPr>
        <w:pStyle w:val="FootnoteText"/>
      </w:pPr>
      <w:r>
        <w:rPr>
          <w:rStyle w:val="FootnoteReference"/>
        </w:rPr>
        <w:footnoteRef/>
      </w:r>
      <w:r>
        <w:t xml:space="preserve"> </w:t>
      </w:r>
      <w:r w:rsidRPr="00681045">
        <w:rPr>
          <w:rFonts w:ascii="Arial" w:eastAsia="Times New Roman" w:hAnsi="Arial" w:cs="Arial"/>
          <w:color w:val="666666"/>
          <w:sz w:val="20"/>
          <w:szCs w:val="20"/>
          <w:shd w:val="clear" w:color="auto" w:fill="FFF5AA"/>
          <w:lang w:eastAsia="en-GB"/>
        </w:rPr>
        <w:t xml:space="preserve">Kierkegaard, S., </w:t>
      </w:r>
      <w:proofErr w:type="spellStart"/>
      <w:r w:rsidRPr="00681045">
        <w:rPr>
          <w:rFonts w:ascii="Arial" w:eastAsia="Times New Roman" w:hAnsi="Arial" w:cs="Arial"/>
          <w:color w:val="666666"/>
          <w:sz w:val="20"/>
          <w:szCs w:val="20"/>
          <w:shd w:val="clear" w:color="auto" w:fill="FFF5AA"/>
          <w:lang w:eastAsia="en-GB"/>
        </w:rPr>
        <w:t>Lowrie</w:t>
      </w:r>
      <w:proofErr w:type="spellEnd"/>
      <w:r w:rsidRPr="00681045">
        <w:rPr>
          <w:rFonts w:ascii="Arial" w:eastAsia="Times New Roman" w:hAnsi="Arial" w:cs="Arial"/>
          <w:color w:val="666666"/>
          <w:sz w:val="20"/>
          <w:szCs w:val="20"/>
          <w:shd w:val="clear" w:color="auto" w:fill="FFF5AA"/>
          <w:lang w:eastAsia="en-GB"/>
        </w:rPr>
        <w:t>, W. and Swenson, D. (1941). </w:t>
      </w:r>
      <w:r w:rsidRPr="00681045">
        <w:rPr>
          <w:rFonts w:ascii="Arial" w:eastAsia="Times New Roman" w:hAnsi="Arial" w:cs="Arial"/>
          <w:i/>
          <w:iCs/>
          <w:color w:val="666666"/>
          <w:sz w:val="20"/>
          <w:szCs w:val="20"/>
          <w:lang w:eastAsia="en-GB"/>
        </w:rPr>
        <w:t>Concluding unscientific postscript</w:t>
      </w:r>
      <w:r w:rsidRPr="00681045">
        <w:rPr>
          <w:rFonts w:ascii="Arial" w:eastAsia="Times New Roman" w:hAnsi="Arial" w:cs="Arial"/>
          <w:color w:val="666666"/>
          <w:sz w:val="20"/>
          <w:szCs w:val="20"/>
          <w:shd w:val="clear" w:color="auto" w:fill="FFF5AA"/>
          <w:lang w:eastAsia="en-GB"/>
        </w:rPr>
        <w:t>. Princeton, N.J.: University Press</w:t>
      </w:r>
      <w:r>
        <w:rPr>
          <w:rFonts w:ascii="Arial" w:eastAsia="Times New Roman" w:hAnsi="Arial" w:cs="Arial"/>
          <w:color w:val="666666"/>
          <w:sz w:val="20"/>
          <w:szCs w:val="20"/>
          <w:shd w:val="clear" w:color="auto" w:fill="FFF5AA"/>
          <w:lang w:eastAsia="en-GB"/>
        </w:rPr>
        <w:t>, p.170</w:t>
      </w:r>
    </w:p>
  </w:footnote>
  <w:footnote w:id="2">
    <w:p w14:paraId="71828E8F" w14:textId="571DED8A" w:rsidR="00D27BD7" w:rsidRDefault="00D27BD7">
      <w:pPr>
        <w:pStyle w:val="FootnoteText"/>
      </w:pPr>
      <w:r>
        <w:rPr>
          <w:rStyle w:val="FootnoteReference"/>
        </w:rPr>
        <w:footnoteRef/>
      </w:r>
      <w:r>
        <w:t xml:space="preserve"> </w:t>
      </w:r>
      <w:r w:rsidRPr="00A07291">
        <w:rPr>
          <w:rFonts w:ascii="Arial" w:eastAsia="Times New Roman" w:hAnsi="Arial" w:cs="Arial"/>
          <w:color w:val="666666"/>
          <w:sz w:val="18"/>
          <w:szCs w:val="18"/>
          <w:shd w:val="clear" w:color="auto" w:fill="FFFFFF"/>
          <w:lang w:eastAsia="en-GB"/>
        </w:rPr>
        <w:t>Blackham, H., Marcel, G. and Jaspers, K. (1961). </w:t>
      </w:r>
      <w:r w:rsidRPr="00A07291">
        <w:rPr>
          <w:rFonts w:ascii="Arial" w:eastAsia="Times New Roman" w:hAnsi="Arial" w:cs="Arial"/>
          <w:i/>
          <w:iCs/>
          <w:color w:val="666666"/>
          <w:sz w:val="18"/>
          <w:szCs w:val="18"/>
          <w:lang w:eastAsia="en-GB"/>
        </w:rPr>
        <w:t>Six existentialist thinkers</w:t>
      </w:r>
      <w:r w:rsidRPr="00A07291">
        <w:rPr>
          <w:rFonts w:ascii="Arial" w:eastAsia="Times New Roman" w:hAnsi="Arial" w:cs="Arial"/>
          <w:color w:val="666666"/>
          <w:sz w:val="18"/>
          <w:szCs w:val="18"/>
          <w:shd w:val="clear" w:color="auto" w:fill="FFFFFF"/>
          <w:lang w:eastAsia="en-GB"/>
        </w:rPr>
        <w:t>. New York: Routledge, p.</w:t>
      </w:r>
      <w:r>
        <w:rPr>
          <w:rFonts w:ascii="Arial" w:eastAsia="Times New Roman" w:hAnsi="Arial" w:cs="Arial"/>
          <w:color w:val="666666"/>
          <w:sz w:val="18"/>
          <w:szCs w:val="18"/>
          <w:shd w:val="clear" w:color="auto" w:fill="FFFFFF"/>
          <w:lang w:eastAsia="en-GB"/>
        </w:rPr>
        <w:t>5</w:t>
      </w:r>
    </w:p>
  </w:footnote>
  <w:footnote w:id="3">
    <w:p w14:paraId="59632046" w14:textId="38CCF243" w:rsidR="00AD66E4" w:rsidRPr="00A07291" w:rsidRDefault="00AD66E4" w:rsidP="00A07291">
      <w:pPr>
        <w:rPr>
          <w:rFonts w:ascii="Times New Roman" w:eastAsia="Times New Roman" w:hAnsi="Times New Roman" w:cs="Times New Roman"/>
          <w:lang w:eastAsia="en-GB"/>
        </w:rPr>
      </w:pPr>
      <w:r>
        <w:rPr>
          <w:rStyle w:val="FootnoteReference"/>
        </w:rPr>
        <w:footnoteRef/>
      </w:r>
      <w:r>
        <w:t xml:space="preserve"> </w:t>
      </w:r>
      <w:r w:rsidR="00A07291" w:rsidRPr="00A07291">
        <w:rPr>
          <w:rFonts w:ascii="Arial" w:eastAsia="Times New Roman" w:hAnsi="Arial" w:cs="Arial"/>
          <w:color w:val="666666"/>
          <w:sz w:val="18"/>
          <w:szCs w:val="18"/>
          <w:shd w:val="clear" w:color="auto" w:fill="FFFFFF"/>
          <w:lang w:eastAsia="en-GB"/>
        </w:rPr>
        <w:t>Blackham, H., Marcel, G. and Jaspers, K. (1961). </w:t>
      </w:r>
      <w:r w:rsidR="00A07291" w:rsidRPr="00A07291">
        <w:rPr>
          <w:rFonts w:ascii="Arial" w:eastAsia="Times New Roman" w:hAnsi="Arial" w:cs="Arial"/>
          <w:i/>
          <w:iCs/>
          <w:color w:val="666666"/>
          <w:sz w:val="18"/>
          <w:szCs w:val="18"/>
          <w:lang w:eastAsia="en-GB"/>
        </w:rPr>
        <w:t>Six existentialist thinkers</w:t>
      </w:r>
      <w:r w:rsidR="00A07291" w:rsidRPr="00A07291">
        <w:rPr>
          <w:rFonts w:ascii="Arial" w:eastAsia="Times New Roman" w:hAnsi="Arial" w:cs="Arial"/>
          <w:color w:val="666666"/>
          <w:sz w:val="18"/>
          <w:szCs w:val="18"/>
          <w:shd w:val="clear" w:color="auto" w:fill="FFFFFF"/>
          <w:lang w:eastAsia="en-GB"/>
        </w:rPr>
        <w:t>. New York: Routledge, p.3</w:t>
      </w:r>
    </w:p>
  </w:footnote>
  <w:footnote w:id="4">
    <w:p w14:paraId="54B815A3" w14:textId="1CFA7A54" w:rsidR="003C4CFC" w:rsidRDefault="003C4CFC">
      <w:pPr>
        <w:pStyle w:val="FootnoteText"/>
      </w:pPr>
      <w:r>
        <w:rPr>
          <w:rStyle w:val="FootnoteReference"/>
        </w:rPr>
        <w:footnoteRef/>
      </w:r>
      <w:r>
        <w:t xml:space="preserve"> </w:t>
      </w:r>
      <w:r w:rsidRPr="00681045">
        <w:rPr>
          <w:rFonts w:ascii="Arial" w:eastAsia="Times New Roman" w:hAnsi="Arial" w:cs="Arial"/>
          <w:color w:val="666666"/>
          <w:sz w:val="20"/>
          <w:szCs w:val="20"/>
          <w:shd w:val="clear" w:color="auto" w:fill="FFF5AA"/>
          <w:lang w:eastAsia="en-GB"/>
        </w:rPr>
        <w:t xml:space="preserve">Kierkegaard, S., </w:t>
      </w:r>
      <w:proofErr w:type="spellStart"/>
      <w:r w:rsidRPr="00681045">
        <w:rPr>
          <w:rFonts w:ascii="Arial" w:eastAsia="Times New Roman" w:hAnsi="Arial" w:cs="Arial"/>
          <w:color w:val="666666"/>
          <w:sz w:val="20"/>
          <w:szCs w:val="20"/>
          <w:shd w:val="clear" w:color="auto" w:fill="FFF5AA"/>
          <w:lang w:eastAsia="en-GB"/>
        </w:rPr>
        <w:t>Lowrie</w:t>
      </w:r>
      <w:proofErr w:type="spellEnd"/>
      <w:r w:rsidRPr="00681045">
        <w:rPr>
          <w:rFonts w:ascii="Arial" w:eastAsia="Times New Roman" w:hAnsi="Arial" w:cs="Arial"/>
          <w:color w:val="666666"/>
          <w:sz w:val="20"/>
          <w:szCs w:val="20"/>
          <w:shd w:val="clear" w:color="auto" w:fill="FFF5AA"/>
          <w:lang w:eastAsia="en-GB"/>
        </w:rPr>
        <w:t>, W. and Swenson, D. (1941). </w:t>
      </w:r>
      <w:r w:rsidRPr="00681045">
        <w:rPr>
          <w:rFonts w:ascii="Arial" w:eastAsia="Times New Roman" w:hAnsi="Arial" w:cs="Arial"/>
          <w:i/>
          <w:iCs/>
          <w:color w:val="666666"/>
          <w:sz w:val="20"/>
          <w:szCs w:val="20"/>
          <w:lang w:eastAsia="en-GB"/>
        </w:rPr>
        <w:t>Concluding unscientific postscript</w:t>
      </w:r>
      <w:r w:rsidRPr="00681045">
        <w:rPr>
          <w:rFonts w:ascii="Arial" w:eastAsia="Times New Roman" w:hAnsi="Arial" w:cs="Arial"/>
          <w:color w:val="666666"/>
          <w:sz w:val="20"/>
          <w:szCs w:val="20"/>
          <w:shd w:val="clear" w:color="auto" w:fill="FFF5AA"/>
          <w:lang w:eastAsia="en-GB"/>
        </w:rPr>
        <w:t>. Princeton, N.J.: University Press</w:t>
      </w:r>
      <w:r>
        <w:rPr>
          <w:rFonts w:ascii="Arial" w:eastAsia="Times New Roman" w:hAnsi="Arial" w:cs="Arial"/>
          <w:color w:val="666666"/>
          <w:sz w:val="20"/>
          <w:szCs w:val="20"/>
          <w:shd w:val="clear" w:color="auto" w:fill="FFF5AA"/>
          <w:lang w:eastAsia="en-GB"/>
        </w:rPr>
        <w:t>, p.</w:t>
      </w:r>
      <w:r w:rsidR="009C1AF3">
        <w:rPr>
          <w:rFonts w:ascii="Arial" w:eastAsia="Times New Roman" w:hAnsi="Arial" w:cs="Arial"/>
          <w:color w:val="666666"/>
          <w:sz w:val="20"/>
          <w:szCs w:val="20"/>
          <w:shd w:val="clear" w:color="auto" w:fill="FFF5AA"/>
          <w:lang w:eastAsia="en-GB"/>
        </w:rPr>
        <w:t>33</w:t>
      </w:r>
    </w:p>
  </w:footnote>
  <w:footnote w:id="5">
    <w:p w14:paraId="17F11E84" w14:textId="2EF9AF89" w:rsidR="00E96645" w:rsidRDefault="00E96645">
      <w:pPr>
        <w:pStyle w:val="FootnoteText"/>
      </w:pPr>
      <w:r>
        <w:rPr>
          <w:rStyle w:val="FootnoteReference"/>
        </w:rPr>
        <w:footnoteRef/>
      </w:r>
      <w:r>
        <w:t xml:space="preserve"> </w:t>
      </w:r>
      <w:r w:rsidR="00DD744F" w:rsidRPr="00DD744F">
        <w:rPr>
          <w:rFonts w:ascii="Arial" w:hAnsi="Arial" w:cs="Arial"/>
          <w:sz w:val="18"/>
          <w:szCs w:val="18"/>
        </w:rPr>
        <w:t>Latin, for ‘something wanted or needed’.</w:t>
      </w:r>
    </w:p>
  </w:footnote>
  <w:footnote w:id="6">
    <w:p w14:paraId="35F29257" w14:textId="2BBFEDA6" w:rsidR="00550EA0" w:rsidRPr="00681045" w:rsidRDefault="00550EA0" w:rsidP="00681045">
      <w:pPr>
        <w:rPr>
          <w:rFonts w:ascii="Times New Roman" w:eastAsia="Times New Roman" w:hAnsi="Times New Roman" w:cs="Times New Roman"/>
          <w:lang w:eastAsia="en-GB"/>
        </w:rPr>
      </w:pPr>
      <w:r>
        <w:rPr>
          <w:rStyle w:val="FootnoteReference"/>
        </w:rPr>
        <w:footnoteRef/>
      </w:r>
      <w:r>
        <w:t xml:space="preserve"> </w:t>
      </w:r>
      <w:r w:rsidR="00681045" w:rsidRPr="00681045">
        <w:rPr>
          <w:rFonts w:ascii="Arial" w:eastAsia="Times New Roman" w:hAnsi="Arial" w:cs="Arial"/>
          <w:color w:val="666666"/>
          <w:sz w:val="20"/>
          <w:szCs w:val="20"/>
          <w:shd w:val="clear" w:color="auto" w:fill="FFF5AA"/>
          <w:lang w:eastAsia="en-GB"/>
        </w:rPr>
        <w:t>Kierkegaard, S., Lowrie, W. and Swenson, D. (1941). </w:t>
      </w:r>
      <w:r w:rsidR="00681045" w:rsidRPr="00681045">
        <w:rPr>
          <w:rFonts w:ascii="Arial" w:eastAsia="Times New Roman" w:hAnsi="Arial" w:cs="Arial"/>
          <w:i/>
          <w:iCs/>
          <w:color w:val="666666"/>
          <w:sz w:val="20"/>
          <w:szCs w:val="20"/>
          <w:lang w:eastAsia="en-GB"/>
        </w:rPr>
        <w:t>Concluding unscientific postscript</w:t>
      </w:r>
      <w:r w:rsidR="00681045" w:rsidRPr="00681045">
        <w:rPr>
          <w:rFonts w:ascii="Arial" w:eastAsia="Times New Roman" w:hAnsi="Arial" w:cs="Arial"/>
          <w:color w:val="666666"/>
          <w:sz w:val="20"/>
          <w:szCs w:val="20"/>
          <w:shd w:val="clear" w:color="auto" w:fill="FFF5AA"/>
          <w:lang w:eastAsia="en-GB"/>
        </w:rPr>
        <w:t>. Princeton, N.J.: University Press</w:t>
      </w:r>
      <w:r w:rsidR="00100636">
        <w:rPr>
          <w:rFonts w:ascii="Arial" w:eastAsia="Times New Roman" w:hAnsi="Arial" w:cs="Arial"/>
          <w:color w:val="666666"/>
          <w:sz w:val="20"/>
          <w:szCs w:val="20"/>
          <w:shd w:val="clear" w:color="auto" w:fill="FFF5AA"/>
          <w:lang w:eastAsia="en-GB"/>
        </w:rPr>
        <w:t>,</w:t>
      </w:r>
      <w:r w:rsidR="00166C68">
        <w:rPr>
          <w:rFonts w:ascii="Arial" w:eastAsia="Times New Roman" w:hAnsi="Arial" w:cs="Arial"/>
          <w:color w:val="666666"/>
          <w:sz w:val="20"/>
          <w:szCs w:val="20"/>
          <w:shd w:val="clear" w:color="auto" w:fill="FFF5AA"/>
          <w:lang w:eastAsia="en-GB"/>
        </w:rPr>
        <w:t xml:space="preserve"> p.169</w:t>
      </w:r>
      <w:r w:rsidR="00100636">
        <w:rPr>
          <w:rFonts w:ascii="Arial" w:eastAsia="Times New Roman" w:hAnsi="Arial" w:cs="Arial"/>
          <w:color w:val="666666"/>
          <w:sz w:val="20"/>
          <w:szCs w:val="20"/>
          <w:shd w:val="clear" w:color="auto" w:fill="FFF5AA"/>
          <w:lang w:eastAsia="en-GB"/>
        </w:rPr>
        <w:t>.</w:t>
      </w:r>
    </w:p>
  </w:footnote>
  <w:footnote w:id="7">
    <w:p w14:paraId="5162005A" w14:textId="6639895D" w:rsidR="00B87556" w:rsidRDefault="00B87556">
      <w:pPr>
        <w:pStyle w:val="FootnoteText"/>
      </w:pPr>
      <w:r>
        <w:rPr>
          <w:rStyle w:val="FootnoteReference"/>
        </w:rPr>
        <w:footnoteRef/>
      </w:r>
      <w:r>
        <w:t xml:space="preserve"> </w:t>
      </w:r>
      <w:r w:rsidRPr="00A07291">
        <w:rPr>
          <w:rFonts w:ascii="Arial" w:eastAsia="Times New Roman" w:hAnsi="Arial" w:cs="Arial"/>
          <w:color w:val="666666"/>
          <w:sz w:val="18"/>
          <w:szCs w:val="18"/>
          <w:shd w:val="clear" w:color="auto" w:fill="FFFFFF"/>
          <w:lang w:eastAsia="en-GB"/>
        </w:rPr>
        <w:t>Blackham, H., Marcel, G. and Jaspers, K. (1961). </w:t>
      </w:r>
      <w:r w:rsidRPr="00A07291">
        <w:rPr>
          <w:rFonts w:ascii="Arial" w:eastAsia="Times New Roman" w:hAnsi="Arial" w:cs="Arial"/>
          <w:i/>
          <w:iCs/>
          <w:color w:val="666666"/>
          <w:sz w:val="18"/>
          <w:szCs w:val="18"/>
          <w:lang w:eastAsia="en-GB"/>
        </w:rPr>
        <w:t>Six existentialist thinkers</w:t>
      </w:r>
      <w:r w:rsidRPr="00A07291">
        <w:rPr>
          <w:rFonts w:ascii="Arial" w:eastAsia="Times New Roman" w:hAnsi="Arial" w:cs="Arial"/>
          <w:color w:val="666666"/>
          <w:sz w:val="18"/>
          <w:szCs w:val="18"/>
          <w:shd w:val="clear" w:color="auto" w:fill="FFFFFF"/>
          <w:lang w:eastAsia="en-GB"/>
        </w:rPr>
        <w:t>. New York: Routledge</w:t>
      </w:r>
      <w:r>
        <w:rPr>
          <w:rFonts w:ascii="Arial" w:eastAsia="Times New Roman" w:hAnsi="Arial" w:cs="Arial"/>
          <w:color w:val="666666"/>
          <w:sz w:val="18"/>
          <w:szCs w:val="18"/>
          <w:shd w:val="clear" w:color="auto" w:fill="FFFFFF"/>
          <w:lang w:eastAsia="en-GB"/>
        </w:rPr>
        <w:t>, p.8</w:t>
      </w:r>
    </w:p>
  </w:footnote>
  <w:footnote w:id="8">
    <w:p w14:paraId="466B9646" w14:textId="1EDD0F7C" w:rsidR="00C40BF4" w:rsidRPr="00C40BF4" w:rsidRDefault="00C40BF4" w:rsidP="00C40BF4">
      <w:pPr>
        <w:rPr>
          <w:rFonts w:ascii="Times New Roman" w:eastAsia="Times New Roman" w:hAnsi="Times New Roman" w:cs="Times New Roman"/>
          <w:lang w:eastAsia="en-GB"/>
        </w:rPr>
      </w:pPr>
      <w:r>
        <w:rPr>
          <w:rStyle w:val="FootnoteReference"/>
        </w:rPr>
        <w:footnoteRef/>
      </w:r>
      <w:r>
        <w:t xml:space="preserve"> </w:t>
      </w:r>
      <w:r w:rsidRPr="00C40BF4">
        <w:rPr>
          <w:rFonts w:ascii="Arial" w:eastAsia="Times New Roman" w:hAnsi="Arial" w:cs="Arial"/>
          <w:color w:val="666666"/>
          <w:sz w:val="20"/>
          <w:szCs w:val="20"/>
          <w:shd w:val="clear" w:color="auto" w:fill="FFF5AA"/>
          <w:lang w:eastAsia="en-GB"/>
        </w:rPr>
        <w:t>Kierkegaard, S., Lowrie, W. and Swenson, D. (1941). </w:t>
      </w:r>
      <w:r w:rsidRPr="00C40BF4">
        <w:rPr>
          <w:rFonts w:ascii="Arial" w:eastAsia="Times New Roman" w:hAnsi="Arial" w:cs="Arial"/>
          <w:i/>
          <w:iCs/>
          <w:color w:val="666666"/>
          <w:sz w:val="20"/>
          <w:szCs w:val="20"/>
          <w:lang w:eastAsia="en-GB"/>
        </w:rPr>
        <w:t>Concluding unscientific postscript</w:t>
      </w:r>
      <w:r w:rsidRPr="00C40BF4">
        <w:rPr>
          <w:rFonts w:ascii="Arial" w:eastAsia="Times New Roman" w:hAnsi="Arial" w:cs="Arial"/>
          <w:color w:val="666666"/>
          <w:sz w:val="20"/>
          <w:szCs w:val="20"/>
          <w:shd w:val="clear" w:color="auto" w:fill="FFF5AA"/>
          <w:lang w:eastAsia="en-GB"/>
        </w:rPr>
        <w:t>. Pr</w:t>
      </w:r>
      <w:r>
        <w:rPr>
          <w:rFonts w:ascii="Arial" w:eastAsia="Times New Roman" w:hAnsi="Arial" w:cs="Arial"/>
          <w:color w:val="666666"/>
          <w:sz w:val="20"/>
          <w:szCs w:val="20"/>
          <w:shd w:val="clear" w:color="auto" w:fill="FFF5AA"/>
          <w:lang w:eastAsia="en-GB"/>
        </w:rPr>
        <w:t>inceton, N.J.: University Press, p.171.</w:t>
      </w:r>
    </w:p>
  </w:footnote>
  <w:footnote w:id="9">
    <w:p w14:paraId="156FEA40" w14:textId="54EB2616" w:rsidR="001322D9" w:rsidRDefault="001322D9">
      <w:pPr>
        <w:pStyle w:val="FootnoteText"/>
      </w:pPr>
      <w:r>
        <w:rPr>
          <w:rStyle w:val="FootnoteReference"/>
        </w:rPr>
        <w:footnoteRef/>
      </w:r>
      <w:r>
        <w:t xml:space="preserve"> </w:t>
      </w:r>
      <w:r w:rsidRPr="00A07291">
        <w:rPr>
          <w:rFonts w:ascii="Arial" w:eastAsia="Times New Roman" w:hAnsi="Arial" w:cs="Arial"/>
          <w:color w:val="666666"/>
          <w:sz w:val="18"/>
          <w:szCs w:val="18"/>
          <w:shd w:val="clear" w:color="auto" w:fill="FFFFFF"/>
          <w:lang w:eastAsia="en-GB"/>
        </w:rPr>
        <w:t>Blackham, H., Marcel, G. and Jaspers, K. (1961). </w:t>
      </w:r>
      <w:r w:rsidRPr="00A07291">
        <w:rPr>
          <w:rFonts w:ascii="Arial" w:eastAsia="Times New Roman" w:hAnsi="Arial" w:cs="Arial"/>
          <w:i/>
          <w:iCs/>
          <w:color w:val="666666"/>
          <w:sz w:val="18"/>
          <w:szCs w:val="18"/>
          <w:lang w:eastAsia="en-GB"/>
        </w:rPr>
        <w:t>Six existentialist thinkers</w:t>
      </w:r>
      <w:r w:rsidRPr="00A07291">
        <w:rPr>
          <w:rFonts w:ascii="Arial" w:eastAsia="Times New Roman" w:hAnsi="Arial" w:cs="Arial"/>
          <w:color w:val="666666"/>
          <w:sz w:val="18"/>
          <w:szCs w:val="18"/>
          <w:shd w:val="clear" w:color="auto" w:fill="FFFFFF"/>
          <w:lang w:eastAsia="en-GB"/>
        </w:rPr>
        <w:t>. New York: Routledge</w:t>
      </w:r>
      <w:r>
        <w:rPr>
          <w:rFonts w:ascii="Arial" w:eastAsia="Times New Roman" w:hAnsi="Arial" w:cs="Arial"/>
          <w:color w:val="666666"/>
          <w:sz w:val="18"/>
          <w:szCs w:val="18"/>
          <w:shd w:val="clear" w:color="auto" w:fill="FFFFFF"/>
          <w:lang w:eastAsia="en-GB"/>
        </w:rPr>
        <w:t xml:space="preserve">, </w:t>
      </w:r>
      <w:proofErr w:type="spellStart"/>
      <w:r>
        <w:rPr>
          <w:rFonts w:ascii="Arial" w:eastAsia="Times New Roman" w:hAnsi="Arial" w:cs="Arial"/>
          <w:color w:val="666666"/>
          <w:sz w:val="18"/>
          <w:szCs w:val="18"/>
          <w:shd w:val="clear" w:color="auto" w:fill="FFFFFF"/>
          <w:lang w:eastAsia="en-GB"/>
        </w:rPr>
        <w:t>p.xv</w:t>
      </w:r>
      <w:proofErr w:type="spellEnd"/>
    </w:p>
  </w:footnote>
  <w:footnote w:id="10">
    <w:p w14:paraId="061EC899" w14:textId="0A5C2F99" w:rsidR="00AF5E39" w:rsidRPr="007921D2" w:rsidRDefault="00AF5E39" w:rsidP="007921D2">
      <w:pPr>
        <w:rPr>
          <w:rFonts w:ascii="Times New Roman" w:eastAsia="Times New Roman" w:hAnsi="Times New Roman" w:cs="Times New Roman"/>
          <w:lang w:eastAsia="en-GB"/>
        </w:rPr>
      </w:pPr>
      <w:r>
        <w:rPr>
          <w:rStyle w:val="FootnoteReference"/>
        </w:rPr>
        <w:footnoteRef/>
      </w:r>
      <w:r w:rsidR="007921D2">
        <w:t xml:space="preserve"> </w:t>
      </w:r>
      <w:r w:rsidR="007921D2" w:rsidRPr="007921D2">
        <w:rPr>
          <w:rFonts w:ascii="Arial" w:eastAsia="Times New Roman" w:hAnsi="Arial" w:cs="Arial"/>
          <w:color w:val="666666"/>
          <w:sz w:val="20"/>
          <w:szCs w:val="20"/>
          <w:shd w:val="clear" w:color="auto" w:fill="FFF5AA"/>
          <w:lang w:eastAsia="en-GB"/>
        </w:rPr>
        <w:t>Hughes, E. (1995). How Subjectivity is Truth in the Concluding Unscientific Postscript. </w:t>
      </w:r>
      <w:r w:rsidR="007921D2" w:rsidRPr="007921D2">
        <w:rPr>
          <w:rFonts w:ascii="Arial" w:eastAsia="Times New Roman" w:hAnsi="Arial" w:cs="Arial"/>
          <w:i/>
          <w:iCs/>
          <w:color w:val="666666"/>
          <w:sz w:val="20"/>
          <w:szCs w:val="20"/>
          <w:lang w:eastAsia="en-GB"/>
        </w:rPr>
        <w:t>Religious Studies</w:t>
      </w:r>
      <w:r w:rsidR="007921D2" w:rsidRPr="007921D2">
        <w:rPr>
          <w:rFonts w:ascii="Arial" w:eastAsia="Times New Roman" w:hAnsi="Arial" w:cs="Arial"/>
          <w:color w:val="666666"/>
          <w:sz w:val="20"/>
          <w:szCs w:val="20"/>
          <w:shd w:val="clear" w:color="auto" w:fill="FFF5AA"/>
          <w:lang w:eastAsia="en-GB"/>
        </w:rPr>
        <w:t>, 31(02), p.197.</w:t>
      </w:r>
    </w:p>
  </w:footnote>
  <w:footnote w:id="11">
    <w:p w14:paraId="7F65888C" w14:textId="5E08E9DE" w:rsidR="007E7B73" w:rsidRDefault="007E7B73">
      <w:pPr>
        <w:pStyle w:val="FootnoteText"/>
      </w:pPr>
      <w:r>
        <w:rPr>
          <w:rStyle w:val="FootnoteReference"/>
        </w:rPr>
        <w:footnoteRef/>
      </w:r>
      <w:r>
        <w:t xml:space="preserve"> </w:t>
      </w:r>
      <w:r w:rsidR="00491A43" w:rsidRPr="00A07291">
        <w:rPr>
          <w:rFonts w:ascii="Arial" w:eastAsia="Times New Roman" w:hAnsi="Arial" w:cs="Arial"/>
          <w:color w:val="666666"/>
          <w:sz w:val="18"/>
          <w:szCs w:val="18"/>
          <w:shd w:val="clear" w:color="auto" w:fill="FFFFFF"/>
          <w:lang w:eastAsia="en-GB"/>
        </w:rPr>
        <w:t>Blackham, H., Marcel, G. and Jaspers, K. (1961). </w:t>
      </w:r>
      <w:r w:rsidR="00491A43" w:rsidRPr="00A07291">
        <w:rPr>
          <w:rFonts w:ascii="Arial" w:eastAsia="Times New Roman" w:hAnsi="Arial" w:cs="Arial"/>
          <w:i/>
          <w:iCs/>
          <w:color w:val="666666"/>
          <w:sz w:val="18"/>
          <w:szCs w:val="18"/>
          <w:lang w:eastAsia="en-GB"/>
        </w:rPr>
        <w:t>Six existentialist thinkers</w:t>
      </w:r>
      <w:r w:rsidR="00491A43" w:rsidRPr="00A07291">
        <w:rPr>
          <w:rFonts w:ascii="Arial" w:eastAsia="Times New Roman" w:hAnsi="Arial" w:cs="Arial"/>
          <w:color w:val="666666"/>
          <w:sz w:val="18"/>
          <w:szCs w:val="18"/>
          <w:shd w:val="clear" w:color="auto" w:fill="FFFFFF"/>
          <w:lang w:eastAsia="en-GB"/>
        </w:rPr>
        <w:t>. New York: Routledge</w:t>
      </w:r>
      <w:r w:rsidR="00491A43">
        <w:rPr>
          <w:rFonts w:ascii="Arial" w:eastAsia="Times New Roman" w:hAnsi="Arial" w:cs="Arial"/>
          <w:color w:val="666666"/>
          <w:sz w:val="18"/>
          <w:szCs w:val="18"/>
          <w:shd w:val="clear" w:color="auto" w:fill="FFFFFF"/>
          <w:lang w:eastAsia="en-GB"/>
        </w:rPr>
        <w:t>, p.</w:t>
      </w:r>
      <w:r w:rsidR="00D46669">
        <w:rPr>
          <w:rFonts w:ascii="Arial" w:eastAsia="Times New Roman" w:hAnsi="Arial" w:cs="Arial"/>
          <w:color w:val="666666"/>
          <w:sz w:val="18"/>
          <w:szCs w:val="18"/>
          <w:shd w:val="clear" w:color="auto" w:fill="FFFFFF"/>
          <w:lang w:eastAsia="en-GB"/>
        </w:rPr>
        <w:t>11</w:t>
      </w:r>
    </w:p>
  </w:footnote>
  <w:footnote w:id="12">
    <w:p w14:paraId="37786E65" w14:textId="2EDDBF8A" w:rsidR="000474CA" w:rsidRDefault="000474CA">
      <w:pPr>
        <w:pStyle w:val="FootnoteText"/>
      </w:pPr>
      <w:r>
        <w:rPr>
          <w:rStyle w:val="FootnoteReference"/>
        </w:rPr>
        <w:footnoteRef/>
      </w:r>
      <w:r>
        <w:t xml:space="preserve"> </w:t>
      </w:r>
      <w:r w:rsidRPr="00A07291">
        <w:rPr>
          <w:rFonts w:ascii="Arial" w:eastAsia="Times New Roman" w:hAnsi="Arial" w:cs="Arial"/>
          <w:color w:val="666666"/>
          <w:sz w:val="18"/>
          <w:szCs w:val="18"/>
          <w:shd w:val="clear" w:color="auto" w:fill="FFFFFF"/>
          <w:lang w:eastAsia="en-GB"/>
        </w:rPr>
        <w:t>Blackham, H., Marcel, G. and Jaspers, K. (1961). </w:t>
      </w:r>
      <w:r w:rsidRPr="00A07291">
        <w:rPr>
          <w:rFonts w:ascii="Arial" w:eastAsia="Times New Roman" w:hAnsi="Arial" w:cs="Arial"/>
          <w:i/>
          <w:iCs/>
          <w:color w:val="666666"/>
          <w:sz w:val="18"/>
          <w:szCs w:val="18"/>
          <w:lang w:eastAsia="en-GB"/>
        </w:rPr>
        <w:t>Six existentialist thinkers</w:t>
      </w:r>
      <w:r w:rsidRPr="00A07291">
        <w:rPr>
          <w:rFonts w:ascii="Arial" w:eastAsia="Times New Roman" w:hAnsi="Arial" w:cs="Arial"/>
          <w:color w:val="666666"/>
          <w:sz w:val="18"/>
          <w:szCs w:val="18"/>
          <w:shd w:val="clear" w:color="auto" w:fill="FFFFFF"/>
          <w:lang w:eastAsia="en-GB"/>
        </w:rPr>
        <w:t>. New York: Routledge</w:t>
      </w:r>
      <w:r>
        <w:rPr>
          <w:rFonts w:ascii="Arial" w:eastAsia="Times New Roman" w:hAnsi="Arial" w:cs="Arial"/>
          <w:color w:val="666666"/>
          <w:sz w:val="18"/>
          <w:szCs w:val="18"/>
          <w:shd w:val="clear" w:color="auto" w:fill="FFFFFF"/>
          <w:lang w:eastAsia="en-GB"/>
        </w:rPr>
        <w:t xml:space="preserve">, </w:t>
      </w:r>
      <w:proofErr w:type="spellStart"/>
      <w:r>
        <w:rPr>
          <w:rFonts w:ascii="Arial" w:eastAsia="Times New Roman" w:hAnsi="Arial" w:cs="Arial"/>
          <w:color w:val="666666"/>
          <w:sz w:val="18"/>
          <w:szCs w:val="18"/>
          <w:shd w:val="clear" w:color="auto" w:fill="FFFFFF"/>
          <w:lang w:eastAsia="en-GB"/>
        </w:rPr>
        <w:t>p.xv</w:t>
      </w:r>
      <w:proofErr w:type="spellEnd"/>
    </w:p>
  </w:footnote>
  <w:footnote w:id="13">
    <w:p w14:paraId="5ECFA59F" w14:textId="2F435E13" w:rsidR="00C6222C" w:rsidRPr="00C6222C" w:rsidRDefault="00C6222C" w:rsidP="00C6222C">
      <w:pPr>
        <w:rPr>
          <w:rFonts w:ascii="Times New Roman" w:eastAsia="Times New Roman" w:hAnsi="Times New Roman" w:cs="Times New Roman"/>
          <w:lang w:eastAsia="en-GB"/>
        </w:rPr>
      </w:pPr>
      <w:r>
        <w:rPr>
          <w:rStyle w:val="FootnoteReference"/>
        </w:rPr>
        <w:footnoteRef/>
      </w:r>
      <w:r>
        <w:t xml:space="preserve"> </w:t>
      </w:r>
      <w:r w:rsidRPr="00C6222C">
        <w:rPr>
          <w:rFonts w:ascii="Arial" w:eastAsia="Times New Roman" w:hAnsi="Arial" w:cs="Arial"/>
          <w:color w:val="666666"/>
          <w:sz w:val="20"/>
          <w:szCs w:val="20"/>
          <w:shd w:val="clear" w:color="auto" w:fill="FFF5AA"/>
          <w:lang w:eastAsia="en-GB"/>
        </w:rPr>
        <w:t xml:space="preserve">Kierkegaard, S., </w:t>
      </w:r>
      <w:proofErr w:type="spellStart"/>
      <w:r w:rsidRPr="00C6222C">
        <w:rPr>
          <w:rFonts w:ascii="Arial" w:eastAsia="Times New Roman" w:hAnsi="Arial" w:cs="Arial"/>
          <w:color w:val="666666"/>
          <w:sz w:val="20"/>
          <w:szCs w:val="20"/>
          <w:shd w:val="clear" w:color="auto" w:fill="FFF5AA"/>
          <w:lang w:eastAsia="en-GB"/>
        </w:rPr>
        <w:t>Lowrie</w:t>
      </w:r>
      <w:proofErr w:type="spellEnd"/>
      <w:r w:rsidRPr="00C6222C">
        <w:rPr>
          <w:rFonts w:ascii="Arial" w:eastAsia="Times New Roman" w:hAnsi="Arial" w:cs="Arial"/>
          <w:color w:val="666666"/>
          <w:sz w:val="20"/>
          <w:szCs w:val="20"/>
          <w:shd w:val="clear" w:color="auto" w:fill="FFF5AA"/>
          <w:lang w:eastAsia="en-GB"/>
        </w:rPr>
        <w:t>, W. and Swenson, D. (1941). </w:t>
      </w:r>
      <w:r w:rsidRPr="00C6222C">
        <w:rPr>
          <w:rFonts w:ascii="Arial" w:eastAsia="Times New Roman" w:hAnsi="Arial" w:cs="Arial"/>
          <w:i/>
          <w:iCs/>
          <w:color w:val="666666"/>
          <w:sz w:val="20"/>
          <w:szCs w:val="20"/>
          <w:lang w:eastAsia="en-GB"/>
        </w:rPr>
        <w:t>Concluding unscientific postscript</w:t>
      </w:r>
      <w:r w:rsidRPr="00C6222C">
        <w:rPr>
          <w:rFonts w:ascii="Arial" w:eastAsia="Times New Roman" w:hAnsi="Arial" w:cs="Arial"/>
          <w:color w:val="666666"/>
          <w:sz w:val="20"/>
          <w:szCs w:val="20"/>
          <w:shd w:val="clear" w:color="auto" w:fill="FFF5AA"/>
          <w:lang w:eastAsia="en-GB"/>
        </w:rPr>
        <w:t>. Pr</w:t>
      </w:r>
      <w:r>
        <w:rPr>
          <w:rFonts w:ascii="Arial" w:eastAsia="Times New Roman" w:hAnsi="Arial" w:cs="Arial"/>
          <w:color w:val="666666"/>
          <w:sz w:val="20"/>
          <w:szCs w:val="20"/>
          <w:shd w:val="clear" w:color="auto" w:fill="FFF5AA"/>
          <w:lang w:eastAsia="en-GB"/>
        </w:rPr>
        <w:t>inceton, N.J.: University Press, p.170.</w:t>
      </w:r>
    </w:p>
  </w:footnote>
  <w:footnote w:id="14">
    <w:p w14:paraId="5E19EB30" w14:textId="11E71E91" w:rsidR="00722A67" w:rsidRPr="00722A67" w:rsidRDefault="00722A67">
      <w:pPr>
        <w:pStyle w:val="FootnoteText"/>
      </w:pPr>
      <w:r>
        <w:rPr>
          <w:rStyle w:val="FootnoteReference"/>
        </w:rPr>
        <w:footnoteRef/>
      </w:r>
      <w:r>
        <w:t xml:space="preserve"> </w:t>
      </w:r>
      <w:proofErr w:type="spellStart"/>
      <w:r w:rsidRPr="00722A67">
        <w:rPr>
          <w:rFonts w:ascii="Arial" w:hAnsi="Arial" w:cs="Arial"/>
          <w:i/>
          <w:sz w:val="20"/>
          <w:szCs w:val="20"/>
        </w:rPr>
        <w:t>Dasein</w:t>
      </w:r>
      <w:proofErr w:type="spellEnd"/>
      <w:r w:rsidRPr="00722A67">
        <w:rPr>
          <w:rFonts w:ascii="Arial" w:hAnsi="Arial" w:cs="Arial"/>
          <w:sz w:val="20"/>
          <w:szCs w:val="20"/>
        </w:rPr>
        <w:t xml:space="preserve"> for Heidegger was a reference to a being capable of ontology; a being able to recursively comprehend properties of the fact of its own Being.</w:t>
      </w:r>
    </w:p>
  </w:footnote>
  <w:footnote w:id="15">
    <w:p w14:paraId="7DCA6AD5" w14:textId="54AF4535" w:rsidR="0043489E" w:rsidRDefault="0043489E">
      <w:pPr>
        <w:pStyle w:val="FootnoteText"/>
      </w:pPr>
      <w:r>
        <w:rPr>
          <w:rStyle w:val="FootnoteReference"/>
        </w:rPr>
        <w:footnoteRef/>
      </w:r>
      <w:r>
        <w:t xml:space="preserve"> </w:t>
      </w:r>
      <w:r w:rsidRPr="00681045">
        <w:rPr>
          <w:rFonts w:ascii="Arial" w:eastAsia="Times New Roman" w:hAnsi="Arial" w:cs="Arial"/>
          <w:color w:val="666666"/>
          <w:sz w:val="20"/>
          <w:szCs w:val="20"/>
          <w:shd w:val="clear" w:color="auto" w:fill="FFF5AA"/>
          <w:lang w:eastAsia="en-GB"/>
        </w:rPr>
        <w:t xml:space="preserve">Kierkegaard, S., </w:t>
      </w:r>
      <w:proofErr w:type="spellStart"/>
      <w:r w:rsidRPr="00681045">
        <w:rPr>
          <w:rFonts w:ascii="Arial" w:eastAsia="Times New Roman" w:hAnsi="Arial" w:cs="Arial"/>
          <w:color w:val="666666"/>
          <w:sz w:val="20"/>
          <w:szCs w:val="20"/>
          <w:shd w:val="clear" w:color="auto" w:fill="FFF5AA"/>
          <w:lang w:eastAsia="en-GB"/>
        </w:rPr>
        <w:t>Lowrie</w:t>
      </w:r>
      <w:proofErr w:type="spellEnd"/>
      <w:r w:rsidRPr="00681045">
        <w:rPr>
          <w:rFonts w:ascii="Arial" w:eastAsia="Times New Roman" w:hAnsi="Arial" w:cs="Arial"/>
          <w:color w:val="666666"/>
          <w:sz w:val="20"/>
          <w:szCs w:val="20"/>
          <w:shd w:val="clear" w:color="auto" w:fill="FFF5AA"/>
          <w:lang w:eastAsia="en-GB"/>
        </w:rPr>
        <w:t>, W. and Swenson, D. (1941). </w:t>
      </w:r>
      <w:r w:rsidRPr="00681045">
        <w:rPr>
          <w:rFonts w:ascii="Arial" w:eastAsia="Times New Roman" w:hAnsi="Arial" w:cs="Arial"/>
          <w:i/>
          <w:iCs/>
          <w:color w:val="666666"/>
          <w:sz w:val="20"/>
          <w:szCs w:val="20"/>
          <w:lang w:eastAsia="en-GB"/>
        </w:rPr>
        <w:t>Concluding unscientific postscript</w:t>
      </w:r>
      <w:r w:rsidRPr="00681045">
        <w:rPr>
          <w:rFonts w:ascii="Arial" w:eastAsia="Times New Roman" w:hAnsi="Arial" w:cs="Arial"/>
          <w:color w:val="666666"/>
          <w:sz w:val="20"/>
          <w:szCs w:val="20"/>
          <w:shd w:val="clear" w:color="auto" w:fill="FFF5AA"/>
          <w:lang w:eastAsia="en-GB"/>
        </w:rPr>
        <w:t>. Princeton, N.J.: University Press</w:t>
      </w:r>
      <w:r>
        <w:rPr>
          <w:rFonts w:ascii="Arial" w:eastAsia="Times New Roman" w:hAnsi="Arial" w:cs="Arial"/>
          <w:color w:val="666666"/>
          <w:sz w:val="20"/>
          <w:szCs w:val="20"/>
          <w:shd w:val="clear" w:color="auto" w:fill="FFF5AA"/>
          <w:lang w:eastAsia="en-GB"/>
        </w:rPr>
        <w:t>, p.33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5CF0"/>
    <w:rsid w:val="00006302"/>
    <w:rsid w:val="000070E6"/>
    <w:rsid w:val="000200F2"/>
    <w:rsid w:val="00024D0D"/>
    <w:rsid w:val="00036999"/>
    <w:rsid w:val="000474CA"/>
    <w:rsid w:val="000508EA"/>
    <w:rsid w:val="000526A0"/>
    <w:rsid w:val="000B6657"/>
    <w:rsid w:val="000D7DFE"/>
    <w:rsid w:val="000E5E3C"/>
    <w:rsid w:val="00100636"/>
    <w:rsid w:val="00101B8B"/>
    <w:rsid w:val="00106A3F"/>
    <w:rsid w:val="001126B4"/>
    <w:rsid w:val="0011327A"/>
    <w:rsid w:val="001322D9"/>
    <w:rsid w:val="001620C2"/>
    <w:rsid w:val="001650DC"/>
    <w:rsid w:val="00166C68"/>
    <w:rsid w:val="00173DD3"/>
    <w:rsid w:val="001866D7"/>
    <w:rsid w:val="001922B2"/>
    <w:rsid w:val="0019467C"/>
    <w:rsid w:val="001A0A16"/>
    <w:rsid w:val="001C13A9"/>
    <w:rsid w:val="001D20AB"/>
    <w:rsid w:val="001E4A09"/>
    <w:rsid w:val="001E5072"/>
    <w:rsid w:val="001F525D"/>
    <w:rsid w:val="001F667E"/>
    <w:rsid w:val="001F7EC4"/>
    <w:rsid w:val="0022265C"/>
    <w:rsid w:val="002247EA"/>
    <w:rsid w:val="0027633C"/>
    <w:rsid w:val="00292412"/>
    <w:rsid w:val="002969D3"/>
    <w:rsid w:val="002A37AB"/>
    <w:rsid w:val="002B0B18"/>
    <w:rsid w:val="002B6343"/>
    <w:rsid w:val="002F0C53"/>
    <w:rsid w:val="0030055B"/>
    <w:rsid w:val="00304788"/>
    <w:rsid w:val="00306CE8"/>
    <w:rsid w:val="003460BB"/>
    <w:rsid w:val="003469F9"/>
    <w:rsid w:val="00352CEB"/>
    <w:rsid w:val="00362008"/>
    <w:rsid w:val="00366C7D"/>
    <w:rsid w:val="003808A1"/>
    <w:rsid w:val="00381DA2"/>
    <w:rsid w:val="00384BB3"/>
    <w:rsid w:val="003859C5"/>
    <w:rsid w:val="003A0FD6"/>
    <w:rsid w:val="003B7184"/>
    <w:rsid w:val="003C4CFC"/>
    <w:rsid w:val="0040514A"/>
    <w:rsid w:val="00415007"/>
    <w:rsid w:val="00415639"/>
    <w:rsid w:val="0043489E"/>
    <w:rsid w:val="00491A43"/>
    <w:rsid w:val="004A1D29"/>
    <w:rsid w:val="004A7C26"/>
    <w:rsid w:val="004C6CCC"/>
    <w:rsid w:val="004F2483"/>
    <w:rsid w:val="00523A44"/>
    <w:rsid w:val="00523EFC"/>
    <w:rsid w:val="00550EA0"/>
    <w:rsid w:val="00552C95"/>
    <w:rsid w:val="005537C4"/>
    <w:rsid w:val="00554AE6"/>
    <w:rsid w:val="00564FEE"/>
    <w:rsid w:val="00593474"/>
    <w:rsid w:val="005B1121"/>
    <w:rsid w:val="005C7A1D"/>
    <w:rsid w:val="00610558"/>
    <w:rsid w:val="006228C9"/>
    <w:rsid w:val="006435FF"/>
    <w:rsid w:val="00655821"/>
    <w:rsid w:val="00662F43"/>
    <w:rsid w:val="0067310A"/>
    <w:rsid w:val="00681045"/>
    <w:rsid w:val="006D3319"/>
    <w:rsid w:val="00713281"/>
    <w:rsid w:val="00722A67"/>
    <w:rsid w:val="0073096F"/>
    <w:rsid w:val="00756132"/>
    <w:rsid w:val="00783AC3"/>
    <w:rsid w:val="007921D2"/>
    <w:rsid w:val="0079488C"/>
    <w:rsid w:val="007A1544"/>
    <w:rsid w:val="007A366F"/>
    <w:rsid w:val="007A6EBA"/>
    <w:rsid w:val="007D11DE"/>
    <w:rsid w:val="007D731A"/>
    <w:rsid w:val="007E1A61"/>
    <w:rsid w:val="007E1C63"/>
    <w:rsid w:val="007E7B73"/>
    <w:rsid w:val="00802559"/>
    <w:rsid w:val="00810811"/>
    <w:rsid w:val="00832B77"/>
    <w:rsid w:val="0086338D"/>
    <w:rsid w:val="00875254"/>
    <w:rsid w:val="00895F14"/>
    <w:rsid w:val="008B3321"/>
    <w:rsid w:val="008C1AD7"/>
    <w:rsid w:val="008E29B6"/>
    <w:rsid w:val="00901660"/>
    <w:rsid w:val="00925CF0"/>
    <w:rsid w:val="009426FD"/>
    <w:rsid w:val="009478A2"/>
    <w:rsid w:val="009570C1"/>
    <w:rsid w:val="00994672"/>
    <w:rsid w:val="009C1AF3"/>
    <w:rsid w:val="009E3CF6"/>
    <w:rsid w:val="00A07291"/>
    <w:rsid w:val="00A30D85"/>
    <w:rsid w:val="00A4156A"/>
    <w:rsid w:val="00A50B66"/>
    <w:rsid w:val="00A5463C"/>
    <w:rsid w:val="00A91B68"/>
    <w:rsid w:val="00AA3CD7"/>
    <w:rsid w:val="00AA5D5F"/>
    <w:rsid w:val="00AD66E4"/>
    <w:rsid w:val="00AF5E39"/>
    <w:rsid w:val="00B06DC5"/>
    <w:rsid w:val="00B51103"/>
    <w:rsid w:val="00B636EF"/>
    <w:rsid w:val="00B8480B"/>
    <w:rsid w:val="00B860DA"/>
    <w:rsid w:val="00B87556"/>
    <w:rsid w:val="00BB013A"/>
    <w:rsid w:val="00BB3623"/>
    <w:rsid w:val="00BC2BC1"/>
    <w:rsid w:val="00BD35E0"/>
    <w:rsid w:val="00C03CB3"/>
    <w:rsid w:val="00C03E6B"/>
    <w:rsid w:val="00C14161"/>
    <w:rsid w:val="00C15D02"/>
    <w:rsid w:val="00C17268"/>
    <w:rsid w:val="00C2659C"/>
    <w:rsid w:val="00C277EC"/>
    <w:rsid w:val="00C36EF2"/>
    <w:rsid w:val="00C3787C"/>
    <w:rsid w:val="00C40BF4"/>
    <w:rsid w:val="00C43AEB"/>
    <w:rsid w:val="00C505AC"/>
    <w:rsid w:val="00C6222C"/>
    <w:rsid w:val="00C7251C"/>
    <w:rsid w:val="00C87A24"/>
    <w:rsid w:val="00C951D4"/>
    <w:rsid w:val="00C97BD0"/>
    <w:rsid w:val="00CC337F"/>
    <w:rsid w:val="00CF2D05"/>
    <w:rsid w:val="00D11993"/>
    <w:rsid w:val="00D27BD7"/>
    <w:rsid w:val="00D35193"/>
    <w:rsid w:val="00D46669"/>
    <w:rsid w:val="00D71FF4"/>
    <w:rsid w:val="00DC7D57"/>
    <w:rsid w:val="00DD744F"/>
    <w:rsid w:val="00DE1023"/>
    <w:rsid w:val="00DE401E"/>
    <w:rsid w:val="00DF69F5"/>
    <w:rsid w:val="00E22318"/>
    <w:rsid w:val="00E4180B"/>
    <w:rsid w:val="00E5406D"/>
    <w:rsid w:val="00E96645"/>
    <w:rsid w:val="00E973F7"/>
    <w:rsid w:val="00EB6D7B"/>
    <w:rsid w:val="00EC0573"/>
    <w:rsid w:val="00EE3356"/>
    <w:rsid w:val="00F041DE"/>
    <w:rsid w:val="00F44CDD"/>
    <w:rsid w:val="00F86336"/>
    <w:rsid w:val="00F9319B"/>
    <w:rsid w:val="00FB57CB"/>
    <w:rsid w:val="00FC7531"/>
    <w:rsid w:val="00FF40E7"/>
    <w:rsid w:val="00FF4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94CD44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50DC"/>
    <w:rPr>
      <w:color w:val="0563C1" w:themeColor="hyperlink"/>
      <w:u w:val="single"/>
    </w:rPr>
  </w:style>
  <w:style w:type="paragraph" w:styleId="FootnoteText">
    <w:name w:val="footnote text"/>
    <w:basedOn w:val="Normal"/>
    <w:link w:val="FootnoteTextChar"/>
    <w:uiPriority w:val="99"/>
    <w:unhideWhenUsed/>
    <w:rsid w:val="007E7B73"/>
  </w:style>
  <w:style w:type="character" w:customStyle="1" w:styleId="FootnoteTextChar">
    <w:name w:val="Footnote Text Char"/>
    <w:basedOn w:val="DefaultParagraphFont"/>
    <w:link w:val="FootnoteText"/>
    <w:uiPriority w:val="99"/>
    <w:rsid w:val="007E7B73"/>
  </w:style>
  <w:style w:type="character" w:styleId="FootnoteReference">
    <w:name w:val="footnote reference"/>
    <w:basedOn w:val="DefaultParagraphFont"/>
    <w:uiPriority w:val="99"/>
    <w:unhideWhenUsed/>
    <w:rsid w:val="007E7B73"/>
    <w:rPr>
      <w:vertAlign w:val="superscript"/>
    </w:rPr>
  </w:style>
  <w:style w:type="character" w:customStyle="1" w:styleId="apple-converted-space">
    <w:name w:val="apple-converted-space"/>
    <w:basedOn w:val="DefaultParagraphFont"/>
    <w:rsid w:val="00A07291"/>
  </w:style>
  <w:style w:type="paragraph" w:styleId="NoSpacing">
    <w:name w:val="No Spacing"/>
    <w:uiPriority w:val="1"/>
    <w:qFormat/>
    <w:rsid w:val="00550E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00787">
      <w:bodyDiv w:val="1"/>
      <w:marLeft w:val="0"/>
      <w:marRight w:val="0"/>
      <w:marTop w:val="0"/>
      <w:marBottom w:val="0"/>
      <w:divBdr>
        <w:top w:val="none" w:sz="0" w:space="0" w:color="auto"/>
        <w:left w:val="none" w:sz="0" w:space="0" w:color="auto"/>
        <w:bottom w:val="none" w:sz="0" w:space="0" w:color="auto"/>
        <w:right w:val="none" w:sz="0" w:space="0" w:color="auto"/>
      </w:divBdr>
    </w:div>
    <w:div w:id="136798616">
      <w:bodyDiv w:val="1"/>
      <w:marLeft w:val="0"/>
      <w:marRight w:val="0"/>
      <w:marTop w:val="0"/>
      <w:marBottom w:val="0"/>
      <w:divBdr>
        <w:top w:val="none" w:sz="0" w:space="0" w:color="auto"/>
        <w:left w:val="none" w:sz="0" w:space="0" w:color="auto"/>
        <w:bottom w:val="none" w:sz="0" w:space="0" w:color="auto"/>
        <w:right w:val="none" w:sz="0" w:space="0" w:color="auto"/>
      </w:divBdr>
    </w:div>
    <w:div w:id="1067919068">
      <w:bodyDiv w:val="1"/>
      <w:marLeft w:val="0"/>
      <w:marRight w:val="0"/>
      <w:marTop w:val="0"/>
      <w:marBottom w:val="0"/>
      <w:divBdr>
        <w:top w:val="none" w:sz="0" w:space="0" w:color="auto"/>
        <w:left w:val="none" w:sz="0" w:space="0" w:color="auto"/>
        <w:bottom w:val="none" w:sz="0" w:space="0" w:color="auto"/>
        <w:right w:val="none" w:sz="0" w:space="0" w:color="auto"/>
      </w:divBdr>
    </w:div>
    <w:div w:id="1115446210">
      <w:bodyDiv w:val="1"/>
      <w:marLeft w:val="0"/>
      <w:marRight w:val="0"/>
      <w:marTop w:val="0"/>
      <w:marBottom w:val="0"/>
      <w:divBdr>
        <w:top w:val="none" w:sz="0" w:space="0" w:color="auto"/>
        <w:left w:val="none" w:sz="0" w:space="0" w:color="auto"/>
        <w:bottom w:val="none" w:sz="0" w:space="0" w:color="auto"/>
        <w:right w:val="none" w:sz="0" w:space="0" w:color="auto"/>
      </w:divBdr>
    </w:div>
    <w:div w:id="1450971656">
      <w:bodyDiv w:val="1"/>
      <w:marLeft w:val="0"/>
      <w:marRight w:val="0"/>
      <w:marTop w:val="0"/>
      <w:marBottom w:val="0"/>
      <w:divBdr>
        <w:top w:val="none" w:sz="0" w:space="0" w:color="auto"/>
        <w:left w:val="none" w:sz="0" w:space="0" w:color="auto"/>
        <w:bottom w:val="none" w:sz="0" w:space="0" w:color="auto"/>
        <w:right w:val="none" w:sz="0" w:space="0" w:color="auto"/>
      </w:divBdr>
    </w:div>
    <w:div w:id="1723554595">
      <w:bodyDiv w:val="1"/>
      <w:marLeft w:val="0"/>
      <w:marRight w:val="0"/>
      <w:marTop w:val="0"/>
      <w:marBottom w:val="0"/>
      <w:divBdr>
        <w:top w:val="none" w:sz="0" w:space="0" w:color="auto"/>
        <w:left w:val="none" w:sz="0" w:space="0" w:color="auto"/>
        <w:bottom w:val="none" w:sz="0" w:space="0" w:color="auto"/>
        <w:right w:val="none" w:sz="0" w:space="0" w:color="auto"/>
      </w:divBdr>
    </w:div>
    <w:div w:id="18493262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12AD355-DFD4-D94E-AD84-EC2D636BE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Pages>
  <Words>2348</Words>
  <Characters>13386</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gerscales@yahoo.com</dc:creator>
  <cp:keywords/>
  <dc:description/>
  <cp:lastModifiedBy>gerscales@yahoo.com</cp:lastModifiedBy>
  <cp:revision>2</cp:revision>
  <dcterms:created xsi:type="dcterms:W3CDTF">2017-11-08T11:33:00Z</dcterms:created>
  <dcterms:modified xsi:type="dcterms:W3CDTF">2017-11-08T11:33:00Z</dcterms:modified>
</cp:coreProperties>
</file>