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A0471" w14:textId="3AD123DD" w:rsidR="004120C9" w:rsidRPr="00C07094" w:rsidRDefault="00392928">
      <w:pPr>
        <w:rPr>
          <w:rFonts w:ascii="Arial" w:hAnsi="Arial" w:cs="Arial"/>
          <w:b/>
          <w:bCs/>
          <w:sz w:val="22"/>
          <w:szCs w:val="22"/>
        </w:rPr>
      </w:pPr>
      <w:r w:rsidRPr="00C07094">
        <w:rPr>
          <w:rFonts w:ascii="Arial" w:hAnsi="Arial" w:cs="Arial"/>
          <w:b/>
          <w:bCs/>
          <w:sz w:val="22"/>
          <w:szCs w:val="22"/>
        </w:rPr>
        <w:t>Student Name: Ekos Adamu</w:t>
      </w:r>
    </w:p>
    <w:p w14:paraId="09DC5724" w14:textId="122A5F4F" w:rsidR="00392928" w:rsidRPr="00C07094" w:rsidRDefault="00392928">
      <w:pPr>
        <w:rPr>
          <w:rFonts w:ascii="Arial" w:hAnsi="Arial" w:cs="Arial"/>
          <w:b/>
          <w:bCs/>
          <w:sz w:val="22"/>
          <w:szCs w:val="22"/>
        </w:rPr>
      </w:pPr>
      <w:r w:rsidRPr="00C07094">
        <w:rPr>
          <w:rFonts w:ascii="Arial" w:hAnsi="Arial" w:cs="Arial"/>
          <w:b/>
          <w:bCs/>
          <w:sz w:val="22"/>
          <w:szCs w:val="22"/>
        </w:rPr>
        <w:t>Student Number: 2016551</w:t>
      </w:r>
    </w:p>
    <w:p w14:paraId="5465A90A" w14:textId="7B336823" w:rsidR="00392928" w:rsidRPr="00C07094" w:rsidRDefault="00392928">
      <w:pPr>
        <w:rPr>
          <w:rFonts w:ascii="Arial" w:hAnsi="Arial" w:cs="Arial"/>
          <w:b/>
          <w:bCs/>
          <w:sz w:val="22"/>
          <w:szCs w:val="22"/>
        </w:rPr>
      </w:pPr>
      <w:r w:rsidRPr="00C07094">
        <w:rPr>
          <w:rFonts w:ascii="Arial" w:hAnsi="Arial" w:cs="Arial"/>
          <w:b/>
          <w:bCs/>
          <w:sz w:val="22"/>
          <w:szCs w:val="22"/>
        </w:rPr>
        <w:t>Module code: BMHP6020</w:t>
      </w:r>
    </w:p>
    <w:p w14:paraId="7298B8DB" w14:textId="0F17B565" w:rsidR="00392928" w:rsidRPr="00C07094" w:rsidRDefault="00392928">
      <w:pPr>
        <w:rPr>
          <w:rFonts w:ascii="Arial" w:hAnsi="Arial" w:cs="Arial"/>
          <w:b/>
          <w:bCs/>
          <w:sz w:val="22"/>
          <w:szCs w:val="22"/>
        </w:rPr>
      </w:pPr>
      <w:r w:rsidRPr="00C07094">
        <w:rPr>
          <w:rFonts w:ascii="Arial" w:hAnsi="Arial" w:cs="Arial"/>
          <w:b/>
          <w:bCs/>
          <w:sz w:val="22"/>
          <w:szCs w:val="22"/>
        </w:rPr>
        <w:t>Module: Independent Project</w:t>
      </w:r>
    </w:p>
    <w:p w14:paraId="15DA5E50" w14:textId="46B081B7" w:rsidR="00392928" w:rsidRPr="00C07094" w:rsidRDefault="00392928">
      <w:pPr>
        <w:rPr>
          <w:rFonts w:ascii="Arial" w:hAnsi="Arial" w:cs="Arial"/>
          <w:b/>
          <w:bCs/>
          <w:sz w:val="22"/>
          <w:szCs w:val="22"/>
        </w:rPr>
      </w:pPr>
      <w:r w:rsidRPr="00C07094">
        <w:rPr>
          <w:rFonts w:ascii="Arial" w:hAnsi="Arial" w:cs="Arial"/>
          <w:b/>
          <w:bCs/>
          <w:sz w:val="22"/>
          <w:szCs w:val="22"/>
        </w:rPr>
        <w:t>Assignment Title:</w:t>
      </w:r>
      <w:r w:rsidR="009D212F" w:rsidRPr="00C07094">
        <w:rPr>
          <w:rFonts w:ascii="Arial" w:hAnsi="Arial" w:cs="Arial"/>
          <w:b/>
          <w:bCs/>
          <w:sz w:val="22"/>
          <w:szCs w:val="22"/>
        </w:rPr>
        <w:t xml:space="preserve"> chapter 4 (Findings and discussion)</w:t>
      </w:r>
    </w:p>
    <w:p w14:paraId="1ADDAA83" w14:textId="77777777" w:rsidR="00392928" w:rsidRPr="00C07094" w:rsidRDefault="00392928">
      <w:pPr>
        <w:rPr>
          <w:rFonts w:ascii="Arial" w:hAnsi="Arial" w:cs="Arial"/>
          <w:b/>
          <w:bCs/>
          <w:sz w:val="22"/>
          <w:szCs w:val="22"/>
        </w:rPr>
      </w:pPr>
    </w:p>
    <w:p w14:paraId="073C225A" w14:textId="77777777" w:rsidR="00392928" w:rsidRPr="00C07094" w:rsidRDefault="00392928">
      <w:pPr>
        <w:rPr>
          <w:rFonts w:ascii="Arial" w:hAnsi="Arial" w:cs="Arial"/>
          <w:b/>
          <w:bCs/>
          <w:sz w:val="22"/>
          <w:szCs w:val="22"/>
        </w:rPr>
      </w:pPr>
    </w:p>
    <w:p w14:paraId="47B70F47" w14:textId="77777777" w:rsidR="00392928" w:rsidRPr="00C07094" w:rsidRDefault="00392928">
      <w:pPr>
        <w:rPr>
          <w:rFonts w:ascii="Arial" w:hAnsi="Arial" w:cs="Arial"/>
          <w:b/>
          <w:bCs/>
          <w:sz w:val="22"/>
          <w:szCs w:val="22"/>
        </w:rPr>
      </w:pPr>
    </w:p>
    <w:p w14:paraId="150388C9" w14:textId="77777777" w:rsidR="00392928" w:rsidRDefault="00392928">
      <w:pPr>
        <w:rPr>
          <w:rFonts w:ascii="Arial" w:hAnsi="Arial" w:cs="Arial"/>
          <w:b/>
          <w:bCs/>
          <w:sz w:val="22"/>
          <w:szCs w:val="22"/>
        </w:rPr>
      </w:pPr>
    </w:p>
    <w:p w14:paraId="6932DE5B" w14:textId="77777777" w:rsidR="00392928" w:rsidRDefault="00392928">
      <w:pPr>
        <w:rPr>
          <w:rFonts w:ascii="Arial" w:hAnsi="Arial" w:cs="Arial"/>
          <w:b/>
          <w:bCs/>
          <w:sz w:val="22"/>
          <w:szCs w:val="22"/>
        </w:rPr>
      </w:pPr>
    </w:p>
    <w:p w14:paraId="2FBE2D2B" w14:textId="77777777" w:rsidR="00392928" w:rsidRDefault="00392928">
      <w:pPr>
        <w:rPr>
          <w:rFonts w:ascii="Arial" w:hAnsi="Arial" w:cs="Arial"/>
          <w:b/>
          <w:bCs/>
          <w:sz w:val="22"/>
          <w:szCs w:val="22"/>
        </w:rPr>
      </w:pPr>
    </w:p>
    <w:p w14:paraId="454B8ED9" w14:textId="77777777" w:rsidR="00392928" w:rsidRDefault="00392928">
      <w:pPr>
        <w:rPr>
          <w:rFonts w:ascii="Arial" w:hAnsi="Arial" w:cs="Arial"/>
          <w:b/>
          <w:bCs/>
          <w:sz w:val="22"/>
          <w:szCs w:val="22"/>
        </w:rPr>
      </w:pPr>
    </w:p>
    <w:p w14:paraId="5A3F6AD3" w14:textId="77777777" w:rsidR="00392928" w:rsidRDefault="00392928">
      <w:pPr>
        <w:rPr>
          <w:rFonts w:ascii="Arial" w:hAnsi="Arial" w:cs="Arial"/>
          <w:b/>
          <w:bCs/>
          <w:sz w:val="22"/>
          <w:szCs w:val="22"/>
        </w:rPr>
      </w:pPr>
    </w:p>
    <w:p w14:paraId="5A8D5E21" w14:textId="77777777" w:rsidR="00392928" w:rsidRDefault="00392928">
      <w:pPr>
        <w:rPr>
          <w:rFonts w:ascii="Arial" w:hAnsi="Arial" w:cs="Arial"/>
          <w:b/>
          <w:bCs/>
          <w:sz w:val="22"/>
          <w:szCs w:val="22"/>
        </w:rPr>
      </w:pPr>
    </w:p>
    <w:p w14:paraId="3012CDB4" w14:textId="77777777" w:rsidR="00392928" w:rsidRDefault="00392928">
      <w:pPr>
        <w:rPr>
          <w:rFonts w:ascii="Arial" w:hAnsi="Arial" w:cs="Arial"/>
          <w:b/>
          <w:bCs/>
          <w:sz w:val="22"/>
          <w:szCs w:val="22"/>
        </w:rPr>
      </w:pPr>
    </w:p>
    <w:p w14:paraId="7368D735" w14:textId="77777777" w:rsidR="00392928" w:rsidRDefault="00392928">
      <w:pPr>
        <w:rPr>
          <w:rFonts w:ascii="Arial" w:hAnsi="Arial" w:cs="Arial"/>
          <w:b/>
          <w:bCs/>
          <w:sz w:val="22"/>
          <w:szCs w:val="22"/>
        </w:rPr>
      </w:pPr>
    </w:p>
    <w:p w14:paraId="7AB3F470" w14:textId="77777777" w:rsidR="00392928" w:rsidRDefault="00392928">
      <w:pPr>
        <w:rPr>
          <w:rFonts w:ascii="Arial" w:hAnsi="Arial" w:cs="Arial"/>
          <w:b/>
          <w:bCs/>
          <w:sz w:val="22"/>
          <w:szCs w:val="22"/>
        </w:rPr>
      </w:pPr>
    </w:p>
    <w:p w14:paraId="1D33AE9E" w14:textId="77777777" w:rsidR="00392928" w:rsidRDefault="00392928">
      <w:pPr>
        <w:rPr>
          <w:rFonts w:ascii="Arial" w:hAnsi="Arial" w:cs="Arial"/>
          <w:b/>
          <w:bCs/>
          <w:sz w:val="22"/>
          <w:szCs w:val="22"/>
        </w:rPr>
      </w:pPr>
    </w:p>
    <w:p w14:paraId="46BCE961" w14:textId="77777777" w:rsidR="00392928" w:rsidRDefault="00392928">
      <w:pPr>
        <w:rPr>
          <w:rFonts w:ascii="Arial" w:hAnsi="Arial" w:cs="Arial"/>
          <w:b/>
          <w:bCs/>
          <w:sz w:val="22"/>
          <w:szCs w:val="22"/>
        </w:rPr>
      </w:pPr>
    </w:p>
    <w:p w14:paraId="5FF28314" w14:textId="77777777" w:rsidR="00392928" w:rsidRDefault="00392928">
      <w:pPr>
        <w:rPr>
          <w:rFonts w:ascii="Arial" w:hAnsi="Arial" w:cs="Arial"/>
          <w:b/>
          <w:bCs/>
          <w:sz w:val="22"/>
          <w:szCs w:val="22"/>
        </w:rPr>
      </w:pPr>
    </w:p>
    <w:p w14:paraId="6BF3F642" w14:textId="77777777" w:rsidR="00392928" w:rsidRDefault="00392928">
      <w:pPr>
        <w:rPr>
          <w:rFonts w:ascii="Arial" w:hAnsi="Arial" w:cs="Arial"/>
          <w:b/>
          <w:bCs/>
          <w:sz w:val="22"/>
          <w:szCs w:val="22"/>
        </w:rPr>
      </w:pPr>
    </w:p>
    <w:p w14:paraId="3C592AA8" w14:textId="77777777" w:rsidR="00392928" w:rsidRDefault="00392928">
      <w:pPr>
        <w:rPr>
          <w:rFonts w:ascii="Arial" w:hAnsi="Arial" w:cs="Arial"/>
          <w:b/>
          <w:bCs/>
          <w:sz w:val="22"/>
          <w:szCs w:val="22"/>
        </w:rPr>
      </w:pPr>
    </w:p>
    <w:p w14:paraId="2614E525" w14:textId="77777777" w:rsidR="00392928" w:rsidRDefault="00392928">
      <w:pPr>
        <w:rPr>
          <w:rFonts w:ascii="Arial" w:hAnsi="Arial" w:cs="Arial"/>
          <w:b/>
          <w:bCs/>
          <w:sz w:val="22"/>
          <w:szCs w:val="22"/>
        </w:rPr>
      </w:pPr>
    </w:p>
    <w:p w14:paraId="59F53D0F" w14:textId="77777777" w:rsidR="00392928" w:rsidRDefault="00392928">
      <w:pPr>
        <w:rPr>
          <w:rFonts w:ascii="Arial" w:hAnsi="Arial" w:cs="Arial"/>
          <w:b/>
          <w:bCs/>
          <w:sz w:val="22"/>
          <w:szCs w:val="22"/>
        </w:rPr>
      </w:pPr>
    </w:p>
    <w:p w14:paraId="63BF95EF" w14:textId="77777777" w:rsidR="00392928" w:rsidRDefault="00392928">
      <w:pPr>
        <w:rPr>
          <w:rFonts w:ascii="Arial" w:hAnsi="Arial" w:cs="Arial"/>
          <w:b/>
          <w:bCs/>
          <w:sz w:val="22"/>
          <w:szCs w:val="22"/>
        </w:rPr>
      </w:pPr>
    </w:p>
    <w:p w14:paraId="27D26D00" w14:textId="77777777" w:rsidR="00392928" w:rsidRDefault="00392928">
      <w:pPr>
        <w:rPr>
          <w:rFonts w:ascii="Arial" w:hAnsi="Arial" w:cs="Arial"/>
          <w:b/>
          <w:bCs/>
          <w:sz w:val="22"/>
          <w:szCs w:val="22"/>
        </w:rPr>
      </w:pPr>
    </w:p>
    <w:p w14:paraId="4887D63C" w14:textId="77777777" w:rsidR="00392928" w:rsidRDefault="00392928">
      <w:pPr>
        <w:rPr>
          <w:rFonts w:ascii="Arial" w:hAnsi="Arial" w:cs="Arial"/>
          <w:b/>
          <w:bCs/>
          <w:sz w:val="22"/>
          <w:szCs w:val="22"/>
        </w:rPr>
      </w:pPr>
    </w:p>
    <w:p w14:paraId="2B898329" w14:textId="77777777" w:rsidR="000E410F" w:rsidRDefault="000E410F">
      <w:pPr>
        <w:rPr>
          <w:rFonts w:ascii="Arial" w:hAnsi="Arial" w:cs="Arial"/>
          <w:b/>
          <w:bCs/>
          <w:sz w:val="22"/>
          <w:szCs w:val="22"/>
        </w:rPr>
      </w:pPr>
    </w:p>
    <w:p w14:paraId="06C7172E" w14:textId="77777777" w:rsidR="00C07094" w:rsidRDefault="00C07094">
      <w:pPr>
        <w:rPr>
          <w:rFonts w:ascii="Arial" w:hAnsi="Arial" w:cs="Arial"/>
          <w:b/>
          <w:bCs/>
          <w:sz w:val="22"/>
          <w:szCs w:val="22"/>
        </w:rPr>
      </w:pPr>
    </w:p>
    <w:p w14:paraId="10B02D5E" w14:textId="77777777" w:rsidR="00C07094" w:rsidRDefault="00C07094" w:rsidP="00393CA2">
      <w:pPr>
        <w:spacing w:line="360" w:lineRule="auto"/>
        <w:jc w:val="both"/>
        <w:rPr>
          <w:rFonts w:ascii="Arial" w:hAnsi="Arial" w:cs="Arial"/>
          <w:b/>
          <w:bCs/>
          <w:sz w:val="22"/>
          <w:szCs w:val="22"/>
        </w:rPr>
      </w:pPr>
    </w:p>
    <w:p w14:paraId="2D89D70E" w14:textId="77777777" w:rsidR="00C07094" w:rsidRDefault="00C07094" w:rsidP="00393CA2">
      <w:pPr>
        <w:spacing w:line="360" w:lineRule="auto"/>
        <w:jc w:val="both"/>
        <w:rPr>
          <w:rFonts w:ascii="Arial" w:hAnsi="Arial" w:cs="Arial"/>
          <w:b/>
          <w:bCs/>
          <w:sz w:val="22"/>
          <w:szCs w:val="22"/>
        </w:rPr>
      </w:pPr>
    </w:p>
    <w:p w14:paraId="61D2C7AF" w14:textId="51C92B2A" w:rsidR="000E410F" w:rsidRPr="00C07094" w:rsidRDefault="000E410F" w:rsidP="00393CA2">
      <w:pPr>
        <w:spacing w:line="360" w:lineRule="auto"/>
        <w:jc w:val="both"/>
        <w:rPr>
          <w:rFonts w:ascii="Arial" w:hAnsi="Arial" w:cs="Arial"/>
          <w:b/>
          <w:bCs/>
          <w:sz w:val="22"/>
          <w:szCs w:val="22"/>
        </w:rPr>
      </w:pPr>
      <w:r w:rsidRPr="00C07094">
        <w:rPr>
          <w:rFonts w:ascii="Arial" w:hAnsi="Arial" w:cs="Arial"/>
          <w:b/>
          <w:bCs/>
          <w:sz w:val="22"/>
          <w:szCs w:val="22"/>
        </w:rPr>
        <w:lastRenderedPageBreak/>
        <w:t>Table of Contents                                                                                           Page</w:t>
      </w:r>
    </w:p>
    <w:p w14:paraId="7C4C7AC5" w14:textId="71319AC5" w:rsidR="009D212F" w:rsidRPr="00C07094" w:rsidRDefault="000E410F" w:rsidP="00393CA2">
      <w:pPr>
        <w:spacing w:line="360" w:lineRule="auto"/>
        <w:jc w:val="both"/>
        <w:rPr>
          <w:rFonts w:ascii="Arial" w:hAnsi="Arial" w:cs="Arial"/>
          <w:b/>
          <w:bCs/>
          <w:sz w:val="22"/>
          <w:szCs w:val="22"/>
        </w:rPr>
      </w:pPr>
      <w:r w:rsidRPr="00C07094">
        <w:rPr>
          <w:rFonts w:ascii="Arial" w:hAnsi="Arial" w:cs="Arial"/>
          <w:b/>
          <w:bCs/>
          <w:sz w:val="22"/>
          <w:szCs w:val="22"/>
        </w:rPr>
        <w:t>Chapter 4 findings and discussion</w:t>
      </w:r>
    </w:p>
    <w:p w14:paraId="55BC34AE" w14:textId="4A175609" w:rsidR="000E410F" w:rsidRPr="00C07094" w:rsidRDefault="000E410F" w:rsidP="00393CA2">
      <w:pPr>
        <w:spacing w:line="360" w:lineRule="auto"/>
        <w:jc w:val="both"/>
        <w:rPr>
          <w:rFonts w:ascii="Arial" w:hAnsi="Arial" w:cs="Arial"/>
          <w:b/>
          <w:bCs/>
          <w:sz w:val="22"/>
          <w:szCs w:val="22"/>
        </w:rPr>
      </w:pPr>
      <w:r w:rsidRPr="00C07094">
        <w:rPr>
          <w:rFonts w:ascii="Arial" w:hAnsi="Arial" w:cs="Arial"/>
          <w:b/>
          <w:bCs/>
          <w:sz w:val="22"/>
          <w:szCs w:val="22"/>
        </w:rPr>
        <w:t>4.1 Introduction</w:t>
      </w:r>
    </w:p>
    <w:p w14:paraId="797D3CC5" w14:textId="7E45317D" w:rsidR="000E410F" w:rsidRPr="00C07094" w:rsidRDefault="000E410F" w:rsidP="00393CA2">
      <w:pPr>
        <w:spacing w:line="360" w:lineRule="auto"/>
        <w:jc w:val="both"/>
        <w:rPr>
          <w:rFonts w:ascii="Arial" w:hAnsi="Arial" w:cs="Arial"/>
          <w:b/>
          <w:bCs/>
          <w:sz w:val="22"/>
          <w:szCs w:val="22"/>
        </w:rPr>
      </w:pPr>
      <w:r w:rsidRPr="00C07094">
        <w:rPr>
          <w:rFonts w:ascii="Arial" w:hAnsi="Arial" w:cs="Arial"/>
          <w:b/>
          <w:bCs/>
          <w:sz w:val="22"/>
          <w:szCs w:val="22"/>
        </w:rPr>
        <w:t>4.2 Thematic Analysis</w:t>
      </w:r>
    </w:p>
    <w:p w14:paraId="71ABFAD9" w14:textId="4FB7B5BD" w:rsidR="000E410F" w:rsidRPr="00C07094" w:rsidRDefault="000E410F" w:rsidP="00393CA2">
      <w:pPr>
        <w:pStyle w:val="ListParagraph"/>
        <w:numPr>
          <w:ilvl w:val="0"/>
          <w:numId w:val="1"/>
        </w:numPr>
        <w:spacing w:line="360" w:lineRule="auto"/>
        <w:jc w:val="both"/>
        <w:rPr>
          <w:rFonts w:ascii="Arial" w:hAnsi="Arial" w:cs="Arial"/>
          <w:b/>
          <w:bCs/>
          <w:sz w:val="22"/>
          <w:szCs w:val="22"/>
        </w:rPr>
      </w:pPr>
      <w:r w:rsidRPr="00C07094">
        <w:rPr>
          <w:rFonts w:ascii="Arial" w:hAnsi="Arial" w:cs="Arial"/>
          <w:b/>
          <w:bCs/>
          <w:sz w:val="22"/>
          <w:szCs w:val="22"/>
        </w:rPr>
        <w:t>Definition of Thematic Analysis:</w:t>
      </w:r>
    </w:p>
    <w:p w14:paraId="03581A04" w14:textId="5A2D315C" w:rsidR="000E410F" w:rsidRPr="00C07094" w:rsidRDefault="000E410F" w:rsidP="00393CA2">
      <w:pPr>
        <w:pStyle w:val="ListParagraph"/>
        <w:numPr>
          <w:ilvl w:val="0"/>
          <w:numId w:val="1"/>
        </w:numPr>
        <w:spacing w:line="360" w:lineRule="auto"/>
        <w:jc w:val="both"/>
        <w:rPr>
          <w:rFonts w:ascii="Arial" w:hAnsi="Arial" w:cs="Arial"/>
          <w:b/>
          <w:bCs/>
          <w:sz w:val="22"/>
          <w:szCs w:val="22"/>
        </w:rPr>
      </w:pPr>
      <w:r w:rsidRPr="00C07094">
        <w:rPr>
          <w:rFonts w:ascii="Arial" w:hAnsi="Arial" w:cs="Arial"/>
          <w:b/>
          <w:bCs/>
          <w:sz w:val="22"/>
          <w:szCs w:val="22"/>
        </w:rPr>
        <w:t>Link Result Table</w:t>
      </w:r>
    </w:p>
    <w:p w14:paraId="78313F5C" w14:textId="216397C8" w:rsidR="000E410F" w:rsidRPr="00C07094" w:rsidRDefault="000E410F" w:rsidP="00393CA2">
      <w:pPr>
        <w:spacing w:line="360" w:lineRule="auto"/>
        <w:jc w:val="both"/>
        <w:rPr>
          <w:rFonts w:ascii="Arial" w:hAnsi="Arial" w:cs="Arial"/>
          <w:b/>
          <w:bCs/>
          <w:sz w:val="22"/>
          <w:szCs w:val="22"/>
        </w:rPr>
      </w:pPr>
      <w:r w:rsidRPr="00C07094">
        <w:rPr>
          <w:rFonts w:ascii="Arial" w:hAnsi="Arial" w:cs="Arial"/>
          <w:b/>
          <w:bCs/>
          <w:sz w:val="22"/>
          <w:szCs w:val="22"/>
        </w:rPr>
        <w:t>4.3 Theme 1</w:t>
      </w:r>
      <w:r w:rsidR="009A7846" w:rsidRPr="00C07094">
        <w:rPr>
          <w:rFonts w:ascii="Arial" w:hAnsi="Arial" w:cs="Arial"/>
          <w:b/>
          <w:bCs/>
          <w:sz w:val="22"/>
          <w:szCs w:val="22"/>
        </w:rPr>
        <w:t>, Stigma</w:t>
      </w:r>
    </w:p>
    <w:p w14:paraId="2D15C139" w14:textId="507EBA4B" w:rsidR="000E410F" w:rsidRPr="00C07094" w:rsidRDefault="000E410F" w:rsidP="00393CA2">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Definition</w:t>
      </w:r>
    </w:p>
    <w:p w14:paraId="097A3EE6" w14:textId="753ED37E" w:rsidR="000E410F" w:rsidRPr="00C07094" w:rsidRDefault="000E410F" w:rsidP="00393CA2">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Background information</w:t>
      </w:r>
    </w:p>
    <w:p w14:paraId="11985879" w14:textId="06FFEB0D" w:rsidR="000E410F" w:rsidRPr="00C07094" w:rsidRDefault="00393CA2" w:rsidP="00393CA2">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Impact on research question</w:t>
      </w:r>
    </w:p>
    <w:p w14:paraId="3C4B1DD6" w14:textId="17AB5673" w:rsidR="00393CA2" w:rsidRPr="00C07094" w:rsidRDefault="00393CA2" w:rsidP="00393CA2">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Statistical information</w:t>
      </w:r>
    </w:p>
    <w:p w14:paraId="4485E0D7" w14:textId="59DE859C" w:rsidR="00393CA2" w:rsidRPr="00C07094" w:rsidRDefault="00393CA2" w:rsidP="00393CA2">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Theories, policies, and Legislation</w:t>
      </w:r>
    </w:p>
    <w:p w14:paraId="7D25FDF5" w14:textId="64E485E1" w:rsidR="00393CA2" w:rsidRPr="00C07094" w:rsidRDefault="00393CA2" w:rsidP="00393CA2">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Implications</w:t>
      </w:r>
    </w:p>
    <w:p w14:paraId="57F809F0" w14:textId="53750780" w:rsidR="00393CA2" w:rsidRPr="00C07094" w:rsidRDefault="00393CA2" w:rsidP="00393CA2">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Examples from your articles</w:t>
      </w:r>
    </w:p>
    <w:p w14:paraId="7394E705" w14:textId="02F25365" w:rsidR="00393CA2" w:rsidRPr="00C07094" w:rsidRDefault="00393CA2" w:rsidP="00393CA2">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 xml:space="preserve">Connection to other themes     </w:t>
      </w:r>
    </w:p>
    <w:p w14:paraId="24913183" w14:textId="0A8EB7F9" w:rsidR="00393CA2" w:rsidRPr="00C07094" w:rsidRDefault="00393CA2" w:rsidP="00393CA2">
      <w:pPr>
        <w:spacing w:line="360" w:lineRule="auto"/>
        <w:jc w:val="both"/>
        <w:rPr>
          <w:rFonts w:ascii="Arial" w:hAnsi="Arial" w:cs="Arial"/>
          <w:b/>
          <w:bCs/>
          <w:sz w:val="22"/>
          <w:szCs w:val="22"/>
        </w:rPr>
      </w:pPr>
      <w:r w:rsidRPr="00C07094">
        <w:rPr>
          <w:rFonts w:ascii="Arial" w:hAnsi="Arial" w:cs="Arial"/>
          <w:b/>
          <w:bCs/>
          <w:sz w:val="22"/>
          <w:szCs w:val="22"/>
        </w:rPr>
        <w:t xml:space="preserve"> 4.4 Theme 2</w:t>
      </w:r>
      <w:r w:rsidR="009A7846" w:rsidRPr="00C07094">
        <w:rPr>
          <w:rFonts w:ascii="Arial" w:hAnsi="Arial" w:cs="Arial"/>
          <w:b/>
          <w:bCs/>
          <w:sz w:val="22"/>
          <w:szCs w:val="22"/>
        </w:rPr>
        <w:t>, Language barrier</w:t>
      </w:r>
    </w:p>
    <w:p w14:paraId="402ACA07" w14:textId="77777777" w:rsidR="00393CA2" w:rsidRPr="00C07094" w:rsidRDefault="00393CA2" w:rsidP="00393CA2">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Definition</w:t>
      </w:r>
    </w:p>
    <w:p w14:paraId="44954695" w14:textId="77777777" w:rsidR="00393CA2" w:rsidRPr="00C07094" w:rsidRDefault="00393CA2" w:rsidP="00393CA2">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Background information</w:t>
      </w:r>
    </w:p>
    <w:p w14:paraId="2DC1AC61" w14:textId="77777777" w:rsidR="00393CA2" w:rsidRPr="00C07094" w:rsidRDefault="00393CA2" w:rsidP="00393CA2">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Impact on research question</w:t>
      </w:r>
    </w:p>
    <w:p w14:paraId="79FECE71" w14:textId="77777777" w:rsidR="00393CA2" w:rsidRPr="00C07094" w:rsidRDefault="00393CA2" w:rsidP="00393CA2">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Statistical information</w:t>
      </w:r>
    </w:p>
    <w:p w14:paraId="3F42B0A6" w14:textId="77777777" w:rsidR="00393CA2" w:rsidRPr="00C07094" w:rsidRDefault="00393CA2" w:rsidP="00393CA2">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Theories, policies, and Legislation</w:t>
      </w:r>
    </w:p>
    <w:p w14:paraId="7C7FA3D9" w14:textId="77777777" w:rsidR="00393CA2" w:rsidRPr="00C07094" w:rsidRDefault="00393CA2" w:rsidP="00393CA2">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Implications</w:t>
      </w:r>
    </w:p>
    <w:p w14:paraId="47BDA9FA" w14:textId="77777777" w:rsidR="00393CA2" w:rsidRPr="00C07094" w:rsidRDefault="00393CA2" w:rsidP="00393CA2">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Examples from your articles</w:t>
      </w:r>
    </w:p>
    <w:p w14:paraId="522EB642" w14:textId="77777777" w:rsidR="00393CA2" w:rsidRPr="00C07094" w:rsidRDefault="00393CA2" w:rsidP="00393CA2">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 xml:space="preserve">Connection to other themes     </w:t>
      </w:r>
    </w:p>
    <w:p w14:paraId="22912D6E" w14:textId="0E4E161A" w:rsidR="00393CA2" w:rsidRPr="00C07094" w:rsidRDefault="00EC4A4B" w:rsidP="00393CA2">
      <w:pPr>
        <w:spacing w:line="360" w:lineRule="auto"/>
        <w:jc w:val="both"/>
        <w:rPr>
          <w:rFonts w:ascii="Arial" w:hAnsi="Arial" w:cs="Arial"/>
          <w:b/>
          <w:bCs/>
          <w:sz w:val="22"/>
          <w:szCs w:val="22"/>
        </w:rPr>
      </w:pPr>
      <w:r w:rsidRPr="00C07094">
        <w:rPr>
          <w:rFonts w:ascii="Arial" w:hAnsi="Arial" w:cs="Arial"/>
          <w:b/>
          <w:bCs/>
          <w:sz w:val="22"/>
          <w:szCs w:val="22"/>
        </w:rPr>
        <w:t xml:space="preserve">4.5 </w:t>
      </w:r>
      <w:r w:rsidR="00393CA2" w:rsidRPr="00C07094">
        <w:rPr>
          <w:rFonts w:ascii="Arial" w:hAnsi="Arial" w:cs="Arial"/>
          <w:b/>
          <w:bCs/>
          <w:sz w:val="22"/>
          <w:szCs w:val="22"/>
        </w:rPr>
        <w:t>Theme 3</w:t>
      </w:r>
      <w:r w:rsidR="009A7846" w:rsidRPr="00C07094">
        <w:rPr>
          <w:rFonts w:ascii="Arial" w:hAnsi="Arial" w:cs="Arial"/>
          <w:b/>
          <w:bCs/>
          <w:sz w:val="22"/>
          <w:szCs w:val="22"/>
        </w:rPr>
        <w:t>, Cultural competency</w:t>
      </w:r>
    </w:p>
    <w:p w14:paraId="01A542FB" w14:textId="77777777" w:rsidR="00EC4A4B" w:rsidRPr="00C07094" w:rsidRDefault="00EC4A4B" w:rsidP="00EC4A4B">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Definition</w:t>
      </w:r>
    </w:p>
    <w:p w14:paraId="3C07566C" w14:textId="77777777" w:rsidR="00EC4A4B" w:rsidRPr="00C07094" w:rsidRDefault="00EC4A4B" w:rsidP="00EC4A4B">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Background information</w:t>
      </w:r>
    </w:p>
    <w:p w14:paraId="008B52C4" w14:textId="77777777" w:rsidR="00EC4A4B" w:rsidRPr="00C07094" w:rsidRDefault="00EC4A4B" w:rsidP="00EC4A4B">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Impact on research question</w:t>
      </w:r>
    </w:p>
    <w:p w14:paraId="7BF2ECDC" w14:textId="77777777" w:rsidR="00EC4A4B" w:rsidRPr="00C07094" w:rsidRDefault="00EC4A4B" w:rsidP="00EC4A4B">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Statistical information</w:t>
      </w:r>
    </w:p>
    <w:p w14:paraId="3175B4F3" w14:textId="77777777" w:rsidR="00EC4A4B" w:rsidRPr="00C07094" w:rsidRDefault="00EC4A4B" w:rsidP="00EC4A4B">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Theories, policies, and Legislation</w:t>
      </w:r>
    </w:p>
    <w:p w14:paraId="0BABAB6B" w14:textId="77777777" w:rsidR="00EC4A4B" w:rsidRPr="00C07094" w:rsidRDefault="00EC4A4B" w:rsidP="00EC4A4B">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Implications</w:t>
      </w:r>
    </w:p>
    <w:p w14:paraId="53DBD2E1" w14:textId="77777777" w:rsidR="00EC4A4B" w:rsidRPr="00C07094" w:rsidRDefault="00EC4A4B" w:rsidP="00EC4A4B">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lastRenderedPageBreak/>
        <w:t>Examples from your articles</w:t>
      </w:r>
    </w:p>
    <w:p w14:paraId="3335E59E" w14:textId="77777777" w:rsidR="00EC4A4B" w:rsidRPr="00C07094" w:rsidRDefault="00EC4A4B" w:rsidP="00EC4A4B">
      <w:pPr>
        <w:pStyle w:val="ListParagraph"/>
        <w:numPr>
          <w:ilvl w:val="0"/>
          <w:numId w:val="2"/>
        </w:numPr>
        <w:spacing w:line="360" w:lineRule="auto"/>
        <w:jc w:val="both"/>
        <w:rPr>
          <w:rFonts w:ascii="Arial" w:hAnsi="Arial" w:cs="Arial"/>
          <w:b/>
          <w:bCs/>
          <w:sz w:val="22"/>
          <w:szCs w:val="22"/>
        </w:rPr>
      </w:pPr>
      <w:r w:rsidRPr="00C07094">
        <w:rPr>
          <w:rFonts w:ascii="Arial" w:hAnsi="Arial" w:cs="Arial"/>
          <w:b/>
          <w:bCs/>
          <w:sz w:val="22"/>
          <w:szCs w:val="22"/>
        </w:rPr>
        <w:t xml:space="preserve">Connection to other themes     </w:t>
      </w:r>
    </w:p>
    <w:p w14:paraId="1F56EE9D" w14:textId="00822A98" w:rsidR="00EC4A4B" w:rsidRPr="00C07094" w:rsidRDefault="00EC4A4B" w:rsidP="00EC4A4B">
      <w:pPr>
        <w:spacing w:line="360" w:lineRule="auto"/>
        <w:jc w:val="both"/>
        <w:rPr>
          <w:rFonts w:ascii="Arial" w:hAnsi="Arial" w:cs="Arial"/>
          <w:b/>
          <w:bCs/>
          <w:sz w:val="22"/>
          <w:szCs w:val="22"/>
        </w:rPr>
      </w:pPr>
      <w:r w:rsidRPr="00C07094">
        <w:rPr>
          <w:rFonts w:ascii="Arial" w:hAnsi="Arial" w:cs="Arial"/>
          <w:b/>
          <w:bCs/>
          <w:sz w:val="22"/>
          <w:szCs w:val="22"/>
        </w:rPr>
        <w:t>Chapter 4.6 Chapter conclusion</w:t>
      </w:r>
    </w:p>
    <w:p w14:paraId="1C63B77D" w14:textId="1CBED1A7" w:rsidR="008F38CB" w:rsidRPr="00C07094" w:rsidRDefault="008F38CB" w:rsidP="00EC4A4B">
      <w:pPr>
        <w:spacing w:line="360" w:lineRule="auto"/>
        <w:jc w:val="both"/>
        <w:rPr>
          <w:rFonts w:ascii="Arial" w:hAnsi="Arial" w:cs="Arial"/>
          <w:b/>
          <w:bCs/>
          <w:sz w:val="22"/>
          <w:szCs w:val="22"/>
        </w:rPr>
      </w:pPr>
      <w:bookmarkStart w:id="0" w:name="_Hlk213002501"/>
      <w:r w:rsidRPr="00C07094">
        <w:rPr>
          <w:rFonts w:ascii="Arial" w:hAnsi="Arial" w:cs="Arial"/>
          <w:b/>
          <w:bCs/>
          <w:sz w:val="22"/>
          <w:szCs w:val="22"/>
        </w:rPr>
        <w:t>Refrences</w:t>
      </w:r>
    </w:p>
    <w:bookmarkEnd w:id="0"/>
    <w:p w14:paraId="0A3BC11D" w14:textId="77777777" w:rsidR="008F38CB" w:rsidRDefault="008F38CB" w:rsidP="00EC4A4B">
      <w:pPr>
        <w:spacing w:line="360" w:lineRule="auto"/>
        <w:jc w:val="both"/>
        <w:rPr>
          <w:rFonts w:ascii="Arial" w:hAnsi="Arial" w:cs="Arial"/>
          <w:b/>
          <w:bCs/>
          <w:sz w:val="22"/>
          <w:szCs w:val="22"/>
        </w:rPr>
      </w:pPr>
    </w:p>
    <w:p w14:paraId="1568E34F" w14:textId="77777777" w:rsidR="00EC4A4B" w:rsidRDefault="00EC4A4B" w:rsidP="00EC4A4B">
      <w:pPr>
        <w:spacing w:line="360" w:lineRule="auto"/>
        <w:jc w:val="both"/>
        <w:rPr>
          <w:rFonts w:ascii="Arial" w:hAnsi="Arial" w:cs="Arial"/>
          <w:b/>
          <w:bCs/>
          <w:sz w:val="22"/>
          <w:szCs w:val="22"/>
        </w:rPr>
      </w:pPr>
    </w:p>
    <w:p w14:paraId="3564D642" w14:textId="77777777" w:rsidR="00EC4A4B" w:rsidRDefault="00EC4A4B" w:rsidP="00EC4A4B">
      <w:pPr>
        <w:spacing w:line="360" w:lineRule="auto"/>
        <w:jc w:val="both"/>
        <w:rPr>
          <w:rFonts w:ascii="Arial" w:hAnsi="Arial" w:cs="Arial"/>
          <w:b/>
          <w:bCs/>
          <w:sz w:val="22"/>
          <w:szCs w:val="22"/>
        </w:rPr>
      </w:pPr>
    </w:p>
    <w:p w14:paraId="5B254CE8" w14:textId="77777777" w:rsidR="00EC4A4B" w:rsidRDefault="00EC4A4B" w:rsidP="00EC4A4B">
      <w:pPr>
        <w:spacing w:line="360" w:lineRule="auto"/>
        <w:jc w:val="both"/>
        <w:rPr>
          <w:rFonts w:ascii="Arial" w:hAnsi="Arial" w:cs="Arial"/>
          <w:b/>
          <w:bCs/>
          <w:sz w:val="22"/>
          <w:szCs w:val="22"/>
        </w:rPr>
      </w:pPr>
    </w:p>
    <w:p w14:paraId="5BBD7758" w14:textId="77777777" w:rsidR="00EC4A4B" w:rsidRDefault="00EC4A4B" w:rsidP="00EC4A4B">
      <w:pPr>
        <w:spacing w:line="360" w:lineRule="auto"/>
        <w:jc w:val="both"/>
        <w:rPr>
          <w:rFonts w:ascii="Arial" w:hAnsi="Arial" w:cs="Arial"/>
          <w:b/>
          <w:bCs/>
          <w:sz w:val="22"/>
          <w:szCs w:val="22"/>
        </w:rPr>
      </w:pPr>
    </w:p>
    <w:p w14:paraId="04C231C9" w14:textId="77777777" w:rsidR="00EC4A4B" w:rsidRDefault="00EC4A4B" w:rsidP="00EC4A4B">
      <w:pPr>
        <w:spacing w:line="360" w:lineRule="auto"/>
        <w:jc w:val="both"/>
        <w:rPr>
          <w:rFonts w:ascii="Arial" w:hAnsi="Arial" w:cs="Arial"/>
          <w:b/>
          <w:bCs/>
          <w:sz w:val="22"/>
          <w:szCs w:val="22"/>
        </w:rPr>
      </w:pPr>
    </w:p>
    <w:p w14:paraId="7F5A12FA" w14:textId="77777777" w:rsidR="00EC4A4B" w:rsidRDefault="00EC4A4B" w:rsidP="00EC4A4B">
      <w:pPr>
        <w:spacing w:line="360" w:lineRule="auto"/>
        <w:jc w:val="both"/>
        <w:rPr>
          <w:rFonts w:ascii="Arial" w:hAnsi="Arial" w:cs="Arial"/>
          <w:b/>
          <w:bCs/>
          <w:sz w:val="22"/>
          <w:szCs w:val="22"/>
        </w:rPr>
      </w:pPr>
    </w:p>
    <w:p w14:paraId="640C6090" w14:textId="77777777" w:rsidR="00EC4A4B" w:rsidRDefault="00EC4A4B" w:rsidP="00EC4A4B">
      <w:pPr>
        <w:spacing w:line="360" w:lineRule="auto"/>
        <w:jc w:val="both"/>
        <w:rPr>
          <w:rFonts w:ascii="Arial" w:hAnsi="Arial" w:cs="Arial"/>
          <w:b/>
          <w:bCs/>
          <w:sz w:val="22"/>
          <w:szCs w:val="22"/>
        </w:rPr>
      </w:pPr>
    </w:p>
    <w:p w14:paraId="6851285B" w14:textId="77777777" w:rsidR="00EC4A4B" w:rsidRDefault="00EC4A4B" w:rsidP="00EC4A4B">
      <w:pPr>
        <w:spacing w:line="360" w:lineRule="auto"/>
        <w:jc w:val="both"/>
        <w:rPr>
          <w:rFonts w:ascii="Arial" w:hAnsi="Arial" w:cs="Arial"/>
          <w:b/>
          <w:bCs/>
          <w:sz w:val="22"/>
          <w:szCs w:val="22"/>
        </w:rPr>
      </w:pPr>
    </w:p>
    <w:p w14:paraId="11A9A15A" w14:textId="77777777" w:rsidR="00EC4A4B" w:rsidRDefault="00EC4A4B" w:rsidP="00EC4A4B">
      <w:pPr>
        <w:spacing w:line="360" w:lineRule="auto"/>
        <w:jc w:val="both"/>
        <w:rPr>
          <w:rFonts w:ascii="Arial" w:hAnsi="Arial" w:cs="Arial"/>
          <w:b/>
          <w:bCs/>
          <w:sz w:val="22"/>
          <w:szCs w:val="22"/>
        </w:rPr>
      </w:pPr>
    </w:p>
    <w:p w14:paraId="113611FA" w14:textId="77777777" w:rsidR="00EC4A4B" w:rsidRDefault="00EC4A4B" w:rsidP="00EC4A4B">
      <w:pPr>
        <w:spacing w:line="360" w:lineRule="auto"/>
        <w:jc w:val="both"/>
        <w:rPr>
          <w:rFonts w:ascii="Arial" w:hAnsi="Arial" w:cs="Arial"/>
          <w:b/>
          <w:bCs/>
          <w:sz w:val="22"/>
          <w:szCs w:val="22"/>
        </w:rPr>
      </w:pPr>
    </w:p>
    <w:p w14:paraId="0C4E679F" w14:textId="77777777" w:rsidR="00EC4A4B" w:rsidRDefault="00EC4A4B" w:rsidP="00EC4A4B">
      <w:pPr>
        <w:spacing w:line="360" w:lineRule="auto"/>
        <w:jc w:val="both"/>
        <w:rPr>
          <w:rFonts w:ascii="Arial" w:hAnsi="Arial" w:cs="Arial"/>
          <w:b/>
          <w:bCs/>
          <w:sz w:val="22"/>
          <w:szCs w:val="22"/>
        </w:rPr>
      </w:pPr>
    </w:p>
    <w:p w14:paraId="46CB4DAB" w14:textId="77777777" w:rsidR="00EC4A4B" w:rsidRDefault="00EC4A4B" w:rsidP="00EC4A4B">
      <w:pPr>
        <w:spacing w:line="360" w:lineRule="auto"/>
        <w:jc w:val="both"/>
        <w:rPr>
          <w:rFonts w:ascii="Arial" w:hAnsi="Arial" w:cs="Arial"/>
          <w:b/>
          <w:bCs/>
          <w:sz w:val="22"/>
          <w:szCs w:val="22"/>
        </w:rPr>
      </w:pPr>
    </w:p>
    <w:p w14:paraId="03D86A0D" w14:textId="77777777" w:rsidR="00EC4A4B" w:rsidRDefault="00EC4A4B" w:rsidP="00EC4A4B">
      <w:pPr>
        <w:spacing w:line="360" w:lineRule="auto"/>
        <w:jc w:val="both"/>
        <w:rPr>
          <w:rFonts w:ascii="Arial" w:hAnsi="Arial" w:cs="Arial"/>
          <w:b/>
          <w:bCs/>
          <w:sz w:val="22"/>
          <w:szCs w:val="22"/>
        </w:rPr>
      </w:pPr>
    </w:p>
    <w:p w14:paraId="7D8E3A51" w14:textId="77777777" w:rsidR="00EC4A4B" w:rsidRDefault="00EC4A4B" w:rsidP="00EC4A4B">
      <w:pPr>
        <w:spacing w:line="360" w:lineRule="auto"/>
        <w:jc w:val="both"/>
        <w:rPr>
          <w:rFonts w:ascii="Arial" w:hAnsi="Arial" w:cs="Arial"/>
          <w:b/>
          <w:bCs/>
          <w:sz w:val="22"/>
          <w:szCs w:val="22"/>
        </w:rPr>
      </w:pPr>
    </w:p>
    <w:p w14:paraId="089D42C2" w14:textId="77777777" w:rsidR="00EC4A4B" w:rsidRDefault="00EC4A4B" w:rsidP="00EC4A4B">
      <w:pPr>
        <w:spacing w:line="360" w:lineRule="auto"/>
        <w:jc w:val="both"/>
        <w:rPr>
          <w:rFonts w:ascii="Arial" w:hAnsi="Arial" w:cs="Arial"/>
          <w:b/>
          <w:bCs/>
          <w:sz w:val="22"/>
          <w:szCs w:val="22"/>
        </w:rPr>
      </w:pPr>
    </w:p>
    <w:p w14:paraId="4827E14E" w14:textId="77777777" w:rsidR="00EC4A4B" w:rsidRDefault="00EC4A4B" w:rsidP="00EC4A4B">
      <w:pPr>
        <w:spacing w:line="360" w:lineRule="auto"/>
        <w:jc w:val="both"/>
        <w:rPr>
          <w:rFonts w:ascii="Arial" w:hAnsi="Arial" w:cs="Arial"/>
          <w:b/>
          <w:bCs/>
          <w:sz w:val="22"/>
          <w:szCs w:val="22"/>
        </w:rPr>
      </w:pPr>
    </w:p>
    <w:p w14:paraId="0CEF51A8" w14:textId="77777777" w:rsidR="00EC4A4B" w:rsidRDefault="00EC4A4B" w:rsidP="00EC4A4B">
      <w:pPr>
        <w:spacing w:line="360" w:lineRule="auto"/>
        <w:jc w:val="both"/>
        <w:rPr>
          <w:rFonts w:ascii="Arial" w:hAnsi="Arial" w:cs="Arial"/>
          <w:b/>
          <w:bCs/>
          <w:sz w:val="22"/>
          <w:szCs w:val="22"/>
        </w:rPr>
      </w:pPr>
    </w:p>
    <w:p w14:paraId="5B9CF3FE" w14:textId="77777777" w:rsidR="00EC4A4B" w:rsidRDefault="00EC4A4B" w:rsidP="00EC4A4B">
      <w:pPr>
        <w:spacing w:line="360" w:lineRule="auto"/>
        <w:jc w:val="both"/>
        <w:rPr>
          <w:rFonts w:ascii="Arial" w:hAnsi="Arial" w:cs="Arial"/>
          <w:b/>
          <w:bCs/>
          <w:sz w:val="22"/>
          <w:szCs w:val="22"/>
        </w:rPr>
      </w:pPr>
    </w:p>
    <w:p w14:paraId="32A7FA14" w14:textId="77777777" w:rsidR="004D2FF8" w:rsidRDefault="004D2FF8" w:rsidP="00EC4A4B">
      <w:pPr>
        <w:spacing w:line="360" w:lineRule="auto"/>
        <w:jc w:val="both"/>
        <w:rPr>
          <w:rFonts w:ascii="Arial" w:hAnsi="Arial" w:cs="Arial"/>
          <w:b/>
          <w:bCs/>
          <w:sz w:val="22"/>
          <w:szCs w:val="22"/>
        </w:rPr>
      </w:pPr>
    </w:p>
    <w:p w14:paraId="2A16166D" w14:textId="77777777" w:rsidR="008C0A59" w:rsidRDefault="008C0A59" w:rsidP="00EC4A4B">
      <w:pPr>
        <w:spacing w:line="360" w:lineRule="auto"/>
        <w:jc w:val="both"/>
        <w:rPr>
          <w:rFonts w:ascii="Arial" w:hAnsi="Arial" w:cs="Arial"/>
          <w:b/>
          <w:bCs/>
          <w:sz w:val="32"/>
          <w:szCs w:val="32"/>
        </w:rPr>
      </w:pPr>
    </w:p>
    <w:p w14:paraId="14039FD8" w14:textId="77777777" w:rsidR="00C07094" w:rsidRDefault="00C07094" w:rsidP="00EC4A4B">
      <w:pPr>
        <w:spacing w:line="360" w:lineRule="auto"/>
        <w:jc w:val="both"/>
        <w:rPr>
          <w:rFonts w:ascii="Arial" w:hAnsi="Arial" w:cs="Arial"/>
          <w:b/>
          <w:bCs/>
          <w:sz w:val="32"/>
          <w:szCs w:val="32"/>
        </w:rPr>
      </w:pPr>
    </w:p>
    <w:p w14:paraId="6B73BD4D" w14:textId="1C0C0409" w:rsidR="00EC4A4B" w:rsidRPr="00EC4A4B" w:rsidRDefault="00EC4A4B" w:rsidP="00EC4A4B">
      <w:pPr>
        <w:spacing w:line="360" w:lineRule="auto"/>
        <w:jc w:val="both"/>
        <w:rPr>
          <w:rFonts w:ascii="Arial" w:hAnsi="Arial" w:cs="Arial"/>
          <w:b/>
          <w:bCs/>
          <w:sz w:val="32"/>
          <w:szCs w:val="32"/>
        </w:rPr>
      </w:pPr>
      <w:r w:rsidRPr="00EC4A4B">
        <w:rPr>
          <w:rFonts w:ascii="Arial" w:hAnsi="Arial" w:cs="Arial"/>
          <w:b/>
          <w:bCs/>
          <w:sz w:val="32"/>
          <w:szCs w:val="32"/>
        </w:rPr>
        <w:lastRenderedPageBreak/>
        <w:t>Chapter 4 findings and discussion</w:t>
      </w:r>
    </w:p>
    <w:p w14:paraId="42276E22" w14:textId="6A728029" w:rsidR="00EC4A4B" w:rsidRPr="008F38CB" w:rsidRDefault="00EC4A4B" w:rsidP="00EC4A4B">
      <w:pPr>
        <w:spacing w:line="360" w:lineRule="auto"/>
        <w:jc w:val="both"/>
        <w:rPr>
          <w:rFonts w:ascii="Arial" w:hAnsi="Arial" w:cs="Arial"/>
          <w:b/>
          <w:bCs/>
          <w:sz w:val="32"/>
          <w:szCs w:val="32"/>
        </w:rPr>
      </w:pPr>
      <w:r w:rsidRPr="008F38CB">
        <w:rPr>
          <w:rFonts w:ascii="Arial" w:hAnsi="Arial" w:cs="Arial"/>
          <w:b/>
          <w:bCs/>
          <w:sz w:val="32"/>
          <w:szCs w:val="32"/>
        </w:rPr>
        <w:t>4.1 Introduction</w:t>
      </w:r>
    </w:p>
    <w:p w14:paraId="02356C88" w14:textId="77777777" w:rsidR="008C0A59" w:rsidRDefault="008F38CB" w:rsidP="008C0A59">
      <w:pPr>
        <w:spacing w:after="0" w:line="360" w:lineRule="auto"/>
        <w:jc w:val="both"/>
        <w:rPr>
          <w:rFonts w:ascii="Arial" w:eastAsia="Times New Roman" w:hAnsi="Arial" w:cs="Arial"/>
          <w:kern w:val="0"/>
          <w:sz w:val="22"/>
          <w:szCs w:val="22"/>
          <w:lang w:eastAsia="en-GB"/>
          <w14:ligatures w14:val="none"/>
        </w:rPr>
      </w:pPr>
      <w:r w:rsidRPr="008F38CB">
        <w:rPr>
          <w:rFonts w:ascii="Arial" w:eastAsia="Times New Roman" w:hAnsi="Arial" w:cs="Arial"/>
          <w:kern w:val="0"/>
          <w:sz w:val="22"/>
          <w:szCs w:val="22"/>
          <w:lang w:eastAsia="en-GB"/>
          <w14:ligatures w14:val="none"/>
        </w:rPr>
        <w:t>This chapter summarises and assesses the results of the literature review regarding the barriers encountered by ethnic minority groups in obtaining mental health treatment in the UK. The review examines persistent themes discerned using thematic coding, including stigma, language barriers, cultural competence, and adaptability. Each theme is carefully analysed in connection with the current literature and the research question, emphasising how these obstacles generate persistent inequalities in mental health care. This discussion further explores the connections between themes, offering understanding into the overall structural and cultural factors affecting mental health treatment utilisation within ethnic minority groups.</w:t>
      </w:r>
    </w:p>
    <w:p w14:paraId="1F37C705" w14:textId="77777777" w:rsidR="008C0A59" w:rsidRDefault="008C0A59" w:rsidP="008C0A59">
      <w:pPr>
        <w:spacing w:after="0" w:line="360" w:lineRule="auto"/>
        <w:jc w:val="both"/>
        <w:rPr>
          <w:rFonts w:ascii="Arial" w:eastAsia="Times New Roman" w:hAnsi="Arial" w:cs="Arial"/>
          <w:kern w:val="0"/>
          <w:sz w:val="22"/>
          <w:szCs w:val="22"/>
          <w:lang w:eastAsia="en-GB"/>
          <w14:ligatures w14:val="none"/>
        </w:rPr>
      </w:pPr>
    </w:p>
    <w:p w14:paraId="7B321529" w14:textId="56914CAF" w:rsidR="004D2FF8" w:rsidRPr="008C0A59" w:rsidRDefault="00EC4A4B" w:rsidP="008C0A59">
      <w:pPr>
        <w:spacing w:after="0" w:line="360" w:lineRule="auto"/>
        <w:jc w:val="both"/>
        <w:rPr>
          <w:rFonts w:ascii="Arial" w:eastAsia="Times New Roman" w:hAnsi="Arial" w:cs="Arial"/>
          <w:kern w:val="0"/>
          <w:sz w:val="22"/>
          <w:szCs w:val="22"/>
          <w:lang w:eastAsia="en-GB"/>
          <w14:ligatures w14:val="none"/>
        </w:rPr>
      </w:pPr>
      <w:r w:rsidRPr="008F38CB">
        <w:rPr>
          <w:rFonts w:ascii="Arial" w:hAnsi="Arial" w:cs="Arial"/>
          <w:b/>
          <w:bCs/>
          <w:sz w:val="32"/>
          <w:szCs w:val="32"/>
        </w:rPr>
        <w:t>4.2 Thematic Analysis</w:t>
      </w:r>
    </w:p>
    <w:p w14:paraId="3AC18530" w14:textId="4B62BD7B" w:rsidR="00EC4A4B" w:rsidRPr="004D2FF8" w:rsidRDefault="008F38CB" w:rsidP="008C0A59">
      <w:pPr>
        <w:spacing w:line="360" w:lineRule="auto"/>
        <w:jc w:val="both"/>
        <w:rPr>
          <w:rFonts w:ascii="Arial" w:hAnsi="Arial" w:cs="Arial"/>
          <w:b/>
          <w:bCs/>
          <w:sz w:val="32"/>
          <w:szCs w:val="32"/>
        </w:rPr>
      </w:pPr>
      <w:r>
        <w:rPr>
          <w:rFonts w:ascii="Arial" w:hAnsi="Arial" w:cs="Arial"/>
          <w:b/>
          <w:bCs/>
          <w:sz w:val="22"/>
          <w:szCs w:val="22"/>
        </w:rPr>
        <w:t xml:space="preserve"> </w:t>
      </w:r>
      <w:r w:rsidR="00EC4A4B" w:rsidRPr="003F4746">
        <w:rPr>
          <w:rFonts w:ascii="Arial" w:hAnsi="Arial" w:cs="Arial"/>
          <w:b/>
          <w:bCs/>
          <w:sz w:val="28"/>
          <w:szCs w:val="28"/>
        </w:rPr>
        <w:t>Definition of Thematic Analysis</w:t>
      </w:r>
    </w:p>
    <w:p w14:paraId="15B6D82F" w14:textId="77777777" w:rsidR="003F4746" w:rsidRPr="003F4746" w:rsidRDefault="003F4746" w:rsidP="008C0A59">
      <w:pPr>
        <w:spacing w:after="0" w:line="360" w:lineRule="auto"/>
        <w:jc w:val="both"/>
        <w:rPr>
          <w:rFonts w:ascii="Arial" w:eastAsia="Times New Roman" w:hAnsi="Arial" w:cs="Arial"/>
          <w:kern w:val="0"/>
          <w:sz w:val="22"/>
          <w:szCs w:val="22"/>
          <w:lang w:eastAsia="en-GB"/>
          <w14:ligatures w14:val="none"/>
        </w:rPr>
      </w:pPr>
      <w:r w:rsidRPr="003F4746">
        <w:rPr>
          <w:rFonts w:ascii="Arial" w:eastAsia="Times New Roman" w:hAnsi="Arial" w:cs="Arial"/>
          <w:kern w:val="0"/>
          <w:sz w:val="22"/>
          <w:szCs w:val="22"/>
          <w:lang w:eastAsia="en-GB"/>
          <w14:ligatures w14:val="none"/>
        </w:rPr>
        <w:t>Thematic analysis is a qualitative research methodology employed to find, examine, and interpret reoccurring patterns or themes within existing data or literature. Braun and Clarke (2022) assert that it offers a flexible and systematic method for structuring findings, rendering it particularly advantageous in secondary research. Thematic analysis entails the review, grouping, and grouping of data from several reliable sources to identify principal issues relevant to the study question. This methodology allows researchers to gather existing evidence and get a more profound understanding of intricate subjects, such as obstacles to accessing mental health treatments within ethnic minority groups.</w:t>
      </w:r>
    </w:p>
    <w:p w14:paraId="004A7F67" w14:textId="77777777" w:rsidR="008F38CB" w:rsidRPr="00EC4A4B" w:rsidRDefault="008F38CB" w:rsidP="008C0A59">
      <w:pPr>
        <w:spacing w:line="360" w:lineRule="auto"/>
        <w:jc w:val="both"/>
        <w:rPr>
          <w:rFonts w:ascii="Arial" w:hAnsi="Arial" w:cs="Arial"/>
          <w:b/>
          <w:bCs/>
          <w:sz w:val="22"/>
          <w:szCs w:val="22"/>
        </w:rPr>
      </w:pPr>
    </w:p>
    <w:p w14:paraId="2D1F5409" w14:textId="07D8F6FF" w:rsidR="00EC4A4B" w:rsidRDefault="008F38CB" w:rsidP="008C0A59">
      <w:pPr>
        <w:spacing w:line="360" w:lineRule="auto"/>
        <w:jc w:val="both"/>
        <w:rPr>
          <w:rFonts w:ascii="Arial" w:hAnsi="Arial" w:cs="Arial"/>
          <w:b/>
          <w:bCs/>
          <w:sz w:val="28"/>
          <w:szCs w:val="28"/>
        </w:rPr>
      </w:pPr>
      <w:r>
        <w:rPr>
          <w:rFonts w:ascii="Arial" w:hAnsi="Arial" w:cs="Arial"/>
          <w:b/>
          <w:bCs/>
          <w:sz w:val="22"/>
          <w:szCs w:val="22"/>
        </w:rPr>
        <w:t xml:space="preserve"> </w:t>
      </w:r>
      <w:r w:rsidR="00EC4A4B" w:rsidRPr="003F4746">
        <w:rPr>
          <w:rFonts w:ascii="Arial" w:hAnsi="Arial" w:cs="Arial"/>
          <w:b/>
          <w:bCs/>
          <w:sz w:val="28"/>
          <w:szCs w:val="28"/>
        </w:rPr>
        <w:t xml:space="preserve">Link </w:t>
      </w:r>
      <w:r w:rsidR="009D212F">
        <w:rPr>
          <w:rFonts w:ascii="Arial" w:hAnsi="Arial" w:cs="Arial"/>
          <w:b/>
          <w:bCs/>
          <w:sz w:val="28"/>
          <w:szCs w:val="28"/>
        </w:rPr>
        <w:t>to c</w:t>
      </w:r>
      <w:r w:rsidR="00A92DE3" w:rsidRPr="003F4746">
        <w:rPr>
          <w:rFonts w:ascii="Arial" w:hAnsi="Arial" w:cs="Arial"/>
          <w:b/>
          <w:bCs/>
          <w:sz w:val="28"/>
          <w:szCs w:val="28"/>
        </w:rPr>
        <w:t>oding /</w:t>
      </w:r>
      <w:r w:rsidR="00B258F8" w:rsidRPr="003F4746">
        <w:rPr>
          <w:rFonts w:ascii="Arial" w:hAnsi="Arial" w:cs="Arial"/>
          <w:b/>
          <w:bCs/>
          <w:sz w:val="28"/>
          <w:szCs w:val="28"/>
        </w:rPr>
        <w:t xml:space="preserve"> </w:t>
      </w:r>
      <w:r w:rsidR="00EC4A4B" w:rsidRPr="003F4746">
        <w:rPr>
          <w:rFonts w:ascii="Arial" w:hAnsi="Arial" w:cs="Arial"/>
          <w:b/>
          <w:bCs/>
          <w:sz w:val="28"/>
          <w:szCs w:val="28"/>
        </w:rPr>
        <w:t>Result Table</w:t>
      </w:r>
    </w:p>
    <w:p w14:paraId="7DB128AB" w14:textId="77357583" w:rsidR="00D81076" w:rsidRDefault="00D163C5" w:rsidP="008C0A59">
      <w:pPr>
        <w:spacing w:line="360" w:lineRule="auto"/>
        <w:jc w:val="both"/>
        <w:rPr>
          <w:rFonts w:ascii="Arial" w:hAnsi="Arial" w:cs="Arial"/>
          <w:sz w:val="22"/>
          <w:szCs w:val="22"/>
        </w:rPr>
      </w:pPr>
      <w:r w:rsidRPr="004D3B0D">
        <w:rPr>
          <w:rFonts w:ascii="Arial" w:hAnsi="Arial" w:cs="Arial"/>
          <w:sz w:val="22"/>
          <w:szCs w:val="22"/>
        </w:rPr>
        <w:t>Thematic analysis was conducted by classifying the findings from each included study, documenting initial codes in the Chapter 3 coding table, and subsequently categorising comparable codes into overarching themes.  Iterative review and colour-coded spreadsheets confirmed thematic consistency and reliability (Braun &amp; Clarke, 2022</w:t>
      </w:r>
      <w:r w:rsidR="004D3B0D">
        <w:rPr>
          <w:rFonts w:ascii="Arial" w:hAnsi="Arial" w:cs="Arial"/>
          <w:sz w:val="22"/>
          <w:szCs w:val="22"/>
        </w:rPr>
        <w:t xml:space="preserve">). See appendix </w:t>
      </w:r>
      <w:r w:rsidR="00A83488">
        <w:rPr>
          <w:rFonts w:ascii="Arial" w:hAnsi="Arial" w:cs="Arial"/>
          <w:sz w:val="22"/>
          <w:szCs w:val="22"/>
        </w:rPr>
        <w:t>2</w:t>
      </w:r>
      <w:r w:rsidR="004D3B0D">
        <w:rPr>
          <w:rFonts w:ascii="Arial" w:hAnsi="Arial" w:cs="Arial"/>
          <w:sz w:val="22"/>
          <w:szCs w:val="22"/>
        </w:rPr>
        <w:t xml:space="preserve"> in</w:t>
      </w:r>
      <w:r w:rsidRPr="004D3B0D">
        <w:rPr>
          <w:rFonts w:ascii="Arial" w:hAnsi="Arial" w:cs="Arial"/>
          <w:sz w:val="22"/>
          <w:szCs w:val="22"/>
        </w:rPr>
        <w:t xml:space="preserve"> Chapter 3) for</w:t>
      </w:r>
      <w:r w:rsidR="004D3B0D">
        <w:rPr>
          <w:rFonts w:ascii="Arial" w:hAnsi="Arial" w:cs="Arial"/>
          <w:sz w:val="22"/>
          <w:szCs w:val="22"/>
        </w:rPr>
        <w:t xml:space="preserve"> </w:t>
      </w:r>
      <w:r w:rsidR="00D81076" w:rsidRPr="004D3B0D">
        <w:rPr>
          <w:rFonts w:ascii="Arial" w:hAnsi="Arial" w:cs="Arial"/>
          <w:sz w:val="22"/>
          <w:szCs w:val="22"/>
        </w:rPr>
        <w:t>authenticity</w:t>
      </w:r>
      <w:r w:rsidR="00D81076">
        <w:rPr>
          <w:rFonts w:ascii="Arial" w:hAnsi="Arial" w:cs="Arial"/>
          <w:sz w:val="22"/>
          <w:szCs w:val="22"/>
        </w:rPr>
        <w:t xml:space="preserve"> </w:t>
      </w:r>
      <w:r w:rsidR="00D81076" w:rsidRPr="004D3B0D">
        <w:rPr>
          <w:rFonts w:ascii="Arial" w:hAnsi="Arial" w:cs="Arial"/>
          <w:sz w:val="22"/>
          <w:szCs w:val="22"/>
        </w:rPr>
        <w:t>and</w:t>
      </w:r>
      <w:r w:rsidRPr="004D3B0D">
        <w:rPr>
          <w:rFonts w:ascii="Arial" w:hAnsi="Arial" w:cs="Arial"/>
          <w:sz w:val="22"/>
          <w:szCs w:val="22"/>
        </w:rPr>
        <w:t xml:space="preserve"> transparency.</w:t>
      </w:r>
    </w:p>
    <w:p w14:paraId="55A387FF" w14:textId="68414B5E" w:rsidR="009A7846" w:rsidRDefault="00D81076" w:rsidP="003F4746">
      <w:pPr>
        <w:spacing w:line="360" w:lineRule="auto"/>
        <w:jc w:val="both"/>
        <w:rPr>
          <w:rFonts w:ascii="Arial" w:hAnsi="Arial" w:cs="Arial"/>
          <w:sz w:val="22"/>
          <w:szCs w:val="22"/>
        </w:rPr>
      </w:pPr>
      <w:r w:rsidRPr="00D81076">
        <w:rPr>
          <w:rFonts w:ascii="Arial" w:hAnsi="Arial" w:cs="Arial"/>
          <w:sz w:val="22"/>
          <w:szCs w:val="22"/>
        </w:rPr>
        <w:t>The study revealed four principal themes</w:t>
      </w:r>
      <w:r>
        <w:rPr>
          <w:rFonts w:ascii="Arial" w:hAnsi="Arial" w:cs="Arial"/>
          <w:sz w:val="22"/>
          <w:szCs w:val="22"/>
        </w:rPr>
        <w:t xml:space="preserve">, </w:t>
      </w:r>
      <w:r w:rsidRPr="00D81076">
        <w:rPr>
          <w:rFonts w:ascii="Arial" w:hAnsi="Arial" w:cs="Arial"/>
          <w:sz w:val="22"/>
          <w:szCs w:val="22"/>
        </w:rPr>
        <w:t xml:space="preserve">stigma, language </w:t>
      </w:r>
      <w:r>
        <w:rPr>
          <w:rFonts w:ascii="Arial" w:hAnsi="Arial" w:cs="Arial"/>
          <w:sz w:val="22"/>
          <w:szCs w:val="22"/>
        </w:rPr>
        <w:t>barrier</w:t>
      </w:r>
      <w:r w:rsidRPr="00D81076">
        <w:rPr>
          <w:rFonts w:ascii="Arial" w:hAnsi="Arial" w:cs="Arial"/>
          <w:sz w:val="22"/>
          <w:szCs w:val="22"/>
        </w:rPr>
        <w:t>, cultural competency, and accessibility</w:t>
      </w:r>
      <w:r>
        <w:rPr>
          <w:rFonts w:ascii="Arial" w:hAnsi="Arial" w:cs="Arial"/>
          <w:sz w:val="22"/>
          <w:szCs w:val="22"/>
        </w:rPr>
        <w:t xml:space="preserve">, </w:t>
      </w:r>
      <w:r w:rsidRPr="00D81076">
        <w:rPr>
          <w:rFonts w:ascii="Arial" w:hAnsi="Arial" w:cs="Arial"/>
          <w:sz w:val="22"/>
          <w:szCs w:val="22"/>
        </w:rPr>
        <w:t>frequently emphasised in the examined literature (Bhui et al., 201</w:t>
      </w:r>
      <w:r w:rsidR="00BF6B63">
        <w:rPr>
          <w:rFonts w:ascii="Arial" w:hAnsi="Arial" w:cs="Arial"/>
          <w:sz w:val="22"/>
          <w:szCs w:val="22"/>
        </w:rPr>
        <w:t>2</w:t>
      </w:r>
      <w:r w:rsidRPr="00D81076">
        <w:rPr>
          <w:rFonts w:ascii="Arial" w:hAnsi="Arial" w:cs="Arial"/>
          <w:sz w:val="22"/>
          <w:szCs w:val="22"/>
        </w:rPr>
        <w:t>;</w:t>
      </w:r>
      <w:r w:rsidR="00EA4C3E">
        <w:t xml:space="preserve"> </w:t>
      </w:r>
      <w:r w:rsidR="00EA4C3E" w:rsidRPr="00EA4C3E">
        <w:rPr>
          <w:rFonts w:ascii="Arial" w:hAnsi="Arial" w:cs="Arial"/>
          <w:sz w:val="22"/>
          <w:szCs w:val="22"/>
        </w:rPr>
        <w:t>Bansal et al., 2022)</w:t>
      </w:r>
      <w:r w:rsidRPr="00D81076">
        <w:rPr>
          <w:rFonts w:ascii="Arial" w:hAnsi="Arial" w:cs="Arial"/>
          <w:sz w:val="22"/>
          <w:szCs w:val="22"/>
        </w:rPr>
        <w:t xml:space="preserve">. </w:t>
      </w:r>
      <w:r w:rsidR="00E822CC">
        <w:rPr>
          <w:rFonts w:ascii="Arial" w:hAnsi="Arial" w:cs="Arial"/>
          <w:sz w:val="22"/>
          <w:szCs w:val="22"/>
        </w:rPr>
        <w:t>The next part</w:t>
      </w:r>
      <w:r w:rsidRPr="00D81076">
        <w:rPr>
          <w:rFonts w:ascii="Arial" w:hAnsi="Arial" w:cs="Arial"/>
          <w:sz w:val="22"/>
          <w:szCs w:val="22"/>
        </w:rPr>
        <w:t xml:space="preserve"> will analyse th</w:t>
      </w:r>
      <w:r w:rsidR="00E822CC">
        <w:rPr>
          <w:rFonts w:ascii="Arial" w:hAnsi="Arial" w:cs="Arial"/>
          <w:sz w:val="22"/>
          <w:szCs w:val="22"/>
        </w:rPr>
        <w:t>ree</w:t>
      </w:r>
      <w:r w:rsidRPr="00D81076">
        <w:rPr>
          <w:rFonts w:ascii="Arial" w:hAnsi="Arial" w:cs="Arial"/>
          <w:sz w:val="22"/>
          <w:szCs w:val="22"/>
        </w:rPr>
        <w:t xml:space="preserve"> themes to demonstrate their impact on mental health service utilisation among ethnic minority populations in the UK.</w:t>
      </w:r>
    </w:p>
    <w:p w14:paraId="48070F86" w14:textId="77777777" w:rsidR="00AC2BE4" w:rsidRPr="008E3B92" w:rsidRDefault="00EC4A4B" w:rsidP="003F4746">
      <w:pPr>
        <w:spacing w:line="360" w:lineRule="auto"/>
        <w:jc w:val="both"/>
        <w:rPr>
          <w:rFonts w:ascii="Arial" w:hAnsi="Arial" w:cs="Arial"/>
          <w:b/>
          <w:bCs/>
          <w:sz w:val="28"/>
          <w:szCs w:val="28"/>
        </w:rPr>
      </w:pPr>
      <w:r w:rsidRPr="008E3B92">
        <w:rPr>
          <w:rFonts w:ascii="Arial" w:hAnsi="Arial" w:cs="Arial"/>
          <w:b/>
          <w:bCs/>
          <w:sz w:val="28"/>
          <w:szCs w:val="28"/>
        </w:rPr>
        <w:lastRenderedPageBreak/>
        <w:t>4.3 Theme 1</w:t>
      </w:r>
      <w:r w:rsidR="009A7846" w:rsidRPr="008E3B92">
        <w:rPr>
          <w:rFonts w:ascii="Arial" w:hAnsi="Arial" w:cs="Arial"/>
          <w:b/>
          <w:bCs/>
          <w:sz w:val="28"/>
          <w:szCs w:val="28"/>
        </w:rPr>
        <w:t>,</w:t>
      </w:r>
      <w:r w:rsidR="008D71FD" w:rsidRPr="008E3B92">
        <w:rPr>
          <w:rFonts w:ascii="Arial" w:hAnsi="Arial" w:cs="Arial"/>
          <w:b/>
          <w:bCs/>
          <w:sz w:val="28"/>
          <w:szCs w:val="28"/>
        </w:rPr>
        <w:t xml:space="preserve"> Stigma</w:t>
      </w:r>
    </w:p>
    <w:p w14:paraId="444BEBA6" w14:textId="5F793585" w:rsidR="00EC4A4B" w:rsidRPr="008E3B92" w:rsidRDefault="00EC4A4B" w:rsidP="003F4746">
      <w:pPr>
        <w:spacing w:line="360" w:lineRule="auto"/>
        <w:jc w:val="both"/>
        <w:rPr>
          <w:rFonts w:ascii="Arial" w:hAnsi="Arial" w:cs="Arial"/>
          <w:b/>
          <w:bCs/>
          <w:sz w:val="28"/>
          <w:szCs w:val="28"/>
        </w:rPr>
      </w:pPr>
      <w:r w:rsidRPr="008E3B92">
        <w:rPr>
          <w:rFonts w:ascii="Arial" w:hAnsi="Arial" w:cs="Arial"/>
          <w:b/>
          <w:bCs/>
          <w:sz w:val="28"/>
          <w:szCs w:val="28"/>
        </w:rPr>
        <w:t>Definition</w:t>
      </w:r>
    </w:p>
    <w:p w14:paraId="50CB1E9E" w14:textId="77777777" w:rsidR="00AC2BE4" w:rsidRDefault="009A7846" w:rsidP="003F4746">
      <w:pPr>
        <w:spacing w:line="360" w:lineRule="auto"/>
        <w:jc w:val="both"/>
        <w:rPr>
          <w:rFonts w:ascii="Arial" w:hAnsi="Arial" w:cs="Arial"/>
          <w:b/>
          <w:bCs/>
          <w:sz w:val="22"/>
          <w:szCs w:val="22"/>
        </w:rPr>
      </w:pPr>
      <w:r w:rsidRPr="009A7846">
        <w:rPr>
          <w:rFonts w:ascii="Arial" w:hAnsi="Arial" w:cs="Arial"/>
          <w:sz w:val="22"/>
          <w:szCs w:val="22"/>
        </w:rPr>
        <w:t>Stigma refers to the unfavourable attitudes, prejudices and discriminatory behaviours directed against those facing mental health challenges.  It generally involves public stigma (societal prejudice), self-stigma (internalised shame), and cultural stigma, which is moulded by community ideas and traditions (Corrigan &amp; Watson, 2002).  Stigma may be increased within ethnic minority groups due to cultural norms regarding strength, reputation, and familial honour, rendering mental illness particularly sensitive or taboo. This may dissuade individuals from seeking assistance, postpone therapy, and exacerbate psychological anguish. To explain why ethnic minority communities in the UK still have in getting mental health services, it is important to understand how stigma works.</w:t>
      </w:r>
    </w:p>
    <w:p w14:paraId="2F9C0AAF" w14:textId="72C37E24" w:rsidR="00EC4A4B" w:rsidRPr="008E3B92" w:rsidRDefault="00AC2BE4" w:rsidP="003F4746">
      <w:pPr>
        <w:spacing w:line="360" w:lineRule="auto"/>
        <w:jc w:val="both"/>
        <w:rPr>
          <w:rFonts w:ascii="Arial" w:hAnsi="Arial" w:cs="Arial"/>
          <w:sz w:val="28"/>
          <w:szCs w:val="28"/>
        </w:rPr>
      </w:pPr>
      <w:r>
        <w:rPr>
          <w:rFonts w:ascii="Arial" w:hAnsi="Arial" w:cs="Arial"/>
          <w:b/>
          <w:bCs/>
          <w:sz w:val="22"/>
          <w:szCs w:val="22"/>
        </w:rPr>
        <w:t xml:space="preserve"> </w:t>
      </w:r>
      <w:r w:rsidR="00EC4A4B" w:rsidRPr="008E3B92">
        <w:rPr>
          <w:rFonts w:ascii="Arial" w:hAnsi="Arial" w:cs="Arial"/>
          <w:b/>
          <w:bCs/>
          <w:sz w:val="28"/>
          <w:szCs w:val="28"/>
        </w:rPr>
        <w:t>Background information</w:t>
      </w:r>
    </w:p>
    <w:p w14:paraId="5D00EA52" w14:textId="3614B815" w:rsidR="00AC2BE4" w:rsidRPr="00F901DA" w:rsidRDefault="00F901DA" w:rsidP="003F4746">
      <w:pPr>
        <w:spacing w:line="360" w:lineRule="auto"/>
        <w:jc w:val="both"/>
        <w:rPr>
          <w:rFonts w:ascii="Arial" w:hAnsi="Arial" w:cs="Arial"/>
          <w:sz w:val="22"/>
          <w:szCs w:val="22"/>
        </w:rPr>
      </w:pPr>
      <w:r w:rsidRPr="00F901DA">
        <w:rPr>
          <w:rFonts w:ascii="Arial" w:hAnsi="Arial" w:cs="Arial"/>
          <w:sz w:val="22"/>
          <w:szCs w:val="22"/>
        </w:rPr>
        <w:t>The stigma related to mental health has profound historical origins, influenced by enduring cultural beliefs, misconceptions, and socioeconomic disparities. Historically, mental illness was linked to weakness, peril, or moral deficiency, perpetuating shame and secrecy across numerous groups (Hinshaw, 20</w:t>
      </w:r>
      <w:r w:rsidR="008D4A8E">
        <w:rPr>
          <w:rFonts w:ascii="Arial" w:hAnsi="Arial" w:cs="Arial"/>
          <w:sz w:val="22"/>
          <w:szCs w:val="22"/>
        </w:rPr>
        <w:t>10</w:t>
      </w:r>
      <w:r w:rsidRPr="00F901DA">
        <w:rPr>
          <w:rFonts w:ascii="Arial" w:hAnsi="Arial" w:cs="Arial"/>
          <w:sz w:val="22"/>
          <w:szCs w:val="22"/>
        </w:rPr>
        <w:t>). For ethnic minority communities in the UK, these ideas were additionally shaped by migratory experiences, cultural norms, and scepticism towards statutory services. Stigma has been identified as a significant obstacle to early intervention, resulting in postponed help-seeking and deteriorated mental health outcomes. Recent studies indicate that stigma endures because of persistent misconceptions and inadequate culturally sensitive mental health education (Bhui et al., 201</w:t>
      </w:r>
      <w:r w:rsidR="008E3B92">
        <w:rPr>
          <w:rFonts w:ascii="Arial" w:hAnsi="Arial" w:cs="Arial"/>
          <w:sz w:val="22"/>
          <w:szCs w:val="22"/>
        </w:rPr>
        <w:t>2</w:t>
      </w:r>
      <w:r w:rsidRPr="00F901DA">
        <w:rPr>
          <w:rFonts w:ascii="Arial" w:hAnsi="Arial" w:cs="Arial"/>
          <w:sz w:val="22"/>
          <w:szCs w:val="22"/>
        </w:rPr>
        <w:t>).</w:t>
      </w:r>
    </w:p>
    <w:p w14:paraId="1052AB14" w14:textId="40E12080" w:rsidR="00EC4A4B" w:rsidRDefault="00EC4A4B" w:rsidP="003F4746">
      <w:pPr>
        <w:spacing w:line="360" w:lineRule="auto"/>
        <w:jc w:val="both"/>
        <w:rPr>
          <w:rFonts w:ascii="Arial" w:hAnsi="Arial" w:cs="Arial"/>
          <w:b/>
          <w:bCs/>
          <w:sz w:val="28"/>
          <w:szCs w:val="28"/>
        </w:rPr>
      </w:pPr>
      <w:r w:rsidRPr="00FE0DC8">
        <w:rPr>
          <w:rFonts w:ascii="Arial" w:hAnsi="Arial" w:cs="Arial"/>
          <w:b/>
          <w:bCs/>
          <w:sz w:val="28"/>
          <w:szCs w:val="28"/>
        </w:rPr>
        <w:t>Impact on research question</w:t>
      </w:r>
    </w:p>
    <w:p w14:paraId="18050BB3" w14:textId="093F47DA" w:rsidR="003C779A" w:rsidRDefault="00A60959" w:rsidP="00F72D79">
      <w:pPr>
        <w:spacing w:line="360" w:lineRule="auto"/>
        <w:jc w:val="both"/>
        <w:rPr>
          <w:rFonts w:ascii="Arial" w:hAnsi="Arial" w:cs="Arial"/>
          <w:sz w:val="22"/>
          <w:szCs w:val="22"/>
        </w:rPr>
      </w:pPr>
      <w:r w:rsidRPr="00A60959">
        <w:rPr>
          <w:rFonts w:ascii="Arial" w:hAnsi="Arial" w:cs="Arial"/>
          <w:sz w:val="22"/>
          <w:szCs w:val="22"/>
        </w:rPr>
        <w:t>Stigma profoundly impacts ethnic minority groups' access to mental health treatments in the UK by deterring help</w:t>
      </w:r>
      <w:r>
        <w:rPr>
          <w:rFonts w:ascii="Arial" w:hAnsi="Arial" w:cs="Arial"/>
          <w:sz w:val="22"/>
          <w:szCs w:val="22"/>
        </w:rPr>
        <w:t xml:space="preserve"> </w:t>
      </w:r>
      <w:r w:rsidRPr="00A60959">
        <w:rPr>
          <w:rFonts w:ascii="Arial" w:hAnsi="Arial" w:cs="Arial"/>
          <w:sz w:val="22"/>
          <w:szCs w:val="22"/>
        </w:rPr>
        <w:t>seeking, constraining disclosure, and exacerbating fears of judgement or social repercussions.</w:t>
      </w:r>
      <w:r>
        <w:rPr>
          <w:rFonts w:ascii="Arial" w:hAnsi="Arial" w:cs="Arial"/>
          <w:sz w:val="22"/>
          <w:szCs w:val="22"/>
        </w:rPr>
        <w:t xml:space="preserve"> </w:t>
      </w:r>
      <w:r w:rsidRPr="00A60959">
        <w:rPr>
          <w:rFonts w:ascii="Arial" w:hAnsi="Arial" w:cs="Arial"/>
          <w:sz w:val="22"/>
          <w:szCs w:val="22"/>
        </w:rPr>
        <w:t xml:space="preserve">Cultural stigma in certain groups perceives mental illness as a manifestation of weakness or familial disgrace, prompting individuals to conceal symptoms or depend exclusively on informal support (Mantovani et al., 2017).  Public and self-stigma diminish service involvement, leading to delayed intervention and adverse results </w:t>
      </w:r>
      <w:r w:rsidR="003C779A" w:rsidRPr="003C779A">
        <w:rPr>
          <w:rFonts w:ascii="Arial" w:hAnsi="Arial" w:cs="Arial"/>
          <w:sz w:val="22"/>
          <w:szCs w:val="22"/>
        </w:rPr>
        <w:t>(Corrigan et al., 2014</w:t>
      </w:r>
      <w:r w:rsidRPr="00A60959">
        <w:rPr>
          <w:rFonts w:ascii="Arial" w:hAnsi="Arial" w:cs="Arial"/>
          <w:sz w:val="22"/>
          <w:szCs w:val="22"/>
        </w:rPr>
        <w:t>).</w:t>
      </w:r>
      <w:r w:rsidR="003C779A">
        <w:rPr>
          <w:rFonts w:ascii="Arial" w:hAnsi="Arial" w:cs="Arial"/>
          <w:sz w:val="22"/>
          <w:szCs w:val="22"/>
        </w:rPr>
        <w:t xml:space="preserve"> </w:t>
      </w:r>
      <w:r w:rsidRPr="00A60959">
        <w:rPr>
          <w:rFonts w:ascii="Arial" w:hAnsi="Arial" w:cs="Arial"/>
          <w:sz w:val="22"/>
          <w:szCs w:val="22"/>
        </w:rPr>
        <w:t>This subject is essential to the research question as stigma directly influences attitudes towards mental health, affecting treatment use and worsening disparities in health.</w:t>
      </w:r>
    </w:p>
    <w:p w14:paraId="4E79C707" w14:textId="6404678A" w:rsidR="00EC4A4B" w:rsidRDefault="00EC4A4B" w:rsidP="00F72D79">
      <w:pPr>
        <w:spacing w:line="360" w:lineRule="auto"/>
        <w:jc w:val="both"/>
        <w:rPr>
          <w:rFonts w:ascii="Arial" w:hAnsi="Arial" w:cs="Arial"/>
          <w:b/>
          <w:bCs/>
          <w:sz w:val="28"/>
          <w:szCs w:val="28"/>
        </w:rPr>
      </w:pPr>
      <w:r w:rsidRPr="00FE0DC8">
        <w:rPr>
          <w:rFonts w:ascii="Arial" w:hAnsi="Arial" w:cs="Arial"/>
          <w:b/>
          <w:bCs/>
          <w:sz w:val="28"/>
          <w:szCs w:val="28"/>
        </w:rPr>
        <w:t>Statistical information</w:t>
      </w:r>
    </w:p>
    <w:p w14:paraId="190AF3FC" w14:textId="77777777" w:rsidR="0001178C" w:rsidRDefault="006E0A6E" w:rsidP="0001178C">
      <w:pPr>
        <w:spacing w:line="360" w:lineRule="auto"/>
        <w:jc w:val="both"/>
        <w:rPr>
          <w:rFonts w:ascii="Arial" w:hAnsi="Arial" w:cs="Arial"/>
          <w:sz w:val="22"/>
          <w:szCs w:val="22"/>
        </w:rPr>
      </w:pPr>
      <w:r w:rsidRPr="006E0A6E">
        <w:rPr>
          <w:rFonts w:ascii="Arial" w:hAnsi="Arial" w:cs="Arial"/>
          <w:sz w:val="22"/>
          <w:szCs w:val="22"/>
        </w:rPr>
        <w:lastRenderedPageBreak/>
        <w:t>The impact of stigma is illustrated by harsh statistics from the UK: in 2022–23, Black individuals experienced 227.9 detentions per 100,000, which is more than 3.5 times the rate for White individuals (64.1 per 100,000) (NHS Digital, 2024; CQC, 2024). Data from the Mental Health Foundation indicate that Black individuals are around four times more likely to be jailed, and nearly 90% of individuals with mental illness feel that stigma adversely impacts their lives (Mental Health Foundation, 2024). Qualitative research associates this stigma with diminished help-seeking behaviours in African-descended communities, hence exacerbating delays in treatment and paths to crisis intervention (Mantovani et al., 2017). These statistics underscore the role of stigma in fostering inequitable and coercive pathways to care.</w:t>
      </w:r>
      <w:r w:rsidR="0001178C">
        <w:rPr>
          <w:rFonts w:ascii="Arial" w:hAnsi="Arial" w:cs="Arial"/>
          <w:sz w:val="22"/>
          <w:szCs w:val="22"/>
        </w:rPr>
        <w:t xml:space="preserve"> </w:t>
      </w:r>
    </w:p>
    <w:p w14:paraId="30D52A31" w14:textId="543ED028" w:rsidR="00EC4A4B" w:rsidRPr="0001178C" w:rsidRDefault="00EC4A4B" w:rsidP="0001178C">
      <w:pPr>
        <w:spacing w:line="360" w:lineRule="auto"/>
        <w:jc w:val="both"/>
        <w:rPr>
          <w:rFonts w:ascii="Arial" w:hAnsi="Arial" w:cs="Arial"/>
          <w:sz w:val="22"/>
          <w:szCs w:val="22"/>
        </w:rPr>
      </w:pPr>
      <w:r w:rsidRPr="00FE0DC8">
        <w:rPr>
          <w:rFonts w:ascii="Arial" w:hAnsi="Arial" w:cs="Arial"/>
          <w:b/>
          <w:bCs/>
          <w:sz w:val="28"/>
          <w:szCs w:val="28"/>
        </w:rPr>
        <w:t>Theories, policies, and Legislation</w:t>
      </w:r>
    </w:p>
    <w:p w14:paraId="3F7B91EF" w14:textId="0A1A5D64" w:rsidR="0001178C" w:rsidRDefault="0001178C" w:rsidP="0001178C">
      <w:pPr>
        <w:spacing w:line="360" w:lineRule="auto"/>
        <w:jc w:val="both"/>
        <w:rPr>
          <w:rFonts w:ascii="Arial" w:hAnsi="Arial" w:cs="Arial"/>
          <w:sz w:val="22"/>
          <w:szCs w:val="22"/>
        </w:rPr>
      </w:pPr>
      <w:r w:rsidRPr="0001178C">
        <w:rPr>
          <w:rFonts w:ascii="Arial" w:hAnsi="Arial" w:cs="Arial"/>
          <w:sz w:val="22"/>
          <w:szCs w:val="22"/>
        </w:rPr>
        <w:t>Stigma is explained by Goffman’s (1963) theory of social labelling, wherein individuals are deemed “deviant,” resulting in their marginalisation.  Corrigan’s (2004) model illustrates the transition from public stigma to self-stigma, which diminishes the likelihood of seeking assistance.  These theories elucidate the reasons ethnic minority groups may eschew mental health services due to feelings of guilt, fear, and threats to their identity.</w:t>
      </w:r>
    </w:p>
    <w:p w14:paraId="0AD514BC" w14:textId="46F771E1" w:rsidR="0075027C" w:rsidRDefault="0075027C" w:rsidP="0001178C">
      <w:pPr>
        <w:spacing w:line="360" w:lineRule="auto"/>
        <w:jc w:val="both"/>
        <w:rPr>
          <w:rFonts w:ascii="Arial" w:hAnsi="Arial" w:cs="Arial"/>
          <w:sz w:val="22"/>
          <w:szCs w:val="22"/>
        </w:rPr>
      </w:pPr>
      <w:r w:rsidRPr="0075027C">
        <w:rPr>
          <w:rFonts w:ascii="Arial" w:hAnsi="Arial" w:cs="Arial"/>
          <w:sz w:val="22"/>
          <w:szCs w:val="22"/>
        </w:rPr>
        <w:t>The Equality Act 2010 and the NHS Long Term Plan are two policies that say services must deal with discrimination and make mental health care fairer.  Stigma, on the other hand, still exists because institutional impediments, cultural misconceptions, and poor service delivery continue to hurt ethnic minority populations.  These rules show how different the law's aim is from how people live (Government Equalities Office, 2010; NHS England, 2019).</w:t>
      </w:r>
    </w:p>
    <w:p w14:paraId="4F731755" w14:textId="1DD88E52" w:rsidR="00FE0DC8" w:rsidRDefault="00EC4A4B" w:rsidP="0001178C">
      <w:pPr>
        <w:spacing w:line="360" w:lineRule="auto"/>
        <w:jc w:val="both"/>
        <w:rPr>
          <w:rFonts w:ascii="Arial" w:hAnsi="Arial" w:cs="Arial"/>
          <w:b/>
          <w:bCs/>
          <w:sz w:val="28"/>
          <w:szCs w:val="28"/>
        </w:rPr>
      </w:pPr>
      <w:r w:rsidRPr="00FE0DC8">
        <w:rPr>
          <w:rFonts w:ascii="Arial" w:hAnsi="Arial" w:cs="Arial"/>
          <w:b/>
          <w:bCs/>
          <w:sz w:val="28"/>
          <w:szCs w:val="28"/>
        </w:rPr>
        <w:t>Implications</w:t>
      </w:r>
    </w:p>
    <w:p w14:paraId="7F97F87D" w14:textId="2D85D3AB" w:rsidR="0075027C" w:rsidRDefault="008C0A59" w:rsidP="0001178C">
      <w:pPr>
        <w:spacing w:line="360" w:lineRule="auto"/>
        <w:jc w:val="both"/>
        <w:rPr>
          <w:rFonts w:ascii="Arial" w:hAnsi="Arial" w:cs="Arial"/>
          <w:sz w:val="22"/>
          <w:szCs w:val="22"/>
        </w:rPr>
      </w:pPr>
      <w:r w:rsidRPr="008C0A59">
        <w:rPr>
          <w:rFonts w:ascii="Arial" w:hAnsi="Arial" w:cs="Arial"/>
          <w:sz w:val="22"/>
          <w:szCs w:val="22"/>
        </w:rPr>
        <w:t>Stigma significantly influences the research question by showing how fear, shame, and societal criticism diminish help-seeking behaviours among ethnic minority populations. This results in postponed treatment, crisis-oriented service use, and enduring disparities in access to mental healthcare (Corrigan, 2004; Mantovani et al., 2017). Comprehending stigma is crucial for tackling systemic barriers.</w:t>
      </w:r>
    </w:p>
    <w:p w14:paraId="5F69DC1F" w14:textId="62FBA9F2" w:rsidR="008C0A59" w:rsidRPr="008C0A59" w:rsidRDefault="00C9219B" w:rsidP="0001178C">
      <w:pPr>
        <w:spacing w:line="360" w:lineRule="auto"/>
        <w:jc w:val="both"/>
        <w:rPr>
          <w:rFonts w:ascii="Arial" w:hAnsi="Arial" w:cs="Arial"/>
          <w:sz w:val="22"/>
          <w:szCs w:val="22"/>
        </w:rPr>
      </w:pPr>
      <w:r w:rsidRPr="00C9219B">
        <w:rPr>
          <w:rFonts w:ascii="Arial" w:hAnsi="Arial" w:cs="Arial"/>
          <w:sz w:val="22"/>
          <w:szCs w:val="22"/>
        </w:rPr>
        <w:t>Stigma adversely affects help</w:t>
      </w:r>
      <w:r>
        <w:rPr>
          <w:rFonts w:ascii="Arial" w:hAnsi="Arial" w:cs="Arial"/>
          <w:sz w:val="22"/>
          <w:szCs w:val="22"/>
        </w:rPr>
        <w:t xml:space="preserve"> </w:t>
      </w:r>
      <w:r w:rsidRPr="00C9219B">
        <w:rPr>
          <w:rFonts w:ascii="Arial" w:hAnsi="Arial" w:cs="Arial"/>
          <w:sz w:val="22"/>
          <w:szCs w:val="22"/>
        </w:rPr>
        <w:t>seeking behaviour, exacerbates misery, and intensifies disparities among ethnic minority groups (Corrigan, 2004). Nonetheless, awareness campaigns and community-driven programs have commenced efforts to confront stigma, enhance conversation, and provide early support in certain communities (Mental Health Foundation, 2024). The varied effects underscore the complexity of stigma in relation to mental health access.</w:t>
      </w:r>
    </w:p>
    <w:p w14:paraId="7EAA6AB7" w14:textId="77777777" w:rsidR="00463DF9" w:rsidRDefault="00463DF9" w:rsidP="0001178C">
      <w:pPr>
        <w:spacing w:line="360" w:lineRule="auto"/>
        <w:jc w:val="both"/>
        <w:rPr>
          <w:rFonts w:ascii="Arial" w:hAnsi="Arial" w:cs="Arial"/>
          <w:sz w:val="22"/>
          <w:szCs w:val="22"/>
        </w:rPr>
      </w:pPr>
    </w:p>
    <w:p w14:paraId="7A63F750" w14:textId="1ADBD5EB" w:rsidR="00EC4A4B" w:rsidRDefault="00EC4A4B" w:rsidP="0001178C">
      <w:pPr>
        <w:spacing w:line="360" w:lineRule="auto"/>
        <w:jc w:val="both"/>
        <w:rPr>
          <w:rFonts w:ascii="Arial" w:hAnsi="Arial" w:cs="Arial"/>
          <w:b/>
          <w:bCs/>
          <w:sz w:val="28"/>
          <w:szCs w:val="28"/>
        </w:rPr>
      </w:pPr>
      <w:r w:rsidRPr="00FE0DC8">
        <w:rPr>
          <w:rFonts w:ascii="Arial" w:hAnsi="Arial" w:cs="Arial"/>
          <w:b/>
          <w:bCs/>
          <w:sz w:val="28"/>
          <w:szCs w:val="28"/>
        </w:rPr>
        <w:lastRenderedPageBreak/>
        <w:t>Examples from your articles</w:t>
      </w:r>
    </w:p>
    <w:p w14:paraId="7B6A3C25" w14:textId="466B0645" w:rsidR="00922A36" w:rsidRPr="00922A36" w:rsidRDefault="00922A36" w:rsidP="0001178C">
      <w:pPr>
        <w:spacing w:line="360" w:lineRule="auto"/>
        <w:jc w:val="both"/>
        <w:rPr>
          <w:rFonts w:ascii="Arial" w:hAnsi="Arial" w:cs="Arial"/>
          <w:sz w:val="22"/>
          <w:szCs w:val="22"/>
        </w:rPr>
      </w:pPr>
      <w:r w:rsidRPr="00922A36">
        <w:rPr>
          <w:rFonts w:ascii="Arial" w:hAnsi="Arial" w:cs="Arial"/>
          <w:sz w:val="22"/>
          <w:szCs w:val="22"/>
        </w:rPr>
        <w:t>Mantovani et al. (2017) found that cultural stigma within African-descended communities creates fear of judgement, leading individuals to hide symptoms and avoid formal mental health services. Similarly, Bhui, Ascoli and Nuamh (201</w:t>
      </w:r>
      <w:r w:rsidR="00904CD2">
        <w:rPr>
          <w:rFonts w:ascii="Arial" w:hAnsi="Arial" w:cs="Arial"/>
          <w:sz w:val="22"/>
          <w:szCs w:val="22"/>
        </w:rPr>
        <w:t>2</w:t>
      </w:r>
      <w:r w:rsidRPr="00922A36">
        <w:rPr>
          <w:rFonts w:ascii="Arial" w:hAnsi="Arial" w:cs="Arial"/>
          <w:sz w:val="22"/>
          <w:szCs w:val="22"/>
        </w:rPr>
        <w:t>) argued that stigma is reinforced by cultural expectations and experiences of discrimination, which reduce trust in mental health providers. Both articles agree that stigma is a major barrier for ethnic minority groups, though Bhui et al. place stronger emphasis on structural racism alongside cultural stigma. Together, these perspectives strengthen the research question by showing how stigma interacts with cultural and systemic factors to limit mental health service access.</w:t>
      </w:r>
    </w:p>
    <w:p w14:paraId="393AE27C" w14:textId="77777777" w:rsidR="00922A36" w:rsidRDefault="00922A36" w:rsidP="0001178C">
      <w:pPr>
        <w:spacing w:line="360" w:lineRule="auto"/>
        <w:jc w:val="both"/>
        <w:rPr>
          <w:rFonts w:ascii="Arial" w:hAnsi="Arial" w:cs="Arial"/>
          <w:sz w:val="22"/>
          <w:szCs w:val="22"/>
        </w:rPr>
      </w:pPr>
      <w:r w:rsidRPr="00922A36">
        <w:rPr>
          <w:rFonts w:ascii="Arial" w:hAnsi="Arial" w:cs="Arial"/>
          <w:b/>
          <w:bCs/>
          <w:sz w:val="28"/>
          <w:szCs w:val="28"/>
        </w:rPr>
        <w:t>Example</w:t>
      </w:r>
      <w:r w:rsidRPr="00922A36">
        <w:rPr>
          <w:rFonts w:ascii="Arial" w:hAnsi="Arial" w:cs="Arial"/>
          <w:sz w:val="22"/>
          <w:szCs w:val="22"/>
        </w:rPr>
        <w:t xml:space="preserve"> </w:t>
      </w:r>
    </w:p>
    <w:p w14:paraId="2A143DD2" w14:textId="77777777" w:rsidR="00BB70C9" w:rsidRDefault="00BB70C9" w:rsidP="0001178C">
      <w:pPr>
        <w:spacing w:line="360" w:lineRule="auto"/>
        <w:jc w:val="both"/>
        <w:rPr>
          <w:rFonts w:ascii="Arial" w:hAnsi="Arial" w:cs="Arial"/>
          <w:sz w:val="22"/>
          <w:szCs w:val="22"/>
        </w:rPr>
      </w:pPr>
      <w:r>
        <w:rPr>
          <w:rFonts w:ascii="Arial" w:hAnsi="Arial" w:cs="Arial"/>
          <w:sz w:val="22"/>
          <w:szCs w:val="22"/>
        </w:rPr>
        <w:t>I</w:t>
      </w:r>
      <w:r w:rsidR="00922A36" w:rsidRPr="00922A36">
        <w:rPr>
          <w:rFonts w:ascii="Arial" w:hAnsi="Arial" w:cs="Arial"/>
          <w:sz w:val="22"/>
          <w:szCs w:val="22"/>
        </w:rPr>
        <w:t>n a UK study by Mantovani et al. (2017), individuals from African-descended groups refused mental health support due to fear of being called “mad” or shamed by their families. Cultural stigma directly discourages help-seeking. Stigma is social and cultural, as shown in the article. This supports findings that stigma prevents mental health care from being accessed. This case supports the research question by showing that stigma strongly influences ethnic minority mental health views and service utilisation.</w:t>
      </w:r>
    </w:p>
    <w:p w14:paraId="6813AF1F" w14:textId="21BB50B7" w:rsidR="00EC4A4B" w:rsidRDefault="00EC4A4B" w:rsidP="0001178C">
      <w:pPr>
        <w:spacing w:line="360" w:lineRule="auto"/>
        <w:jc w:val="both"/>
        <w:rPr>
          <w:rFonts w:ascii="Arial" w:hAnsi="Arial" w:cs="Arial"/>
          <w:b/>
          <w:bCs/>
          <w:sz w:val="28"/>
          <w:szCs w:val="28"/>
        </w:rPr>
      </w:pPr>
      <w:r w:rsidRPr="00A60959">
        <w:rPr>
          <w:rFonts w:ascii="Arial" w:hAnsi="Arial" w:cs="Arial"/>
          <w:b/>
          <w:bCs/>
          <w:sz w:val="28"/>
          <w:szCs w:val="28"/>
        </w:rPr>
        <w:t xml:space="preserve">Connection to other themes     </w:t>
      </w:r>
    </w:p>
    <w:p w14:paraId="10BCFBB7" w14:textId="77777777" w:rsidR="00A21D1E" w:rsidRDefault="00B22C4F" w:rsidP="0001178C">
      <w:pPr>
        <w:spacing w:line="360" w:lineRule="auto"/>
        <w:jc w:val="both"/>
        <w:rPr>
          <w:rFonts w:ascii="Arial" w:hAnsi="Arial" w:cs="Arial"/>
          <w:sz w:val="22"/>
          <w:szCs w:val="22"/>
        </w:rPr>
      </w:pPr>
      <w:r w:rsidRPr="00B22C4F">
        <w:rPr>
          <w:rFonts w:ascii="Arial" w:hAnsi="Arial" w:cs="Arial"/>
          <w:sz w:val="22"/>
          <w:szCs w:val="22"/>
        </w:rPr>
        <w:t>Stigma is very closely related to cultural competence and accessibility.  Limited cultural understanding in services can increase stigma, making people feel like they are being criticised or misunderstood. Poor accessibility can also make people avoid getting help or delay getting it (Bhui et al., 201</w:t>
      </w:r>
      <w:r>
        <w:rPr>
          <w:rFonts w:ascii="Arial" w:hAnsi="Arial" w:cs="Arial"/>
          <w:sz w:val="22"/>
          <w:szCs w:val="22"/>
        </w:rPr>
        <w:t>2</w:t>
      </w:r>
      <w:r w:rsidRPr="00B22C4F">
        <w:rPr>
          <w:rFonts w:ascii="Arial" w:hAnsi="Arial" w:cs="Arial"/>
          <w:sz w:val="22"/>
          <w:szCs w:val="22"/>
        </w:rPr>
        <w:t>; Mantovani et al., 2017).  These overlapping issues make it harder for ethnic minority populations to get mental health help.</w:t>
      </w:r>
    </w:p>
    <w:p w14:paraId="5FA0F58C" w14:textId="77777777" w:rsidR="00A21D1E" w:rsidRDefault="00A21D1E" w:rsidP="0001178C">
      <w:pPr>
        <w:spacing w:line="360" w:lineRule="auto"/>
        <w:jc w:val="both"/>
        <w:rPr>
          <w:rFonts w:ascii="Arial" w:hAnsi="Arial" w:cs="Arial"/>
          <w:sz w:val="22"/>
          <w:szCs w:val="22"/>
        </w:rPr>
      </w:pPr>
    </w:p>
    <w:p w14:paraId="3FC3C78A" w14:textId="77777777" w:rsidR="00463DF9" w:rsidRDefault="00463DF9" w:rsidP="0001178C">
      <w:pPr>
        <w:spacing w:line="360" w:lineRule="auto"/>
        <w:jc w:val="both"/>
        <w:rPr>
          <w:rFonts w:ascii="Arial" w:hAnsi="Arial" w:cs="Arial"/>
          <w:b/>
          <w:bCs/>
          <w:sz w:val="32"/>
          <w:szCs w:val="32"/>
        </w:rPr>
      </w:pPr>
    </w:p>
    <w:p w14:paraId="02F598AD" w14:textId="77777777" w:rsidR="00463DF9" w:rsidRDefault="00463DF9" w:rsidP="0001178C">
      <w:pPr>
        <w:spacing w:line="360" w:lineRule="auto"/>
        <w:jc w:val="both"/>
        <w:rPr>
          <w:rFonts w:ascii="Arial" w:hAnsi="Arial" w:cs="Arial"/>
          <w:b/>
          <w:bCs/>
          <w:sz w:val="32"/>
          <w:szCs w:val="32"/>
        </w:rPr>
      </w:pPr>
    </w:p>
    <w:p w14:paraId="42467ECC" w14:textId="77777777" w:rsidR="00463DF9" w:rsidRDefault="00463DF9" w:rsidP="0001178C">
      <w:pPr>
        <w:spacing w:line="360" w:lineRule="auto"/>
        <w:jc w:val="both"/>
        <w:rPr>
          <w:rFonts w:ascii="Arial" w:hAnsi="Arial" w:cs="Arial"/>
          <w:b/>
          <w:bCs/>
          <w:sz w:val="32"/>
          <w:szCs w:val="32"/>
        </w:rPr>
      </w:pPr>
    </w:p>
    <w:p w14:paraId="03013FE7" w14:textId="77777777" w:rsidR="00463DF9" w:rsidRDefault="00463DF9" w:rsidP="0001178C">
      <w:pPr>
        <w:spacing w:line="360" w:lineRule="auto"/>
        <w:jc w:val="both"/>
        <w:rPr>
          <w:rFonts w:ascii="Arial" w:hAnsi="Arial" w:cs="Arial"/>
          <w:b/>
          <w:bCs/>
          <w:sz w:val="32"/>
          <w:szCs w:val="32"/>
        </w:rPr>
      </w:pPr>
    </w:p>
    <w:p w14:paraId="3F6EA6A1" w14:textId="77777777" w:rsidR="008774CA" w:rsidRDefault="008774CA" w:rsidP="0001178C">
      <w:pPr>
        <w:spacing w:line="360" w:lineRule="auto"/>
        <w:jc w:val="both"/>
        <w:rPr>
          <w:rFonts w:ascii="Arial" w:hAnsi="Arial" w:cs="Arial"/>
          <w:b/>
          <w:bCs/>
          <w:sz w:val="32"/>
          <w:szCs w:val="32"/>
        </w:rPr>
      </w:pPr>
    </w:p>
    <w:p w14:paraId="32E26173" w14:textId="36C50572" w:rsidR="00767852" w:rsidRDefault="00EC4A4B" w:rsidP="0001178C">
      <w:pPr>
        <w:spacing w:line="360" w:lineRule="auto"/>
        <w:jc w:val="both"/>
        <w:rPr>
          <w:rFonts w:ascii="Arial" w:hAnsi="Arial" w:cs="Arial"/>
          <w:b/>
          <w:bCs/>
          <w:sz w:val="32"/>
          <w:szCs w:val="32"/>
        </w:rPr>
      </w:pPr>
      <w:r w:rsidRPr="00FE0DC8">
        <w:rPr>
          <w:rFonts w:ascii="Arial" w:hAnsi="Arial" w:cs="Arial"/>
          <w:b/>
          <w:bCs/>
          <w:sz w:val="32"/>
          <w:szCs w:val="32"/>
        </w:rPr>
        <w:lastRenderedPageBreak/>
        <w:t>4.4 Theme 2</w:t>
      </w:r>
      <w:r w:rsidR="00767852">
        <w:rPr>
          <w:rFonts w:ascii="Arial" w:hAnsi="Arial" w:cs="Arial"/>
          <w:b/>
          <w:bCs/>
          <w:sz w:val="32"/>
          <w:szCs w:val="32"/>
        </w:rPr>
        <w:t>, Language barrier</w:t>
      </w:r>
    </w:p>
    <w:p w14:paraId="5D8AD779" w14:textId="031E0CEC" w:rsidR="00EC4A4B" w:rsidRDefault="00EC4A4B" w:rsidP="0001178C">
      <w:pPr>
        <w:spacing w:line="360" w:lineRule="auto"/>
        <w:jc w:val="both"/>
        <w:rPr>
          <w:rFonts w:ascii="Arial" w:hAnsi="Arial" w:cs="Arial"/>
          <w:b/>
          <w:bCs/>
          <w:sz w:val="28"/>
          <w:szCs w:val="28"/>
        </w:rPr>
      </w:pPr>
      <w:r w:rsidRPr="00FE0DC8">
        <w:rPr>
          <w:rFonts w:ascii="Arial" w:hAnsi="Arial" w:cs="Arial"/>
          <w:b/>
          <w:bCs/>
          <w:sz w:val="28"/>
          <w:szCs w:val="28"/>
        </w:rPr>
        <w:t>Definition</w:t>
      </w:r>
    </w:p>
    <w:p w14:paraId="02648A58" w14:textId="440EF9F8" w:rsidR="00E23C9D" w:rsidRDefault="00E23C9D" w:rsidP="0001178C">
      <w:pPr>
        <w:spacing w:line="360" w:lineRule="auto"/>
        <w:jc w:val="both"/>
        <w:rPr>
          <w:rFonts w:ascii="Arial" w:hAnsi="Arial" w:cs="Arial"/>
          <w:sz w:val="22"/>
          <w:szCs w:val="22"/>
        </w:rPr>
      </w:pPr>
      <w:r w:rsidRPr="00E23C9D">
        <w:rPr>
          <w:rFonts w:ascii="Arial" w:hAnsi="Arial" w:cs="Arial"/>
          <w:b/>
          <w:bCs/>
          <w:sz w:val="22"/>
          <w:szCs w:val="22"/>
        </w:rPr>
        <w:t>The language barrier</w:t>
      </w:r>
      <w:r w:rsidRPr="00E23C9D">
        <w:rPr>
          <w:rFonts w:ascii="Arial" w:hAnsi="Arial" w:cs="Arial"/>
          <w:sz w:val="22"/>
          <w:szCs w:val="22"/>
        </w:rPr>
        <w:t xml:space="preserve"> s</w:t>
      </w:r>
      <w:r>
        <w:rPr>
          <w:rFonts w:ascii="Arial" w:hAnsi="Arial" w:cs="Arial"/>
          <w:sz w:val="22"/>
          <w:szCs w:val="22"/>
        </w:rPr>
        <w:t>ignifies</w:t>
      </w:r>
      <w:r w:rsidRPr="00E23C9D">
        <w:rPr>
          <w:rFonts w:ascii="Arial" w:hAnsi="Arial" w:cs="Arial"/>
          <w:sz w:val="22"/>
          <w:szCs w:val="22"/>
        </w:rPr>
        <w:t xml:space="preserve"> challenges in efficient communication between service users and providers due to insufficient shared language competency, inadequate health literacy, or absence of culturally appropriate interpretation (Flores, 2006).  In mental health situations, this encompasses both literal translation issues and profound conceptual non-equivalence, wherein diagnostic terminology (e.g., “depression,” “anxiety”) or idioms of suffering do not correspond accurately across languages or cultures (Bhui et al., 201</w:t>
      </w:r>
      <w:r>
        <w:rPr>
          <w:rFonts w:ascii="Arial" w:hAnsi="Arial" w:cs="Arial"/>
          <w:sz w:val="22"/>
          <w:szCs w:val="22"/>
        </w:rPr>
        <w:t>2</w:t>
      </w:r>
      <w:r w:rsidRPr="00E23C9D">
        <w:rPr>
          <w:rFonts w:ascii="Arial" w:hAnsi="Arial" w:cs="Arial"/>
          <w:sz w:val="22"/>
          <w:szCs w:val="22"/>
        </w:rPr>
        <w:t xml:space="preserve">). </w:t>
      </w:r>
    </w:p>
    <w:p w14:paraId="5C585071" w14:textId="2DF3F408" w:rsidR="00767852" w:rsidRPr="00767852" w:rsidRDefault="00E23C9D" w:rsidP="0001178C">
      <w:pPr>
        <w:spacing w:line="360" w:lineRule="auto"/>
        <w:jc w:val="both"/>
        <w:rPr>
          <w:rFonts w:ascii="Arial" w:hAnsi="Arial" w:cs="Arial"/>
          <w:sz w:val="22"/>
          <w:szCs w:val="22"/>
        </w:rPr>
      </w:pPr>
      <w:r w:rsidRPr="00E23C9D">
        <w:rPr>
          <w:rFonts w:ascii="Arial" w:hAnsi="Arial" w:cs="Arial"/>
          <w:b/>
          <w:bCs/>
          <w:sz w:val="22"/>
          <w:szCs w:val="22"/>
        </w:rPr>
        <w:t>Essential terminology:</w:t>
      </w:r>
      <w:r w:rsidRPr="00E23C9D">
        <w:rPr>
          <w:rFonts w:ascii="Arial" w:hAnsi="Arial" w:cs="Arial"/>
          <w:sz w:val="22"/>
          <w:szCs w:val="22"/>
        </w:rPr>
        <w:t xml:space="preserve"> interpretation (oral conversion between languages), translation (written conversion), linguistic competence (the service's capacity to communicate across languages), health literacy (the patient's capability to comprehend health information), and cultural broking (mediators who connect language and cultural significance).  Language problems may lead to misdiagnosis, inadequate therapeutic partnership, medication non-adherence, breaches of confidentiality when use ad hoc translators, and complete avoidance of services.  Resolving these issues necessitates skilled interpreters, multilingual healthcare professionals, and a focus on conceptual equivalence rather than mere literal translation (Flores, 2006; Bhui et al., 201</w:t>
      </w:r>
      <w:r>
        <w:rPr>
          <w:rFonts w:ascii="Arial" w:hAnsi="Arial" w:cs="Arial"/>
          <w:sz w:val="22"/>
          <w:szCs w:val="22"/>
        </w:rPr>
        <w:t>2</w:t>
      </w:r>
      <w:r w:rsidRPr="00E23C9D">
        <w:rPr>
          <w:rFonts w:ascii="Arial" w:hAnsi="Arial" w:cs="Arial"/>
          <w:sz w:val="22"/>
          <w:szCs w:val="22"/>
        </w:rPr>
        <w:t>).</w:t>
      </w:r>
    </w:p>
    <w:p w14:paraId="32792615" w14:textId="4765B1B3" w:rsidR="00EC4A4B" w:rsidRDefault="00EC4A4B" w:rsidP="0001178C">
      <w:pPr>
        <w:spacing w:line="360" w:lineRule="auto"/>
        <w:jc w:val="both"/>
        <w:rPr>
          <w:rFonts w:ascii="Arial" w:hAnsi="Arial" w:cs="Arial"/>
          <w:b/>
          <w:bCs/>
          <w:sz w:val="28"/>
          <w:szCs w:val="28"/>
        </w:rPr>
      </w:pPr>
      <w:r w:rsidRPr="00FE0DC8">
        <w:rPr>
          <w:rFonts w:ascii="Arial" w:hAnsi="Arial" w:cs="Arial"/>
          <w:b/>
          <w:bCs/>
          <w:sz w:val="28"/>
          <w:szCs w:val="28"/>
        </w:rPr>
        <w:t>Background information</w:t>
      </w:r>
    </w:p>
    <w:p w14:paraId="22DD45BB" w14:textId="77777777" w:rsidR="00004C7D" w:rsidRDefault="00004C7D" w:rsidP="0001178C">
      <w:pPr>
        <w:spacing w:line="360" w:lineRule="auto"/>
        <w:jc w:val="both"/>
        <w:rPr>
          <w:rFonts w:ascii="Arial" w:hAnsi="Arial" w:cs="Arial"/>
          <w:sz w:val="22"/>
          <w:szCs w:val="22"/>
        </w:rPr>
      </w:pPr>
      <w:r w:rsidRPr="00004C7D">
        <w:rPr>
          <w:rFonts w:ascii="Arial" w:hAnsi="Arial" w:cs="Arial"/>
          <w:sz w:val="22"/>
          <w:szCs w:val="22"/>
        </w:rPr>
        <w:t>Language difficulties have been acknowledged as a substantial obstacle in health and social care, especially for migrant and ethnic minority groups whose primary language is not English.  Since the 1950s, migration waves have established multilingual communities in the UK; nonetheless, mental health services have predominantly evolved within English-speaking, Western diagnostic paradigms (Bhatia &amp; Wallace, 2007).  Insufficient investment in interpreting services and culturally competent communication exacerbated disparities.  Research has demonstrated that insufficient linguistic support leads to misinterpretation, misdiagnosis, and diminished trust in mental health practitioners (Flores, 2006).  These historical deficiencies persist in influencing contemporary differences in access to and quality of care.</w:t>
      </w:r>
    </w:p>
    <w:p w14:paraId="6CB6C765" w14:textId="35769FCD" w:rsidR="00EC4A4B" w:rsidRDefault="00EC4A4B" w:rsidP="0001178C">
      <w:pPr>
        <w:spacing w:line="360" w:lineRule="auto"/>
        <w:jc w:val="both"/>
        <w:rPr>
          <w:rFonts w:ascii="Arial" w:hAnsi="Arial" w:cs="Arial"/>
          <w:b/>
          <w:bCs/>
          <w:sz w:val="28"/>
          <w:szCs w:val="28"/>
        </w:rPr>
      </w:pPr>
      <w:r w:rsidRPr="00FE0DC8">
        <w:rPr>
          <w:rFonts w:ascii="Arial" w:hAnsi="Arial" w:cs="Arial"/>
          <w:b/>
          <w:bCs/>
          <w:sz w:val="28"/>
          <w:szCs w:val="28"/>
        </w:rPr>
        <w:t>Impact on research question</w:t>
      </w:r>
    </w:p>
    <w:p w14:paraId="77924B60" w14:textId="1FB52950" w:rsidR="00675E1A" w:rsidRPr="00113C55" w:rsidRDefault="00113C55" w:rsidP="0001178C">
      <w:pPr>
        <w:spacing w:line="360" w:lineRule="auto"/>
        <w:jc w:val="both"/>
        <w:rPr>
          <w:rFonts w:ascii="Arial" w:hAnsi="Arial" w:cs="Arial"/>
          <w:sz w:val="22"/>
          <w:szCs w:val="22"/>
        </w:rPr>
      </w:pPr>
      <w:r w:rsidRPr="00113C55">
        <w:rPr>
          <w:rFonts w:ascii="Arial" w:hAnsi="Arial" w:cs="Arial"/>
          <w:sz w:val="22"/>
          <w:szCs w:val="22"/>
        </w:rPr>
        <w:t xml:space="preserve">Language limitations profoundly affect this study question by limiting ethnic minority individuals' capacity to articulate symptoms, comprehend treatment alternatives, and interact with mental health care.  Insufficient English ability frequently results in misdiagnosis, postponed assistance, and diminished trust in professionals, hence exacerbating disparities </w:t>
      </w:r>
      <w:r w:rsidRPr="00113C55">
        <w:rPr>
          <w:rFonts w:ascii="Arial" w:hAnsi="Arial" w:cs="Arial"/>
          <w:sz w:val="22"/>
          <w:szCs w:val="22"/>
        </w:rPr>
        <w:lastRenderedPageBreak/>
        <w:t>in healthcare</w:t>
      </w:r>
      <w:r w:rsidR="00A24EF1" w:rsidRPr="00A24EF1">
        <w:t xml:space="preserve"> </w:t>
      </w:r>
      <w:r w:rsidR="00A24EF1" w:rsidRPr="00A24EF1">
        <w:rPr>
          <w:rFonts w:ascii="Arial" w:hAnsi="Arial" w:cs="Arial"/>
          <w:sz w:val="22"/>
          <w:szCs w:val="22"/>
        </w:rPr>
        <w:t>(Stepanova et al., 2025)</w:t>
      </w:r>
      <w:r w:rsidR="00A24EF1">
        <w:rPr>
          <w:rFonts w:ascii="Arial" w:hAnsi="Arial" w:cs="Arial"/>
          <w:sz w:val="22"/>
          <w:szCs w:val="22"/>
        </w:rPr>
        <w:t xml:space="preserve">. </w:t>
      </w:r>
      <w:r w:rsidRPr="00113C55">
        <w:rPr>
          <w:rFonts w:ascii="Arial" w:hAnsi="Arial" w:cs="Arial"/>
          <w:sz w:val="22"/>
          <w:szCs w:val="22"/>
        </w:rPr>
        <w:t xml:space="preserve"> Language obstacles, coupled with stigma and cultural differences, exacerbate the difficulties encountered by ethnic minority communities in accessing services.  Mitigating these obstacles is crucial for enhancing service accessibility, patient involvement, and equitable mental health outcomes among varied populations.</w:t>
      </w:r>
    </w:p>
    <w:p w14:paraId="59EB6DE0" w14:textId="77777777" w:rsidR="00675E1A" w:rsidRPr="00113C55" w:rsidRDefault="00675E1A" w:rsidP="0001178C">
      <w:pPr>
        <w:spacing w:line="360" w:lineRule="auto"/>
        <w:jc w:val="both"/>
        <w:rPr>
          <w:rFonts w:ascii="Arial" w:hAnsi="Arial" w:cs="Arial"/>
          <w:sz w:val="22"/>
          <w:szCs w:val="22"/>
        </w:rPr>
      </w:pPr>
    </w:p>
    <w:p w14:paraId="1C92933B" w14:textId="77777777" w:rsidR="00675E1A" w:rsidRPr="00675E1A" w:rsidRDefault="00675E1A" w:rsidP="0001178C">
      <w:pPr>
        <w:spacing w:line="360" w:lineRule="auto"/>
        <w:jc w:val="both"/>
        <w:rPr>
          <w:rFonts w:ascii="Arial" w:hAnsi="Arial" w:cs="Arial"/>
          <w:sz w:val="22"/>
          <w:szCs w:val="22"/>
        </w:rPr>
      </w:pPr>
    </w:p>
    <w:p w14:paraId="3B0C70BE" w14:textId="66323966" w:rsidR="00EC4A4B" w:rsidRDefault="00EC4A4B" w:rsidP="0001178C">
      <w:pPr>
        <w:spacing w:line="360" w:lineRule="auto"/>
        <w:jc w:val="both"/>
        <w:rPr>
          <w:rFonts w:ascii="Arial" w:hAnsi="Arial" w:cs="Arial"/>
          <w:b/>
          <w:bCs/>
          <w:sz w:val="28"/>
          <w:szCs w:val="28"/>
        </w:rPr>
      </w:pPr>
      <w:r w:rsidRPr="00FE0DC8">
        <w:rPr>
          <w:rFonts w:ascii="Arial" w:hAnsi="Arial" w:cs="Arial"/>
          <w:b/>
          <w:bCs/>
          <w:sz w:val="28"/>
          <w:szCs w:val="28"/>
        </w:rPr>
        <w:t>Statistical information</w:t>
      </w:r>
    </w:p>
    <w:p w14:paraId="38F87AB2" w14:textId="60A44B2D" w:rsidR="005520A7" w:rsidRPr="008774CA" w:rsidRDefault="00E71F1C" w:rsidP="0001178C">
      <w:pPr>
        <w:spacing w:line="360" w:lineRule="auto"/>
        <w:jc w:val="both"/>
        <w:rPr>
          <w:rFonts w:ascii="Arial" w:hAnsi="Arial" w:cs="Arial"/>
          <w:sz w:val="22"/>
          <w:szCs w:val="22"/>
        </w:rPr>
      </w:pPr>
      <w:r w:rsidRPr="00E71F1C">
        <w:rPr>
          <w:rFonts w:ascii="Arial" w:hAnsi="Arial" w:cs="Arial"/>
          <w:sz w:val="22"/>
          <w:szCs w:val="22"/>
        </w:rPr>
        <w:t xml:space="preserve">Recent studies indicate that language obstacles substantially impede access to mental health services.  For instance, persons with restricted proficiency in the host language are 45% less like to utilise mental health help compared to competent speakers A </w:t>
      </w:r>
      <w:r w:rsidR="00556B7C" w:rsidRPr="00556B7C">
        <w:rPr>
          <w:rFonts w:ascii="Arial" w:hAnsi="Arial" w:cs="Arial"/>
          <w:sz w:val="22"/>
          <w:szCs w:val="22"/>
        </w:rPr>
        <w:t>(Bauer, Chen and Alegría, 2010)</w:t>
      </w:r>
      <w:r w:rsidR="00556B7C">
        <w:rPr>
          <w:rFonts w:ascii="Arial" w:hAnsi="Arial" w:cs="Arial"/>
          <w:sz w:val="22"/>
          <w:szCs w:val="22"/>
        </w:rPr>
        <w:t>. S</w:t>
      </w:r>
      <w:r w:rsidRPr="00E71F1C">
        <w:rPr>
          <w:rFonts w:ascii="Arial" w:hAnsi="Arial" w:cs="Arial"/>
          <w:sz w:val="22"/>
          <w:szCs w:val="22"/>
        </w:rPr>
        <w:t>eparate study revealed that the utilisation of interpreters enhances diagnostic accuracy by as much as 70%; nevertheless, numerous patients forgo interpreter services due to stigma or mistrust</w:t>
      </w:r>
      <w:r w:rsidR="008D1CE2">
        <w:rPr>
          <w:rFonts w:ascii="Arial" w:hAnsi="Arial" w:cs="Arial"/>
          <w:sz w:val="22"/>
          <w:szCs w:val="22"/>
        </w:rPr>
        <w:t xml:space="preserve"> </w:t>
      </w:r>
      <w:r w:rsidR="008D1CE2" w:rsidRPr="008D1CE2">
        <w:rPr>
          <w:rFonts w:ascii="Arial" w:hAnsi="Arial" w:cs="Arial"/>
          <w:sz w:val="22"/>
          <w:szCs w:val="22"/>
        </w:rPr>
        <w:t>(Ali and Watson, 2017)</w:t>
      </w:r>
      <w:r w:rsidRPr="00E71F1C">
        <w:rPr>
          <w:rFonts w:ascii="Arial" w:hAnsi="Arial" w:cs="Arial"/>
          <w:sz w:val="22"/>
          <w:szCs w:val="22"/>
        </w:rPr>
        <w:t>).  A contentious discovery is that, despite significant need, many migrant populations indicate under-utilization rates of 50%, prompting worries regarding structural inequity</w:t>
      </w:r>
      <w:r w:rsidR="008D1CE2">
        <w:rPr>
          <w:rFonts w:ascii="Arial" w:hAnsi="Arial" w:cs="Arial"/>
          <w:sz w:val="22"/>
          <w:szCs w:val="22"/>
        </w:rPr>
        <w:t xml:space="preserve"> </w:t>
      </w:r>
      <w:r w:rsidR="008D1CE2" w:rsidRPr="008D1CE2">
        <w:rPr>
          <w:rFonts w:ascii="Arial" w:hAnsi="Arial" w:cs="Arial"/>
          <w:sz w:val="22"/>
          <w:szCs w:val="22"/>
        </w:rPr>
        <w:t>(Priebe et al., 2012)</w:t>
      </w:r>
      <w:r w:rsidR="008D1CE2">
        <w:rPr>
          <w:rFonts w:ascii="Arial" w:hAnsi="Arial" w:cs="Arial"/>
          <w:sz w:val="22"/>
          <w:szCs w:val="22"/>
        </w:rPr>
        <w:t xml:space="preserve">. </w:t>
      </w:r>
      <w:r w:rsidRPr="00E71F1C">
        <w:rPr>
          <w:rFonts w:ascii="Arial" w:hAnsi="Arial" w:cs="Arial"/>
          <w:sz w:val="22"/>
          <w:szCs w:val="22"/>
        </w:rPr>
        <w:t>These numbers underscore significant consequences for prompt and efficient care.</w:t>
      </w:r>
    </w:p>
    <w:p w14:paraId="674DF706" w14:textId="22D8622B" w:rsidR="00EC4A4B" w:rsidRPr="00FE0DC8" w:rsidRDefault="00EC4A4B" w:rsidP="0001178C">
      <w:pPr>
        <w:spacing w:line="360" w:lineRule="auto"/>
        <w:jc w:val="both"/>
        <w:rPr>
          <w:rFonts w:ascii="Arial" w:hAnsi="Arial" w:cs="Arial"/>
          <w:b/>
          <w:bCs/>
          <w:sz w:val="28"/>
          <w:szCs w:val="28"/>
        </w:rPr>
      </w:pPr>
      <w:r w:rsidRPr="00FE0DC8">
        <w:rPr>
          <w:rFonts w:ascii="Arial" w:hAnsi="Arial" w:cs="Arial"/>
          <w:b/>
          <w:bCs/>
          <w:sz w:val="28"/>
          <w:szCs w:val="28"/>
        </w:rPr>
        <w:t>Theories, policies, and Legislation</w:t>
      </w:r>
    </w:p>
    <w:p w14:paraId="234C4A18" w14:textId="77777777" w:rsidR="000010D5" w:rsidRDefault="00777159" w:rsidP="0001178C">
      <w:pPr>
        <w:spacing w:line="360" w:lineRule="auto"/>
        <w:jc w:val="both"/>
      </w:pPr>
      <w:r w:rsidRPr="00777159">
        <w:rPr>
          <w:rFonts w:ascii="Arial" w:hAnsi="Arial" w:cs="Arial"/>
          <w:sz w:val="22"/>
          <w:szCs w:val="22"/>
        </w:rPr>
        <w:t>Numerous UK-based theories and frameworks elucidate the influence of language barriers on service accessibility.  The Health Literacy Framework employed by Public Health England indicates that poor English proficiency diminishes the capacity to comprehend information, interact with professionals, and make informed decisions (Public Health England, 2015).  The Institutional Communication Barriers Model underscores how systemic communication practices disadvantage those with inadequate English proficiency, resulting in inequitable outcomes</w:t>
      </w:r>
      <w:r w:rsidR="007A55D6">
        <w:rPr>
          <w:rFonts w:ascii="Arial" w:hAnsi="Arial" w:cs="Arial"/>
          <w:sz w:val="22"/>
          <w:szCs w:val="22"/>
        </w:rPr>
        <w:t xml:space="preserve"> </w:t>
      </w:r>
      <w:r w:rsidR="007A55D6" w:rsidRPr="007A55D6">
        <w:rPr>
          <w:rFonts w:ascii="Arial" w:hAnsi="Arial" w:cs="Arial"/>
          <w:sz w:val="22"/>
          <w:szCs w:val="22"/>
        </w:rPr>
        <w:t>(Kapadia et al., 2022)</w:t>
      </w:r>
      <w:r w:rsidR="007A55D6">
        <w:rPr>
          <w:rFonts w:ascii="Arial" w:hAnsi="Arial" w:cs="Arial"/>
          <w:sz w:val="22"/>
          <w:szCs w:val="22"/>
        </w:rPr>
        <w:t xml:space="preserve">. </w:t>
      </w:r>
      <w:r w:rsidRPr="00777159">
        <w:rPr>
          <w:rFonts w:ascii="Arial" w:hAnsi="Arial" w:cs="Arial"/>
          <w:sz w:val="22"/>
          <w:szCs w:val="22"/>
        </w:rPr>
        <w:t xml:space="preserve"> The NHS Accessible Information Standard emphasises that unaddressed communication needs impede service participation (NHS England, 20</w:t>
      </w:r>
      <w:r w:rsidR="005E0CEB">
        <w:rPr>
          <w:rFonts w:ascii="Arial" w:hAnsi="Arial" w:cs="Arial"/>
          <w:sz w:val="22"/>
          <w:szCs w:val="22"/>
        </w:rPr>
        <w:t>25</w:t>
      </w:r>
      <w:r w:rsidRPr="00777159">
        <w:rPr>
          <w:rFonts w:ascii="Arial" w:hAnsi="Arial" w:cs="Arial"/>
          <w:sz w:val="22"/>
          <w:szCs w:val="22"/>
        </w:rPr>
        <w:t>).  Collectively, these models illustrate how linguistic barriers impede access and exacerbate inequities.</w:t>
      </w:r>
      <w:r w:rsidR="000010D5" w:rsidRPr="000010D5">
        <w:t xml:space="preserve"> </w:t>
      </w:r>
    </w:p>
    <w:p w14:paraId="10CCEA73" w14:textId="7AA8CCC2" w:rsidR="00777159" w:rsidRDefault="000010D5" w:rsidP="0001178C">
      <w:pPr>
        <w:spacing w:line="360" w:lineRule="auto"/>
        <w:jc w:val="both"/>
        <w:rPr>
          <w:rFonts w:ascii="Arial" w:hAnsi="Arial" w:cs="Arial"/>
          <w:sz w:val="22"/>
          <w:szCs w:val="22"/>
        </w:rPr>
      </w:pPr>
      <w:r w:rsidRPr="000010D5">
        <w:rPr>
          <w:rFonts w:ascii="Arial" w:hAnsi="Arial" w:cs="Arial"/>
          <w:sz w:val="22"/>
          <w:szCs w:val="22"/>
        </w:rPr>
        <w:t xml:space="preserve">There are </w:t>
      </w:r>
      <w:proofErr w:type="gramStart"/>
      <w:r w:rsidRPr="000010D5">
        <w:rPr>
          <w:rFonts w:ascii="Arial" w:hAnsi="Arial" w:cs="Arial"/>
          <w:sz w:val="22"/>
          <w:szCs w:val="22"/>
        </w:rPr>
        <w:t>a number of</w:t>
      </w:r>
      <w:proofErr w:type="gramEnd"/>
      <w:r w:rsidRPr="000010D5">
        <w:rPr>
          <w:rFonts w:ascii="Arial" w:hAnsi="Arial" w:cs="Arial"/>
          <w:sz w:val="22"/>
          <w:szCs w:val="22"/>
        </w:rPr>
        <w:t xml:space="preserve"> UK rules that deal with language obstacles in healthcare. The most significant of these is the NHS Accessible Information Standard (AIS), which says that services must find out, document, and accommodate patients' communication needs, including linguistic support (NHS England, 20</w:t>
      </w:r>
      <w:r>
        <w:rPr>
          <w:rFonts w:ascii="Arial" w:hAnsi="Arial" w:cs="Arial"/>
          <w:sz w:val="22"/>
          <w:szCs w:val="22"/>
        </w:rPr>
        <w:t>25</w:t>
      </w:r>
      <w:r w:rsidRPr="000010D5">
        <w:rPr>
          <w:rFonts w:ascii="Arial" w:hAnsi="Arial" w:cs="Arial"/>
          <w:sz w:val="22"/>
          <w:szCs w:val="22"/>
        </w:rPr>
        <w:t>). The Equality Act 2010 also protects people from being treated unfairly because of their race, ethnicity, or national origin. This means that services must give everyone equal access</w:t>
      </w:r>
      <w:r>
        <w:rPr>
          <w:rFonts w:ascii="Arial" w:hAnsi="Arial" w:cs="Arial"/>
          <w:sz w:val="22"/>
          <w:szCs w:val="22"/>
        </w:rPr>
        <w:t xml:space="preserve"> </w:t>
      </w:r>
      <w:r w:rsidRPr="000010D5">
        <w:rPr>
          <w:rFonts w:ascii="Arial" w:hAnsi="Arial" w:cs="Arial"/>
          <w:sz w:val="22"/>
          <w:szCs w:val="22"/>
        </w:rPr>
        <w:t>(GOV.UK, 2010)</w:t>
      </w:r>
      <w:r>
        <w:rPr>
          <w:rFonts w:ascii="Arial" w:hAnsi="Arial" w:cs="Arial"/>
          <w:sz w:val="22"/>
          <w:szCs w:val="22"/>
        </w:rPr>
        <w:t xml:space="preserve">. </w:t>
      </w:r>
      <w:r w:rsidRPr="000010D5">
        <w:rPr>
          <w:rFonts w:ascii="Arial" w:hAnsi="Arial" w:cs="Arial"/>
          <w:sz w:val="22"/>
          <w:szCs w:val="22"/>
        </w:rPr>
        <w:t xml:space="preserve">These policies do make it easier for </w:t>
      </w:r>
      <w:r w:rsidRPr="000010D5">
        <w:rPr>
          <w:rFonts w:ascii="Arial" w:hAnsi="Arial" w:cs="Arial"/>
          <w:sz w:val="22"/>
          <w:szCs w:val="22"/>
        </w:rPr>
        <w:lastRenderedPageBreak/>
        <w:t>interpreters to do their jobs and promote fairness, but research suggests that they are not always followed, which means that ethnic minority groups still face unfair</w:t>
      </w:r>
      <w:r w:rsidR="00646970">
        <w:rPr>
          <w:rFonts w:ascii="Arial" w:hAnsi="Arial" w:cs="Arial"/>
          <w:sz w:val="22"/>
          <w:szCs w:val="22"/>
        </w:rPr>
        <w:t xml:space="preserve"> </w:t>
      </w:r>
      <w:r w:rsidR="00646970" w:rsidRPr="00646970">
        <w:rPr>
          <w:rFonts w:ascii="Arial" w:hAnsi="Arial" w:cs="Arial"/>
          <w:sz w:val="22"/>
          <w:szCs w:val="22"/>
        </w:rPr>
        <w:t>(Hayanga, Stafford and Bécares, 2021)</w:t>
      </w:r>
      <w:r w:rsidRPr="000010D5">
        <w:rPr>
          <w:rFonts w:ascii="Arial" w:hAnsi="Arial" w:cs="Arial"/>
          <w:sz w:val="22"/>
          <w:szCs w:val="22"/>
        </w:rPr>
        <w:t>. These discrepancies show that we need better enforcement and communication support that is more in line with different cultures.</w:t>
      </w:r>
    </w:p>
    <w:p w14:paraId="350A7E64" w14:textId="34F0B141" w:rsidR="00EC4A4B" w:rsidRDefault="00EC4A4B" w:rsidP="0001178C">
      <w:pPr>
        <w:spacing w:line="360" w:lineRule="auto"/>
        <w:jc w:val="both"/>
        <w:rPr>
          <w:rFonts w:ascii="Arial" w:hAnsi="Arial" w:cs="Arial"/>
          <w:b/>
          <w:bCs/>
          <w:sz w:val="28"/>
          <w:szCs w:val="28"/>
        </w:rPr>
      </w:pPr>
      <w:r w:rsidRPr="00FE0DC8">
        <w:rPr>
          <w:rFonts w:ascii="Arial" w:hAnsi="Arial" w:cs="Arial"/>
          <w:b/>
          <w:bCs/>
          <w:sz w:val="28"/>
          <w:szCs w:val="28"/>
        </w:rPr>
        <w:t>Implications</w:t>
      </w:r>
    </w:p>
    <w:p w14:paraId="5ED9B291" w14:textId="77777777" w:rsidR="008774CA" w:rsidRDefault="00646970" w:rsidP="0001178C">
      <w:pPr>
        <w:spacing w:line="360" w:lineRule="auto"/>
        <w:jc w:val="both"/>
        <w:rPr>
          <w:rFonts w:ascii="Arial" w:hAnsi="Arial" w:cs="Arial"/>
          <w:sz w:val="22"/>
          <w:szCs w:val="22"/>
        </w:rPr>
      </w:pPr>
      <w:r w:rsidRPr="00646970">
        <w:rPr>
          <w:rFonts w:ascii="Arial" w:hAnsi="Arial" w:cs="Arial"/>
          <w:sz w:val="22"/>
          <w:szCs w:val="22"/>
        </w:rPr>
        <w:t>Language barriers profoundly affect this research, as they directly influence ethnic minorities' access to mental health care in the UK.  A significant adverse effect is diminished help</w:t>
      </w:r>
      <w:r w:rsidR="000B526B">
        <w:rPr>
          <w:rFonts w:ascii="Arial" w:hAnsi="Arial" w:cs="Arial"/>
          <w:sz w:val="22"/>
          <w:szCs w:val="22"/>
        </w:rPr>
        <w:t xml:space="preserve"> </w:t>
      </w:r>
      <w:r w:rsidRPr="00646970">
        <w:rPr>
          <w:rFonts w:ascii="Arial" w:hAnsi="Arial" w:cs="Arial"/>
          <w:sz w:val="22"/>
          <w:szCs w:val="22"/>
        </w:rPr>
        <w:t xml:space="preserve">seeking behaviour, misunderstanding, and misdiagnosis, which heightens the likelihood of delayed or unsuitable </w:t>
      </w:r>
      <w:r w:rsidR="000B526B" w:rsidRPr="00646970">
        <w:rPr>
          <w:rFonts w:ascii="Arial" w:hAnsi="Arial" w:cs="Arial"/>
          <w:sz w:val="22"/>
          <w:szCs w:val="22"/>
        </w:rPr>
        <w:t>therapy</w:t>
      </w:r>
      <w:r w:rsidR="000B526B" w:rsidRPr="000B526B">
        <w:rPr>
          <w:rFonts w:ascii="Arial" w:hAnsi="Arial" w:cs="Arial"/>
          <w:sz w:val="22"/>
          <w:szCs w:val="22"/>
        </w:rPr>
        <w:t xml:space="preserve"> (Salway et al., 2020)</w:t>
      </w:r>
      <w:r w:rsidR="000B526B">
        <w:rPr>
          <w:rFonts w:ascii="Arial" w:hAnsi="Arial" w:cs="Arial"/>
          <w:sz w:val="22"/>
          <w:szCs w:val="22"/>
        </w:rPr>
        <w:t>.</w:t>
      </w:r>
      <w:r w:rsidRPr="00646970">
        <w:rPr>
          <w:rFonts w:ascii="Arial" w:hAnsi="Arial" w:cs="Arial"/>
          <w:sz w:val="22"/>
          <w:szCs w:val="22"/>
        </w:rPr>
        <w:t xml:space="preserve">  Insufficient English competence exacerbates patient anxiety and diminishes trust in healthcare providers</w:t>
      </w:r>
      <w:r w:rsidR="00B022EE">
        <w:rPr>
          <w:rFonts w:ascii="Arial" w:hAnsi="Arial" w:cs="Arial"/>
          <w:sz w:val="22"/>
          <w:szCs w:val="22"/>
        </w:rPr>
        <w:t xml:space="preserve"> </w:t>
      </w:r>
      <w:r w:rsidR="00B022EE" w:rsidRPr="00B022EE">
        <w:rPr>
          <w:rFonts w:ascii="Arial" w:hAnsi="Arial" w:cs="Arial"/>
          <w:sz w:val="22"/>
          <w:szCs w:val="22"/>
        </w:rPr>
        <w:t>(Richly, 2025)</w:t>
      </w:r>
      <w:r w:rsidRPr="00646970">
        <w:rPr>
          <w:rFonts w:ascii="Arial" w:hAnsi="Arial" w:cs="Arial"/>
          <w:sz w:val="22"/>
          <w:szCs w:val="22"/>
        </w:rPr>
        <w:t>.  Nonetheless, a beneficial effect arises when interpreting services and multilingual materials are successfully delivered, enhancing engagement and fostering culturally appropriate care (NHS England, 20</w:t>
      </w:r>
      <w:r w:rsidR="00B022EE">
        <w:rPr>
          <w:rFonts w:ascii="Arial" w:hAnsi="Arial" w:cs="Arial"/>
          <w:sz w:val="22"/>
          <w:szCs w:val="22"/>
        </w:rPr>
        <w:t>25</w:t>
      </w:r>
      <w:r w:rsidRPr="00646970">
        <w:rPr>
          <w:rFonts w:ascii="Arial" w:hAnsi="Arial" w:cs="Arial"/>
          <w:sz w:val="22"/>
          <w:szCs w:val="22"/>
        </w:rPr>
        <w:t>).  Language obstacles underscore systemic deficiencies and expose opportunities for focused service enhancement.</w:t>
      </w:r>
    </w:p>
    <w:p w14:paraId="6E9F9AAB" w14:textId="33299F86" w:rsidR="00EC4A4B" w:rsidRPr="008774CA" w:rsidRDefault="00EC4A4B" w:rsidP="0001178C">
      <w:pPr>
        <w:spacing w:line="360" w:lineRule="auto"/>
        <w:jc w:val="both"/>
        <w:rPr>
          <w:rFonts w:ascii="Arial" w:hAnsi="Arial" w:cs="Arial"/>
          <w:sz w:val="22"/>
          <w:szCs w:val="22"/>
        </w:rPr>
      </w:pPr>
      <w:r w:rsidRPr="00FE0DC8">
        <w:rPr>
          <w:rFonts w:ascii="Arial" w:hAnsi="Arial" w:cs="Arial"/>
          <w:b/>
          <w:bCs/>
          <w:sz w:val="28"/>
          <w:szCs w:val="28"/>
        </w:rPr>
        <w:t>Examples from your articles</w:t>
      </w:r>
    </w:p>
    <w:p w14:paraId="0070D130" w14:textId="77777777" w:rsidR="00752EB5" w:rsidRDefault="00752EB5" w:rsidP="00752EB5">
      <w:pPr>
        <w:spacing w:line="360" w:lineRule="auto"/>
        <w:jc w:val="both"/>
        <w:rPr>
          <w:rFonts w:ascii="Arial" w:hAnsi="Arial" w:cs="Arial"/>
          <w:sz w:val="22"/>
          <w:szCs w:val="22"/>
        </w:rPr>
      </w:pPr>
      <w:r w:rsidRPr="00752EB5">
        <w:rPr>
          <w:rFonts w:ascii="Arial" w:hAnsi="Arial" w:cs="Arial"/>
          <w:sz w:val="22"/>
          <w:szCs w:val="22"/>
        </w:rPr>
        <w:t>Numerous UK research offers significant insights into the impact of language barriers on ethnic minorities' access to mental health treatment.  Salway et al. (2016) contend that inadequate English proficiency substantially hinders communication between service users and clinicians, resulting in misconceptions, diminished trust, and inferior treatment outcomes.  Their analysis underscores that language limitations represent not merely an individual obstacle but also a systemic problem, as numerous NHS facilities provide interpreter services inconsistently.  This directly relates to the research issue by emphasising how communication barriers hinder help-seeking and exacerbate disparities in access.</w:t>
      </w:r>
    </w:p>
    <w:p w14:paraId="0208C2EF" w14:textId="2D06A4EB" w:rsidR="00752EB5" w:rsidRDefault="00752EB5" w:rsidP="00752EB5">
      <w:pPr>
        <w:spacing w:line="360" w:lineRule="auto"/>
        <w:jc w:val="both"/>
        <w:rPr>
          <w:rFonts w:ascii="Arial" w:hAnsi="Arial" w:cs="Arial"/>
          <w:sz w:val="22"/>
          <w:szCs w:val="22"/>
        </w:rPr>
      </w:pPr>
      <w:r w:rsidRPr="00752EB5">
        <w:rPr>
          <w:rFonts w:ascii="Arial" w:hAnsi="Arial" w:cs="Arial"/>
          <w:sz w:val="22"/>
          <w:szCs w:val="22"/>
        </w:rPr>
        <w:t xml:space="preserve">The research by similarly Memon et al. (2016) discovered that ethnic minority groups often face language-related barriers in accessing psychological support.  Their research demonstrates that the deficiency of qualified interpreters and culturally appropriate communication tactics frequently leads to dissatisfaction, disengagement from services, and diminished satisfaction with care. Both </w:t>
      </w:r>
      <w:proofErr w:type="gramStart"/>
      <w:r w:rsidRPr="00752EB5">
        <w:rPr>
          <w:rFonts w:ascii="Arial" w:hAnsi="Arial" w:cs="Arial"/>
          <w:sz w:val="22"/>
          <w:szCs w:val="22"/>
        </w:rPr>
        <w:t>researches</w:t>
      </w:r>
      <w:proofErr w:type="gramEnd"/>
      <w:r w:rsidRPr="00752EB5">
        <w:rPr>
          <w:rFonts w:ascii="Arial" w:hAnsi="Arial" w:cs="Arial"/>
          <w:sz w:val="22"/>
          <w:szCs w:val="22"/>
        </w:rPr>
        <w:t> concur that language obstacles exacerbate inequality; however, Salway et al. concentrate on systemic constraints, whereas Memon et al. highlight patient experiences.</w:t>
      </w:r>
    </w:p>
    <w:p w14:paraId="017B4FEF" w14:textId="72F19240" w:rsidR="000B526B" w:rsidRPr="000B526B" w:rsidRDefault="007B6159" w:rsidP="00752EB5">
      <w:pPr>
        <w:spacing w:line="360" w:lineRule="auto"/>
        <w:jc w:val="both"/>
        <w:rPr>
          <w:rFonts w:ascii="Arial" w:hAnsi="Arial" w:cs="Arial"/>
          <w:sz w:val="22"/>
          <w:szCs w:val="22"/>
        </w:rPr>
      </w:pPr>
      <w:r w:rsidRPr="007B6159">
        <w:rPr>
          <w:rFonts w:ascii="Arial" w:hAnsi="Arial" w:cs="Arial"/>
          <w:sz w:val="22"/>
          <w:szCs w:val="22"/>
        </w:rPr>
        <w:t>Pandey et al., 2021</w:t>
      </w:r>
      <w:r>
        <w:rPr>
          <w:rFonts w:ascii="Arial" w:hAnsi="Arial" w:cs="Arial"/>
          <w:sz w:val="22"/>
          <w:szCs w:val="22"/>
        </w:rPr>
        <w:t xml:space="preserve"> </w:t>
      </w:r>
      <w:r w:rsidR="00752EB5" w:rsidRPr="00752EB5">
        <w:rPr>
          <w:rFonts w:ascii="Arial" w:hAnsi="Arial" w:cs="Arial"/>
          <w:sz w:val="22"/>
          <w:szCs w:val="22"/>
        </w:rPr>
        <w:t xml:space="preserve">present an alternative viewpoint, contending that linguistic challenges frequently intersect with wider cultural and institutional obstacles, indicating that language alone cannot account for differences.  Collectively, these perspectives elucidate the research </w:t>
      </w:r>
      <w:r w:rsidR="00752EB5" w:rsidRPr="00752EB5">
        <w:rPr>
          <w:rFonts w:ascii="Arial" w:hAnsi="Arial" w:cs="Arial"/>
          <w:sz w:val="22"/>
          <w:szCs w:val="22"/>
        </w:rPr>
        <w:lastRenderedPageBreak/>
        <w:t>topic by illustrating how language barriers influence access patterns, interact with additional obstacles, and perpetuate mental health disparities.</w:t>
      </w:r>
    </w:p>
    <w:p w14:paraId="7BFD71E0" w14:textId="164A8A24" w:rsidR="00EC4A4B" w:rsidRDefault="00EC4A4B" w:rsidP="00F72D79">
      <w:pPr>
        <w:spacing w:line="360" w:lineRule="auto"/>
        <w:jc w:val="both"/>
        <w:rPr>
          <w:rFonts w:ascii="Arial" w:hAnsi="Arial" w:cs="Arial"/>
          <w:b/>
          <w:bCs/>
          <w:sz w:val="28"/>
          <w:szCs w:val="28"/>
        </w:rPr>
      </w:pPr>
      <w:r w:rsidRPr="00FE0DC8">
        <w:rPr>
          <w:rFonts w:ascii="Arial" w:hAnsi="Arial" w:cs="Arial"/>
          <w:b/>
          <w:bCs/>
          <w:sz w:val="28"/>
          <w:szCs w:val="28"/>
        </w:rPr>
        <w:t xml:space="preserve">Connection to other themes     </w:t>
      </w:r>
    </w:p>
    <w:p w14:paraId="04BE96E0" w14:textId="34EE7F89" w:rsidR="00A25261" w:rsidRPr="00A25261" w:rsidRDefault="00A25261" w:rsidP="00A25261">
      <w:pPr>
        <w:spacing w:line="360" w:lineRule="auto"/>
        <w:jc w:val="both"/>
        <w:rPr>
          <w:rFonts w:ascii="Arial" w:hAnsi="Arial" w:cs="Arial"/>
          <w:sz w:val="22"/>
          <w:szCs w:val="22"/>
        </w:rPr>
      </w:pPr>
      <w:r w:rsidRPr="00A25261">
        <w:rPr>
          <w:rFonts w:ascii="Arial" w:hAnsi="Arial" w:cs="Arial"/>
          <w:sz w:val="22"/>
          <w:szCs w:val="22"/>
        </w:rPr>
        <w:t xml:space="preserve">Language difficulties are intricately linked to other themes in this research, including stigma, </w:t>
      </w:r>
      <w:r w:rsidR="00BF4961">
        <w:rPr>
          <w:rFonts w:ascii="Arial" w:hAnsi="Arial" w:cs="Arial"/>
          <w:sz w:val="22"/>
          <w:szCs w:val="22"/>
        </w:rPr>
        <w:t xml:space="preserve">and </w:t>
      </w:r>
      <w:r w:rsidRPr="00A25261">
        <w:rPr>
          <w:rFonts w:ascii="Arial" w:hAnsi="Arial" w:cs="Arial"/>
          <w:sz w:val="22"/>
          <w:szCs w:val="22"/>
        </w:rPr>
        <w:t xml:space="preserve">cultural competency, as these elements frequently intersect and exacerbate one another.  Individuals with poor English proficiency may encounter heightened stigma when unable to express their mental health issues, resulting in shame, silence, or apprehension of being misinterpreted (Memon et al., 2016).  Cultural competence is intrinsically connected to language requirements; when professionals lack cultural and linguistic awareness, communication deteriorates, diminishing trust and hindering help-seeking (Salway et al., 2016).  Language </w:t>
      </w:r>
      <w:r w:rsidR="00BF4961">
        <w:rPr>
          <w:rFonts w:ascii="Arial" w:hAnsi="Arial" w:cs="Arial"/>
          <w:sz w:val="22"/>
          <w:szCs w:val="22"/>
        </w:rPr>
        <w:t>barriers</w:t>
      </w:r>
      <w:r w:rsidRPr="00A25261">
        <w:rPr>
          <w:rFonts w:ascii="Arial" w:hAnsi="Arial" w:cs="Arial"/>
          <w:sz w:val="22"/>
          <w:szCs w:val="22"/>
        </w:rPr>
        <w:t xml:space="preserve"> impede access, since challenges in navigating appointments, forms, or referrals complicate the attainment of services</w:t>
      </w:r>
      <w:r w:rsidR="00BF4961">
        <w:rPr>
          <w:rFonts w:ascii="Arial" w:hAnsi="Arial" w:cs="Arial"/>
          <w:sz w:val="22"/>
          <w:szCs w:val="22"/>
        </w:rPr>
        <w:t xml:space="preserve"> </w:t>
      </w:r>
      <w:r w:rsidR="00BF4961" w:rsidRPr="00BF4961">
        <w:rPr>
          <w:rFonts w:ascii="Arial" w:hAnsi="Arial" w:cs="Arial"/>
          <w:sz w:val="22"/>
          <w:szCs w:val="22"/>
        </w:rPr>
        <w:t>(Pandey et al., 2021)</w:t>
      </w:r>
      <w:r w:rsidRPr="00A25261">
        <w:rPr>
          <w:rFonts w:ascii="Arial" w:hAnsi="Arial" w:cs="Arial"/>
          <w:sz w:val="22"/>
          <w:szCs w:val="22"/>
        </w:rPr>
        <w:t>.  These interrelated themes demonstrate that language is not a single barrier but rather a component of a broader system of inequalities that mutually reinforce one other.  Comprehending their intersection enhances the analysis by demonstrating how various obstacles collectively influence mental health outcomes for ethnic minority populations.</w:t>
      </w:r>
    </w:p>
    <w:p w14:paraId="4506A3F9" w14:textId="12139F3C" w:rsidR="00EC4A4B" w:rsidRPr="00FE0DC8" w:rsidRDefault="00EC4A4B" w:rsidP="00A25261">
      <w:pPr>
        <w:spacing w:line="360" w:lineRule="auto"/>
        <w:jc w:val="both"/>
        <w:rPr>
          <w:rFonts w:ascii="Arial" w:hAnsi="Arial" w:cs="Arial"/>
          <w:b/>
          <w:bCs/>
          <w:sz w:val="32"/>
          <w:szCs w:val="32"/>
        </w:rPr>
      </w:pPr>
      <w:r w:rsidRPr="00FE0DC8">
        <w:rPr>
          <w:rFonts w:ascii="Arial" w:hAnsi="Arial" w:cs="Arial"/>
          <w:b/>
          <w:bCs/>
          <w:sz w:val="32"/>
          <w:szCs w:val="32"/>
        </w:rPr>
        <w:t>4.5 Theme 3</w:t>
      </w:r>
      <w:r w:rsidR="007A55D6">
        <w:rPr>
          <w:rFonts w:ascii="Arial" w:hAnsi="Arial" w:cs="Arial"/>
          <w:b/>
          <w:bCs/>
          <w:sz w:val="32"/>
          <w:szCs w:val="32"/>
        </w:rPr>
        <w:t>, Cultural competency</w:t>
      </w:r>
    </w:p>
    <w:p w14:paraId="2ACD5C34" w14:textId="1FC39F9F" w:rsidR="00EC4A4B" w:rsidRDefault="00EC4A4B" w:rsidP="00F72D79">
      <w:pPr>
        <w:spacing w:line="360" w:lineRule="auto"/>
        <w:jc w:val="both"/>
        <w:rPr>
          <w:rFonts w:ascii="Arial" w:hAnsi="Arial" w:cs="Arial"/>
          <w:b/>
          <w:bCs/>
          <w:sz w:val="28"/>
          <w:szCs w:val="28"/>
        </w:rPr>
      </w:pPr>
      <w:r w:rsidRPr="00FE0DC8">
        <w:rPr>
          <w:rFonts w:ascii="Arial" w:hAnsi="Arial" w:cs="Arial"/>
          <w:b/>
          <w:bCs/>
          <w:sz w:val="28"/>
          <w:szCs w:val="28"/>
        </w:rPr>
        <w:t>Definition</w:t>
      </w:r>
    </w:p>
    <w:p w14:paraId="5A32F876" w14:textId="77777777" w:rsidR="00C42F2E" w:rsidRDefault="00C42F2E" w:rsidP="00F72D79">
      <w:pPr>
        <w:spacing w:line="360" w:lineRule="auto"/>
        <w:jc w:val="both"/>
        <w:rPr>
          <w:rFonts w:ascii="Arial" w:hAnsi="Arial" w:cs="Arial"/>
          <w:sz w:val="22"/>
          <w:szCs w:val="22"/>
        </w:rPr>
      </w:pPr>
      <w:r w:rsidRPr="00C42F2E">
        <w:rPr>
          <w:rFonts w:ascii="Arial" w:hAnsi="Arial" w:cs="Arial"/>
          <w:sz w:val="22"/>
          <w:szCs w:val="22"/>
        </w:rPr>
        <w:t>Cultural competency in mental health care encompasses the behaviours, policies, and practices that facilitate the provision of culturally appropriate services to varied patient populations (Adamson, Warfa &amp; Bhui, 2011).  It encompasses cultural awareness (identifying bias), cultural knowledge (comprehending diverse belief systems), and cultural skills (communicating effectively across cultures).  Cultural humility denotes continuous self-reflection and adjustment to address patients' cultural requirements (NHS England, 2025).  These qualities are essential for mitigating inequality and enhancing trust, involvement, and treatment outcomes within ethnic minority populations.</w:t>
      </w:r>
    </w:p>
    <w:p w14:paraId="2356FB14" w14:textId="028C44AB" w:rsidR="00EC4A4B" w:rsidRDefault="00EC4A4B" w:rsidP="00F72D79">
      <w:pPr>
        <w:spacing w:line="360" w:lineRule="auto"/>
        <w:jc w:val="both"/>
        <w:rPr>
          <w:rFonts w:ascii="Arial" w:hAnsi="Arial" w:cs="Arial"/>
          <w:b/>
          <w:bCs/>
          <w:sz w:val="28"/>
          <w:szCs w:val="28"/>
        </w:rPr>
      </w:pPr>
      <w:r w:rsidRPr="00FE0DC8">
        <w:rPr>
          <w:rFonts w:ascii="Arial" w:hAnsi="Arial" w:cs="Arial"/>
          <w:b/>
          <w:bCs/>
          <w:sz w:val="28"/>
          <w:szCs w:val="28"/>
        </w:rPr>
        <w:t>Background information</w:t>
      </w:r>
    </w:p>
    <w:p w14:paraId="19C3475F" w14:textId="286A9A4C" w:rsidR="006F2400" w:rsidRPr="006F2400" w:rsidRDefault="006F2400" w:rsidP="00F72D79">
      <w:pPr>
        <w:spacing w:line="360" w:lineRule="auto"/>
        <w:jc w:val="both"/>
        <w:rPr>
          <w:rFonts w:ascii="Arial" w:hAnsi="Arial" w:cs="Arial"/>
          <w:sz w:val="22"/>
          <w:szCs w:val="22"/>
        </w:rPr>
      </w:pPr>
      <w:r w:rsidRPr="006F2400">
        <w:rPr>
          <w:rFonts w:ascii="Arial" w:hAnsi="Arial" w:cs="Arial"/>
          <w:sz w:val="22"/>
          <w:szCs w:val="22"/>
        </w:rPr>
        <w:t xml:space="preserve">Cultural competency in healthcare arose due to increasing diversity and ongoing health disparities among ethnic minority groups in the UK and </w:t>
      </w:r>
      <w:r w:rsidR="00173A5F" w:rsidRPr="006F2400">
        <w:rPr>
          <w:rFonts w:ascii="Arial" w:hAnsi="Arial" w:cs="Arial"/>
          <w:sz w:val="22"/>
          <w:szCs w:val="22"/>
        </w:rPr>
        <w:t>worldwide</w:t>
      </w:r>
      <w:r w:rsidR="00173A5F">
        <w:rPr>
          <w:rFonts w:ascii="Arial" w:hAnsi="Arial" w:cs="Arial"/>
          <w:sz w:val="22"/>
          <w:szCs w:val="22"/>
        </w:rPr>
        <w:t xml:space="preserve"> </w:t>
      </w:r>
      <w:r w:rsidR="00173A5F" w:rsidRPr="00173A5F">
        <w:rPr>
          <w:rFonts w:ascii="Arial" w:hAnsi="Arial" w:cs="Arial"/>
          <w:sz w:val="22"/>
          <w:szCs w:val="22"/>
        </w:rPr>
        <w:t>(Chauhan et al., 2020)</w:t>
      </w:r>
      <w:r w:rsidR="00173A5F">
        <w:rPr>
          <w:rFonts w:ascii="Arial" w:hAnsi="Arial" w:cs="Arial"/>
          <w:sz w:val="22"/>
          <w:szCs w:val="22"/>
        </w:rPr>
        <w:t>.</w:t>
      </w:r>
      <w:r w:rsidRPr="006F2400">
        <w:rPr>
          <w:rFonts w:ascii="Arial" w:hAnsi="Arial" w:cs="Arial"/>
          <w:sz w:val="22"/>
          <w:szCs w:val="22"/>
        </w:rPr>
        <w:t xml:space="preserve">  Historically, mental health treatments were established based on Western biological theories, frequently overlooking cultural beliefs, communication techniques, and illness explaining models (Adamson, Warfa &amp; Bhui, 2011).  Gradually, the acknowledgement of these </w:t>
      </w:r>
      <w:r w:rsidRPr="006F2400">
        <w:rPr>
          <w:rFonts w:ascii="Arial" w:hAnsi="Arial" w:cs="Arial"/>
          <w:sz w:val="22"/>
          <w:szCs w:val="22"/>
        </w:rPr>
        <w:lastRenderedPageBreak/>
        <w:t>deficiencies resulted in policies that advocate for culturally competent practices, encompassing interpreter services, staff training, and culturally tailored solutions.  The objective of cultivating cultural competency is to diminish inequities, enhance trust, participation, and treatment outcomes, so guaranteeing that mental health care is accessible, acceptable, and successful for varied communities.</w:t>
      </w:r>
    </w:p>
    <w:p w14:paraId="5AEAECFB" w14:textId="6259EC94" w:rsidR="00EC4A4B" w:rsidRDefault="00EC4A4B" w:rsidP="00F72D79">
      <w:pPr>
        <w:spacing w:line="360" w:lineRule="auto"/>
        <w:jc w:val="both"/>
        <w:rPr>
          <w:rFonts w:ascii="Arial" w:hAnsi="Arial" w:cs="Arial"/>
          <w:b/>
          <w:bCs/>
          <w:sz w:val="28"/>
          <w:szCs w:val="28"/>
        </w:rPr>
      </w:pPr>
      <w:r w:rsidRPr="00FE0DC8">
        <w:rPr>
          <w:rFonts w:ascii="Arial" w:hAnsi="Arial" w:cs="Arial"/>
          <w:b/>
          <w:bCs/>
          <w:sz w:val="28"/>
          <w:szCs w:val="28"/>
        </w:rPr>
        <w:t>Impact on research question</w:t>
      </w:r>
    </w:p>
    <w:p w14:paraId="318D5BF0" w14:textId="6C88B8F6" w:rsidR="00D27884" w:rsidRPr="00D27884" w:rsidRDefault="00D27884" w:rsidP="00F72D79">
      <w:pPr>
        <w:spacing w:line="360" w:lineRule="auto"/>
        <w:jc w:val="both"/>
        <w:rPr>
          <w:rFonts w:ascii="Arial" w:hAnsi="Arial" w:cs="Arial"/>
          <w:sz w:val="22"/>
          <w:szCs w:val="22"/>
        </w:rPr>
      </w:pPr>
      <w:r w:rsidRPr="00D27884">
        <w:rPr>
          <w:rFonts w:ascii="Arial" w:hAnsi="Arial" w:cs="Arial"/>
          <w:sz w:val="22"/>
          <w:szCs w:val="22"/>
        </w:rPr>
        <w:t xml:space="preserve">Cultural competency significantly affects this study topic since it determines whether persons from ethnic minorities perceive themselves as understood, respected, and secure when utilising mental health treatments.  When services do not comprehend other cultures, people are less likely to use </w:t>
      </w:r>
      <w:r w:rsidR="00615097" w:rsidRPr="00D27884">
        <w:rPr>
          <w:rFonts w:ascii="Arial" w:hAnsi="Arial" w:cs="Arial"/>
          <w:sz w:val="22"/>
          <w:szCs w:val="22"/>
        </w:rPr>
        <w:t>them,</w:t>
      </w:r>
      <w:r w:rsidRPr="00D27884">
        <w:rPr>
          <w:rFonts w:ascii="Arial" w:hAnsi="Arial" w:cs="Arial"/>
          <w:sz w:val="22"/>
          <w:szCs w:val="22"/>
        </w:rPr>
        <w:t xml:space="preserve"> and disparities get worse</w:t>
      </w:r>
      <w:r w:rsidR="008D55F6">
        <w:rPr>
          <w:rFonts w:ascii="Arial" w:hAnsi="Arial" w:cs="Arial"/>
          <w:sz w:val="22"/>
          <w:szCs w:val="22"/>
        </w:rPr>
        <w:t xml:space="preserve"> </w:t>
      </w:r>
      <w:r w:rsidR="008D55F6" w:rsidRPr="008D55F6">
        <w:rPr>
          <w:rFonts w:ascii="Arial" w:hAnsi="Arial" w:cs="Arial"/>
          <w:sz w:val="22"/>
          <w:szCs w:val="22"/>
        </w:rPr>
        <w:t>(Nwokoroku et al., 2022)</w:t>
      </w:r>
      <w:r w:rsidR="008D55F6">
        <w:rPr>
          <w:rFonts w:ascii="Arial" w:hAnsi="Arial" w:cs="Arial"/>
          <w:sz w:val="22"/>
          <w:szCs w:val="22"/>
        </w:rPr>
        <w:t>.</w:t>
      </w:r>
      <w:r w:rsidRPr="00D27884">
        <w:rPr>
          <w:rFonts w:ascii="Arial" w:hAnsi="Arial" w:cs="Arial"/>
          <w:sz w:val="22"/>
          <w:szCs w:val="22"/>
        </w:rPr>
        <w:t xml:space="preserve">  On the other hand, culturally competent communication, staff training, and care models that include everyone build trust, deepen therapeutic relationships, and lead to better treatment outcomes (Adamson, Warfa &amp; Bhui, 2011).  Cultural competency is a major issue in this dissertation because it shows how services can change to meet the requirements of different groups and make it easier for people to get to them.</w:t>
      </w:r>
    </w:p>
    <w:p w14:paraId="0192344D" w14:textId="2ED5DC42" w:rsidR="00EC4A4B" w:rsidRDefault="00EC4A4B" w:rsidP="00F72D79">
      <w:pPr>
        <w:spacing w:line="360" w:lineRule="auto"/>
        <w:jc w:val="both"/>
        <w:rPr>
          <w:rFonts w:ascii="Arial" w:hAnsi="Arial" w:cs="Arial"/>
          <w:b/>
          <w:bCs/>
          <w:sz w:val="28"/>
          <w:szCs w:val="28"/>
        </w:rPr>
      </w:pPr>
      <w:r w:rsidRPr="00FE0DC8">
        <w:rPr>
          <w:rFonts w:ascii="Arial" w:hAnsi="Arial" w:cs="Arial"/>
          <w:b/>
          <w:bCs/>
          <w:sz w:val="28"/>
          <w:szCs w:val="28"/>
        </w:rPr>
        <w:t>Statistical information</w:t>
      </w:r>
    </w:p>
    <w:p w14:paraId="5D0F9329" w14:textId="41A4CD4C" w:rsidR="00B73FFD" w:rsidRPr="00B73FFD" w:rsidRDefault="00B73FFD" w:rsidP="00F72D79">
      <w:pPr>
        <w:spacing w:line="360" w:lineRule="auto"/>
        <w:jc w:val="both"/>
        <w:rPr>
          <w:rFonts w:ascii="Arial" w:hAnsi="Arial" w:cs="Arial"/>
          <w:sz w:val="22"/>
          <w:szCs w:val="22"/>
        </w:rPr>
      </w:pPr>
      <w:r w:rsidRPr="00B73FFD">
        <w:rPr>
          <w:rFonts w:ascii="Arial" w:hAnsi="Arial" w:cs="Arial"/>
          <w:sz w:val="22"/>
          <w:szCs w:val="22"/>
        </w:rPr>
        <w:t xml:space="preserve">A Care Quality Commission report (2022–23) indicated that numerous ethnic minority patients had a "deficiency in cultural competency" in service delivery, which diminished trust and care quality (CQC, 2023). </w:t>
      </w:r>
      <w:r w:rsidR="00AE1D56" w:rsidRPr="00B73FFD">
        <w:rPr>
          <w:rFonts w:ascii="Arial" w:hAnsi="Arial" w:cs="Arial"/>
          <w:sz w:val="22"/>
          <w:szCs w:val="22"/>
        </w:rPr>
        <w:t>An</w:t>
      </w:r>
      <w:r w:rsidRPr="00B73FFD">
        <w:rPr>
          <w:rFonts w:ascii="Arial" w:hAnsi="Arial" w:cs="Arial"/>
          <w:sz w:val="22"/>
          <w:szCs w:val="22"/>
        </w:rPr>
        <w:t xml:space="preserve"> evaluation of mental health treatments revealed that under 20% of NHS service consumers from minority ethnic populations said that their cultural or religious requirements were acknowledged (Community Care, 2021). These disparities underscore systemic deficiencies: cultural ineptitude diminishes involvement, intensifies inequities, and indicates the necessity for customised care improvements.</w:t>
      </w:r>
    </w:p>
    <w:p w14:paraId="60ED1CA7" w14:textId="5D6F986E" w:rsidR="00EC4A4B" w:rsidRDefault="00EC4A4B" w:rsidP="00F72D79">
      <w:pPr>
        <w:spacing w:line="360" w:lineRule="auto"/>
        <w:jc w:val="both"/>
        <w:rPr>
          <w:rFonts w:ascii="Arial" w:hAnsi="Arial" w:cs="Arial"/>
          <w:b/>
          <w:bCs/>
          <w:sz w:val="28"/>
          <w:szCs w:val="28"/>
        </w:rPr>
      </w:pPr>
      <w:r w:rsidRPr="00FE0DC8">
        <w:rPr>
          <w:rFonts w:ascii="Arial" w:hAnsi="Arial" w:cs="Arial"/>
          <w:b/>
          <w:bCs/>
          <w:sz w:val="28"/>
          <w:szCs w:val="28"/>
        </w:rPr>
        <w:t>Theories, policies, and Legislation</w:t>
      </w:r>
    </w:p>
    <w:p w14:paraId="3DC3510C" w14:textId="59D0D695" w:rsidR="00FA0FC6" w:rsidRDefault="00FA0FC6" w:rsidP="00F72D79">
      <w:pPr>
        <w:spacing w:line="360" w:lineRule="auto"/>
        <w:jc w:val="both"/>
        <w:rPr>
          <w:rFonts w:ascii="Arial" w:hAnsi="Arial" w:cs="Arial"/>
          <w:sz w:val="22"/>
          <w:szCs w:val="22"/>
        </w:rPr>
      </w:pPr>
      <w:r w:rsidRPr="00FA0FC6">
        <w:rPr>
          <w:rFonts w:ascii="Arial" w:hAnsi="Arial" w:cs="Arial"/>
          <w:sz w:val="22"/>
          <w:szCs w:val="22"/>
        </w:rPr>
        <w:t>There are a few theories that assist us understand why cultural competency is so important in mental health care.  Cross-cultural communication theory posits that misunderstandings occur when providers inadequately interpret cultural ideas and linguistic patterns, resulting in mistrust and disengagement (Bhui et al., 20</w:t>
      </w:r>
      <w:r w:rsidR="00A36FEB">
        <w:rPr>
          <w:rFonts w:ascii="Arial" w:hAnsi="Arial" w:cs="Arial"/>
          <w:sz w:val="22"/>
          <w:szCs w:val="22"/>
        </w:rPr>
        <w:t>07</w:t>
      </w:r>
      <w:r w:rsidRPr="00FA0FC6">
        <w:rPr>
          <w:rFonts w:ascii="Arial" w:hAnsi="Arial" w:cs="Arial"/>
          <w:sz w:val="22"/>
          <w:szCs w:val="22"/>
        </w:rPr>
        <w:t xml:space="preserve">).  The philosophy of person-centred care stresses the importance of customising care to meet each person's unique requirements. This is in line with culturally competent practice, which values identity, religion, and lived experiences (NHS England, 2020).  The culture Adaptation Framework posits that mental health therapies must be tailored to culture norms to achieve efficacy (Chu </w:t>
      </w:r>
      <w:r w:rsidR="00A36FEB">
        <w:rPr>
          <w:rFonts w:ascii="Arial" w:hAnsi="Arial" w:cs="Arial"/>
          <w:sz w:val="22"/>
          <w:szCs w:val="22"/>
        </w:rPr>
        <w:t>and</w:t>
      </w:r>
      <w:r w:rsidRPr="00FA0FC6">
        <w:rPr>
          <w:rFonts w:ascii="Arial" w:hAnsi="Arial" w:cs="Arial"/>
          <w:sz w:val="22"/>
          <w:szCs w:val="22"/>
        </w:rPr>
        <w:t xml:space="preserve"> Leino, 2017).  </w:t>
      </w:r>
      <w:r w:rsidRPr="00FA0FC6">
        <w:rPr>
          <w:rFonts w:ascii="Arial" w:hAnsi="Arial" w:cs="Arial"/>
          <w:sz w:val="22"/>
          <w:szCs w:val="22"/>
        </w:rPr>
        <w:lastRenderedPageBreak/>
        <w:t>These theories show that being culturally competent is necessary for fair, meaningful, and responsive treatment.</w:t>
      </w:r>
    </w:p>
    <w:p w14:paraId="5DA9CD51" w14:textId="5CDB95BF" w:rsidR="004C6B6D" w:rsidRPr="00F0050D" w:rsidRDefault="00F0050D" w:rsidP="00F72D79">
      <w:pPr>
        <w:spacing w:line="360" w:lineRule="auto"/>
        <w:jc w:val="both"/>
        <w:rPr>
          <w:rFonts w:ascii="Arial" w:hAnsi="Arial" w:cs="Arial"/>
          <w:sz w:val="22"/>
          <w:szCs w:val="22"/>
        </w:rPr>
      </w:pPr>
      <w:r w:rsidRPr="00F0050D">
        <w:rPr>
          <w:rFonts w:ascii="Arial" w:hAnsi="Arial" w:cs="Arial"/>
          <w:sz w:val="22"/>
          <w:szCs w:val="22"/>
        </w:rPr>
        <w:t>The Patient and Carer Race Equality Framework (PCREF), mandated by NHS England, legally obligates mental health trusts to adopt culturally responsive treatment and antiracist policies throughout their services (NHS England, 2024).  This policy legally integrates cultural competency into governance and care criteria.  Nonetheless, variations in execution among trusts restrict its uniform effectiveness (CNTW NHS Trust, 2023).  The NHS Equality, Diversity, and Inclusion Improvement Plan (2023) underscore the necessity of cultural competence by recognising that institutional biases and linguistic obstacles require structural intervention.  Collectively, these laws and practices enhance the significance of cultural competency in mitigating racial disparities in mental health care.</w:t>
      </w:r>
    </w:p>
    <w:p w14:paraId="629C88C7" w14:textId="1D37A69B" w:rsidR="00FE0DC8" w:rsidRPr="004C6B6D" w:rsidRDefault="00EC4A4B" w:rsidP="00F72D79">
      <w:pPr>
        <w:spacing w:line="360" w:lineRule="auto"/>
        <w:jc w:val="both"/>
        <w:rPr>
          <w:rFonts w:ascii="Arial" w:hAnsi="Arial" w:cs="Arial"/>
          <w:b/>
          <w:bCs/>
          <w:sz w:val="28"/>
          <w:szCs w:val="28"/>
        </w:rPr>
      </w:pPr>
      <w:r w:rsidRPr="004C6B6D">
        <w:rPr>
          <w:rFonts w:ascii="Arial" w:hAnsi="Arial" w:cs="Arial"/>
          <w:b/>
          <w:bCs/>
          <w:sz w:val="28"/>
          <w:szCs w:val="28"/>
        </w:rPr>
        <w:t>Implications</w:t>
      </w:r>
    </w:p>
    <w:p w14:paraId="631734B2" w14:textId="5638FBFA" w:rsidR="004C6B6D" w:rsidRPr="00212887" w:rsidRDefault="00212887" w:rsidP="00F72D79">
      <w:pPr>
        <w:spacing w:line="360" w:lineRule="auto"/>
        <w:jc w:val="both"/>
        <w:rPr>
          <w:rFonts w:ascii="Arial" w:hAnsi="Arial" w:cs="Arial"/>
          <w:sz w:val="22"/>
          <w:szCs w:val="22"/>
        </w:rPr>
      </w:pPr>
      <w:r w:rsidRPr="00212887">
        <w:rPr>
          <w:rFonts w:ascii="Arial" w:hAnsi="Arial" w:cs="Arial"/>
          <w:sz w:val="22"/>
          <w:szCs w:val="22"/>
        </w:rPr>
        <w:t>Cultural competence can enhance mental health access for ethnic minorities by cultivating trust, affirming varied experiences, and mitigating misunderstandings (Mind, 2020).  When services genuinely align with patients' cultural identities, engagement and outcomes frequently enhance.  However, an excessive focus on cultural matching may lead to tokenism, resulting in shallow staff training and the neglect of systemic racism</w:t>
      </w:r>
      <w:r w:rsidR="006E7171">
        <w:rPr>
          <w:rFonts w:ascii="Arial" w:hAnsi="Arial" w:cs="Arial"/>
          <w:sz w:val="22"/>
          <w:szCs w:val="22"/>
        </w:rPr>
        <w:t xml:space="preserve"> </w:t>
      </w:r>
      <w:r w:rsidR="006E7171" w:rsidRPr="006E7171">
        <w:rPr>
          <w:rFonts w:ascii="Arial" w:hAnsi="Arial" w:cs="Arial"/>
          <w:sz w:val="22"/>
          <w:szCs w:val="22"/>
        </w:rPr>
        <w:t>(Bamrah et al., 2025)</w:t>
      </w:r>
      <w:r w:rsidR="006E7171">
        <w:rPr>
          <w:rFonts w:ascii="Arial" w:hAnsi="Arial" w:cs="Arial"/>
          <w:sz w:val="22"/>
          <w:szCs w:val="22"/>
        </w:rPr>
        <w:t>.</w:t>
      </w:r>
      <w:r w:rsidRPr="00212887">
        <w:rPr>
          <w:rFonts w:ascii="Arial" w:hAnsi="Arial" w:cs="Arial"/>
          <w:sz w:val="22"/>
          <w:szCs w:val="22"/>
        </w:rPr>
        <w:t xml:space="preserve">  This dual impact informs the study question: cultural competence is crucial for mitigating barriers, yet it necessitates comprehensive structural adjustment to effectively tackle disparities in mental health treatment.</w:t>
      </w:r>
    </w:p>
    <w:p w14:paraId="23E849A1" w14:textId="094CD1BF" w:rsidR="00EC4A4B" w:rsidRDefault="00EC4A4B" w:rsidP="00F72D79">
      <w:pPr>
        <w:spacing w:line="360" w:lineRule="auto"/>
        <w:jc w:val="both"/>
        <w:rPr>
          <w:rFonts w:ascii="Arial" w:hAnsi="Arial" w:cs="Arial"/>
          <w:b/>
          <w:bCs/>
          <w:sz w:val="28"/>
          <w:szCs w:val="28"/>
        </w:rPr>
      </w:pPr>
      <w:r w:rsidRPr="004C6B6D">
        <w:rPr>
          <w:rFonts w:ascii="Arial" w:hAnsi="Arial" w:cs="Arial"/>
          <w:b/>
          <w:bCs/>
          <w:sz w:val="28"/>
          <w:szCs w:val="28"/>
        </w:rPr>
        <w:t>Examples from your articles</w:t>
      </w:r>
    </w:p>
    <w:p w14:paraId="4AEDF435" w14:textId="77777777" w:rsidR="00AF295B" w:rsidRPr="00AF295B" w:rsidRDefault="00AF295B" w:rsidP="00AF295B">
      <w:pPr>
        <w:spacing w:line="360" w:lineRule="auto"/>
        <w:jc w:val="both"/>
        <w:rPr>
          <w:rFonts w:ascii="Arial" w:hAnsi="Arial" w:cs="Arial"/>
          <w:sz w:val="22"/>
          <w:szCs w:val="22"/>
        </w:rPr>
      </w:pPr>
      <w:r w:rsidRPr="00AF295B">
        <w:rPr>
          <w:rFonts w:ascii="Arial" w:hAnsi="Arial" w:cs="Arial"/>
          <w:sz w:val="22"/>
          <w:szCs w:val="22"/>
        </w:rPr>
        <w:t xml:space="preserve">Numerous studies underscore the impact of cultural competency on the accessibility of mental health care for ethnic minorities in the UK.  Adamson, Warfa, and </w:t>
      </w:r>
      <w:proofErr w:type="spellStart"/>
      <w:r w:rsidRPr="00AF295B">
        <w:rPr>
          <w:rFonts w:ascii="Arial" w:hAnsi="Arial" w:cs="Arial"/>
          <w:sz w:val="22"/>
          <w:szCs w:val="22"/>
        </w:rPr>
        <w:t>Bhui</w:t>
      </w:r>
      <w:proofErr w:type="spellEnd"/>
      <w:r w:rsidRPr="00AF295B">
        <w:rPr>
          <w:rFonts w:ascii="Arial" w:hAnsi="Arial" w:cs="Arial"/>
          <w:sz w:val="22"/>
          <w:szCs w:val="22"/>
        </w:rPr>
        <w:t xml:space="preserve"> (2011) contend that enhancing organisational cultural competence—via staff training, recruitment of a diverse workforce, and community engagement—facilitates the responsiveness of mental health care to cultural requirements.  Their findings indicate that culturally aware communication enhances patient trust and service utilisation, establishing a strong connection between cultural competency and improved access and outcomes.</w:t>
      </w:r>
    </w:p>
    <w:p w14:paraId="15F51AAD" w14:textId="74218EB9" w:rsidR="00AF295B" w:rsidRPr="00AF295B" w:rsidRDefault="00AF295B" w:rsidP="00AF295B">
      <w:pPr>
        <w:spacing w:line="360" w:lineRule="auto"/>
        <w:jc w:val="both"/>
        <w:rPr>
          <w:rFonts w:ascii="Arial" w:hAnsi="Arial" w:cs="Arial"/>
          <w:sz w:val="22"/>
          <w:szCs w:val="22"/>
        </w:rPr>
      </w:pPr>
      <w:r w:rsidRPr="00AF295B">
        <w:rPr>
          <w:rFonts w:ascii="Arial" w:hAnsi="Arial" w:cs="Arial"/>
          <w:sz w:val="22"/>
          <w:szCs w:val="22"/>
        </w:rPr>
        <w:t xml:space="preserve">Likewise, </w:t>
      </w:r>
      <w:proofErr w:type="spellStart"/>
      <w:r w:rsidRPr="00AF295B">
        <w:rPr>
          <w:rFonts w:ascii="Arial" w:hAnsi="Arial" w:cs="Arial"/>
          <w:sz w:val="22"/>
          <w:szCs w:val="22"/>
        </w:rPr>
        <w:t>Bhui</w:t>
      </w:r>
      <w:proofErr w:type="spellEnd"/>
      <w:r w:rsidRPr="00AF295B">
        <w:rPr>
          <w:rFonts w:ascii="Arial" w:hAnsi="Arial" w:cs="Arial"/>
          <w:sz w:val="22"/>
          <w:szCs w:val="22"/>
        </w:rPr>
        <w:t xml:space="preserve"> et al. (2015) underscore that cultural competence is crucial for mitigating racial inequities in healthcare.  They contend that insufficient cultural comprehension leads to misdiagnosis, premature cessation of treatment, and dissatisfaction with services.  This substantiates the perspective that culturally tailored mental health interventions enhance involvement within minority populations.</w:t>
      </w:r>
    </w:p>
    <w:p w14:paraId="4FBABB54" w14:textId="65AB6B28" w:rsidR="00AF295B" w:rsidRPr="00AF295B" w:rsidRDefault="00AF295B" w:rsidP="00AF295B">
      <w:pPr>
        <w:spacing w:line="360" w:lineRule="auto"/>
        <w:jc w:val="both"/>
        <w:rPr>
          <w:rFonts w:ascii="Arial" w:hAnsi="Arial" w:cs="Arial"/>
          <w:sz w:val="22"/>
          <w:szCs w:val="22"/>
        </w:rPr>
      </w:pPr>
      <w:r w:rsidRPr="00AF295B">
        <w:rPr>
          <w:rFonts w:ascii="Arial" w:hAnsi="Arial" w:cs="Arial"/>
          <w:sz w:val="22"/>
          <w:szCs w:val="22"/>
        </w:rPr>
        <w:lastRenderedPageBreak/>
        <w:t xml:space="preserve"> </w:t>
      </w:r>
      <w:r w:rsidR="00694538" w:rsidRPr="00694538">
        <w:rPr>
          <w:rFonts w:ascii="Arial" w:hAnsi="Arial" w:cs="Arial"/>
          <w:sz w:val="22"/>
          <w:szCs w:val="22"/>
        </w:rPr>
        <w:t xml:space="preserve">Kapadia et al. (2022) </w:t>
      </w:r>
      <w:r w:rsidRPr="00AF295B">
        <w:rPr>
          <w:rFonts w:ascii="Arial" w:hAnsi="Arial" w:cs="Arial"/>
          <w:sz w:val="22"/>
          <w:szCs w:val="22"/>
        </w:rPr>
        <w:t>adopt a critical perspective, asserting that cultural competence alone cannot eradicate inequities if underlying structural concerns, such as institutional racism and inadequate interpreter availability, persist.  They emphasise that concentrating exclusively on cultural knowledge may lead to an oversimplification of obstacles.</w:t>
      </w:r>
    </w:p>
    <w:p w14:paraId="69A0FC4C" w14:textId="4E1449A0" w:rsidR="006E7171" w:rsidRPr="005951F8" w:rsidRDefault="00AF295B" w:rsidP="00F72D79">
      <w:pPr>
        <w:spacing w:line="360" w:lineRule="auto"/>
        <w:jc w:val="both"/>
        <w:rPr>
          <w:rFonts w:ascii="Arial" w:hAnsi="Arial" w:cs="Arial"/>
          <w:sz w:val="22"/>
          <w:szCs w:val="22"/>
        </w:rPr>
      </w:pPr>
      <w:r w:rsidRPr="00AF295B">
        <w:rPr>
          <w:rFonts w:ascii="Arial" w:hAnsi="Arial" w:cs="Arial"/>
          <w:sz w:val="22"/>
          <w:szCs w:val="22"/>
        </w:rPr>
        <w:t>Collectively, these viewpoints enhance the study by demonstrating that cultural competency is essential for minimising barriers to mental health treatment; nevertheless, it must be accompanied by institutional reform to achieve enduring equity.</w:t>
      </w:r>
    </w:p>
    <w:p w14:paraId="53AEADA3" w14:textId="38309CFF" w:rsidR="008F38CB" w:rsidRPr="004C6B6D" w:rsidRDefault="00EC4A4B" w:rsidP="00F72D79">
      <w:pPr>
        <w:spacing w:line="360" w:lineRule="auto"/>
        <w:jc w:val="both"/>
        <w:rPr>
          <w:rFonts w:ascii="Arial" w:hAnsi="Arial" w:cs="Arial"/>
          <w:b/>
          <w:bCs/>
          <w:sz w:val="28"/>
          <w:szCs w:val="28"/>
        </w:rPr>
      </w:pPr>
      <w:r w:rsidRPr="004C6B6D">
        <w:rPr>
          <w:rFonts w:ascii="Arial" w:hAnsi="Arial" w:cs="Arial"/>
          <w:b/>
          <w:bCs/>
          <w:sz w:val="28"/>
          <w:szCs w:val="28"/>
        </w:rPr>
        <w:t xml:space="preserve">Connection to other themes  </w:t>
      </w:r>
    </w:p>
    <w:p w14:paraId="215D7A16" w14:textId="3DBD92C0" w:rsidR="00EC4A4B" w:rsidRPr="008D0C48" w:rsidRDefault="008D0C48" w:rsidP="00F72D79">
      <w:pPr>
        <w:spacing w:line="360" w:lineRule="auto"/>
        <w:jc w:val="both"/>
        <w:rPr>
          <w:rFonts w:ascii="Arial" w:hAnsi="Arial" w:cs="Arial"/>
          <w:sz w:val="22"/>
          <w:szCs w:val="22"/>
        </w:rPr>
      </w:pPr>
      <w:r w:rsidRPr="008D0C48">
        <w:rPr>
          <w:rFonts w:ascii="Arial" w:hAnsi="Arial" w:cs="Arial"/>
          <w:sz w:val="22"/>
          <w:szCs w:val="22"/>
        </w:rPr>
        <w:t>Cultural competency is intricately linked to stigma, linguistic obstacles, and accessibility in mental health services. Insufficient cultural comprehension might intensify stigma, leading patients to feel misinterpreted or evaluated, hence diminishing their propensity to seek assistance</w:t>
      </w:r>
      <w:r w:rsidR="00E84398">
        <w:rPr>
          <w:rFonts w:ascii="Arial" w:hAnsi="Arial" w:cs="Arial"/>
          <w:sz w:val="22"/>
          <w:szCs w:val="22"/>
        </w:rPr>
        <w:t xml:space="preserve"> </w:t>
      </w:r>
      <w:r w:rsidR="00E84398" w:rsidRPr="00E84398">
        <w:rPr>
          <w:rFonts w:ascii="Arial" w:hAnsi="Arial" w:cs="Arial"/>
          <w:sz w:val="22"/>
          <w:szCs w:val="22"/>
        </w:rPr>
        <w:t>(Memon et al., 2016)</w:t>
      </w:r>
      <w:r w:rsidRPr="008D0C48">
        <w:rPr>
          <w:rFonts w:ascii="Arial" w:hAnsi="Arial" w:cs="Arial"/>
          <w:sz w:val="22"/>
          <w:szCs w:val="22"/>
        </w:rPr>
        <w:t>. Culturally in</w:t>
      </w:r>
      <w:r w:rsidR="00F54E8B">
        <w:rPr>
          <w:rFonts w:ascii="Arial" w:hAnsi="Arial" w:cs="Arial"/>
          <w:sz w:val="22"/>
          <w:szCs w:val="22"/>
        </w:rPr>
        <w:t>adequate</w:t>
      </w:r>
      <w:r w:rsidRPr="008D0C48">
        <w:rPr>
          <w:rFonts w:ascii="Arial" w:hAnsi="Arial" w:cs="Arial"/>
          <w:sz w:val="22"/>
          <w:szCs w:val="22"/>
        </w:rPr>
        <w:t xml:space="preserve"> services frequently neglect language requirements, resulting in communication obstacles that impede diagnosis and </w:t>
      </w:r>
      <w:r w:rsidR="009A4BB1" w:rsidRPr="008D0C48">
        <w:rPr>
          <w:rFonts w:ascii="Arial" w:hAnsi="Arial" w:cs="Arial"/>
          <w:sz w:val="22"/>
          <w:szCs w:val="22"/>
        </w:rPr>
        <w:t xml:space="preserve">engagement </w:t>
      </w:r>
      <w:r w:rsidR="009A4BB1">
        <w:rPr>
          <w:rFonts w:ascii="Arial" w:hAnsi="Arial" w:cs="Arial"/>
          <w:sz w:val="22"/>
          <w:szCs w:val="22"/>
        </w:rPr>
        <w:t>(</w:t>
      </w:r>
      <w:r w:rsidR="009A4BB1" w:rsidRPr="009A4BB1">
        <w:rPr>
          <w:rFonts w:ascii="Arial" w:hAnsi="Arial" w:cs="Arial"/>
          <w:sz w:val="22"/>
          <w:szCs w:val="22"/>
        </w:rPr>
        <w:t>Pashayan et al., 2015)</w:t>
      </w:r>
      <w:r w:rsidR="009A4BB1">
        <w:rPr>
          <w:rFonts w:ascii="Arial" w:hAnsi="Arial" w:cs="Arial"/>
          <w:sz w:val="22"/>
          <w:szCs w:val="22"/>
        </w:rPr>
        <w:t xml:space="preserve">. </w:t>
      </w:r>
      <w:r w:rsidRPr="008D0C48">
        <w:rPr>
          <w:rFonts w:ascii="Arial" w:hAnsi="Arial" w:cs="Arial"/>
          <w:sz w:val="22"/>
          <w:szCs w:val="22"/>
        </w:rPr>
        <w:t>Access is further compromised, since patients may eschew services deemed culturally offensive. The interrelated themes illustrate that barriers are interconnected: strengthening cultural competency not only fosters understanding and respect but also alleviates stigma, language challenges, and unequal access, so collectively improving mental health outcomes.</w:t>
      </w:r>
    </w:p>
    <w:p w14:paraId="59E87F05" w14:textId="77777777" w:rsidR="00F54E8B" w:rsidRDefault="00F54E8B" w:rsidP="00F72D79">
      <w:pPr>
        <w:spacing w:line="360" w:lineRule="auto"/>
        <w:jc w:val="both"/>
        <w:rPr>
          <w:rFonts w:ascii="Arial" w:hAnsi="Arial" w:cs="Arial"/>
          <w:b/>
          <w:bCs/>
          <w:sz w:val="32"/>
          <w:szCs w:val="32"/>
        </w:rPr>
      </w:pPr>
    </w:p>
    <w:p w14:paraId="7437B263" w14:textId="77777777" w:rsidR="00F54E8B" w:rsidRDefault="00F54E8B" w:rsidP="00F72D79">
      <w:pPr>
        <w:spacing w:line="360" w:lineRule="auto"/>
        <w:jc w:val="both"/>
        <w:rPr>
          <w:rFonts w:ascii="Arial" w:hAnsi="Arial" w:cs="Arial"/>
          <w:b/>
          <w:bCs/>
          <w:sz w:val="32"/>
          <w:szCs w:val="32"/>
        </w:rPr>
      </w:pPr>
    </w:p>
    <w:p w14:paraId="40E81114" w14:textId="77777777" w:rsidR="00F54E8B" w:rsidRDefault="00F54E8B" w:rsidP="00F72D79">
      <w:pPr>
        <w:spacing w:line="360" w:lineRule="auto"/>
        <w:jc w:val="both"/>
        <w:rPr>
          <w:rFonts w:ascii="Arial" w:hAnsi="Arial" w:cs="Arial"/>
          <w:b/>
          <w:bCs/>
          <w:sz w:val="32"/>
          <w:szCs w:val="32"/>
        </w:rPr>
      </w:pPr>
    </w:p>
    <w:p w14:paraId="413E88D6" w14:textId="77777777" w:rsidR="00F54E8B" w:rsidRDefault="00F54E8B" w:rsidP="00F72D79">
      <w:pPr>
        <w:spacing w:line="360" w:lineRule="auto"/>
        <w:jc w:val="both"/>
        <w:rPr>
          <w:rFonts w:ascii="Arial" w:hAnsi="Arial" w:cs="Arial"/>
          <w:b/>
          <w:bCs/>
          <w:sz w:val="32"/>
          <w:szCs w:val="32"/>
        </w:rPr>
      </w:pPr>
    </w:p>
    <w:p w14:paraId="03FC541A" w14:textId="77777777" w:rsidR="00F54E8B" w:rsidRDefault="00F54E8B" w:rsidP="00F72D79">
      <w:pPr>
        <w:spacing w:line="360" w:lineRule="auto"/>
        <w:jc w:val="both"/>
        <w:rPr>
          <w:rFonts w:ascii="Arial" w:hAnsi="Arial" w:cs="Arial"/>
          <w:b/>
          <w:bCs/>
          <w:sz w:val="32"/>
          <w:szCs w:val="32"/>
        </w:rPr>
      </w:pPr>
    </w:p>
    <w:p w14:paraId="009E1C3E" w14:textId="77777777" w:rsidR="00F54E8B" w:rsidRDefault="00F54E8B" w:rsidP="00F72D79">
      <w:pPr>
        <w:spacing w:line="360" w:lineRule="auto"/>
        <w:jc w:val="both"/>
        <w:rPr>
          <w:rFonts w:ascii="Arial" w:hAnsi="Arial" w:cs="Arial"/>
          <w:b/>
          <w:bCs/>
          <w:sz w:val="32"/>
          <w:szCs w:val="32"/>
        </w:rPr>
      </w:pPr>
    </w:p>
    <w:p w14:paraId="5120C413" w14:textId="77777777" w:rsidR="00F54E8B" w:rsidRDefault="00F54E8B" w:rsidP="00F72D79">
      <w:pPr>
        <w:spacing w:line="360" w:lineRule="auto"/>
        <w:jc w:val="both"/>
        <w:rPr>
          <w:rFonts w:ascii="Arial" w:hAnsi="Arial" w:cs="Arial"/>
          <w:b/>
          <w:bCs/>
          <w:sz w:val="32"/>
          <w:szCs w:val="32"/>
        </w:rPr>
      </w:pPr>
    </w:p>
    <w:p w14:paraId="626C4791" w14:textId="77777777" w:rsidR="00F54E8B" w:rsidRDefault="00F54E8B" w:rsidP="00F72D79">
      <w:pPr>
        <w:spacing w:line="360" w:lineRule="auto"/>
        <w:jc w:val="both"/>
        <w:rPr>
          <w:rFonts w:ascii="Arial" w:hAnsi="Arial" w:cs="Arial"/>
          <w:b/>
          <w:bCs/>
          <w:sz w:val="32"/>
          <w:szCs w:val="32"/>
        </w:rPr>
      </w:pPr>
    </w:p>
    <w:p w14:paraId="56650C4D" w14:textId="77777777" w:rsidR="00A24EF1" w:rsidRDefault="00A24EF1" w:rsidP="00F72D79">
      <w:pPr>
        <w:spacing w:line="360" w:lineRule="auto"/>
        <w:jc w:val="both"/>
        <w:rPr>
          <w:rFonts w:ascii="Arial" w:hAnsi="Arial" w:cs="Arial"/>
          <w:b/>
          <w:bCs/>
          <w:sz w:val="32"/>
          <w:szCs w:val="32"/>
        </w:rPr>
      </w:pPr>
    </w:p>
    <w:p w14:paraId="2D7E55E0" w14:textId="3CEFCBAA" w:rsidR="007B6159" w:rsidRPr="00675E1A" w:rsidRDefault="00EC4A4B" w:rsidP="00F72D79">
      <w:pPr>
        <w:spacing w:line="360" w:lineRule="auto"/>
        <w:jc w:val="both"/>
        <w:rPr>
          <w:rFonts w:ascii="Arial" w:hAnsi="Arial" w:cs="Arial"/>
          <w:b/>
          <w:bCs/>
          <w:sz w:val="32"/>
          <w:szCs w:val="32"/>
        </w:rPr>
      </w:pPr>
      <w:r w:rsidRPr="00675E1A">
        <w:rPr>
          <w:rFonts w:ascii="Arial" w:hAnsi="Arial" w:cs="Arial"/>
          <w:b/>
          <w:bCs/>
          <w:sz w:val="32"/>
          <w:szCs w:val="32"/>
        </w:rPr>
        <w:lastRenderedPageBreak/>
        <w:t xml:space="preserve">Chapter 4.6 Chapter </w:t>
      </w:r>
      <w:r w:rsidR="00675E1A" w:rsidRPr="00675E1A">
        <w:rPr>
          <w:rFonts w:ascii="Arial" w:hAnsi="Arial" w:cs="Arial"/>
          <w:b/>
          <w:bCs/>
          <w:sz w:val="32"/>
          <w:szCs w:val="32"/>
        </w:rPr>
        <w:t>Conclusion</w:t>
      </w:r>
    </w:p>
    <w:p w14:paraId="30870965" w14:textId="77777777" w:rsidR="00675E1A" w:rsidRDefault="00675E1A" w:rsidP="00675E1A">
      <w:pPr>
        <w:spacing w:line="360" w:lineRule="auto"/>
        <w:jc w:val="both"/>
        <w:rPr>
          <w:rFonts w:ascii="Arial" w:hAnsi="Arial" w:cs="Arial"/>
          <w:sz w:val="22"/>
          <w:szCs w:val="22"/>
        </w:rPr>
      </w:pPr>
      <w:r w:rsidRPr="00675E1A">
        <w:rPr>
          <w:rFonts w:ascii="Arial" w:hAnsi="Arial" w:cs="Arial"/>
          <w:sz w:val="22"/>
          <w:szCs w:val="22"/>
        </w:rPr>
        <w:t xml:space="preserve">Chapter 4 has delineated the findings and discourse of the thematic analysis performed on secondary research investigating obstacles to mental health care within ethnic minority groups in the UK.  </w:t>
      </w:r>
    </w:p>
    <w:p w14:paraId="198A9E83" w14:textId="6BE8945F" w:rsidR="00675E1A" w:rsidRPr="00675E1A" w:rsidRDefault="00675E1A" w:rsidP="00675E1A">
      <w:pPr>
        <w:spacing w:line="360" w:lineRule="auto"/>
        <w:jc w:val="both"/>
        <w:rPr>
          <w:rFonts w:ascii="Arial" w:hAnsi="Arial" w:cs="Arial"/>
          <w:sz w:val="22"/>
          <w:szCs w:val="22"/>
        </w:rPr>
      </w:pPr>
      <w:r w:rsidRPr="00675E1A">
        <w:rPr>
          <w:rFonts w:ascii="Arial" w:hAnsi="Arial" w:cs="Arial"/>
          <w:sz w:val="22"/>
          <w:szCs w:val="22"/>
        </w:rPr>
        <w:t>Three key themes</w:t>
      </w:r>
      <w:r>
        <w:rPr>
          <w:rFonts w:ascii="Arial" w:hAnsi="Arial" w:cs="Arial"/>
          <w:sz w:val="22"/>
          <w:szCs w:val="22"/>
        </w:rPr>
        <w:t xml:space="preserve"> </w:t>
      </w:r>
      <w:r w:rsidRPr="00675E1A">
        <w:rPr>
          <w:rFonts w:ascii="Arial" w:hAnsi="Arial" w:cs="Arial"/>
          <w:sz w:val="22"/>
          <w:szCs w:val="22"/>
        </w:rPr>
        <w:t>stigma, l</w:t>
      </w:r>
      <w:r>
        <w:rPr>
          <w:rFonts w:ascii="Arial" w:hAnsi="Arial" w:cs="Arial"/>
          <w:sz w:val="22"/>
          <w:szCs w:val="22"/>
        </w:rPr>
        <w:t>anguage barrier</w:t>
      </w:r>
      <w:r w:rsidRPr="00675E1A">
        <w:rPr>
          <w:rFonts w:ascii="Arial" w:hAnsi="Arial" w:cs="Arial"/>
          <w:sz w:val="22"/>
          <w:szCs w:val="22"/>
        </w:rPr>
        <w:t>, and cultural competence</w:t>
      </w:r>
      <w:r>
        <w:rPr>
          <w:rFonts w:ascii="Arial" w:hAnsi="Arial" w:cs="Arial"/>
          <w:sz w:val="22"/>
          <w:szCs w:val="22"/>
        </w:rPr>
        <w:t xml:space="preserve"> </w:t>
      </w:r>
      <w:r w:rsidRPr="00675E1A">
        <w:rPr>
          <w:rFonts w:ascii="Arial" w:hAnsi="Arial" w:cs="Arial"/>
          <w:sz w:val="22"/>
          <w:szCs w:val="22"/>
        </w:rPr>
        <w:t>were discovered and thoroughly studied.  Each theme encompassed discussions on definitions, contextual background, theoretical frameworks, pertinent policies, statistical evidence, and critical viewpoints, emphasising both advantageous and detrimental aspects.  The chapter examined the interconnections and intersections across topics, illustrating how structural, cultural, and communicative barriers combine to affect access, participation, and mental health outcomes for ethnic minority groups.  UK-based studies and papers provided evidence to substantiate all analyses, assuring relevance and credibility.</w:t>
      </w:r>
    </w:p>
    <w:p w14:paraId="002AFDD0" w14:textId="0D7C2E9B" w:rsidR="00F54E8B" w:rsidRPr="00675E1A" w:rsidRDefault="00675E1A" w:rsidP="00675E1A">
      <w:pPr>
        <w:spacing w:line="360" w:lineRule="auto"/>
        <w:jc w:val="both"/>
        <w:rPr>
          <w:rFonts w:ascii="Arial" w:hAnsi="Arial" w:cs="Arial"/>
          <w:sz w:val="22"/>
          <w:szCs w:val="22"/>
        </w:rPr>
      </w:pPr>
      <w:r w:rsidRPr="00675E1A">
        <w:rPr>
          <w:rFonts w:ascii="Arial" w:hAnsi="Arial" w:cs="Arial"/>
          <w:sz w:val="22"/>
          <w:szCs w:val="22"/>
        </w:rPr>
        <w:t>This chapter demonstrates that barriers are complex and interconnected, highlighting that tackling a single aspect in isolation is inadequate.  The results establish a basis for comprehending how structural, cultural, and language elements synergistically influence inequities in mental health service utilisation.  Chapter 5 will expand on these ideas by critically analysing current literature concerning the identified themes, evaluating gaps, and contemplating implications for policy, practice, and future study.</w:t>
      </w:r>
    </w:p>
    <w:p w14:paraId="27FC7235" w14:textId="77777777" w:rsidR="00F54E8B" w:rsidRDefault="00F54E8B" w:rsidP="00F72D79">
      <w:pPr>
        <w:spacing w:line="360" w:lineRule="auto"/>
        <w:jc w:val="both"/>
        <w:rPr>
          <w:rFonts w:ascii="Arial" w:hAnsi="Arial" w:cs="Arial"/>
          <w:b/>
          <w:bCs/>
          <w:sz w:val="32"/>
          <w:szCs w:val="32"/>
        </w:rPr>
      </w:pPr>
    </w:p>
    <w:p w14:paraId="09A7E6ED" w14:textId="77777777" w:rsidR="007B6159" w:rsidRDefault="007B6159" w:rsidP="00F72D79">
      <w:pPr>
        <w:spacing w:line="360" w:lineRule="auto"/>
        <w:jc w:val="both"/>
        <w:rPr>
          <w:rFonts w:ascii="Arial" w:hAnsi="Arial" w:cs="Arial"/>
          <w:b/>
          <w:bCs/>
          <w:sz w:val="32"/>
          <w:szCs w:val="32"/>
        </w:rPr>
      </w:pPr>
    </w:p>
    <w:p w14:paraId="2781A2D3" w14:textId="77777777" w:rsidR="00F54E8B" w:rsidRDefault="00F54E8B" w:rsidP="007B6159">
      <w:pPr>
        <w:spacing w:line="360" w:lineRule="auto"/>
        <w:jc w:val="both"/>
        <w:rPr>
          <w:rFonts w:ascii="Arial" w:hAnsi="Arial" w:cs="Arial"/>
          <w:b/>
          <w:bCs/>
          <w:sz w:val="32"/>
          <w:szCs w:val="32"/>
        </w:rPr>
      </w:pPr>
    </w:p>
    <w:p w14:paraId="2A34AC10" w14:textId="77777777" w:rsidR="00F54E8B" w:rsidRDefault="00F54E8B" w:rsidP="007B6159">
      <w:pPr>
        <w:spacing w:line="360" w:lineRule="auto"/>
        <w:jc w:val="both"/>
        <w:rPr>
          <w:rFonts w:ascii="Arial" w:hAnsi="Arial" w:cs="Arial"/>
          <w:b/>
          <w:bCs/>
          <w:sz w:val="32"/>
          <w:szCs w:val="32"/>
        </w:rPr>
      </w:pPr>
    </w:p>
    <w:p w14:paraId="085BE127" w14:textId="77777777" w:rsidR="00F54E8B" w:rsidRDefault="00F54E8B" w:rsidP="007B6159">
      <w:pPr>
        <w:spacing w:line="360" w:lineRule="auto"/>
        <w:jc w:val="both"/>
        <w:rPr>
          <w:rFonts w:ascii="Arial" w:hAnsi="Arial" w:cs="Arial"/>
          <w:b/>
          <w:bCs/>
          <w:sz w:val="32"/>
          <w:szCs w:val="32"/>
        </w:rPr>
      </w:pPr>
    </w:p>
    <w:p w14:paraId="24107F6F" w14:textId="77777777" w:rsidR="00F54E8B" w:rsidRDefault="00F54E8B" w:rsidP="007B6159">
      <w:pPr>
        <w:spacing w:line="360" w:lineRule="auto"/>
        <w:jc w:val="both"/>
        <w:rPr>
          <w:rFonts w:ascii="Arial" w:hAnsi="Arial" w:cs="Arial"/>
          <w:b/>
          <w:bCs/>
          <w:sz w:val="32"/>
          <w:szCs w:val="32"/>
        </w:rPr>
      </w:pPr>
    </w:p>
    <w:p w14:paraId="50479F7E" w14:textId="77777777" w:rsidR="00675E1A" w:rsidRDefault="00675E1A" w:rsidP="007B6159">
      <w:pPr>
        <w:spacing w:line="360" w:lineRule="auto"/>
        <w:jc w:val="both"/>
        <w:rPr>
          <w:rFonts w:ascii="Arial" w:hAnsi="Arial" w:cs="Arial"/>
          <w:b/>
          <w:bCs/>
          <w:sz w:val="32"/>
          <w:szCs w:val="32"/>
        </w:rPr>
      </w:pPr>
    </w:p>
    <w:p w14:paraId="59AFDFFB" w14:textId="77777777" w:rsidR="00675E1A" w:rsidRDefault="00675E1A" w:rsidP="007B6159">
      <w:pPr>
        <w:spacing w:line="360" w:lineRule="auto"/>
        <w:jc w:val="both"/>
        <w:rPr>
          <w:rFonts w:ascii="Arial" w:hAnsi="Arial" w:cs="Arial"/>
          <w:b/>
          <w:bCs/>
          <w:sz w:val="32"/>
          <w:szCs w:val="32"/>
        </w:rPr>
      </w:pPr>
    </w:p>
    <w:p w14:paraId="2212F852" w14:textId="77777777" w:rsidR="00675E1A" w:rsidRDefault="00675E1A" w:rsidP="007B6159">
      <w:pPr>
        <w:spacing w:line="360" w:lineRule="auto"/>
        <w:jc w:val="both"/>
        <w:rPr>
          <w:rFonts w:ascii="Arial" w:hAnsi="Arial" w:cs="Arial"/>
          <w:b/>
          <w:bCs/>
          <w:sz w:val="32"/>
          <w:szCs w:val="32"/>
        </w:rPr>
      </w:pPr>
    </w:p>
    <w:p w14:paraId="289E3FE5" w14:textId="4B3096B8" w:rsidR="007B6159" w:rsidRDefault="008F38CB" w:rsidP="007B6159">
      <w:pPr>
        <w:spacing w:line="360" w:lineRule="auto"/>
        <w:jc w:val="both"/>
        <w:rPr>
          <w:rFonts w:ascii="Arial" w:hAnsi="Arial" w:cs="Arial"/>
          <w:b/>
          <w:bCs/>
          <w:sz w:val="22"/>
          <w:szCs w:val="22"/>
        </w:rPr>
      </w:pPr>
      <w:r w:rsidRPr="008F38CB">
        <w:rPr>
          <w:rFonts w:ascii="Arial" w:hAnsi="Arial" w:cs="Arial"/>
          <w:b/>
          <w:bCs/>
          <w:sz w:val="32"/>
          <w:szCs w:val="32"/>
        </w:rPr>
        <w:lastRenderedPageBreak/>
        <w:t>Refrences</w:t>
      </w:r>
    </w:p>
    <w:p w14:paraId="0ACF1520" w14:textId="492196AD" w:rsidR="00EC4A4B" w:rsidRPr="007B6159" w:rsidRDefault="00B13A95" w:rsidP="007B6159">
      <w:pPr>
        <w:spacing w:line="360" w:lineRule="auto"/>
        <w:jc w:val="both"/>
        <w:rPr>
          <w:rFonts w:ascii="Arial" w:hAnsi="Arial" w:cs="Arial"/>
          <w:b/>
          <w:bCs/>
          <w:sz w:val="22"/>
          <w:szCs w:val="22"/>
        </w:rPr>
      </w:pPr>
      <w:r w:rsidRPr="00B13A95">
        <w:rPr>
          <w:rFonts w:ascii="Arial" w:eastAsia="Times New Roman" w:hAnsi="Arial" w:cs="Arial"/>
          <w:kern w:val="0"/>
          <w:sz w:val="22"/>
          <w:szCs w:val="22"/>
          <w:lang w:eastAsia="en-GB"/>
          <w14:ligatures w14:val="none"/>
        </w:rPr>
        <w:t xml:space="preserve">Nowak, S.A. (2025) ‘V. Braun, V. Clarke, Thematic Analysis. A Practical Guide Londyn: SAGE Publications Ltd, 2022, 376 s’, </w:t>
      </w:r>
      <w:r w:rsidRPr="00B13A95">
        <w:rPr>
          <w:rFonts w:ascii="Arial" w:eastAsia="Times New Roman" w:hAnsi="Arial" w:cs="Arial"/>
          <w:i/>
          <w:iCs/>
          <w:kern w:val="0"/>
          <w:sz w:val="22"/>
          <w:szCs w:val="22"/>
          <w:lang w:eastAsia="en-GB"/>
          <w14:ligatures w14:val="none"/>
        </w:rPr>
        <w:t>Neofilolog (Poznan. Online)</w:t>
      </w:r>
      <w:r w:rsidRPr="00B13A95">
        <w:rPr>
          <w:rFonts w:ascii="Arial" w:eastAsia="Times New Roman" w:hAnsi="Arial" w:cs="Arial"/>
          <w:kern w:val="0"/>
          <w:sz w:val="22"/>
          <w:szCs w:val="22"/>
          <w:lang w:eastAsia="en-GB"/>
          <w14:ligatures w14:val="none"/>
        </w:rPr>
        <w:t xml:space="preserve">, (64/2), pp. 470–474. Available at: </w:t>
      </w:r>
      <w:hyperlink r:id="rId5" w:history="1">
        <w:r w:rsidR="00EA4C3E" w:rsidRPr="00B13A95">
          <w:rPr>
            <w:rStyle w:val="Hyperlink"/>
            <w:rFonts w:ascii="Arial" w:eastAsia="Times New Roman" w:hAnsi="Arial" w:cs="Arial"/>
            <w:kern w:val="0"/>
            <w:sz w:val="22"/>
            <w:szCs w:val="22"/>
            <w:lang w:eastAsia="en-GB"/>
            <w14:ligatures w14:val="none"/>
          </w:rPr>
          <w:t>https://doi.org/10.14746/n.2024.64.2.15</w:t>
        </w:r>
      </w:hyperlink>
      <w:r w:rsidRPr="00B13A95">
        <w:rPr>
          <w:rFonts w:ascii="Arial" w:eastAsia="Times New Roman" w:hAnsi="Arial" w:cs="Arial"/>
          <w:kern w:val="0"/>
          <w:sz w:val="22"/>
          <w:szCs w:val="22"/>
          <w:lang w:eastAsia="en-GB"/>
          <w14:ligatures w14:val="none"/>
        </w:rPr>
        <w:t>.</w:t>
      </w:r>
      <w:r w:rsidR="00EA4C3E">
        <w:rPr>
          <w:rFonts w:ascii="Arial" w:eastAsia="Times New Roman" w:hAnsi="Arial" w:cs="Arial"/>
          <w:kern w:val="0"/>
          <w:sz w:val="22"/>
          <w:szCs w:val="22"/>
          <w:lang w:eastAsia="en-GB"/>
          <w14:ligatures w14:val="none"/>
        </w:rPr>
        <w:t xml:space="preserve"> </w:t>
      </w:r>
    </w:p>
    <w:p w14:paraId="0E5563CB" w14:textId="77777777" w:rsidR="00EA4C3E" w:rsidRPr="00EA4C3E" w:rsidRDefault="00EA4C3E" w:rsidP="00BF6B63">
      <w:pPr>
        <w:spacing w:after="0" w:line="360" w:lineRule="auto"/>
        <w:jc w:val="both"/>
        <w:rPr>
          <w:rFonts w:ascii="Arial" w:eastAsia="Times New Roman" w:hAnsi="Arial" w:cs="Arial"/>
          <w:kern w:val="0"/>
          <w:sz w:val="22"/>
          <w:szCs w:val="22"/>
          <w:lang w:eastAsia="en-GB"/>
          <w14:ligatures w14:val="none"/>
        </w:rPr>
      </w:pPr>
    </w:p>
    <w:p w14:paraId="1262904D" w14:textId="169B62F0" w:rsidR="00EA4C3E" w:rsidRDefault="00EA4C3E" w:rsidP="00BF6B63">
      <w:pPr>
        <w:pStyle w:val="NormalWeb"/>
        <w:spacing w:before="0" w:beforeAutospacing="0" w:after="0" w:afterAutospacing="0" w:line="360" w:lineRule="auto"/>
        <w:jc w:val="both"/>
        <w:rPr>
          <w:rFonts w:ascii="Arial" w:hAnsi="Arial" w:cs="Arial"/>
          <w:color w:val="000000"/>
          <w:sz w:val="22"/>
          <w:szCs w:val="22"/>
        </w:rPr>
      </w:pPr>
      <w:r w:rsidRPr="00EA4C3E">
        <w:rPr>
          <w:rFonts w:ascii="Arial" w:hAnsi="Arial" w:cs="Arial"/>
          <w:color w:val="000000"/>
          <w:sz w:val="22"/>
          <w:szCs w:val="22"/>
        </w:rPr>
        <w:t>Bansal, N. </w:t>
      </w:r>
      <w:r w:rsidRPr="00EA4C3E">
        <w:rPr>
          <w:rFonts w:ascii="Arial" w:hAnsi="Arial" w:cs="Arial"/>
          <w:i/>
          <w:iCs/>
          <w:color w:val="000000"/>
          <w:sz w:val="22"/>
          <w:szCs w:val="22"/>
        </w:rPr>
        <w:t>et al.</w:t>
      </w:r>
      <w:r w:rsidRPr="00EA4C3E">
        <w:rPr>
          <w:rFonts w:ascii="Arial" w:hAnsi="Arial" w:cs="Arial"/>
          <w:color w:val="000000"/>
          <w:sz w:val="22"/>
          <w:szCs w:val="22"/>
        </w:rPr>
        <w:t> (2022) ‘Understanding Ethnic Inequalities in Mental Healthcare in the UK: a meta-ethnography’, </w:t>
      </w:r>
      <w:r w:rsidRPr="00EA4C3E">
        <w:rPr>
          <w:rFonts w:ascii="Arial" w:hAnsi="Arial" w:cs="Arial"/>
          <w:i/>
          <w:iCs/>
          <w:color w:val="000000"/>
          <w:sz w:val="22"/>
          <w:szCs w:val="22"/>
        </w:rPr>
        <w:t>PLOS Medicine</w:t>
      </w:r>
      <w:r w:rsidRPr="00EA4C3E">
        <w:rPr>
          <w:rFonts w:ascii="Arial" w:hAnsi="Arial" w:cs="Arial"/>
          <w:color w:val="000000"/>
          <w:sz w:val="22"/>
          <w:szCs w:val="22"/>
        </w:rPr>
        <w:t xml:space="preserve">, 19(12), pp. 1–36. Available at: </w:t>
      </w:r>
      <w:hyperlink r:id="rId6" w:history="1">
        <w:r w:rsidRPr="007F61A1">
          <w:rPr>
            <w:rStyle w:val="Hyperlink"/>
            <w:rFonts w:ascii="Arial" w:hAnsi="Arial" w:cs="Arial"/>
            <w:sz w:val="22"/>
            <w:szCs w:val="22"/>
          </w:rPr>
          <w:t>https://doi.org/10.1371/journal.pmed.1004139</w:t>
        </w:r>
      </w:hyperlink>
      <w:r w:rsidRPr="00EA4C3E">
        <w:rPr>
          <w:rFonts w:ascii="Arial" w:hAnsi="Arial" w:cs="Arial"/>
          <w:color w:val="000000"/>
          <w:sz w:val="22"/>
          <w:szCs w:val="22"/>
        </w:rPr>
        <w:t>.</w:t>
      </w:r>
      <w:r>
        <w:rPr>
          <w:rFonts w:ascii="Arial" w:hAnsi="Arial" w:cs="Arial"/>
          <w:color w:val="000000"/>
          <w:sz w:val="22"/>
          <w:szCs w:val="22"/>
        </w:rPr>
        <w:t xml:space="preserve"> </w:t>
      </w:r>
      <w:r w:rsidR="00BF6B63">
        <w:rPr>
          <w:rFonts w:ascii="Arial" w:hAnsi="Arial" w:cs="Arial"/>
          <w:color w:val="000000"/>
          <w:sz w:val="22"/>
          <w:szCs w:val="22"/>
        </w:rPr>
        <w:t>(</w:t>
      </w:r>
      <w:r>
        <w:rPr>
          <w:rFonts w:ascii="Arial" w:hAnsi="Arial" w:cs="Arial"/>
          <w:color w:val="000000"/>
          <w:sz w:val="22"/>
          <w:szCs w:val="22"/>
        </w:rPr>
        <w:t>Accessed 16 November 2025).</w:t>
      </w:r>
    </w:p>
    <w:p w14:paraId="24D17413" w14:textId="40399E38" w:rsidR="00BF6B63" w:rsidRPr="00BF6B63" w:rsidRDefault="00BF6B63" w:rsidP="00BF6B63">
      <w:pPr>
        <w:pStyle w:val="NormalWeb"/>
        <w:spacing w:line="360" w:lineRule="auto"/>
        <w:jc w:val="both"/>
        <w:rPr>
          <w:rFonts w:ascii="Arial" w:hAnsi="Arial" w:cs="Arial"/>
          <w:color w:val="000000"/>
          <w:sz w:val="22"/>
          <w:szCs w:val="22"/>
        </w:rPr>
      </w:pPr>
      <w:r w:rsidRPr="00BF6B63">
        <w:rPr>
          <w:rFonts w:ascii="Arial" w:hAnsi="Arial" w:cs="Arial"/>
          <w:color w:val="000000"/>
          <w:sz w:val="22"/>
          <w:szCs w:val="22"/>
        </w:rPr>
        <w:t xml:space="preserve">Bhui, K., Ascoli, M. and Nuamh, O. (2012) ‘The place of race and racism in cultural competence: What can we learn from the English experience about the narratives of evidence and argument?’, Transcultural Psychiatry, 49(2), pp. 185–205. Available at: </w:t>
      </w:r>
      <w:hyperlink r:id="rId7" w:history="1">
        <w:r w:rsidRPr="007F61A1">
          <w:rPr>
            <w:rStyle w:val="Hyperlink"/>
            <w:rFonts w:ascii="Arial" w:hAnsi="Arial" w:cs="Arial"/>
            <w:sz w:val="22"/>
            <w:szCs w:val="22"/>
          </w:rPr>
          <w:t>https://doi.org/10.1177/1363461512437589</w:t>
        </w:r>
      </w:hyperlink>
      <w:r w:rsidRPr="00BF6B63">
        <w:rPr>
          <w:rFonts w:ascii="Arial" w:hAnsi="Arial" w:cs="Arial"/>
          <w:color w:val="000000"/>
          <w:sz w:val="22"/>
          <w:szCs w:val="22"/>
        </w:rPr>
        <w:t>.</w:t>
      </w:r>
      <w:r>
        <w:rPr>
          <w:rFonts w:ascii="Arial" w:hAnsi="Arial" w:cs="Arial"/>
          <w:color w:val="000000"/>
          <w:sz w:val="22"/>
          <w:szCs w:val="22"/>
        </w:rPr>
        <w:t xml:space="preserve"> (Accessed 17 November 2025).</w:t>
      </w:r>
    </w:p>
    <w:p w14:paraId="125EC25D" w14:textId="2D88D36C" w:rsidR="00BF6B63" w:rsidRPr="00BF6B63" w:rsidRDefault="00AC2BE4" w:rsidP="00151C3B">
      <w:pPr>
        <w:pStyle w:val="NormalWeb"/>
        <w:spacing w:line="360" w:lineRule="auto"/>
        <w:jc w:val="both"/>
        <w:rPr>
          <w:rFonts w:ascii="Arial" w:hAnsi="Arial" w:cs="Arial"/>
          <w:color w:val="000000"/>
          <w:sz w:val="22"/>
          <w:szCs w:val="22"/>
        </w:rPr>
      </w:pPr>
      <w:r w:rsidRPr="00AC2BE4">
        <w:rPr>
          <w:rFonts w:ascii="Arial" w:hAnsi="Arial" w:cs="Arial"/>
          <w:color w:val="000000"/>
          <w:sz w:val="22"/>
          <w:szCs w:val="22"/>
        </w:rPr>
        <w:t xml:space="preserve">Corrigan, P.W. and Watson, A.C. (2002). Understanding the impact of stigma on people with mental illness. World psychiatry: official journal of the World Psychiatric Association (WPA), [online] 1(1), pp.16–20. Available at: </w:t>
      </w:r>
      <w:hyperlink r:id="rId8" w:history="1">
        <w:r w:rsidRPr="007F61A1">
          <w:rPr>
            <w:rStyle w:val="Hyperlink"/>
            <w:rFonts w:ascii="Arial" w:hAnsi="Arial" w:cs="Arial"/>
            <w:sz w:val="22"/>
            <w:szCs w:val="22"/>
          </w:rPr>
          <w:t>https://pubmed.ncbi.nlm.nih.gov/16946807/</w:t>
        </w:r>
      </w:hyperlink>
      <w:r w:rsidRPr="00AC2BE4">
        <w:rPr>
          <w:rFonts w:ascii="Arial" w:hAnsi="Arial" w:cs="Arial"/>
          <w:color w:val="000000"/>
          <w:sz w:val="22"/>
          <w:szCs w:val="22"/>
        </w:rPr>
        <w:t>.</w:t>
      </w:r>
      <w:r>
        <w:rPr>
          <w:rFonts w:ascii="Arial" w:hAnsi="Arial" w:cs="Arial"/>
          <w:color w:val="000000"/>
          <w:sz w:val="22"/>
          <w:szCs w:val="22"/>
        </w:rPr>
        <w:t xml:space="preserve"> (Accessed November 2025).</w:t>
      </w:r>
    </w:p>
    <w:p w14:paraId="6A46A2A7" w14:textId="03BD7218" w:rsidR="00EA4C3E" w:rsidRDefault="00FE0DC8" w:rsidP="00151C3B">
      <w:pPr>
        <w:pStyle w:val="NormalWeb"/>
        <w:spacing w:line="360" w:lineRule="auto"/>
        <w:jc w:val="both"/>
        <w:rPr>
          <w:rFonts w:ascii="Arial" w:hAnsi="Arial" w:cs="Arial"/>
          <w:color w:val="000000"/>
          <w:sz w:val="22"/>
          <w:szCs w:val="22"/>
        </w:rPr>
      </w:pPr>
      <w:r w:rsidRPr="00FE0DC8">
        <w:rPr>
          <w:rFonts w:ascii="Arial" w:hAnsi="Arial" w:cs="Arial"/>
          <w:color w:val="000000"/>
          <w:sz w:val="22"/>
          <w:szCs w:val="22"/>
        </w:rPr>
        <w:t>Hinshaw, S.P. (2010). The mark of shame: stigma of mental illness and an agenda for change. New York, N.Y.; Oxford: Oxford University Press.</w:t>
      </w:r>
    </w:p>
    <w:p w14:paraId="1E4C6216" w14:textId="59E065E7" w:rsidR="00A60959" w:rsidRDefault="00A60959" w:rsidP="00A60959">
      <w:pPr>
        <w:spacing w:after="0" w:line="360" w:lineRule="auto"/>
        <w:jc w:val="both"/>
        <w:rPr>
          <w:rFonts w:ascii="Arial" w:eastAsia="Times New Roman" w:hAnsi="Arial" w:cs="Arial"/>
          <w:kern w:val="0"/>
          <w:sz w:val="22"/>
          <w:szCs w:val="22"/>
          <w:lang w:eastAsia="en-GB"/>
          <w14:ligatures w14:val="none"/>
        </w:rPr>
      </w:pPr>
      <w:r w:rsidRPr="00A60959">
        <w:rPr>
          <w:rFonts w:ascii="Arial" w:eastAsia="Times New Roman" w:hAnsi="Arial" w:cs="Arial"/>
          <w:kern w:val="0"/>
          <w:sz w:val="22"/>
          <w:szCs w:val="22"/>
          <w:lang w:eastAsia="en-GB"/>
          <w14:ligatures w14:val="none"/>
        </w:rPr>
        <w:t>Mantovani, N., Pizzolati, M. and Edge, D. (2017) ‘Exploring the relationship between stigma and help</w:t>
      </w:r>
      <w:r w:rsidRPr="00A60959">
        <w:rPr>
          <w:rFonts w:ascii="Cambria Math" w:eastAsia="Times New Roman" w:hAnsi="Cambria Math" w:cs="Cambria Math"/>
          <w:kern w:val="0"/>
          <w:sz w:val="22"/>
          <w:szCs w:val="22"/>
          <w:lang w:eastAsia="en-GB"/>
          <w14:ligatures w14:val="none"/>
        </w:rPr>
        <w:t>‐</w:t>
      </w:r>
      <w:r w:rsidRPr="00A60959">
        <w:rPr>
          <w:rFonts w:ascii="Arial" w:eastAsia="Times New Roman" w:hAnsi="Arial" w:cs="Arial"/>
          <w:kern w:val="0"/>
          <w:sz w:val="22"/>
          <w:szCs w:val="22"/>
          <w:lang w:eastAsia="en-GB"/>
          <w14:ligatures w14:val="none"/>
        </w:rPr>
        <w:t>seeking for mental illness in African</w:t>
      </w:r>
      <w:r w:rsidRPr="00A60959">
        <w:rPr>
          <w:rFonts w:ascii="Cambria Math" w:eastAsia="Times New Roman" w:hAnsi="Cambria Math" w:cs="Cambria Math"/>
          <w:kern w:val="0"/>
          <w:sz w:val="22"/>
          <w:szCs w:val="22"/>
          <w:lang w:eastAsia="en-GB"/>
          <w14:ligatures w14:val="none"/>
        </w:rPr>
        <w:t>‐</w:t>
      </w:r>
      <w:r w:rsidRPr="00A60959">
        <w:rPr>
          <w:rFonts w:ascii="Arial" w:eastAsia="Times New Roman" w:hAnsi="Arial" w:cs="Arial"/>
          <w:kern w:val="0"/>
          <w:sz w:val="22"/>
          <w:szCs w:val="22"/>
          <w:lang w:eastAsia="en-GB"/>
          <w14:ligatures w14:val="none"/>
        </w:rPr>
        <w:t xml:space="preserve">descended faith communities in the UK’, </w:t>
      </w:r>
      <w:r w:rsidRPr="00A60959">
        <w:rPr>
          <w:rFonts w:ascii="Arial" w:eastAsia="Times New Roman" w:hAnsi="Arial" w:cs="Arial"/>
          <w:i/>
          <w:iCs/>
          <w:kern w:val="0"/>
          <w:sz w:val="22"/>
          <w:szCs w:val="22"/>
          <w:lang w:eastAsia="en-GB"/>
          <w14:ligatures w14:val="none"/>
        </w:rPr>
        <w:t>Health expectations: an international journal of public participation in health care and health policy</w:t>
      </w:r>
      <w:r w:rsidRPr="00A60959">
        <w:rPr>
          <w:rFonts w:ascii="Arial" w:eastAsia="Times New Roman" w:hAnsi="Arial" w:cs="Arial"/>
          <w:kern w:val="0"/>
          <w:sz w:val="22"/>
          <w:szCs w:val="22"/>
          <w:lang w:eastAsia="en-GB"/>
          <w14:ligatures w14:val="none"/>
        </w:rPr>
        <w:t xml:space="preserve">, 20(3), pp. 373–384. Available at: </w:t>
      </w:r>
      <w:hyperlink r:id="rId9" w:history="1">
        <w:r w:rsidR="003C779A" w:rsidRPr="00A60959">
          <w:rPr>
            <w:rStyle w:val="Hyperlink"/>
            <w:rFonts w:ascii="Arial" w:eastAsia="Times New Roman" w:hAnsi="Arial" w:cs="Arial"/>
            <w:kern w:val="0"/>
            <w:sz w:val="22"/>
            <w:szCs w:val="22"/>
            <w:lang w:eastAsia="en-GB"/>
            <w14:ligatures w14:val="none"/>
          </w:rPr>
          <w:t>https://doi.org/10.1111/hex.12464</w:t>
        </w:r>
      </w:hyperlink>
      <w:r w:rsidRPr="00A60959">
        <w:rPr>
          <w:rFonts w:ascii="Arial" w:eastAsia="Times New Roman" w:hAnsi="Arial" w:cs="Arial"/>
          <w:kern w:val="0"/>
          <w:sz w:val="22"/>
          <w:szCs w:val="22"/>
          <w:lang w:eastAsia="en-GB"/>
          <w14:ligatures w14:val="none"/>
        </w:rPr>
        <w:t>.</w:t>
      </w:r>
    </w:p>
    <w:p w14:paraId="397CA542" w14:textId="77777777" w:rsidR="003C779A" w:rsidRPr="00A60959" w:rsidRDefault="003C779A" w:rsidP="00A60959">
      <w:pPr>
        <w:spacing w:after="0" w:line="360" w:lineRule="auto"/>
        <w:jc w:val="both"/>
        <w:rPr>
          <w:rFonts w:ascii="Arial" w:eastAsia="Times New Roman" w:hAnsi="Arial" w:cs="Arial"/>
          <w:kern w:val="0"/>
          <w:sz w:val="22"/>
          <w:szCs w:val="22"/>
          <w:lang w:eastAsia="en-GB"/>
          <w14:ligatures w14:val="none"/>
        </w:rPr>
      </w:pPr>
    </w:p>
    <w:p w14:paraId="2D940C6A" w14:textId="746D6EAE" w:rsidR="00EA4C3E" w:rsidRDefault="003C779A" w:rsidP="003C779A">
      <w:pPr>
        <w:spacing w:line="360" w:lineRule="auto"/>
        <w:jc w:val="both"/>
        <w:rPr>
          <w:rFonts w:ascii="Arial" w:hAnsi="Arial" w:cs="Arial"/>
          <w:sz w:val="22"/>
          <w:szCs w:val="22"/>
        </w:rPr>
      </w:pPr>
      <w:r w:rsidRPr="003C779A">
        <w:rPr>
          <w:rFonts w:ascii="Arial" w:hAnsi="Arial" w:cs="Arial"/>
          <w:sz w:val="22"/>
          <w:szCs w:val="22"/>
        </w:rPr>
        <w:t xml:space="preserve">Corrigan, P.W. et al. (2014) ‘Mental health stigma and primary health care decisions’, Psychiatry research, 218(1–2), pp. 35–38. Available at: </w:t>
      </w:r>
      <w:hyperlink r:id="rId10" w:history="1">
        <w:r w:rsidRPr="007F61A1">
          <w:rPr>
            <w:rStyle w:val="Hyperlink"/>
            <w:rFonts w:ascii="Arial" w:hAnsi="Arial" w:cs="Arial"/>
            <w:sz w:val="22"/>
            <w:szCs w:val="22"/>
          </w:rPr>
          <w:t>https://doi.org/10.1016/j.psychres.2014.04.028</w:t>
        </w:r>
      </w:hyperlink>
      <w:r w:rsidRPr="003C779A">
        <w:rPr>
          <w:rFonts w:ascii="Arial" w:hAnsi="Arial" w:cs="Arial"/>
          <w:sz w:val="22"/>
          <w:szCs w:val="22"/>
        </w:rPr>
        <w:t>.</w:t>
      </w:r>
    </w:p>
    <w:p w14:paraId="38627C4A" w14:textId="1441FB50" w:rsidR="003C779A" w:rsidRDefault="006E0A6E" w:rsidP="003C779A">
      <w:pPr>
        <w:spacing w:line="360" w:lineRule="auto"/>
        <w:jc w:val="both"/>
        <w:rPr>
          <w:rFonts w:ascii="Arial" w:hAnsi="Arial" w:cs="Arial"/>
          <w:sz w:val="22"/>
          <w:szCs w:val="22"/>
        </w:rPr>
      </w:pPr>
      <w:r w:rsidRPr="006E0A6E">
        <w:rPr>
          <w:rFonts w:ascii="Arial" w:hAnsi="Arial" w:cs="Arial"/>
          <w:sz w:val="22"/>
          <w:szCs w:val="22"/>
        </w:rPr>
        <w:t xml:space="preserve">Care Quality Commission (2024). Monitoring the Mental Health Act in 2022/23 - Care Quality Commission. [online] www.cqc.org.uk. Available at: </w:t>
      </w:r>
      <w:hyperlink r:id="rId11" w:history="1">
        <w:r w:rsidRPr="007F61A1">
          <w:rPr>
            <w:rStyle w:val="Hyperlink"/>
            <w:rFonts w:ascii="Arial" w:hAnsi="Arial" w:cs="Arial"/>
            <w:sz w:val="22"/>
            <w:szCs w:val="22"/>
          </w:rPr>
          <w:t>https://www.cqc.org.uk/publications/monitoring-mental-health-act/2022-2023</w:t>
        </w:r>
      </w:hyperlink>
      <w:r w:rsidRPr="006E0A6E">
        <w:rPr>
          <w:rFonts w:ascii="Arial" w:hAnsi="Arial" w:cs="Arial"/>
          <w:sz w:val="22"/>
          <w:szCs w:val="22"/>
        </w:rPr>
        <w:t>.</w:t>
      </w:r>
      <w:r>
        <w:rPr>
          <w:rFonts w:ascii="Arial" w:hAnsi="Arial" w:cs="Arial"/>
          <w:sz w:val="22"/>
          <w:szCs w:val="22"/>
        </w:rPr>
        <w:t xml:space="preserve"> (Accessed 16 November 2025).</w:t>
      </w:r>
    </w:p>
    <w:p w14:paraId="02282DDC" w14:textId="3898BAEE" w:rsidR="006E0A6E" w:rsidRPr="003C779A" w:rsidRDefault="00520076" w:rsidP="003C779A">
      <w:pPr>
        <w:spacing w:line="360" w:lineRule="auto"/>
        <w:jc w:val="both"/>
        <w:rPr>
          <w:rFonts w:ascii="Arial" w:hAnsi="Arial" w:cs="Arial"/>
          <w:sz w:val="22"/>
          <w:szCs w:val="22"/>
        </w:rPr>
      </w:pPr>
      <w:r w:rsidRPr="00520076">
        <w:rPr>
          <w:rFonts w:ascii="Arial" w:hAnsi="Arial" w:cs="Arial"/>
          <w:sz w:val="22"/>
          <w:szCs w:val="22"/>
        </w:rPr>
        <w:t xml:space="preserve">Mental Health Foundation (2024). Black, Asian and Minority Ethnic (BAME) Communities. [online] www.mentalhealth.org.uk. Available at: </w:t>
      </w:r>
      <w:hyperlink r:id="rId12" w:history="1">
        <w:r w:rsidRPr="007F61A1">
          <w:rPr>
            <w:rStyle w:val="Hyperlink"/>
            <w:rFonts w:ascii="Arial" w:hAnsi="Arial" w:cs="Arial"/>
            <w:sz w:val="22"/>
            <w:szCs w:val="22"/>
          </w:rPr>
          <w:t>https://www.mentalhealth.org.uk/explore-</w:t>
        </w:r>
        <w:r w:rsidRPr="007F61A1">
          <w:rPr>
            <w:rStyle w:val="Hyperlink"/>
            <w:rFonts w:ascii="Arial" w:hAnsi="Arial" w:cs="Arial"/>
            <w:sz w:val="22"/>
            <w:szCs w:val="22"/>
          </w:rPr>
          <w:lastRenderedPageBreak/>
          <w:t>mental-health/a-z-topics/black-asian-and-minority-ethnic-bame-communities</w:t>
        </w:r>
      </w:hyperlink>
      <w:r w:rsidRPr="00520076">
        <w:rPr>
          <w:rFonts w:ascii="Arial" w:hAnsi="Arial" w:cs="Arial"/>
          <w:sz w:val="22"/>
          <w:szCs w:val="22"/>
        </w:rPr>
        <w:t>.</w:t>
      </w:r>
      <w:r>
        <w:rPr>
          <w:rFonts w:ascii="Arial" w:hAnsi="Arial" w:cs="Arial"/>
          <w:sz w:val="22"/>
          <w:szCs w:val="22"/>
        </w:rPr>
        <w:t xml:space="preserve"> (Accessed 16 November 2025).</w:t>
      </w:r>
    </w:p>
    <w:p w14:paraId="169D11BF" w14:textId="261E2F0F" w:rsidR="00EC4A4B" w:rsidRDefault="00520076" w:rsidP="00AC2BE4">
      <w:pPr>
        <w:spacing w:line="360" w:lineRule="auto"/>
        <w:jc w:val="both"/>
        <w:rPr>
          <w:rFonts w:ascii="Arial" w:hAnsi="Arial" w:cs="Arial"/>
          <w:sz w:val="22"/>
          <w:szCs w:val="22"/>
        </w:rPr>
      </w:pPr>
      <w:r w:rsidRPr="00520076">
        <w:rPr>
          <w:rFonts w:ascii="Arial" w:hAnsi="Arial" w:cs="Arial"/>
          <w:sz w:val="22"/>
          <w:szCs w:val="22"/>
        </w:rPr>
        <w:t xml:space="preserve">NHS Digital. (2024). Mental Health Act Statistics, Annual Figures. [online] Available at: </w:t>
      </w:r>
      <w:hyperlink r:id="rId13" w:history="1">
        <w:r w:rsidRPr="007F61A1">
          <w:rPr>
            <w:rStyle w:val="Hyperlink"/>
            <w:rFonts w:ascii="Arial" w:hAnsi="Arial" w:cs="Arial"/>
            <w:sz w:val="22"/>
            <w:szCs w:val="22"/>
          </w:rPr>
          <w:t>https://digital.nhs.uk/data-and-information/publications/statistical/mental-health-act-statistics-annual-figures</w:t>
        </w:r>
      </w:hyperlink>
      <w:r w:rsidRPr="00520076">
        <w:rPr>
          <w:rFonts w:ascii="Arial" w:hAnsi="Arial" w:cs="Arial"/>
          <w:sz w:val="22"/>
          <w:szCs w:val="22"/>
        </w:rPr>
        <w:t>.</w:t>
      </w:r>
      <w:r>
        <w:rPr>
          <w:rFonts w:ascii="Arial" w:hAnsi="Arial" w:cs="Arial"/>
          <w:sz w:val="22"/>
          <w:szCs w:val="22"/>
        </w:rPr>
        <w:t xml:space="preserve"> (Accessed 16 November 2025).</w:t>
      </w:r>
    </w:p>
    <w:p w14:paraId="448FFC6A" w14:textId="77777777" w:rsidR="00786117" w:rsidRDefault="006044EF" w:rsidP="00EC4A4B">
      <w:pPr>
        <w:spacing w:line="360" w:lineRule="auto"/>
        <w:jc w:val="both"/>
        <w:rPr>
          <w:rFonts w:ascii="Arial" w:hAnsi="Arial" w:cs="Arial"/>
          <w:sz w:val="22"/>
          <w:szCs w:val="22"/>
        </w:rPr>
      </w:pPr>
      <w:r w:rsidRPr="006044EF">
        <w:rPr>
          <w:rFonts w:ascii="Arial" w:hAnsi="Arial" w:cs="Arial"/>
          <w:sz w:val="22"/>
          <w:szCs w:val="22"/>
        </w:rPr>
        <w:t xml:space="preserve">Corrigan, P. (2004) ‘How Stigma Interferes with Mental Health Care’, The American psychologist, 59(7), pp. 614–625. Available at: </w:t>
      </w:r>
      <w:hyperlink r:id="rId14" w:history="1">
        <w:r w:rsidRPr="007F61A1">
          <w:rPr>
            <w:rStyle w:val="Hyperlink"/>
            <w:rFonts w:ascii="Arial" w:hAnsi="Arial" w:cs="Arial"/>
            <w:sz w:val="22"/>
            <w:szCs w:val="22"/>
          </w:rPr>
          <w:t>https://doi.org/10.1037/0003-066X.59.7.614</w:t>
        </w:r>
      </w:hyperlink>
      <w:r w:rsidRPr="006044EF">
        <w:rPr>
          <w:rFonts w:ascii="Arial" w:hAnsi="Arial" w:cs="Arial"/>
          <w:sz w:val="22"/>
          <w:szCs w:val="22"/>
        </w:rPr>
        <w:t>.</w:t>
      </w:r>
    </w:p>
    <w:p w14:paraId="2391222D" w14:textId="0A8FE254" w:rsidR="00EC4A4B" w:rsidRPr="00786117" w:rsidRDefault="00786117" w:rsidP="00EC4A4B">
      <w:pPr>
        <w:spacing w:line="360" w:lineRule="auto"/>
        <w:jc w:val="both"/>
        <w:rPr>
          <w:rFonts w:ascii="Arial" w:hAnsi="Arial" w:cs="Arial"/>
          <w:sz w:val="22"/>
          <w:szCs w:val="22"/>
        </w:rPr>
      </w:pPr>
      <w:r w:rsidRPr="00786117">
        <w:rPr>
          <w:rFonts w:ascii="Arial" w:hAnsi="Arial" w:cs="Arial"/>
          <w:sz w:val="22"/>
          <w:szCs w:val="22"/>
        </w:rPr>
        <w:t>Goffman, E. (196</w:t>
      </w:r>
      <w:r w:rsidR="005B32A0">
        <w:rPr>
          <w:rFonts w:ascii="Arial" w:hAnsi="Arial" w:cs="Arial"/>
          <w:sz w:val="22"/>
          <w:szCs w:val="22"/>
        </w:rPr>
        <w:t>3</w:t>
      </w:r>
      <w:r w:rsidRPr="00786117">
        <w:rPr>
          <w:rFonts w:ascii="Arial" w:hAnsi="Arial" w:cs="Arial"/>
          <w:sz w:val="22"/>
          <w:szCs w:val="22"/>
        </w:rPr>
        <w:t xml:space="preserve">) 'Stigma: notes on the management of spoiled identity.,' Social Forces, 43(1), p. 127. </w:t>
      </w:r>
      <w:hyperlink r:id="rId15" w:history="1">
        <w:r w:rsidRPr="00786117">
          <w:rPr>
            <w:rStyle w:val="Hyperlink"/>
            <w:rFonts w:ascii="Arial" w:hAnsi="Arial" w:cs="Arial"/>
            <w:sz w:val="22"/>
            <w:szCs w:val="22"/>
          </w:rPr>
          <w:t>https://doi.org/10.2307/2575995</w:t>
        </w:r>
      </w:hyperlink>
      <w:r w:rsidRPr="00786117">
        <w:rPr>
          <w:rFonts w:ascii="Arial" w:hAnsi="Arial" w:cs="Arial"/>
          <w:sz w:val="22"/>
          <w:szCs w:val="22"/>
        </w:rPr>
        <w:t xml:space="preserve">. </w:t>
      </w:r>
      <w:r>
        <w:rPr>
          <w:rFonts w:ascii="Arial" w:hAnsi="Arial" w:cs="Arial"/>
          <w:sz w:val="22"/>
          <w:szCs w:val="22"/>
        </w:rPr>
        <w:t>(Accessed 16 November 2025).</w:t>
      </w:r>
    </w:p>
    <w:p w14:paraId="3771DAE3" w14:textId="7B595CA4" w:rsidR="00EC4A4B" w:rsidRPr="005B32A0" w:rsidRDefault="005B32A0" w:rsidP="00EC4A4B">
      <w:pPr>
        <w:spacing w:line="360" w:lineRule="auto"/>
        <w:jc w:val="both"/>
        <w:rPr>
          <w:rFonts w:ascii="Arial" w:hAnsi="Arial" w:cs="Arial"/>
          <w:sz w:val="22"/>
          <w:szCs w:val="22"/>
        </w:rPr>
      </w:pPr>
      <w:r w:rsidRPr="005B32A0">
        <w:rPr>
          <w:rFonts w:ascii="Arial" w:hAnsi="Arial" w:cs="Arial"/>
          <w:sz w:val="22"/>
          <w:szCs w:val="22"/>
        </w:rPr>
        <w:t xml:space="preserve">GOV.UK (2010). Equality Act 2010. [online] GOV.UK. Available at: </w:t>
      </w:r>
      <w:hyperlink r:id="rId16" w:history="1">
        <w:r w:rsidRPr="007F61A1">
          <w:rPr>
            <w:rStyle w:val="Hyperlink"/>
            <w:rFonts w:ascii="Arial" w:hAnsi="Arial" w:cs="Arial"/>
            <w:sz w:val="22"/>
            <w:szCs w:val="22"/>
          </w:rPr>
          <w:t>https://www.gov.uk/guidance/equality-act-2010-guidance</w:t>
        </w:r>
      </w:hyperlink>
      <w:r w:rsidRPr="005B32A0">
        <w:rPr>
          <w:rFonts w:ascii="Arial" w:hAnsi="Arial" w:cs="Arial"/>
          <w:sz w:val="22"/>
          <w:szCs w:val="22"/>
        </w:rPr>
        <w:t>.</w:t>
      </w:r>
      <w:r>
        <w:rPr>
          <w:rFonts w:ascii="Arial" w:hAnsi="Arial" w:cs="Arial"/>
          <w:sz w:val="22"/>
          <w:szCs w:val="22"/>
        </w:rPr>
        <w:t xml:space="preserve"> (Accessed 16 November 2025).</w:t>
      </w:r>
    </w:p>
    <w:p w14:paraId="40B5A30F" w14:textId="38E9A383" w:rsidR="00EC4A4B" w:rsidRPr="005B32A0" w:rsidRDefault="005B32A0" w:rsidP="00EC4A4B">
      <w:pPr>
        <w:spacing w:line="360" w:lineRule="auto"/>
        <w:jc w:val="both"/>
        <w:rPr>
          <w:rFonts w:ascii="Arial" w:hAnsi="Arial" w:cs="Arial"/>
          <w:sz w:val="22"/>
          <w:szCs w:val="22"/>
        </w:rPr>
      </w:pPr>
      <w:r w:rsidRPr="005B32A0">
        <w:rPr>
          <w:rFonts w:ascii="Arial" w:hAnsi="Arial" w:cs="Arial"/>
          <w:sz w:val="22"/>
          <w:szCs w:val="22"/>
        </w:rPr>
        <w:t xml:space="preserve">NHS England (2019). NHS Long Term Plan. [online] NHS England. Available at: </w:t>
      </w:r>
      <w:hyperlink r:id="rId17" w:history="1">
        <w:r w:rsidRPr="007F61A1">
          <w:rPr>
            <w:rStyle w:val="Hyperlink"/>
            <w:rFonts w:ascii="Arial" w:hAnsi="Arial" w:cs="Arial"/>
            <w:sz w:val="22"/>
            <w:szCs w:val="22"/>
          </w:rPr>
          <w:t>https://www.longtermplan.nhs.uk/</w:t>
        </w:r>
      </w:hyperlink>
      <w:r w:rsidRPr="005B32A0">
        <w:rPr>
          <w:rFonts w:ascii="Arial" w:hAnsi="Arial" w:cs="Arial"/>
          <w:sz w:val="22"/>
          <w:szCs w:val="22"/>
        </w:rPr>
        <w:t>.</w:t>
      </w:r>
      <w:r>
        <w:rPr>
          <w:rFonts w:ascii="Arial" w:hAnsi="Arial" w:cs="Arial"/>
          <w:sz w:val="22"/>
          <w:szCs w:val="22"/>
        </w:rPr>
        <w:t xml:space="preserve"> (Accessed 16 November 2025).</w:t>
      </w:r>
      <w:r w:rsidR="00646970">
        <w:rPr>
          <w:rFonts w:ascii="Arial" w:hAnsi="Arial" w:cs="Arial"/>
          <w:sz w:val="22"/>
          <w:szCs w:val="22"/>
        </w:rPr>
        <w:t xml:space="preserve"> </w:t>
      </w:r>
    </w:p>
    <w:p w14:paraId="50B3D217" w14:textId="3BACDB33" w:rsidR="00904CD2" w:rsidRPr="00904CD2" w:rsidRDefault="00E23C9D" w:rsidP="00904CD2">
      <w:pPr>
        <w:spacing w:line="360" w:lineRule="auto"/>
        <w:jc w:val="both"/>
        <w:rPr>
          <w:rFonts w:ascii="Arial" w:hAnsi="Arial" w:cs="Arial"/>
          <w:sz w:val="22"/>
          <w:szCs w:val="22"/>
        </w:rPr>
      </w:pPr>
      <w:r w:rsidRPr="00E23C9D">
        <w:rPr>
          <w:rFonts w:ascii="Arial" w:hAnsi="Arial" w:cs="Arial"/>
          <w:sz w:val="22"/>
          <w:szCs w:val="22"/>
        </w:rPr>
        <w:t xml:space="preserve">Bhui, K., Ascoli, M. and Nuamh, O. (2012) 'The place of race and racism in cultural competence: What can we learn from the English experience about the narratives of evidence and argument?' Transcultural Psychiatry, 49(2), pp. 185–205. </w:t>
      </w:r>
      <w:hyperlink r:id="rId18" w:history="1">
        <w:r w:rsidRPr="00ED2366">
          <w:rPr>
            <w:rStyle w:val="Hyperlink"/>
            <w:rFonts w:ascii="Arial" w:hAnsi="Arial" w:cs="Arial"/>
            <w:sz w:val="22"/>
            <w:szCs w:val="22"/>
          </w:rPr>
          <w:t>https://doi.org/10.1177/1363461512437589</w:t>
        </w:r>
      </w:hyperlink>
      <w:r w:rsidRPr="00E23C9D">
        <w:rPr>
          <w:rFonts w:ascii="Arial" w:hAnsi="Arial" w:cs="Arial"/>
          <w:sz w:val="22"/>
          <w:szCs w:val="22"/>
        </w:rPr>
        <w:t>.</w:t>
      </w:r>
      <w:r>
        <w:rPr>
          <w:rFonts w:ascii="Arial" w:hAnsi="Arial" w:cs="Arial"/>
          <w:sz w:val="22"/>
          <w:szCs w:val="22"/>
        </w:rPr>
        <w:t xml:space="preserve"> (Accessed 17</w:t>
      </w:r>
      <w:r w:rsidR="00754DB0">
        <w:rPr>
          <w:rFonts w:ascii="Arial" w:hAnsi="Arial" w:cs="Arial"/>
          <w:sz w:val="22"/>
          <w:szCs w:val="22"/>
        </w:rPr>
        <w:t xml:space="preserve"> November 2025).</w:t>
      </w:r>
    </w:p>
    <w:p w14:paraId="46543DF6" w14:textId="1F0D9C0E" w:rsidR="000E410F" w:rsidRDefault="00754DB0" w:rsidP="00393CA2">
      <w:pPr>
        <w:spacing w:line="360" w:lineRule="auto"/>
        <w:jc w:val="both"/>
        <w:rPr>
          <w:rFonts w:ascii="Arial" w:hAnsi="Arial" w:cs="Arial"/>
          <w:sz w:val="22"/>
          <w:szCs w:val="22"/>
        </w:rPr>
      </w:pPr>
      <w:r w:rsidRPr="00754DB0">
        <w:rPr>
          <w:rFonts w:ascii="Arial" w:hAnsi="Arial" w:cs="Arial"/>
          <w:sz w:val="22"/>
          <w:szCs w:val="22"/>
        </w:rPr>
        <w:t xml:space="preserve">Flores, G. (2006) 'Language barriers to health care in the United </w:t>
      </w:r>
      <w:r>
        <w:rPr>
          <w:rFonts w:ascii="Arial" w:hAnsi="Arial" w:cs="Arial"/>
          <w:sz w:val="22"/>
          <w:szCs w:val="22"/>
        </w:rPr>
        <w:t>Kingdom</w:t>
      </w:r>
      <w:r w:rsidRPr="00754DB0">
        <w:rPr>
          <w:rFonts w:ascii="Arial" w:hAnsi="Arial" w:cs="Arial"/>
          <w:sz w:val="22"/>
          <w:szCs w:val="22"/>
        </w:rPr>
        <w:t xml:space="preserve">,' New England Journal of Medicine, 355(3), pp. 229–231. </w:t>
      </w:r>
      <w:hyperlink r:id="rId19" w:history="1">
        <w:r w:rsidRPr="00ED2366">
          <w:rPr>
            <w:rStyle w:val="Hyperlink"/>
            <w:rFonts w:ascii="Arial" w:hAnsi="Arial" w:cs="Arial"/>
            <w:sz w:val="22"/>
            <w:szCs w:val="22"/>
          </w:rPr>
          <w:t>https://doi.org/10.1056/nejmp058316</w:t>
        </w:r>
      </w:hyperlink>
      <w:r w:rsidRPr="00754DB0">
        <w:rPr>
          <w:rFonts w:ascii="Arial" w:hAnsi="Arial" w:cs="Arial"/>
          <w:sz w:val="22"/>
          <w:szCs w:val="22"/>
        </w:rPr>
        <w:t>.</w:t>
      </w:r>
      <w:r>
        <w:rPr>
          <w:rFonts w:ascii="Arial" w:hAnsi="Arial" w:cs="Arial"/>
          <w:sz w:val="22"/>
          <w:szCs w:val="22"/>
        </w:rPr>
        <w:t xml:space="preserve"> (Accessed 17 November 2025).</w:t>
      </w:r>
    </w:p>
    <w:p w14:paraId="14ED0F7D" w14:textId="11DE5958" w:rsidR="00754DB0" w:rsidRPr="00754DB0" w:rsidRDefault="00004C7D" w:rsidP="00393CA2">
      <w:pPr>
        <w:spacing w:line="360" w:lineRule="auto"/>
        <w:jc w:val="both"/>
        <w:rPr>
          <w:rFonts w:ascii="Arial" w:hAnsi="Arial" w:cs="Arial"/>
          <w:sz w:val="22"/>
          <w:szCs w:val="22"/>
        </w:rPr>
      </w:pPr>
      <w:r w:rsidRPr="00004C7D">
        <w:rPr>
          <w:rFonts w:ascii="Arial" w:hAnsi="Arial" w:cs="Arial"/>
          <w:sz w:val="22"/>
          <w:szCs w:val="22"/>
        </w:rPr>
        <w:t xml:space="preserve">Bhatia, R. and Wallace, P. (2007) 'Experiences of refugees and asylum seekers in general practice: a qualitative study,' BMC Family Practice, 8(1), p. 48. </w:t>
      </w:r>
      <w:hyperlink r:id="rId20" w:history="1">
        <w:r w:rsidRPr="00ED2366">
          <w:rPr>
            <w:rStyle w:val="Hyperlink"/>
            <w:rFonts w:ascii="Arial" w:hAnsi="Arial" w:cs="Arial"/>
            <w:sz w:val="22"/>
            <w:szCs w:val="22"/>
          </w:rPr>
          <w:t>https://doi.org/10.1186/1471-2296-8-48</w:t>
        </w:r>
      </w:hyperlink>
      <w:r w:rsidRPr="00004C7D">
        <w:rPr>
          <w:rFonts w:ascii="Arial" w:hAnsi="Arial" w:cs="Arial"/>
          <w:sz w:val="22"/>
          <w:szCs w:val="22"/>
        </w:rPr>
        <w:t>.</w:t>
      </w:r>
      <w:r>
        <w:rPr>
          <w:rFonts w:ascii="Arial" w:hAnsi="Arial" w:cs="Arial"/>
          <w:sz w:val="22"/>
          <w:szCs w:val="22"/>
        </w:rPr>
        <w:t xml:space="preserve"> Accessed 17 November 2025).</w:t>
      </w:r>
    </w:p>
    <w:p w14:paraId="77D48C04" w14:textId="4D764A73" w:rsidR="000E410F" w:rsidRPr="00556B7C" w:rsidRDefault="00556B7C" w:rsidP="00556B7C">
      <w:pPr>
        <w:spacing w:line="360" w:lineRule="auto"/>
        <w:jc w:val="both"/>
        <w:rPr>
          <w:rFonts w:ascii="Arial" w:hAnsi="Arial" w:cs="Arial"/>
          <w:sz w:val="22"/>
          <w:szCs w:val="22"/>
        </w:rPr>
      </w:pPr>
      <w:r w:rsidRPr="00556B7C">
        <w:rPr>
          <w:rFonts w:ascii="Arial" w:hAnsi="Arial" w:cs="Arial"/>
          <w:sz w:val="22"/>
          <w:szCs w:val="22"/>
        </w:rPr>
        <w:t xml:space="preserve">Bauer, A.M., Chen, C.-N. and Alegría, M. (2010) 'English language proficiency and mental health service use among Latino and Asian Americans with mental disorders,' Medical Care, 48(12), pp. 1097–1104. </w:t>
      </w:r>
      <w:hyperlink r:id="rId21" w:history="1">
        <w:r w:rsidRPr="00556B7C">
          <w:rPr>
            <w:rStyle w:val="Hyperlink"/>
            <w:rFonts w:ascii="Arial" w:hAnsi="Arial" w:cs="Arial"/>
            <w:sz w:val="22"/>
            <w:szCs w:val="22"/>
          </w:rPr>
          <w:t>https://doi.org/10.1097/mlr.0b013e3181f80749</w:t>
        </w:r>
      </w:hyperlink>
      <w:r w:rsidRPr="00556B7C">
        <w:rPr>
          <w:rFonts w:ascii="Arial" w:hAnsi="Arial" w:cs="Arial"/>
          <w:sz w:val="22"/>
          <w:szCs w:val="22"/>
        </w:rPr>
        <w:t xml:space="preserve">. </w:t>
      </w:r>
      <w:r>
        <w:rPr>
          <w:rFonts w:ascii="Arial" w:hAnsi="Arial" w:cs="Arial"/>
          <w:sz w:val="22"/>
          <w:szCs w:val="22"/>
        </w:rPr>
        <w:t>(Accessed 18 November 2025).</w:t>
      </w:r>
    </w:p>
    <w:p w14:paraId="689784F3" w14:textId="4297DE83" w:rsidR="000E410F" w:rsidRPr="00556B7C" w:rsidRDefault="008D1CE2" w:rsidP="00556B7C">
      <w:pPr>
        <w:spacing w:line="360" w:lineRule="auto"/>
        <w:jc w:val="both"/>
        <w:rPr>
          <w:rFonts w:ascii="Arial" w:hAnsi="Arial" w:cs="Arial"/>
          <w:sz w:val="22"/>
          <w:szCs w:val="22"/>
        </w:rPr>
      </w:pPr>
      <w:r w:rsidRPr="008D1CE2">
        <w:rPr>
          <w:rFonts w:ascii="Arial" w:hAnsi="Arial" w:cs="Arial"/>
          <w:sz w:val="22"/>
          <w:szCs w:val="22"/>
        </w:rPr>
        <w:t xml:space="preserve">Ali, P.A. and Watson, R. (2017) 'Language barriers and their impact on provision of care to patients with limited English proficiency: Nurses’ perspectives,' Journal of Clinical Nursing, 27(5–6), pp. e1152–e1160. </w:t>
      </w:r>
      <w:hyperlink r:id="rId22" w:history="1">
        <w:r w:rsidRPr="00D56693">
          <w:rPr>
            <w:rStyle w:val="Hyperlink"/>
            <w:rFonts w:ascii="Arial" w:hAnsi="Arial" w:cs="Arial"/>
            <w:sz w:val="22"/>
            <w:szCs w:val="22"/>
          </w:rPr>
          <w:t>https://doi.org/10.1111/jocn.14204</w:t>
        </w:r>
      </w:hyperlink>
      <w:r w:rsidRPr="008D1CE2">
        <w:rPr>
          <w:rFonts w:ascii="Arial" w:hAnsi="Arial" w:cs="Arial"/>
          <w:sz w:val="22"/>
          <w:szCs w:val="22"/>
        </w:rPr>
        <w:t>.</w:t>
      </w:r>
      <w:r>
        <w:rPr>
          <w:rFonts w:ascii="Arial" w:hAnsi="Arial" w:cs="Arial"/>
          <w:sz w:val="22"/>
          <w:szCs w:val="22"/>
        </w:rPr>
        <w:t xml:space="preserve"> (Accessed 18 November 2025).</w:t>
      </w:r>
    </w:p>
    <w:p w14:paraId="4628A9A9" w14:textId="438C3488" w:rsidR="000E410F" w:rsidRPr="008D1CE2" w:rsidRDefault="008D1CE2" w:rsidP="008D1CE2">
      <w:pPr>
        <w:spacing w:line="360" w:lineRule="auto"/>
        <w:jc w:val="both"/>
        <w:rPr>
          <w:rFonts w:ascii="Arial" w:hAnsi="Arial" w:cs="Arial"/>
          <w:sz w:val="22"/>
          <w:szCs w:val="22"/>
        </w:rPr>
      </w:pPr>
      <w:r w:rsidRPr="008D1CE2">
        <w:rPr>
          <w:rFonts w:ascii="Arial" w:hAnsi="Arial" w:cs="Arial"/>
          <w:sz w:val="22"/>
          <w:szCs w:val="22"/>
        </w:rPr>
        <w:lastRenderedPageBreak/>
        <w:t xml:space="preserve">Priebe, S. et al. (2012) 'Good practice in mental health care for socially marginalised groups in Europe: a qualitative study of expert views in 14 countries,' BMC Public Health, 12(1), p. 248. </w:t>
      </w:r>
      <w:hyperlink r:id="rId23" w:history="1">
        <w:r w:rsidRPr="00D56693">
          <w:rPr>
            <w:rStyle w:val="Hyperlink"/>
            <w:rFonts w:ascii="Arial" w:hAnsi="Arial" w:cs="Arial"/>
            <w:sz w:val="22"/>
            <w:szCs w:val="22"/>
          </w:rPr>
          <w:t>https://doi.org/10.1186/1471-2458-12-248</w:t>
        </w:r>
      </w:hyperlink>
      <w:r w:rsidRPr="008D1CE2">
        <w:rPr>
          <w:rFonts w:ascii="Arial" w:hAnsi="Arial" w:cs="Arial"/>
          <w:sz w:val="22"/>
          <w:szCs w:val="22"/>
        </w:rPr>
        <w:t>.</w:t>
      </w:r>
      <w:r>
        <w:rPr>
          <w:rFonts w:ascii="Arial" w:hAnsi="Arial" w:cs="Arial"/>
          <w:sz w:val="22"/>
          <w:szCs w:val="22"/>
        </w:rPr>
        <w:t xml:space="preserve"> (Accessed 18 November 2025).</w:t>
      </w:r>
    </w:p>
    <w:p w14:paraId="5622A4A5" w14:textId="4DCC9CA5" w:rsidR="000E410F" w:rsidRPr="008D1CE2" w:rsidRDefault="005E0CEB" w:rsidP="008D1CE2">
      <w:pPr>
        <w:spacing w:line="360" w:lineRule="auto"/>
        <w:jc w:val="both"/>
        <w:rPr>
          <w:rFonts w:ascii="Arial" w:hAnsi="Arial" w:cs="Arial"/>
          <w:sz w:val="22"/>
          <w:szCs w:val="22"/>
        </w:rPr>
      </w:pPr>
      <w:r w:rsidRPr="005E0CEB">
        <w:rPr>
          <w:rFonts w:ascii="Arial" w:hAnsi="Arial" w:cs="Arial"/>
          <w:sz w:val="22"/>
          <w:szCs w:val="22"/>
        </w:rPr>
        <w:t xml:space="preserve">NHS England (2025). NHS England» Accessible information standard. [online] England.nhs.uk. Available at: </w:t>
      </w:r>
      <w:hyperlink r:id="rId24" w:history="1">
        <w:r w:rsidRPr="00D56693">
          <w:rPr>
            <w:rStyle w:val="Hyperlink"/>
            <w:rFonts w:ascii="Arial" w:hAnsi="Arial" w:cs="Arial"/>
            <w:sz w:val="22"/>
            <w:szCs w:val="22"/>
          </w:rPr>
          <w:t>https://www.england.nhs.uk/accessible-information-standard/</w:t>
        </w:r>
      </w:hyperlink>
      <w:r w:rsidRPr="005E0CEB">
        <w:rPr>
          <w:rFonts w:ascii="Arial" w:hAnsi="Arial" w:cs="Arial"/>
          <w:sz w:val="22"/>
          <w:szCs w:val="22"/>
        </w:rPr>
        <w:t>.</w:t>
      </w:r>
      <w:r>
        <w:rPr>
          <w:rFonts w:ascii="Arial" w:hAnsi="Arial" w:cs="Arial"/>
          <w:sz w:val="22"/>
          <w:szCs w:val="22"/>
        </w:rPr>
        <w:t xml:space="preserve"> (Accessed 18 November 2025).</w:t>
      </w:r>
    </w:p>
    <w:p w14:paraId="1FE6676B" w14:textId="2D1B895B" w:rsidR="000E410F" w:rsidRPr="008D1CE2" w:rsidRDefault="00A65530" w:rsidP="008D1CE2">
      <w:pPr>
        <w:spacing w:line="360" w:lineRule="auto"/>
        <w:jc w:val="both"/>
        <w:rPr>
          <w:rFonts w:ascii="Arial" w:hAnsi="Arial" w:cs="Arial"/>
          <w:sz w:val="22"/>
          <w:szCs w:val="22"/>
        </w:rPr>
      </w:pPr>
      <w:r w:rsidRPr="00A65530">
        <w:rPr>
          <w:rFonts w:ascii="Arial" w:hAnsi="Arial" w:cs="Arial"/>
          <w:sz w:val="22"/>
          <w:szCs w:val="22"/>
        </w:rPr>
        <w:t xml:space="preserve">Public Health England (2015) Local action on health inequalities: improving health literacy. </w:t>
      </w:r>
      <w:hyperlink r:id="rId25" w:history="1">
        <w:r w:rsidRPr="00D56693">
          <w:rPr>
            <w:rStyle w:val="Hyperlink"/>
            <w:rFonts w:ascii="Arial" w:hAnsi="Arial" w:cs="Arial"/>
            <w:sz w:val="22"/>
            <w:szCs w:val="22"/>
          </w:rPr>
          <w:t>https://www.gov.uk/government/publications/local-action-on-health-inequalities-improving-health-literacy</w:t>
        </w:r>
      </w:hyperlink>
      <w:r w:rsidRPr="00A65530">
        <w:rPr>
          <w:rFonts w:ascii="Arial" w:hAnsi="Arial" w:cs="Arial"/>
          <w:sz w:val="22"/>
          <w:szCs w:val="22"/>
        </w:rPr>
        <w:t>.</w:t>
      </w:r>
      <w:r>
        <w:rPr>
          <w:rFonts w:ascii="Arial" w:hAnsi="Arial" w:cs="Arial"/>
          <w:sz w:val="22"/>
          <w:szCs w:val="22"/>
        </w:rPr>
        <w:t xml:space="preserve"> (Accessed 18 November 2025).</w:t>
      </w:r>
    </w:p>
    <w:p w14:paraId="1985F484" w14:textId="2538F35A" w:rsidR="000E410F" w:rsidRPr="007A55D6" w:rsidRDefault="007A55D6" w:rsidP="007A55D6">
      <w:pPr>
        <w:spacing w:line="360" w:lineRule="auto"/>
        <w:jc w:val="both"/>
        <w:rPr>
          <w:rFonts w:ascii="Arial" w:hAnsi="Arial" w:cs="Arial"/>
          <w:sz w:val="22"/>
          <w:szCs w:val="22"/>
        </w:rPr>
      </w:pPr>
      <w:r w:rsidRPr="007A55D6">
        <w:rPr>
          <w:rFonts w:ascii="Arial" w:hAnsi="Arial" w:cs="Arial"/>
          <w:sz w:val="22"/>
          <w:szCs w:val="22"/>
        </w:rPr>
        <w:t xml:space="preserve">Kapadia, D. et al. (2022) Ethnic Inequalities in Healthcare: A rapid evidence review. </w:t>
      </w:r>
      <w:hyperlink r:id="rId26" w:history="1">
        <w:r w:rsidRPr="00D56693">
          <w:rPr>
            <w:rStyle w:val="Hyperlink"/>
            <w:rFonts w:ascii="Arial" w:hAnsi="Arial" w:cs="Arial"/>
            <w:sz w:val="22"/>
            <w:szCs w:val="22"/>
          </w:rPr>
          <w:t>https://www.nhsrho.org/wp-content/uploads/2023/05/RHO-Rapid-Review-Final-Report_Summary_v.4.pdf</w:t>
        </w:r>
      </w:hyperlink>
      <w:r w:rsidRPr="007A55D6">
        <w:rPr>
          <w:rFonts w:ascii="Arial" w:hAnsi="Arial" w:cs="Arial"/>
          <w:sz w:val="22"/>
          <w:szCs w:val="22"/>
        </w:rPr>
        <w:t>.</w:t>
      </w:r>
      <w:r>
        <w:rPr>
          <w:rFonts w:ascii="Arial" w:hAnsi="Arial" w:cs="Arial"/>
          <w:sz w:val="22"/>
          <w:szCs w:val="22"/>
        </w:rPr>
        <w:t xml:space="preserve"> (Accessed 18 November 2025).</w:t>
      </w:r>
    </w:p>
    <w:p w14:paraId="467EEDF9" w14:textId="7AE0CF29" w:rsidR="000E410F" w:rsidRPr="007A55D6" w:rsidRDefault="000010D5" w:rsidP="007A55D6">
      <w:pPr>
        <w:spacing w:line="360" w:lineRule="auto"/>
        <w:jc w:val="both"/>
        <w:rPr>
          <w:rFonts w:ascii="Arial" w:hAnsi="Arial" w:cs="Arial"/>
          <w:sz w:val="22"/>
          <w:szCs w:val="22"/>
        </w:rPr>
      </w:pPr>
      <w:r w:rsidRPr="000010D5">
        <w:rPr>
          <w:rFonts w:ascii="Arial" w:hAnsi="Arial" w:cs="Arial"/>
          <w:sz w:val="22"/>
          <w:szCs w:val="22"/>
        </w:rPr>
        <w:t xml:space="preserve">GOV.UK (2010). Equality Act 2010. [online] Legislation.gov.uk. Available at: </w:t>
      </w:r>
      <w:hyperlink r:id="rId27" w:history="1">
        <w:r w:rsidRPr="009601FE">
          <w:rPr>
            <w:rStyle w:val="Hyperlink"/>
            <w:rFonts w:ascii="Arial" w:hAnsi="Arial" w:cs="Arial"/>
            <w:sz w:val="22"/>
            <w:szCs w:val="22"/>
          </w:rPr>
          <w:t>https://www.legislation.gov.uk/ukpga/2010/15/contents</w:t>
        </w:r>
      </w:hyperlink>
      <w:r w:rsidRPr="000010D5">
        <w:rPr>
          <w:rFonts w:ascii="Arial" w:hAnsi="Arial" w:cs="Arial"/>
          <w:sz w:val="22"/>
          <w:szCs w:val="22"/>
        </w:rPr>
        <w:t>.</w:t>
      </w:r>
      <w:r>
        <w:rPr>
          <w:rFonts w:ascii="Arial" w:hAnsi="Arial" w:cs="Arial"/>
          <w:sz w:val="22"/>
          <w:szCs w:val="22"/>
        </w:rPr>
        <w:t xml:space="preserve"> (Accessed 18 November 2025).</w:t>
      </w:r>
    </w:p>
    <w:p w14:paraId="0B39E0C5" w14:textId="3C27A857" w:rsidR="000E410F" w:rsidRPr="00646970" w:rsidRDefault="00646970" w:rsidP="00646970">
      <w:pPr>
        <w:spacing w:line="360" w:lineRule="auto"/>
        <w:jc w:val="both"/>
        <w:rPr>
          <w:rFonts w:ascii="Arial" w:hAnsi="Arial" w:cs="Arial"/>
          <w:sz w:val="22"/>
          <w:szCs w:val="22"/>
        </w:rPr>
      </w:pPr>
      <w:r w:rsidRPr="00646970">
        <w:rPr>
          <w:rFonts w:ascii="Arial" w:hAnsi="Arial" w:cs="Arial"/>
          <w:sz w:val="22"/>
          <w:szCs w:val="22"/>
        </w:rPr>
        <w:t xml:space="preserve">Hayanga, B., Stafford, M. and Bécares, L. (2021) 'Ethnic Inequalities in Healthcare Use and Care Quality among People with Multiple Long-Term Health Conditions Living in the United Kingdom: A Systematic Review and Narrative Synthesis,' International Journal of Environmental Research and Public Health, 18(23), p. 12599. </w:t>
      </w:r>
      <w:hyperlink r:id="rId28" w:history="1">
        <w:r w:rsidRPr="009601FE">
          <w:rPr>
            <w:rStyle w:val="Hyperlink"/>
            <w:rFonts w:ascii="Arial" w:hAnsi="Arial" w:cs="Arial"/>
            <w:sz w:val="22"/>
            <w:szCs w:val="22"/>
          </w:rPr>
          <w:t>https://doi.org/10.3390/ijerph182312599</w:t>
        </w:r>
      </w:hyperlink>
      <w:r w:rsidRPr="00646970">
        <w:rPr>
          <w:rFonts w:ascii="Arial" w:hAnsi="Arial" w:cs="Arial"/>
          <w:sz w:val="22"/>
          <w:szCs w:val="22"/>
        </w:rPr>
        <w:t>.</w:t>
      </w:r>
      <w:r>
        <w:rPr>
          <w:rFonts w:ascii="Arial" w:hAnsi="Arial" w:cs="Arial"/>
          <w:sz w:val="22"/>
          <w:szCs w:val="22"/>
        </w:rPr>
        <w:t xml:space="preserve"> (Accessed 18 November 2025).</w:t>
      </w:r>
    </w:p>
    <w:p w14:paraId="6A38BAD2" w14:textId="088608AD" w:rsidR="000E410F" w:rsidRPr="00CE384A" w:rsidRDefault="00CE384A" w:rsidP="00B022EE">
      <w:pPr>
        <w:spacing w:line="360" w:lineRule="auto"/>
        <w:jc w:val="both"/>
        <w:rPr>
          <w:rFonts w:ascii="Arial" w:hAnsi="Arial" w:cs="Arial"/>
          <w:sz w:val="22"/>
          <w:szCs w:val="22"/>
        </w:rPr>
      </w:pPr>
      <w:r w:rsidRPr="00CE384A">
        <w:rPr>
          <w:rFonts w:ascii="Arial" w:hAnsi="Arial" w:cs="Arial"/>
          <w:sz w:val="22"/>
          <w:szCs w:val="22"/>
        </w:rPr>
        <w:t xml:space="preserve">Richly, P. (2025) ‘Language barriers in mental healthcare: A critical analysis’, Australasian </w:t>
      </w:r>
      <w:r w:rsidR="00B022EE" w:rsidRPr="00CE384A">
        <w:rPr>
          <w:rFonts w:ascii="Arial" w:hAnsi="Arial" w:cs="Arial"/>
          <w:sz w:val="22"/>
          <w:szCs w:val="22"/>
        </w:rPr>
        <w:t>psychiatry:</w:t>
      </w:r>
      <w:r w:rsidRPr="00CE384A">
        <w:rPr>
          <w:rFonts w:ascii="Arial" w:hAnsi="Arial" w:cs="Arial"/>
          <w:sz w:val="22"/>
          <w:szCs w:val="22"/>
        </w:rPr>
        <w:t xml:space="preserve"> bulletin of the Royal Australian and New Zealand College of Psychiatrists, 33(3), pp. 336–338. Available at: </w:t>
      </w:r>
      <w:hyperlink r:id="rId29" w:history="1">
        <w:r w:rsidR="00B022EE" w:rsidRPr="002C0E26">
          <w:rPr>
            <w:rStyle w:val="Hyperlink"/>
            <w:rFonts w:ascii="Arial" w:hAnsi="Arial" w:cs="Arial"/>
            <w:sz w:val="22"/>
            <w:szCs w:val="22"/>
          </w:rPr>
          <w:t>https://doi.org/10.1177/10398562251316102</w:t>
        </w:r>
      </w:hyperlink>
      <w:r w:rsidRPr="00CE384A">
        <w:rPr>
          <w:rFonts w:ascii="Arial" w:hAnsi="Arial" w:cs="Arial"/>
          <w:sz w:val="22"/>
          <w:szCs w:val="22"/>
        </w:rPr>
        <w:t>.</w:t>
      </w:r>
      <w:r w:rsidR="00B022EE">
        <w:rPr>
          <w:rFonts w:ascii="Arial" w:hAnsi="Arial" w:cs="Arial"/>
          <w:sz w:val="22"/>
          <w:szCs w:val="22"/>
        </w:rPr>
        <w:t xml:space="preserve"> (Accessed 18 November 2025).</w:t>
      </w:r>
    </w:p>
    <w:p w14:paraId="78910326" w14:textId="0CECC619" w:rsidR="000B526B" w:rsidRDefault="000B526B">
      <w:pPr>
        <w:spacing w:line="360" w:lineRule="auto"/>
        <w:jc w:val="both"/>
        <w:rPr>
          <w:rFonts w:ascii="Arial" w:hAnsi="Arial" w:cs="Arial"/>
          <w:sz w:val="22"/>
          <w:szCs w:val="22"/>
        </w:rPr>
      </w:pPr>
      <w:r w:rsidRPr="000B526B">
        <w:rPr>
          <w:rFonts w:ascii="Arial" w:hAnsi="Arial" w:cs="Arial"/>
          <w:sz w:val="22"/>
          <w:szCs w:val="22"/>
        </w:rPr>
        <w:t xml:space="preserve">Salway, S. et al. (2020) 'Transforming the health system for the UK’s multiethnic population,' BMJ, 368, p. m268. </w:t>
      </w:r>
      <w:hyperlink r:id="rId30" w:history="1">
        <w:r w:rsidRPr="002C0E26">
          <w:rPr>
            <w:rStyle w:val="Hyperlink"/>
            <w:rFonts w:ascii="Arial" w:hAnsi="Arial" w:cs="Arial"/>
            <w:sz w:val="22"/>
            <w:szCs w:val="22"/>
          </w:rPr>
          <w:t>https://doi.org/10.1136/bmj.m268</w:t>
        </w:r>
      </w:hyperlink>
      <w:r w:rsidRPr="000B526B">
        <w:rPr>
          <w:rFonts w:ascii="Arial" w:hAnsi="Arial" w:cs="Arial"/>
          <w:sz w:val="22"/>
          <w:szCs w:val="22"/>
        </w:rPr>
        <w:t>.</w:t>
      </w:r>
      <w:r>
        <w:rPr>
          <w:rFonts w:ascii="Arial" w:hAnsi="Arial" w:cs="Arial"/>
          <w:sz w:val="22"/>
          <w:szCs w:val="22"/>
        </w:rPr>
        <w:t xml:space="preserve"> (Accessed 18 November 2025).</w:t>
      </w:r>
    </w:p>
    <w:p w14:paraId="27A09DF4" w14:textId="7A86C5C4" w:rsidR="008A0099" w:rsidRDefault="008A0099">
      <w:pPr>
        <w:spacing w:line="360" w:lineRule="auto"/>
        <w:jc w:val="both"/>
        <w:rPr>
          <w:rFonts w:ascii="Arial" w:hAnsi="Arial" w:cs="Arial"/>
          <w:sz w:val="22"/>
          <w:szCs w:val="22"/>
        </w:rPr>
      </w:pPr>
      <w:r w:rsidRPr="008A0099">
        <w:rPr>
          <w:rFonts w:ascii="Arial" w:hAnsi="Arial" w:cs="Arial"/>
          <w:sz w:val="22"/>
          <w:szCs w:val="22"/>
        </w:rPr>
        <w:t xml:space="preserve">Byrne, B. et al. (2020) Ethnicity, race and inequality in the UK: state of the nation. 1st ed. Bristol: Policy Press. Available at: </w:t>
      </w:r>
      <w:hyperlink r:id="rId31" w:history="1">
        <w:r w:rsidRPr="00617B21">
          <w:rPr>
            <w:rStyle w:val="Hyperlink"/>
            <w:rFonts w:ascii="Arial" w:hAnsi="Arial" w:cs="Arial"/>
            <w:sz w:val="22"/>
            <w:szCs w:val="22"/>
          </w:rPr>
          <w:t>https://doi.org/10.56687/9781447351269</w:t>
        </w:r>
      </w:hyperlink>
      <w:r w:rsidRPr="008A0099">
        <w:rPr>
          <w:rFonts w:ascii="Arial" w:hAnsi="Arial" w:cs="Arial"/>
          <w:sz w:val="22"/>
          <w:szCs w:val="22"/>
        </w:rPr>
        <w:t>.</w:t>
      </w:r>
      <w:r>
        <w:rPr>
          <w:rFonts w:ascii="Arial" w:hAnsi="Arial" w:cs="Arial"/>
          <w:sz w:val="22"/>
          <w:szCs w:val="22"/>
        </w:rPr>
        <w:t xml:space="preserve"> (Accessed 18 November 2025).</w:t>
      </w:r>
    </w:p>
    <w:p w14:paraId="3E8C7B45" w14:textId="118D5BBA" w:rsidR="008A0099" w:rsidRDefault="00F70D6F">
      <w:pPr>
        <w:spacing w:line="360" w:lineRule="auto"/>
        <w:jc w:val="both"/>
        <w:rPr>
          <w:rFonts w:ascii="Arial" w:hAnsi="Arial" w:cs="Arial"/>
          <w:sz w:val="22"/>
          <w:szCs w:val="22"/>
        </w:rPr>
      </w:pPr>
      <w:r w:rsidRPr="00F70D6F">
        <w:rPr>
          <w:rFonts w:ascii="Arial" w:hAnsi="Arial" w:cs="Arial"/>
          <w:sz w:val="22"/>
          <w:szCs w:val="22"/>
        </w:rPr>
        <w:t xml:space="preserve">Karlsen, S. and Nazroo, J.Y. (2002) 'Agency and structure: the impact of ethnic identity and racism on the health of ethnic minority people,' Sociology of Health &amp; Illness, 24(1), pp. 1–20. </w:t>
      </w:r>
      <w:hyperlink r:id="rId32" w:history="1">
        <w:r w:rsidRPr="00617B21">
          <w:rPr>
            <w:rStyle w:val="Hyperlink"/>
            <w:rFonts w:ascii="Arial" w:hAnsi="Arial" w:cs="Arial"/>
            <w:sz w:val="22"/>
            <w:szCs w:val="22"/>
          </w:rPr>
          <w:t>https://doi.org/10.1111/1467-9566.00001</w:t>
        </w:r>
      </w:hyperlink>
      <w:r w:rsidRPr="00F70D6F">
        <w:rPr>
          <w:rFonts w:ascii="Arial" w:hAnsi="Arial" w:cs="Arial"/>
          <w:sz w:val="22"/>
          <w:szCs w:val="22"/>
        </w:rPr>
        <w:t>.</w:t>
      </w:r>
      <w:r>
        <w:rPr>
          <w:rFonts w:ascii="Arial" w:hAnsi="Arial" w:cs="Arial"/>
          <w:sz w:val="22"/>
          <w:szCs w:val="22"/>
        </w:rPr>
        <w:t xml:space="preserve"> (Accessed 18 November 2025).</w:t>
      </w:r>
    </w:p>
    <w:p w14:paraId="7AA8BE26" w14:textId="6C59B9F9" w:rsidR="008A0099" w:rsidRDefault="00F70D6F" w:rsidP="00F70D6F">
      <w:pPr>
        <w:spacing w:line="360" w:lineRule="auto"/>
        <w:jc w:val="both"/>
        <w:rPr>
          <w:rFonts w:ascii="Arial" w:hAnsi="Arial" w:cs="Arial"/>
          <w:sz w:val="22"/>
          <w:szCs w:val="22"/>
        </w:rPr>
      </w:pPr>
      <w:r w:rsidRPr="00F70D6F">
        <w:rPr>
          <w:rFonts w:ascii="Arial" w:hAnsi="Arial" w:cs="Arial"/>
          <w:sz w:val="22"/>
          <w:szCs w:val="22"/>
        </w:rPr>
        <w:lastRenderedPageBreak/>
        <w:t xml:space="preserve">Memon, A. et al. (2016) ‘Perceived barriers to accessing mental health services among black and minority ethnic communities: a qualitative study in southeast England’, The Lancet (British edition), 388, pp. S76–S76. Available at: </w:t>
      </w:r>
      <w:hyperlink r:id="rId33" w:history="1">
        <w:r w:rsidRPr="00617B21">
          <w:rPr>
            <w:rStyle w:val="Hyperlink"/>
            <w:rFonts w:ascii="Arial" w:hAnsi="Arial" w:cs="Arial"/>
            <w:sz w:val="22"/>
            <w:szCs w:val="22"/>
          </w:rPr>
          <w:t>https://doi.org/10.1016/S0140-6736(16)32312-1</w:t>
        </w:r>
      </w:hyperlink>
      <w:r w:rsidRPr="00F70D6F">
        <w:rPr>
          <w:rFonts w:ascii="Arial" w:hAnsi="Arial" w:cs="Arial"/>
          <w:sz w:val="22"/>
          <w:szCs w:val="22"/>
        </w:rPr>
        <w:t>.</w:t>
      </w:r>
      <w:r>
        <w:rPr>
          <w:rFonts w:ascii="Arial" w:hAnsi="Arial" w:cs="Arial"/>
          <w:sz w:val="22"/>
          <w:szCs w:val="22"/>
        </w:rPr>
        <w:t xml:space="preserve"> </w:t>
      </w:r>
    </w:p>
    <w:p w14:paraId="3461D0A1" w14:textId="6345C43A" w:rsidR="00F70D6F" w:rsidRDefault="00B41D63" w:rsidP="00F70D6F">
      <w:pPr>
        <w:spacing w:line="360" w:lineRule="auto"/>
        <w:jc w:val="both"/>
        <w:rPr>
          <w:rFonts w:ascii="Arial" w:hAnsi="Arial" w:cs="Arial"/>
          <w:sz w:val="22"/>
          <w:szCs w:val="22"/>
        </w:rPr>
      </w:pPr>
      <w:r w:rsidRPr="00B41D63">
        <w:rPr>
          <w:rFonts w:ascii="Arial" w:hAnsi="Arial" w:cs="Arial"/>
          <w:sz w:val="22"/>
          <w:szCs w:val="22"/>
        </w:rPr>
        <w:t xml:space="preserve">Salway, S. et al. (2016) 'Obstacles to “race equality” in the English National Health Service: Insights from the healthcare commissioning arena,' Social Science &amp; Medicine, 152, pp. 102–110. </w:t>
      </w:r>
      <w:hyperlink r:id="rId34" w:history="1">
        <w:r w:rsidRPr="00617B21">
          <w:rPr>
            <w:rStyle w:val="Hyperlink"/>
            <w:rFonts w:ascii="Arial" w:hAnsi="Arial" w:cs="Arial"/>
            <w:sz w:val="22"/>
            <w:szCs w:val="22"/>
          </w:rPr>
          <w:t>https://doi.org/10.1016/j.socscimed.2016.01.031</w:t>
        </w:r>
      </w:hyperlink>
      <w:r w:rsidRPr="00B41D63">
        <w:rPr>
          <w:rFonts w:ascii="Arial" w:hAnsi="Arial" w:cs="Arial"/>
          <w:sz w:val="22"/>
          <w:szCs w:val="22"/>
        </w:rPr>
        <w:t>.</w:t>
      </w:r>
      <w:r>
        <w:rPr>
          <w:rFonts w:ascii="Arial" w:hAnsi="Arial" w:cs="Arial"/>
          <w:sz w:val="22"/>
          <w:szCs w:val="22"/>
        </w:rPr>
        <w:t xml:space="preserve"> (Accessed 18 November 2025).</w:t>
      </w:r>
    </w:p>
    <w:p w14:paraId="0C260A48" w14:textId="1832E627" w:rsidR="00BF4961" w:rsidRDefault="00BF4961" w:rsidP="00F70D6F">
      <w:pPr>
        <w:spacing w:line="360" w:lineRule="auto"/>
        <w:jc w:val="both"/>
        <w:rPr>
          <w:rFonts w:ascii="Arial" w:hAnsi="Arial" w:cs="Arial"/>
          <w:sz w:val="22"/>
          <w:szCs w:val="22"/>
        </w:rPr>
      </w:pPr>
      <w:r w:rsidRPr="00BF4961">
        <w:rPr>
          <w:rFonts w:ascii="Arial" w:hAnsi="Arial" w:cs="Arial"/>
          <w:sz w:val="22"/>
          <w:szCs w:val="22"/>
        </w:rPr>
        <w:t xml:space="preserve">Pandey, M. et al. (2021) 'Impacts of English language proficiency on healthcare access, use, and outcomes among immigrants: a qualitative study,' BMC Health Services Research, 21(1), p. 741. </w:t>
      </w:r>
      <w:hyperlink r:id="rId35" w:history="1">
        <w:r w:rsidRPr="00617B21">
          <w:rPr>
            <w:rStyle w:val="Hyperlink"/>
            <w:rFonts w:ascii="Arial" w:hAnsi="Arial" w:cs="Arial"/>
            <w:sz w:val="22"/>
            <w:szCs w:val="22"/>
          </w:rPr>
          <w:t>https://doi.org/10.1186/s12913-021-06750-4</w:t>
        </w:r>
      </w:hyperlink>
      <w:r w:rsidRPr="00BF4961">
        <w:rPr>
          <w:rFonts w:ascii="Arial" w:hAnsi="Arial" w:cs="Arial"/>
          <w:sz w:val="22"/>
          <w:szCs w:val="22"/>
        </w:rPr>
        <w:t>.</w:t>
      </w:r>
      <w:r>
        <w:rPr>
          <w:rFonts w:ascii="Arial" w:hAnsi="Arial" w:cs="Arial"/>
          <w:sz w:val="22"/>
          <w:szCs w:val="22"/>
        </w:rPr>
        <w:t xml:space="preserve"> (Accessed 18 November 2025).</w:t>
      </w:r>
    </w:p>
    <w:p w14:paraId="79190217" w14:textId="67062D0D" w:rsidR="00C42F2E" w:rsidRDefault="00C42F2E" w:rsidP="00C42F2E">
      <w:pPr>
        <w:spacing w:line="360" w:lineRule="auto"/>
        <w:jc w:val="both"/>
        <w:rPr>
          <w:rFonts w:ascii="Arial" w:hAnsi="Arial" w:cs="Arial"/>
          <w:sz w:val="22"/>
          <w:szCs w:val="22"/>
        </w:rPr>
      </w:pPr>
      <w:r w:rsidRPr="00C42F2E">
        <w:rPr>
          <w:rFonts w:ascii="Arial" w:hAnsi="Arial" w:cs="Arial"/>
          <w:sz w:val="22"/>
          <w:szCs w:val="22"/>
        </w:rPr>
        <w:t xml:space="preserve">Adamson, J., Warfa, N. and Bhui, K. (2011) 'A case study of organisational cultural competence in mental healthcare,' BMC Health Services Research, 11(1), p. 218. </w:t>
      </w:r>
      <w:hyperlink r:id="rId36" w:history="1">
        <w:r w:rsidRPr="00617B21">
          <w:rPr>
            <w:rStyle w:val="Hyperlink"/>
            <w:rFonts w:ascii="Arial" w:hAnsi="Arial" w:cs="Arial"/>
            <w:sz w:val="22"/>
            <w:szCs w:val="22"/>
          </w:rPr>
          <w:t>https://doi.org/10.1186/1472-6963-11-218</w:t>
        </w:r>
      </w:hyperlink>
      <w:r w:rsidRPr="00C42F2E">
        <w:rPr>
          <w:rFonts w:ascii="Arial" w:hAnsi="Arial" w:cs="Arial"/>
          <w:sz w:val="22"/>
          <w:szCs w:val="22"/>
        </w:rPr>
        <w:t>.</w:t>
      </w:r>
      <w:r>
        <w:rPr>
          <w:rFonts w:ascii="Arial" w:hAnsi="Arial" w:cs="Arial"/>
          <w:sz w:val="22"/>
          <w:szCs w:val="22"/>
        </w:rPr>
        <w:t xml:space="preserve"> (Accessed 18 November 2025).</w:t>
      </w:r>
    </w:p>
    <w:p w14:paraId="2D185AB8" w14:textId="0DFF8129" w:rsidR="00C42F2E" w:rsidRDefault="006F2400" w:rsidP="00C42F2E">
      <w:pPr>
        <w:spacing w:line="360" w:lineRule="auto"/>
        <w:jc w:val="both"/>
        <w:rPr>
          <w:rFonts w:ascii="Arial" w:hAnsi="Arial" w:cs="Arial"/>
          <w:sz w:val="22"/>
          <w:szCs w:val="22"/>
        </w:rPr>
      </w:pPr>
      <w:r w:rsidRPr="006F2400">
        <w:rPr>
          <w:rFonts w:ascii="Arial" w:hAnsi="Arial" w:cs="Arial"/>
          <w:sz w:val="22"/>
          <w:szCs w:val="22"/>
        </w:rPr>
        <w:t xml:space="preserve">NHS England (2025). NHS England» Culturally Competent Inpatient Care. [online] England.nhs.uk. Available at: </w:t>
      </w:r>
      <w:hyperlink r:id="rId37" w:history="1">
        <w:r w:rsidRPr="00617B21">
          <w:rPr>
            <w:rStyle w:val="Hyperlink"/>
            <w:rFonts w:ascii="Arial" w:hAnsi="Arial" w:cs="Arial"/>
            <w:sz w:val="22"/>
            <w:szCs w:val="22"/>
          </w:rPr>
          <w:t>https://www.england.nhs.uk/long-read/culturally-competent-inpatient-care/</w:t>
        </w:r>
      </w:hyperlink>
      <w:r w:rsidRPr="006F2400">
        <w:rPr>
          <w:rFonts w:ascii="Arial" w:hAnsi="Arial" w:cs="Arial"/>
          <w:sz w:val="22"/>
          <w:szCs w:val="22"/>
        </w:rPr>
        <w:t>.</w:t>
      </w:r>
      <w:r>
        <w:rPr>
          <w:rFonts w:ascii="Arial" w:hAnsi="Arial" w:cs="Arial"/>
          <w:sz w:val="22"/>
          <w:szCs w:val="22"/>
        </w:rPr>
        <w:t xml:space="preserve"> (Accessed 18 2025).</w:t>
      </w:r>
    </w:p>
    <w:p w14:paraId="678E2640" w14:textId="6D258D1C" w:rsidR="00915D3F" w:rsidRDefault="00915D3F" w:rsidP="00C42F2E">
      <w:pPr>
        <w:spacing w:line="360" w:lineRule="auto"/>
        <w:jc w:val="both"/>
        <w:rPr>
          <w:rFonts w:ascii="Arial" w:hAnsi="Arial" w:cs="Arial"/>
          <w:sz w:val="22"/>
          <w:szCs w:val="22"/>
        </w:rPr>
      </w:pPr>
      <w:r w:rsidRPr="00915D3F">
        <w:rPr>
          <w:rFonts w:ascii="Arial" w:hAnsi="Arial" w:cs="Arial"/>
          <w:sz w:val="22"/>
          <w:szCs w:val="22"/>
        </w:rPr>
        <w:t xml:space="preserve">Chauhan, A. et al. (2020) 'The safety of health care for ethnic minority patients: a systematic review,' International Journal for Equity in Health, 19(1), p. 118. </w:t>
      </w:r>
      <w:hyperlink r:id="rId38" w:history="1">
        <w:r w:rsidRPr="00617B21">
          <w:rPr>
            <w:rStyle w:val="Hyperlink"/>
            <w:rFonts w:ascii="Arial" w:hAnsi="Arial" w:cs="Arial"/>
            <w:sz w:val="22"/>
            <w:szCs w:val="22"/>
          </w:rPr>
          <w:t>https://doi.org/10.1186/s12939-020-01223-2</w:t>
        </w:r>
      </w:hyperlink>
      <w:r w:rsidRPr="00915D3F">
        <w:rPr>
          <w:rFonts w:ascii="Arial" w:hAnsi="Arial" w:cs="Arial"/>
          <w:sz w:val="22"/>
          <w:szCs w:val="22"/>
        </w:rPr>
        <w:t>.</w:t>
      </w:r>
      <w:r>
        <w:rPr>
          <w:rFonts w:ascii="Arial" w:hAnsi="Arial" w:cs="Arial"/>
          <w:sz w:val="22"/>
          <w:szCs w:val="22"/>
        </w:rPr>
        <w:t xml:space="preserve">  (Accessed 18 November 2025).</w:t>
      </w:r>
    </w:p>
    <w:p w14:paraId="6D2F12BA" w14:textId="701A1427" w:rsidR="00615097" w:rsidRDefault="008D55F6" w:rsidP="00C42F2E">
      <w:pPr>
        <w:spacing w:line="360" w:lineRule="auto"/>
        <w:jc w:val="both"/>
        <w:rPr>
          <w:rFonts w:ascii="Arial" w:hAnsi="Arial" w:cs="Arial"/>
          <w:sz w:val="22"/>
          <w:szCs w:val="22"/>
        </w:rPr>
      </w:pPr>
      <w:proofErr w:type="spellStart"/>
      <w:r w:rsidRPr="004C6B6D">
        <w:rPr>
          <w:rFonts w:ascii="Arial" w:hAnsi="Arial" w:cs="Arial"/>
          <w:sz w:val="22"/>
          <w:szCs w:val="22"/>
        </w:rPr>
        <w:t>Nwokoroku</w:t>
      </w:r>
      <w:proofErr w:type="spellEnd"/>
      <w:r w:rsidRPr="004C6B6D">
        <w:rPr>
          <w:rFonts w:ascii="Arial" w:hAnsi="Arial" w:cs="Arial"/>
          <w:sz w:val="22"/>
          <w:szCs w:val="22"/>
        </w:rPr>
        <w:t xml:space="preserve">, S.C. et al. </w:t>
      </w:r>
      <w:r w:rsidRPr="008D55F6">
        <w:rPr>
          <w:rFonts w:ascii="Arial" w:hAnsi="Arial" w:cs="Arial"/>
          <w:sz w:val="22"/>
          <w:szCs w:val="22"/>
        </w:rPr>
        <w:t xml:space="preserve">(2022) 'A systematic review of the role of culture in the mental health service utilisation among ethnic minority groups in the United Kingdom,' Cambridge Prisms Global Mental Health, 9, pp. 84–93. </w:t>
      </w:r>
      <w:hyperlink r:id="rId39" w:history="1">
        <w:r w:rsidRPr="00AA4778">
          <w:rPr>
            <w:rStyle w:val="Hyperlink"/>
            <w:rFonts w:ascii="Arial" w:hAnsi="Arial" w:cs="Arial"/>
            <w:sz w:val="22"/>
            <w:szCs w:val="22"/>
          </w:rPr>
          <w:t>https://doi.org/10.1017/gmh.2022.2</w:t>
        </w:r>
      </w:hyperlink>
      <w:r w:rsidRPr="008D55F6">
        <w:rPr>
          <w:rFonts w:ascii="Arial" w:hAnsi="Arial" w:cs="Arial"/>
          <w:sz w:val="22"/>
          <w:szCs w:val="22"/>
        </w:rPr>
        <w:t>.</w:t>
      </w:r>
      <w:r>
        <w:rPr>
          <w:rFonts w:ascii="Arial" w:hAnsi="Arial" w:cs="Arial"/>
          <w:sz w:val="22"/>
          <w:szCs w:val="22"/>
        </w:rPr>
        <w:t xml:space="preserve"> </w:t>
      </w:r>
      <w:r w:rsidR="00615097">
        <w:rPr>
          <w:rFonts w:ascii="Arial" w:hAnsi="Arial" w:cs="Arial"/>
          <w:sz w:val="22"/>
          <w:szCs w:val="22"/>
        </w:rPr>
        <w:t>(Accessed 18 November 2025).</w:t>
      </w:r>
    </w:p>
    <w:p w14:paraId="3602BC94" w14:textId="7290855C" w:rsidR="00AE1D56" w:rsidRDefault="00AE1D56" w:rsidP="00C42F2E">
      <w:pPr>
        <w:spacing w:line="360" w:lineRule="auto"/>
        <w:jc w:val="both"/>
        <w:rPr>
          <w:rFonts w:ascii="Arial" w:hAnsi="Arial" w:cs="Arial"/>
          <w:sz w:val="22"/>
          <w:szCs w:val="22"/>
        </w:rPr>
      </w:pPr>
      <w:r w:rsidRPr="00AE1D56">
        <w:rPr>
          <w:rFonts w:ascii="Arial" w:hAnsi="Arial" w:cs="Arial"/>
          <w:sz w:val="22"/>
          <w:szCs w:val="22"/>
        </w:rPr>
        <w:t xml:space="preserve">Care Quality Commission (2024). Monitoring the Mental Health Act in 2022/23 - Care Quality Commission. [online] www.cqc.org.uk. Available at: </w:t>
      </w:r>
      <w:hyperlink r:id="rId40" w:history="1">
        <w:r w:rsidRPr="00AA4778">
          <w:rPr>
            <w:rStyle w:val="Hyperlink"/>
            <w:rFonts w:ascii="Arial" w:hAnsi="Arial" w:cs="Arial"/>
            <w:sz w:val="22"/>
            <w:szCs w:val="22"/>
          </w:rPr>
          <w:t>https://www.cqc.org.uk/publications/monitoring-mental-health-act/2022-2023</w:t>
        </w:r>
      </w:hyperlink>
      <w:r w:rsidRPr="00AE1D56">
        <w:rPr>
          <w:rFonts w:ascii="Arial" w:hAnsi="Arial" w:cs="Arial"/>
          <w:sz w:val="22"/>
          <w:szCs w:val="22"/>
        </w:rPr>
        <w:t>.</w:t>
      </w:r>
      <w:r>
        <w:rPr>
          <w:rFonts w:ascii="Arial" w:hAnsi="Arial" w:cs="Arial"/>
          <w:sz w:val="22"/>
          <w:szCs w:val="22"/>
        </w:rPr>
        <w:t xml:space="preserve"> (Accessed 18 November 2025).</w:t>
      </w:r>
    </w:p>
    <w:p w14:paraId="6F659D93" w14:textId="77777777" w:rsidR="009E0C22" w:rsidRDefault="00EA31F9" w:rsidP="00C42F2E">
      <w:pPr>
        <w:spacing w:line="360" w:lineRule="auto"/>
        <w:jc w:val="both"/>
      </w:pPr>
      <w:r w:rsidRPr="00EA31F9">
        <w:rPr>
          <w:rFonts w:ascii="Arial" w:hAnsi="Arial" w:cs="Arial"/>
          <w:sz w:val="22"/>
          <w:szCs w:val="22"/>
        </w:rPr>
        <w:t xml:space="preserve">Community Care. (2021). How Black and ethnic minority mental health patients’ cultural needs frequently go unmet. [online] Available at: </w:t>
      </w:r>
      <w:hyperlink r:id="rId41" w:history="1">
        <w:r w:rsidRPr="00AA4778">
          <w:rPr>
            <w:rStyle w:val="Hyperlink"/>
            <w:rFonts w:ascii="Arial" w:hAnsi="Arial" w:cs="Arial"/>
            <w:sz w:val="22"/>
            <w:szCs w:val="22"/>
          </w:rPr>
          <w:t>https://www.communitycare.co.uk/2021/01/08/black-ethnic-minority-mental-health-patients-cultural-needs-frequently-go-unmet/</w:t>
        </w:r>
      </w:hyperlink>
      <w:r w:rsidRPr="00EA31F9">
        <w:rPr>
          <w:rFonts w:ascii="Arial" w:hAnsi="Arial" w:cs="Arial"/>
          <w:sz w:val="22"/>
          <w:szCs w:val="22"/>
        </w:rPr>
        <w:t>.</w:t>
      </w:r>
      <w:r>
        <w:rPr>
          <w:rFonts w:ascii="Arial" w:hAnsi="Arial" w:cs="Arial"/>
          <w:sz w:val="22"/>
          <w:szCs w:val="22"/>
        </w:rPr>
        <w:t xml:space="preserve"> (Accessed 18 November 2025).</w:t>
      </w:r>
      <w:r w:rsidR="009E0C22" w:rsidRPr="009E0C22">
        <w:t xml:space="preserve"> </w:t>
      </w:r>
    </w:p>
    <w:p w14:paraId="4C6104CA" w14:textId="66227E93" w:rsidR="00AE1D56" w:rsidRDefault="00A36FEB" w:rsidP="00C42F2E">
      <w:pPr>
        <w:spacing w:line="360" w:lineRule="auto"/>
        <w:jc w:val="both"/>
        <w:rPr>
          <w:rFonts w:ascii="Arial" w:hAnsi="Arial" w:cs="Arial"/>
          <w:sz w:val="22"/>
          <w:szCs w:val="22"/>
        </w:rPr>
      </w:pPr>
      <w:proofErr w:type="spellStart"/>
      <w:r w:rsidRPr="00A36FEB">
        <w:rPr>
          <w:rFonts w:ascii="Arial" w:hAnsi="Arial" w:cs="Arial"/>
          <w:sz w:val="22"/>
          <w:szCs w:val="22"/>
        </w:rPr>
        <w:t>Bhui</w:t>
      </w:r>
      <w:proofErr w:type="spellEnd"/>
      <w:r w:rsidRPr="00A36FEB">
        <w:rPr>
          <w:rFonts w:ascii="Arial" w:hAnsi="Arial" w:cs="Arial"/>
          <w:sz w:val="22"/>
          <w:szCs w:val="22"/>
        </w:rPr>
        <w:t xml:space="preserve">, K. et al. (2007) 'Cultural competence in mental health care: a review of model evaluations,' BMC Health Services Research, 7(1), p. 15. </w:t>
      </w:r>
      <w:hyperlink r:id="rId42" w:history="1">
        <w:r w:rsidRPr="00AA4778">
          <w:rPr>
            <w:rStyle w:val="Hyperlink"/>
            <w:rFonts w:ascii="Arial" w:hAnsi="Arial" w:cs="Arial"/>
            <w:sz w:val="22"/>
            <w:szCs w:val="22"/>
          </w:rPr>
          <w:t>https://doi.org/10.1186/1472-6963-7-15</w:t>
        </w:r>
      </w:hyperlink>
      <w:r w:rsidRPr="00A36FEB">
        <w:rPr>
          <w:rFonts w:ascii="Arial" w:hAnsi="Arial" w:cs="Arial"/>
          <w:sz w:val="22"/>
          <w:szCs w:val="22"/>
        </w:rPr>
        <w:t>.</w:t>
      </w:r>
      <w:r>
        <w:rPr>
          <w:rFonts w:ascii="Arial" w:hAnsi="Arial" w:cs="Arial"/>
          <w:sz w:val="22"/>
          <w:szCs w:val="22"/>
        </w:rPr>
        <w:t xml:space="preserve"> </w:t>
      </w:r>
      <w:r w:rsidR="009E0C22">
        <w:rPr>
          <w:rFonts w:ascii="Arial" w:hAnsi="Arial" w:cs="Arial"/>
          <w:sz w:val="22"/>
          <w:szCs w:val="22"/>
        </w:rPr>
        <w:t xml:space="preserve"> (Accessed 18 November 2025).</w:t>
      </w:r>
    </w:p>
    <w:p w14:paraId="49A9B8D4" w14:textId="4EB03411" w:rsidR="00A36FEB" w:rsidRDefault="00A36FEB" w:rsidP="00C42F2E">
      <w:pPr>
        <w:spacing w:line="360" w:lineRule="auto"/>
        <w:jc w:val="both"/>
        <w:rPr>
          <w:rFonts w:ascii="Arial" w:hAnsi="Arial" w:cs="Arial"/>
          <w:sz w:val="22"/>
          <w:szCs w:val="22"/>
        </w:rPr>
      </w:pPr>
      <w:r w:rsidRPr="00A36FEB">
        <w:rPr>
          <w:rFonts w:ascii="Arial" w:hAnsi="Arial" w:cs="Arial"/>
          <w:sz w:val="22"/>
          <w:szCs w:val="22"/>
        </w:rPr>
        <w:lastRenderedPageBreak/>
        <w:t xml:space="preserve">Chu, J. and Leino, A. (2017) 'Advancement in the maturing science of cultural adaptations of evidence-based interventions.,' Journal of Consulting and Clinical Psychology, 85(1), pp. 45–57. </w:t>
      </w:r>
      <w:hyperlink r:id="rId43" w:history="1">
        <w:r w:rsidRPr="00AA4778">
          <w:rPr>
            <w:rStyle w:val="Hyperlink"/>
            <w:rFonts w:ascii="Arial" w:hAnsi="Arial" w:cs="Arial"/>
            <w:sz w:val="22"/>
            <w:szCs w:val="22"/>
          </w:rPr>
          <w:t>https://doi.org/10.1037/ccp0000145</w:t>
        </w:r>
      </w:hyperlink>
      <w:r w:rsidRPr="00A36FEB">
        <w:rPr>
          <w:rFonts w:ascii="Arial" w:hAnsi="Arial" w:cs="Arial"/>
          <w:sz w:val="22"/>
          <w:szCs w:val="22"/>
        </w:rPr>
        <w:t>.</w:t>
      </w:r>
      <w:r>
        <w:rPr>
          <w:rFonts w:ascii="Arial" w:hAnsi="Arial" w:cs="Arial"/>
          <w:sz w:val="22"/>
          <w:szCs w:val="22"/>
        </w:rPr>
        <w:t xml:space="preserve"> (Accessed 18 November 2025).</w:t>
      </w:r>
    </w:p>
    <w:p w14:paraId="65E80D50" w14:textId="262C19FC" w:rsidR="00CB2BC4" w:rsidRDefault="00CB2BC4" w:rsidP="00C42F2E">
      <w:pPr>
        <w:spacing w:line="360" w:lineRule="auto"/>
        <w:jc w:val="both"/>
        <w:rPr>
          <w:rFonts w:ascii="Arial" w:hAnsi="Arial" w:cs="Arial"/>
          <w:sz w:val="22"/>
          <w:szCs w:val="22"/>
        </w:rPr>
      </w:pPr>
      <w:r w:rsidRPr="00CB2BC4">
        <w:rPr>
          <w:rFonts w:ascii="Arial" w:hAnsi="Arial" w:cs="Arial"/>
          <w:sz w:val="22"/>
          <w:szCs w:val="22"/>
        </w:rPr>
        <w:t xml:space="preserve">NHS England (2020). NHS England» Advancing Mental Health Equalities Strategy. [online] www.england.nhs.uk. Available at: </w:t>
      </w:r>
      <w:hyperlink r:id="rId44" w:history="1">
        <w:r w:rsidRPr="00AA4778">
          <w:rPr>
            <w:rStyle w:val="Hyperlink"/>
            <w:rFonts w:ascii="Arial" w:hAnsi="Arial" w:cs="Arial"/>
            <w:sz w:val="22"/>
            <w:szCs w:val="22"/>
          </w:rPr>
          <w:t>https://www.england.nhs.uk/publication/advancing-mental-health-equalities-strategy/</w:t>
        </w:r>
      </w:hyperlink>
      <w:r w:rsidRPr="00CB2BC4">
        <w:rPr>
          <w:rFonts w:ascii="Arial" w:hAnsi="Arial" w:cs="Arial"/>
          <w:sz w:val="22"/>
          <w:szCs w:val="22"/>
        </w:rPr>
        <w:t>.</w:t>
      </w:r>
      <w:r>
        <w:rPr>
          <w:rFonts w:ascii="Arial" w:hAnsi="Arial" w:cs="Arial"/>
          <w:sz w:val="22"/>
          <w:szCs w:val="22"/>
        </w:rPr>
        <w:t xml:space="preserve"> (Accessed 18 November 2025).</w:t>
      </w:r>
    </w:p>
    <w:p w14:paraId="46365650" w14:textId="7DC0064F" w:rsidR="009E0C22" w:rsidRDefault="00EE407E" w:rsidP="00C42F2E">
      <w:pPr>
        <w:spacing w:line="360" w:lineRule="auto"/>
        <w:jc w:val="both"/>
        <w:rPr>
          <w:rFonts w:ascii="Arial" w:hAnsi="Arial" w:cs="Arial"/>
          <w:sz w:val="22"/>
          <w:szCs w:val="22"/>
        </w:rPr>
      </w:pPr>
      <w:r w:rsidRPr="00EE407E">
        <w:rPr>
          <w:rFonts w:ascii="Arial" w:hAnsi="Arial" w:cs="Arial"/>
          <w:sz w:val="22"/>
          <w:szCs w:val="22"/>
        </w:rPr>
        <w:t>PCREF plan - Cumbria, Northumberland, Tyne and Wear NHS Foundation Trust (2023) Cumbria, Northumberland, Tyne and Wear NHS Foundation Trust. Available at: https://www.cntw.nhs.uk/about/health-inequalities/pcref/pcref-plan/ (Accessed: 19 November 2025).</w:t>
      </w:r>
      <w:r>
        <w:rPr>
          <w:rFonts w:ascii="Arial" w:hAnsi="Arial" w:cs="Arial"/>
          <w:sz w:val="22"/>
          <w:szCs w:val="22"/>
        </w:rPr>
        <w:t xml:space="preserve"> </w:t>
      </w:r>
    </w:p>
    <w:p w14:paraId="6502AC49" w14:textId="67F3E8E2" w:rsidR="009E0C22" w:rsidRDefault="00EE407E" w:rsidP="00C42F2E">
      <w:pPr>
        <w:spacing w:line="360" w:lineRule="auto"/>
        <w:jc w:val="both"/>
        <w:rPr>
          <w:rFonts w:ascii="Arial" w:hAnsi="Arial" w:cs="Arial"/>
          <w:sz w:val="22"/>
          <w:szCs w:val="22"/>
        </w:rPr>
      </w:pPr>
      <w:r w:rsidRPr="00EE407E">
        <w:rPr>
          <w:rFonts w:ascii="Arial" w:hAnsi="Arial" w:cs="Arial"/>
          <w:sz w:val="22"/>
          <w:szCs w:val="22"/>
        </w:rPr>
        <w:t xml:space="preserve">NHS England (2024) NHS England» Patient and carer race equality framework, www.england.nhs.uk. Available at: </w:t>
      </w:r>
      <w:hyperlink r:id="rId45" w:history="1">
        <w:r w:rsidRPr="00083B5F">
          <w:rPr>
            <w:rStyle w:val="Hyperlink"/>
            <w:rFonts w:ascii="Arial" w:hAnsi="Arial" w:cs="Arial"/>
            <w:sz w:val="22"/>
            <w:szCs w:val="22"/>
          </w:rPr>
          <w:t>https://www.england.nhs.uk/mental-health/advancing-mental-health-equalities/pcref/</w:t>
        </w:r>
      </w:hyperlink>
      <w:r w:rsidRPr="00EE407E">
        <w:rPr>
          <w:rFonts w:ascii="Arial" w:hAnsi="Arial" w:cs="Arial"/>
          <w:sz w:val="22"/>
          <w:szCs w:val="22"/>
        </w:rPr>
        <w:t>.</w:t>
      </w:r>
      <w:r>
        <w:rPr>
          <w:rFonts w:ascii="Arial" w:hAnsi="Arial" w:cs="Arial"/>
          <w:sz w:val="22"/>
          <w:szCs w:val="22"/>
        </w:rPr>
        <w:t xml:space="preserve"> (Accessed 19 2025).</w:t>
      </w:r>
    </w:p>
    <w:p w14:paraId="35DFB269" w14:textId="61DBFE81" w:rsidR="00EE407E" w:rsidRDefault="00EE407E" w:rsidP="00C42F2E">
      <w:pPr>
        <w:spacing w:line="360" w:lineRule="auto"/>
        <w:jc w:val="both"/>
        <w:rPr>
          <w:rFonts w:ascii="Arial" w:hAnsi="Arial" w:cs="Arial"/>
          <w:sz w:val="22"/>
          <w:szCs w:val="22"/>
        </w:rPr>
      </w:pPr>
      <w:r w:rsidRPr="00EE407E">
        <w:rPr>
          <w:rFonts w:ascii="Arial" w:hAnsi="Arial" w:cs="Arial"/>
          <w:sz w:val="22"/>
          <w:szCs w:val="22"/>
        </w:rPr>
        <w:t xml:space="preserve">NHS England (2023) NHS equality, diversity, and Inclusion Improvement Plan, NHS England. Available at: </w:t>
      </w:r>
      <w:hyperlink r:id="rId46" w:history="1">
        <w:r w:rsidRPr="00083B5F">
          <w:rPr>
            <w:rStyle w:val="Hyperlink"/>
            <w:rFonts w:ascii="Arial" w:hAnsi="Arial" w:cs="Arial"/>
            <w:sz w:val="22"/>
            <w:szCs w:val="22"/>
          </w:rPr>
          <w:t>https://www.england.nhs.uk/long-read/nhs-equality-diversity-and-inclusion-improvement-plan/</w:t>
        </w:r>
      </w:hyperlink>
      <w:r w:rsidRPr="00EE407E">
        <w:rPr>
          <w:rFonts w:ascii="Arial" w:hAnsi="Arial" w:cs="Arial"/>
          <w:sz w:val="22"/>
          <w:szCs w:val="22"/>
        </w:rPr>
        <w:t>.</w:t>
      </w:r>
      <w:r>
        <w:rPr>
          <w:rFonts w:ascii="Arial" w:hAnsi="Arial" w:cs="Arial"/>
          <w:sz w:val="22"/>
          <w:szCs w:val="22"/>
        </w:rPr>
        <w:t xml:space="preserve"> (Accessed 19 2025).</w:t>
      </w:r>
    </w:p>
    <w:p w14:paraId="09CEF731" w14:textId="77777777" w:rsidR="006E7171" w:rsidRDefault="00212887" w:rsidP="00C42F2E">
      <w:pPr>
        <w:spacing w:line="360" w:lineRule="auto"/>
        <w:jc w:val="both"/>
      </w:pPr>
      <w:r w:rsidRPr="00212887">
        <w:rPr>
          <w:rFonts w:ascii="Arial" w:hAnsi="Arial" w:cs="Arial"/>
          <w:sz w:val="22"/>
          <w:szCs w:val="22"/>
        </w:rPr>
        <w:t xml:space="preserve">Mind (2020) About Mind. Available at: </w:t>
      </w:r>
      <w:hyperlink r:id="rId47" w:history="1">
        <w:r w:rsidRPr="00083B5F">
          <w:rPr>
            <w:rStyle w:val="Hyperlink"/>
            <w:rFonts w:ascii="Arial" w:hAnsi="Arial" w:cs="Arial"/>
            <w:sz w:val="22"/>
            <w:szCs w:val="22"/>
          </w:rPr>
          <w:t>https://www.mind.org.uk/media/6484/race-equality-briefing-final-oct-2020.pdf</w:t>
        </w:r>
      </w:hyperlink>
      <w:r w:rsidRPr="00212887">
        <w:rPr>
          <w:rFonts w:ascii="Arial" w:hAnsi="Arial" w:cs="Arial"/>
          <w:sz w:val="22"/>
          <w:szCs w:val="22"/>
        </w:rPr>
        <w:t>.</w:t>
      </w:r>
      <w:r>
        <w:rPr>
          <w:rFonts w:ascii="Arial" w:hAnsi="Arial" w:cs="Arial"/>
          <w:sz w:val="22"/>
          <w:szCs w:val="22"/>
        </w:rPr>
        <w:t xml:space="preserve"> Accessed 19 November 2025).</w:t>
      </w:r>
      <w:r w:rsidR="006E7171" w:rsidRPr="006E7171">
        <w:t xml:space="preserve"> </w:t>
      </w:r>
    </w:p>
    <w:p w14:paraId="484A84BF" w14:textId="0D324A29" w:rsidR="00AF295B" w:rsidRDefault="006E7171" w:rsidP="00C42F2E">
      <w:pPr>
        <w:spacing w:line="360" w:lineRule="auto"/>
        <w:jc w:val="both"/>
        <w:rPr>
          <w:rFonts w:ascii="Arial" w:hAnsi="Arial" w:cs="Arial"/>
          <w:sz w:val="22"/>
          <w:szCs w:val="22"/>
        </w:rPr>
      </w:pPr>
      <w:proofErr w:type="spellStart"/>
      <w:r w:rsidRPr="00C07094">
        <w:rPr>
          <w:rFonts w:ascii="Arial" w:hAnsi="Arial" w:cs="Arial"/>
          <w:sz w:val="22"/>
          <w:szCs w:val="22"/>
        </w:rPr>
        <w:t>Bamrah</w:t>
      </w:r>
      <w:proofErr w:type="spellEnd"/>
      <w:r w:rsidRPr="00C07094">
        <w:rPr>
          <w:rFonts w:ascii="Arial" w:hAnsi="Arial" w:cs="Arial"/>
          <w:sz w:val="22"/>
          <w:szCs w:val="22"/>
        </w:rPr>
        <w:t xml:space="preserve">, J.S. et al. </w:t>
      </w:r>
      <w:r w:rsidRPr="006E7171">
        <w:rPr>
          <w:rFonts w:ascii="Arial" w:hAnsi="Arial" w:cs="Arial"/>
          <w:sz w:val="22"/>
          <w:szCs w:val="22"/>
        </w:rPr>
        <w:t xml:space="preserve">(2025) 'NHS must tackle racism and sexism for the benefit of patients, staff, and society,' BMJ, 390, p. r1334. </w:t>
      </w:r>
      <w:hyperlink r:id="rId48" w:history="1">
        <w:r w:rsidRPr="00083B5F">
          <w:rPr>
            <w:rStyle w:val="Hyperlink"/>
            <w:rFonts w:ascii="Arial" w:hAnsi="Arial" w:cs="Arial"/>
            <w:sz w:val="22"/>
            <w:szCs w:val="22"/>
          </w:rPr>
          <w:t>https://doi.org/10.1136/bmj.r1334</w:t>
        </w:r>
      </w:hyperlink>
      <w:r w:rsidRPr="006E7171">
        <w:rPr>
          <w:rFonts w:ascii="Arial" w:hAnsi="Arial" w:cs="Arial"/>
          <w:sz w:val="22"/>
          <w:szCs w:val="22"/>
        </w:rPr>
        <w:t>.</w:t>
      </w:r>
      <w:r>
        <w:rPr>
          <w:rFonts w:ascii="Arial" w:hAnsi="Arial" w:cs="Arial"/>
          <w:sz w:val="22"/>
          <w:szCs w:val="22"/>
        </w:rPr>
        <w:t xml:space="preserve"> (Accessed 19 November 2025).</w:t>
      </w:r>
    </w:p>
    <w:p w14:paraId="259C02DA" w14:textId="31B4727A" w:rsidR="00AF295B" w:rsidRDefault="00AF295B" w:rsidP="00C42F2E">
      <w:pPr>
        <w:spacing w:line="360" w:lineRule="auto"/>
        <w:jc w:val="both"/>
        <w:rPr>
          <w:rFonts w:ascii="Arial" w:hAnsi="Arial" w:cs="Arial"/>
          <w:sz w:val="22"/>
          <w:szCs w:val="22"/>
        </w:rPr>
      </w:pPr>
      <w:r w:rsidRPr="00AF295B">
        <w:rPr>
          <w:rFonts w:ascii="Arial" w:hAnsi="Arial" w:cs="Arial"/>
          <w:sz w:val="22"/>
          <w:szCs w:val="22"/>
        </w:rPr>
        <w:t xml:space="preserve">Adamson, J., Warfa, N. and </w:t>
      </w:r>
      <w:proofErr w:type="spellStart"/>
      <w:r w:rsidRPr="00AF295B">
        <w:rPr>
          <w:rFonts w:ascii="Arial" w:hAnsi="Arial" w:cs="Arial"/>
          <w:sz w:val="22"/>
          <w:szCs w:val="22"/>
        </w:rPr>
        <w:t>Bhui</w:t>
      </w:r>
      <w:proofErr w:type="spellEnd"/>
      <w:r w:rsidRPr="00AF295B">
        <w:rPr>
          <w:rFonts w:ascii="Arial" w:hAnsi="Arial" w:cs="Arial"/>
          <w:sz w:val="22"/>
          <w:szCs w:val="22"/>
        </w:rPr>
        <w:t xml:space="preserve">, K. (2011) 'A case study of organisational cultural competence in mental healthcare,' BMC Health Services Research, 11(1), p. 218. </w:t>
      </w:r>
      <w:hyperlink r:id="rId49" w:history="1">
        <w:r w:rsidRPr="00083B5F">
          <w:rPr>
            <w:rStyle w:val="Hyperlink"/>
            <w:rFonts w:ascii="Arial" w:hAnsi="Arial" w:cs="Arial"/>
            <w:sz w:val="22"/>
            <w:szCs w:val="22"/>
          </w:rPr>
          <w:t>https://doi.org/10.1186/1472-6963-11-218</w:t>
        </w:r>
      </w:hyperlink>
      <w:r w:rsidRPr="00AF295B">
        <w:rPr>
          <w:rFonts w:ascii="Arial" w:hAnsi="Arial" w:cs="Arial"/>
          <w:sz w:val="22"/>
          <w:szCs w:val="22"/>
        </w:rPr>
        <w:t>.</w:t>
      </w:r>
      <w:r>
        <w:rPr>
          <w:rFonts w:ascii="Arial" w:hAnsi="Arial" w:cs="Arial"/>
          <w:sz w:val="22"/>
          <w:szCs w:val="22"/>
        </w:rPr>
        <w:t xml:space="preserve"> (Accessed 19 November 2025).</w:t>
      </w:r>
    </w:p>
    <w:p w14:paraId="006805D5" w14:textId="5E81CEB6" w:rsidR="00AF295B" w:rsidRDefault="00824292" w:rsidP="00C42F2E">
      <w:pPr>
        <w:spacing w:line="360" w:lineRule="auto"/>
        <w:jc w:val="both"/>
        <w:rPr>
          <w:rFonts w:ascii="Arial" w:hAnsi="Arial" w:cs="Arial"/>
          <w:sz w:val="22"/>
          <w:szCs w:val="22"/>
        </w:rPr>
      </w:pPr>
      <w:proofErr w:type="spellStart"/>
      <w:r w:rsidRPr="00824292">
        <w:rPr>
          <w:rFonts w:ascii="Arial" w:hAnsi="Arial" w:cs="Arial"/>
          <w:sz w:val="22"/>
          <w:szCs w:val="22"/>
        </w:rPr>
        <w:t>Bhui</w:t>
      </w:r>
      <w:proofErr w:type="spellEnd"/>
      <w:r w:rsidRPr="00824292">
        <w:rPr>
          <w:rFonts w:ascii="Arial" w:hAnsi="Arial" w:cs="Arial"/>
          <w:sz w:val="22"/>
          <w:szCs w:val="22"/>
        </w:rPr>
        <w:t xml:space="preserve">, K. et al. (2015) ‘Interventions designed to improve therapeutic communications between black and minority ethnic people and professionals working in psychiatric services: a systematic review of the evidence for their effectiveness’, Health Technology Assessment, 19(31), pp. 1–174. Available at: </w:t>
      </w:r>
      <w:hyperlink r:id="rId50" w:history="1">
        <w:r w:rsidRPr="00083B5F">
          <w:rPr>
            <w:rStyle w:val="Hyperlink"/>
            <w:rFonts w:ascii="Arial" w:hAnsi="Arial" w:cs="Arial"/>
            <w:sz w:val="22"/>
            <w:szCs w:val="22"/>
          </w:rPr>
          <w:t>https://doi.org/10.3310/hta19310</w:t>
        </w:r>
      </w:hyperlink>
      <w:r w:rsidRPr="00824292">
        <w:rPr>
          <w:rFonts w:ascii="Arial" w:hAnsi="Arial" w:cs="Arial"/>
          <w:sz w:val="22"/>
          <w:szCs w:val="22"/>
        </w:rPr>
        <w:t>.</w:t>
      </w:r>
      <w:r>
        <w:rPr>
          <w:rFonts w:ascii="Arial" w:hAnsi="Arial" w:cs="Arial"/>
          <w:sz w:val="22"/>
          <w:szCs w:val="22"/>
        </w:rPr>
        <w:t xml:space="preserve"> (Accessed 19 November 2025).</w:t>
      </w:r>
    </w:p>
    <w:p w14:paraId="0F0A9BB1" w14:textId="66CDD8C9" w:rsidR="00694538" w:rsidRDefault="00694538" w:rsidP="00C42F2E">
      <w:pPr>
        <w:spacing w:line="360" w:lineRule="auto"/>
        <w:jc w:val="both"/>
        <w:rPr>
          <w:rFonts w:ascii="Arial" w:hAnsi="Arial" w:cs="Arial"/>
          <w:sz w:val="22"/>
          <w:szCs w:val="22"/>
        </w:rPr>
      </w:pPr>
      <w:r w:rsidRPr="00694538">
        <w:rPr>
          <w:rFonts w:ascii="Arial" w:hAnsi="Arial" w:cs="Arial"/>
          <w:sz w:val="22"/>
          <w:szCs w:val="22"/>
        </w:rPr>
        <w:t xml:space="preserve">Kapadia, D. et al. (2022) Ethnic Inequalities in Healthcare: A Rapid Evidence Review. NHS Race and Health Observatory. Available at: </w:t>
      </w:r>
      <w:hyperlink r:id="rId51" w:history="1">
        <w:r w:rsidRPr="00083B5F">
          <w:rPr>
            <w:rStyle w:val="Hyperlink"/>
            <w:rFonts w:ascii="Arial" w:hAnsi="Arial" w:cs="Arial"/>
            <w:sz w:val="22"/>
            <w:szCs w:val="22"/>
          </w:rPr>
          <w:t>https://www.nhsrho.org/wp-content/uploads/2023/05/RHO-Rapid-Review-Final-Report_.pdf</w:t>
        </w:r>
      </w:hyperlink>
      <w:r w:rsidRPr="00694538">
        <w:rPr>
          <w:rFonts w:ascii="Arial" w:hAnsi="Arial" w:cs="Arial"/>
          <w:sz w:val="22"/>
          <w:szCs w:val="22"/>
        </w:rPr>
        <w:t>.</w:t>
      </w:r>
      <w:r>
        <w:rPr>
          <w:rFonts w:ascii="Arial" w:hAnsi="Arial" w:cs="Arial"/>
          <w:sz w:val="22"/>
          <w:szCs w:val="22"/>
        </w:rPr>
        <w:t xml:space="preserve"> (Accessed 19 November 2025).</w:t>
      </w:r>
    </w:p>
    <w:p w14:paraId="5F5B5C2A" w14:textId="558C5153" w:rsidR="00694538" w:rsidRDefault="00E84398" w:rsidP="00C42F2E">
      <w:pPr>
        <w:spacing w:line="360" w:lineRule="auto"/>
        <w:jc w:val="both"/>
        <w:rPr>
          <w:rFonts w:ascii="Arial" w:hAnsi="Arial" w:cs="Arial"/>
          <w:sz w:val="22"/>
          <w:szCs w:val="22"/>
        </w:rPr>
      </w:pPr>
      <w:r w:rsidRPr="00E84398">
        <w:rPr>
          <w:rFonts w:ascii="Arial" w:hAnsi="Arial" w:cs="Arial"/>
          <w:sz w:val="22"/>
          <w:szCs w:val="22"/>
        </w:rPr>
        <w:lastRenderedPageBreak/>
        <w:t xml:space="preserve">Memon, A. et al. (2016) 'Perceived barriers to accessing mental health services among black and minority ethnic (BME) communities: a qualitative study in Southeast England,' BMJ Open, 6(11), p. e012337. </w:t>
      </w:r>
      <w:hyperlink r:id="rId52" w:history="1">
        <w:r w:rsidRPr="00083B5F">
          <w:rPr>
            <w:rStyle w:val="Hyperlink"/>
            <w:rFonts w:ascii="Arial" w:hAnsi="Arial" w:cs="Arial"/>
            <w:sz w:val="22"/>
            <w:szCs w:val="22"/>
          </w:rPr>
          <w:t>https://doi.org/10.1136/bmjopen-2016-012337</w:t>
        </w:r>
      </w:hyperlink>
      <w:r w:rsidRPr="00E84398">
        <w:rPr>
          <w:rFonts w:ascii="Arial" w:hAnsi="Arial" w:cs="Arial"/>
          <w:sz w:val="22"/>
          <w:szCs w:val="22"/>
        </w:rPr>
        <w:t>.</w:t>
      </w:r>
      <w:r>
        <w:rPr>
          <w:rFonts w:ascii="Arial" w:hAnsi="Arial" w:cs="Arial"/>
          <w:sz w:val="22"/>
          <w:szCs w:val="22"/>
        </w:rPr>
        <w:t xml:space="preserve"> (Accessed 19 November 2025).</w:t>
      </w:r>
    </w:p>
    <w:p w14:paraId="6E8F5679" w14:textId="62DA1C58" w:rsidR="00AF295B" w:rsidRDefault="00F54E8B" w:rsidP="00C42F2E">
      <w:pPr>
        <w:spacing w:line="360" w:lineRule="auto"/>
        <w:jc w:val="both"/>
        <w:rPr>
          <w:rFonts w:ascii="Arial" w:hAnsi="Arial" w:cs="Arial"/>
          <w:sz w:val="22"/>
          <w:szCs w:val="22"/>
        </w:rPr>
      </w:pPr>
      <w:r w:rsidRPr="00F54E8B">
        <w:rPr>
          <w:rFonts w:ascii="Arial" w:hAnsi="Arial" w:cs="Arial"/>
          <w:sz w:val="22"/>
          <w:szCs w:val="22"/>
        </w:rPr>
        <w:t xml:space="preserve">Pashayan, N. et al. (2015) 'Evaluation of recruitment and selection for specialty training in public health: interim results of a prospective cohort study to measure the predictive validity of the selection process,' Journal of Public Health, 38(2), pp. e194–e200. </w:t>
      </w:r>
      <w:hyperlink r:id="rId53" w:history="1">
        <w:r w:rsidRPr="00CF1297">
          <w:rPr>
            <w:rStyle w:val="Hyperlink"/>
            <w:rFonts w:ascii="Arial" w:hAnsi="Arial" w:cs="Arial"/>
            <w:sz w:val="22"/>
            <w:szCs w:val="22"/>
          </w:rPr>
          <w:t>https://doi.org/10.1093/pubmed/fdv102</w:t>
        </w:r>
      </w:hyperlink>
      <w:r w:rsidRPr="00F54E8B">
        <w:rPr>
          <w:rFonts w:ascii="Arial" w:hAnsi="Arial" w:cs="Arial"/>
          <w:sz w:val="22"/>
          <w:szCs w:val="22"/>
        </w:rPr>
        <w:t>.</w:t>
      </w:r>
      <w:r>
        <w:rPr>
          <w:rFonts w:ascii="Arial" w:hAnsi="Arial" w:cs="Arial"/>
          <w:sz w:val="22"/>
          <w:szCs w:val="22"/>
        </w:rPr>
        <w:t xml:space="preserve"> (Accessed 20 November 2025).</w:t>
      </w:r>
    </w:p>
    <w:p w14:paraId="5CEEB06F" w14:textId="47775DD2" w:rsidR="00A24EF1" w:rsidRDefault="00A24EF1" w:rsidP="00C42F2E">
      <w:pPr>
        <w:spacing w:line="360" w:lineRule="auto"/>
        <w:jc w:val="both"/>
        <w:rPr>
          <w:rFonts w:ascii="Arial" w:hAnsi="Arial" w:cs="Arial"/>
          <w:sz w:val="22"/>
          <w:szCs w:val="22"/>
        </w:rPr>
      </w:pPr>
      <w:r w:rsidRPr="00A24EF1">
        <w:rPr>
          <w:rFonts w:ascii="Arial" w:hAnsi="Arial" w:cs="Arial"/>
          <w:sz w:val="22"/>
          <w:szCs w:val="22"/>
        </w:rPr>
        <w:t xml:space="preserve">Stepanova, E. et al. (2025) '“I am not a priority”: ethnic minority experiences of navigating mental health support and the need for culturally sensitive services during and beyond the pandemic,' BMJ Mental Health, 28(1), p. e301481. </w:t>
      </w:r>
      <w:hyperlink r:id="rId54" w:history="1">
        <w:r w:rsidRPr="00CF1297">
          <w:rPr>
            <w:rStyle w:val="Hyperlink"/>
            <w:rFonts w:ascii="Arial" w:hAnsi="Arial" w:cs="Arial"/>
            <w:sz w:val="22"/>
            <w:szCs w:val="22"/>
          </w:rPr>
          <w:t>https://doi.org/10.1136/bmjment-2024-301481</w:t>
        </w:r>
      </w:hyperlink>
      <w:r w:rsidRPr="00A24EF1">
        <w:rPr>
          <w:rFonts w:ascii="Arial" w:hAnsi="Arial" w:cs="Arial"/>
          <w:sz w:val="22"/>
          <w:szCs w:val="22"/>
        </w:rPr>
        <w:t>.</w:t>
      </w:r>
      <w:r>
        <w:rPr>
          <w:rFonts w:ascii="Arial" w:hAnsi="Arial" w:cs="Arial"/>
          <w:sz w:val="22"/>
          <w:szCs w:val="22"/>
        </w:rPr>
        <w:t xml:space="preserve"> (</w:t>
      </w:r>
      <w:r w:rsidR="006830C4">
        <w:rPr>
          <w:rFonts w:ascii="Arial" w:hAnsi="Arial" w:cs="Arial"/>
          <w:sz w:val="22"/>
          <w:szCs w:val="22"/>
        </w:rPr>
        <w:t>A</w:t>
      </w:r>
      <w:r>
        <w:rPr>
          <w:rFonts w:ascii="Arial" w:hAnsi="Arial" w:cs="Arial"/>
          <w:sz w:val="22"/>
          <w:szCs w:val="22"/>
        </w:rPr>
        <w:t>ccessed 20 November 2025).</w:t>
      </w:r>
    </w:p>
    <w:p w14:paraId="58CC18E8" w14:textId="77777777" w:rsidR="00F54E8B" w:rsidRDefault="00F54E8B" w:rsidP="00C42F2E">
      <w:pPr>
        <w:spacing w:line="360" w:lineRule="auto"/>
        <w:jc w:val="both"/>
        <w:rPr>
          <w:rFonts w:ascii="Arial" w:hAnsi="Arial" w:cs="Arial"/>
          <w:sz w:val="22"/>
          <w:szCs w:val="22"/>
        </w:rPr>
      </w:pPr>
    </w:p>
    <w:p w14:paraId="5B02743A" w14:textId="77777777" w:rsidR="006E7171" w:rsidRDefault="006E7171" w:rsidP="00C42F2E">
      <w:pPr>
        <w:spacing w:line="360" w:lineRule="auto"/>
        <w:jc w:val="both"/>
        <w:rPr>
          <w:rFonts w:ascii="Arial" w:hAnsi="Arial" w:cs="Arial"/>
          <w:sz w:val="22"/>
          <w:szCs w:val="22"/>
        </w:rPr>
      </w:pPr>
    </w:p>
    <w:p w14:paraId="2E33D68E" w14:textId="77777777" w:rsidR="00E756C2" w:rsidRDefault="00E756C2" w:rsidP="00C42F2E">
      <w:pPr>
        <w:spacing w:line="360" w:lineRule="auto"/>
        <w:jc w:val="both"/>
        <w:rPr>
          <w:rFonts w:ascii="Arial" w:hAnsi="Arial" w:cs="Arial"/>
          <w:sz w:val="22"/>
          <w:szCs w:val="22"/>
        </w:rPr>
      </w:pPr>
    </w:p>
    <w:p w14:paraId="3AA4A698" w14:textId="77777777" w:rsidR="00E756C2" w:rsidRDefault="00E756C2" w:rsidP="00C42F2E">
      <w:pPr>
        <w:spacing w:line="360" w:lineRule="auto"/>
        <w:jc w:val="both"/>
        <w:rPr>
          <w:rFonts w:ascii="Arial" w:hAnsi="Arial" w:cs="Arial"/>
          <w:sz w:val="22"/>
          <w:szCs w:val="22"/>
        </w:rPr>
      </w:pPr>
    </w:p>
    <w:p w14:paraId="31EF2453" w14:textId="77777777" w:rsidR="00E756C2" w:rsidRDefault="00E756C2" w:rsidP="00C42F2E">
      <w:pPr>
        <w:spacing w:line="360" w:lineRule="auto"/>
        <w:jc w:val="both"/>
        <w:rPr>
          <w:rFonts w:ascii="Arial" w:hAnsi="Arial" w:cs="Arial"/>
          <w:sz w:val="22"/>
          <w:szCs w:val="22"/>
        </w:rPr>
      </w:pPr>
    </w:p>
    <w:p w14:paraId="510B9C67" w14:textId="77777777" w:rsidR="00E756C2" w:rsidRDefault="00E756C2" w:rsidP="00C42F2E">
      <w:pPr>
        <w:spacing w:line="360" w:lineRule="auto"/>
        <w:jc w:val="both"/>
        <w:rPr>
          <w:rFonts w:ascii="Arial" w:hAnsi="Arial" w:cs="Arial"/>
          <w:sz w:val="22"/>
          <w:szCs w:val="22"/>
        </w:rPr>
      </w:pPr>
    </w:p>
    <w:p w14:paraId="424E3630" w14:textId="77777777" w:rsidR="00E756C2" w:rsidRDefault="00E756C2" w:rsidP="00C42F2E">
      <w:pPr>
        <w:spacing w:line="360" w:lineRule="auto"/>
        <w:jc w:val="both"/>
        <w:rPr>
          <w:rFonts w:ascii="Arial" w:hAnsi="Arial" w:cs="Arial"/>
          <w:sz w:val="22"/>
          <w:szCs w:val="22"/>
        </w:rPr>
      </w:pPr>
    </w:p>
    <w:p w14:paraId="026D38CA" w14:textId="77777777" w:rsidR="00E756C2" w:rsidRDefault="00E756C2" w:rsidP="00C42F2E">
      <w:pPr>
        <w:spacing w:line="360" w:lineRule="auto"/>
        <w:jc w:val="both"/>
        <w:rPr>
          <w:rFonts w:ascii="Arial" w:hAnsi="Arial" w:cs="Arial"/>
          <w:sz w:val="22"/>
          <w:szCs w:val="22"/>
        </w:rPr>
      </w:pPr>
    </w:p>
    <w:p w14:paraId="2A5A14A0" w14:textId="77777777" w:rsidR="00E756C2" w:rsidRDefault="00E756C2" w:rsidP="00C42F2E">
      <w:pPr>
        <w:spacing w:line="360" w:lineRule="auto"/>
        <w:jc w:val="both"/>
        <w:rPr>
          <w:rFonts w:ascii="Arial" w:hAnsi="Arial" w:cs="Arial"/>
          <w:sz w:val="22"/>
          <w:szCs w:val="22"/>
        </w:rPr>
      </w:pPr>
    </w:p>
    <w:p w14:paraId="1C9BADD1" w14:textId="77777777" w:rsidR="00E756C2" w:rsidRDefault="00E756C2" w:rsidP="00C42F2E">
      <w:pPr>
        <w:spacing w:line="360" w:lineRule="auto"/>
        <w:jc w:val="both"/>
        <w:rPr>
          <w:rFonts w:ascii="Arial" w:hAnsi="Arial" w:cs="Arial"/>
          <w:sz w:val="22"/>
          <w:szCs w:val="22"/>
        </w:rPr>
      </w:pPr>
    </w:p>
    <w:p w14:paraId="7F9FEF7A" w14:textId="77777777" w:rsidR="00E756C2" w:rsidRDefault="00E756C2" w:rsidP="00C42F2E">
      <w:pPr>
        <w:spacing w:line="360" w:lineRule="auto"/>
        <w:jc w:val="both"/>
        <w:rPr>
          <w:rFonts w:ascii="Arial" w:hAnsi="Arial" w:cs="Arial"/>
          <w:sz w:val="22"/>
          <w:szCs w:val="22"/>
        </w:rPr>
      </w:pPr>
    </w:p>
    <w:p w14:paraId="3208C2E1" w14:textId="77777777" w:rsidR="00E756C2" w:rsidRDefault="00E756C2" w:rsidP="00C42F2E">
      <w:pPr>
        <w:spacing w:line="360" w:lineRule="auto"/>
        <w:jc w:val="both"/>
        <w:rPr>
          <w:rFonts w:ascii="Arial" w:hAnsi="Arial" w:cs="Arial"/>
          <w:sz w:val="22"/>
          <w:szCs w:val="22"/>
        </w:rPr>
      </w:pPr>
    </w:p>
    <w:p w14:paraId="5EE54A05" w14:textId="77777777" w:rsidR="00E756C2" w:rsidRDefault="00E756C2" w:rsidP="00C42F2E">
      <w:pPr>
        <w:spacing w:line="360" w:lineRule="auto"/>
        <w:jc w:val="both"/>
        <w:rPr>
          <w:rFonts w:ascii="Arial" w:hAnsi="Arial" w:cs="Arial"/>
          <w:sz w:val="22"/>
          <w:szCs w:val="22"/>
        </w:rPr>
      </w:pPr>
    </w:p>
    <w:p w14:paraId="748C8128" w14:textId="77777777" w:rsidR="00E756C2" w:rsidRDefault="00E756C2" w:rsidP="00C42F2E">
      <w:pPr>
        <w:spacing w:line="360" w:lineRule="auto"/>
        <w:jc w:val="both"/>
        <w:rPr>
          <w:rFonts w:ascii="Arial" w:hAnsi="Arial" w:cs="Arial"/>
          <w:sz w:val="22"/>
          <w:szCs w:val="22"/>
        </w:rPr>
      </w:pPr>
    </w:p>
    <w:p w14:paraId="3CD649B3" w14:textId="77777777" w:rsidR="00E756C2" w:rsidRDefault="00E756C2" w:rsidP="00C42F2E">
      <w:pPr>
        <w:spacing w:line="360" w:lineRule="auto"/>
        <w:jc w:val="both"/>
        <w:rPr>
          <w:rFonts w:ascii="Arial" w:hAnsi="Arial" w:cs="Arial"/>
          <w:sz w:val="22"/>
          <w:szCs w:val="22"/>
        </w:rPr>
      </w:pPr>
    </w:p>
    <w:p w14:paraId="4BCAFD3E" w14:textId="77777777" w:rsidR="00E756C2" w:rsidRDefault="00E756C2" w:rsidP="00C42F2E">
      <w:pPr>
        <w:spacing w:line="360" w:lineRule="auto"/>
        <w:jc w:val="both"/>
        <w:rPr>
          <w:rFonts w:ascii="Arial" w:hAnsi="Arial" w:cs="Arial"/>
          <w:sz w:val="22"/>
          <w:szCs w:val="22"/>
        </w:rPr>
      </w:pPr>
    </w:p>
    <w:p w14:paraId="44F17021" w14:textId="77777777" w:rsidR="00E756C2" w:rsidRDefault="00E756C2" w:rsidP="00C42F2E">
      <w:pPr>
        <w:spacing w:line="360" w:lineRule="auto"/>
        <w:jc w:val="both"/>
        <w:rPr>
          <w:rFonts w:ascii="Arial" w:hAnsi="Arial" w:cs="Arial"/>
          <w:sz w:val="22"/>
          <w:szCs w:val="22"/>
        </w:rPr>
      </w:pPr>
    </w:p>
    <w:p w14:paraId="436F114F" w14:textId="77777777" w:rsidR="00E756C2" w:rsidRDefault="00E756C2" w:rsidP="00E756C2">
      <w:pPr>
        <w:rPr>
          <w:rFonts w:ascii="Arial" w:hAnsi="Arial" w:cs="Arial"/>
          <w:b/>
          <w:bCs/>
          <w:sz w:val="28"/>
          <w:szCs w:val="28"/>
        </w:rPr>
      </w:pPr>
      <w:r>
        <w:rPr>
          <w:rFonts w:ascii="Arial" w:hAnsi="Arial" w:cs="Arial"/>
          <w:b/>
          <w:bCs/>
          <w:sz w:val="28"/>
          <w:szCs w:val="28"/>
        </w:rPr>
        <w:lastRenderedPageBreak/>
        <w:t>Student Name: Ekos Adamu</w:t>
      </w:r>
    </w:p>
    <w:p w14:paraId="16F7DCB8" w14:textId="77777777" w:rsidR="00E756C2" w:rsidRDefault="00E756C2" w:rsidP="00E756C2">
      <w:pPr>
        <w:rPr>
          <w:rFonts w:ascii="Arial" w:hAnsi="Arial" w:cs="Arial"/>
          <w:b/>
          <w:bCs/>
          <w:sz w:val="28"/>
          <w:szCs w:val="28"/>
        </w:rPr>
      </w:pPr>
      <w:r>
        <w:rPr>
          <w:rFonts w:ascii="Arial" w:hAnsi="Arial" w:cs="Arial"/>
          <w:b/>
          <w:bCs/>
          <w:sz w:val="28"/>
          <w:szCs w:val="28"/>
        </w:rPr>
        <w:t>Student number: 2016551</w:t>
      </w:r>
    </w:p>
    <w:p w14:paraId="3DDB2A3A" w14:textId="77777777" w:rsidR="00E756C2" w:rsidRDefault="00E756C2" w:rsidP="00E756C2">
      <w:pPr>
        <w:rPr>
          <w:rFonts w:ascii="Arial" w:hAnsi="Arial" w:cs="Arial"/>
          <w:b/>
          <w:bCs/>
          <w:sz w:val="28"/>
          <w:szCs w:val="28"/>
        </w:rPr>
      </w:pPr>
      <w:r>
        <w:rPr>
          <w:rFonts w:ascii="Arial" w:hAnsi="Arial" w:cs="Arial"/>
          <w:b/>
          <w:bCs/>
          <w:sz w:val="28"/>
          <w:szCs w:val="28"/>
        </w:rPr>
        <w:t>Module title: chapter 5 (conclusion and recommendation</w:t>
      </w:r>
    </w:p>
    <w:p w14:paraId="1BEFD36E" w14:textId="77777777" w:rsidR="00E756C2" w:rsidRDefault="00E756C2" w:rsidP="00E756C2">
      <w:pPr>
        <w:rPr>
          <w:rFonts w:ascii="Arial" w:hAnsi="Arial" w:cs="Arial"/>
          <w:b/>
          <w:bCs/>
          <w:sz w:val="28"/>
          <w:szCs w:val="28"/>
        </w:rPr>
      </w:pPr>
    </w:p>
    <w:p w14:paraId="5A8EED10" w14:textId="77777777" w:rsidR="00E756C2" w:rsidRDefault="00E756C2" w:rsidP="00E756C2">
      <w:pPr>
        <w:rPr>
          <w:rFonts w:ascii="Arial" w:hAnsi="Arial" w:cs="Arial"/>
          <w:b/>
          <w:bCs/>
          <w:sz w:val="28"/>
          <w:szCs w:val="28"/>
        </w:rPr>
      </w:pPr>
    </w:p>
    <w:p w14:paraId="3829714E" w14:textId="77777777" w:rsidR="00E756C2" w:rsidRDefault="00E756C2" w:rsidP="00E756C2">
      <w:pPr>
        <w:rPr>
          <w:rFonts w:ascii="Arial" w:hAnsi="Arial" w:cs="Arial"/>
          <w:b/>
          <w:bCs/>
          <w:sz w:val="28"/>
          <w:szCs w:val="28"/>
        </w:rPr>
      </w:pPr>
    </w:p>
    <w:p w14:paraId="28EC85CB" w14:textId="77777777" w:rsidR="00E756C2" w:rsidRDefault="00E756C2" w:rsidP="00E756C2">
      <w:pPr>
        <w:rPr>
          <w:rFonts w:ascii="Arial" w:hAnsi="Arial" w:cs="Arial"/>
          <w:b/>
          <w:bCs/>
          <w:sz w:val="28"/>
          <w:szCs w:val="28"/>
        </w:rPr>
      </w:pPr>
    </w:p>
    <w:p w14:paraId="14D58907" w14:textId="77777777" w:rsidR="00E756C2" w:rsidRDefault="00E756C2" w:rsidP="00E756C2">
      <w:pPr>
        <w:rPr>
          <w:rFonts w:ascii="Arial" w:hAnsi="Arial" w:cs="Arial"/>
          <w:b/>
          <w:bCs/>
          <w:sz w:val="28"/>
          <w:szCs w:val="28"/>
        </w:rPr>
      </w:pPr>
    </w:p>
    <w:p w14:paraId="5EF68192" w14:textId="77777777" w:rsidR="00E756C2" w:rsidRDefault="00E756C2" w:rsidP="00E756C2">
      <w:pPr>
        <w:rPr>
          <w:rFonts w:ascii="Arial" w:hAnsi="Arial" w:cs="Arial"/>
          <w:b/>
          <w:bCs/>
          <w:sz w:val="28"/>
          <w:szCs w:val="28"/>
        </w:rPr>
      </w:pPr>
    </w:p>
    <w:p w14:paraId="31D5A870" w14:textId="77777777" w:rsidR="00E756C2" w:rsidRDefault="00E756C2" w:rsidP="00E756C2">
      <w:pPr>
        <w:rPr>
          <w:rFonts w:ascii="Arial" w:hAnsi="Arial" w:cs="Arial"/>
          <w:b/>
          <w:bCs/>
          <w:sz w:val="28"/>
          <w:szCs w:val="28"/>
        </w:rPr>
      </w:pPr>
    </w:p>
    <w:p w14:paraId="6CABA7D4" w14:textId="77777777" w:rsidR="00E756C2" w:rsidRDefault="00E756C2" w:rsidP="00E756C2">
      <w:pPr>
        <w:rPr>
          <w:rFonts w:ascii="Arial" w:hAnsi="Arial" w:cs="Arial"/>
          <w:b/>
          <w:bCs/>
          <w:sz w:val="28"/>
          <w:szCs w:val="28"/>
        </w:rPr>
      </w:pPr>
    </w:p>
    <w:p w14:paraId="10525360" w14:textId="77777777" w:rsidR="00E756C2" w:rsidRDefault="00E756C2" w:rsidP="00E756C2">
      <w:pPr>
        <w:rPr>
          <w:rFonts w:ascii="Arial" w:hAnsi="Arial" w:cs="Arial"/>
          <w:b/>
          <w:bCs/>
          <w:sz w:val="28"/>
          <w:szCs w:val="28"/>
        </w:rPr>
      </w:pPr>
    </w:p>
    <w:p w14:paraId="415537F5" w14:textId="77777777" w:rsidR="00E756C2" w:rsidRDefault="00E756C2" w:rsidP="00E756C2">
      <w:pPr>
        <w:rPr>
          <w:rFonts w:ascii="Arial" w:hAnsi="Arial" w:cs="Arial"/>
          <w:b/>
          <w:bCs/>
          <w:sz w:val="28"/>
          <w:szCs w:val="28"/>
        </w:rPr>
      </w:pPr>
    </w:p>
    <w:p w14:paraId="7D5080AD" w14:textId="77777777" w:rsidR="00E756C2" w:rsidRDefault="00E756C2" w:rsidP="00E756C2">
      <w:pPr>
        <w:rPr>
          <w:rFonts w:ascii="Arial" w:hAnsi="Arial" w:cs="Arial"/>
          <w:b/>
          <w:bCs/>
          <w:sz w:val="28"/>
          <w:szCs w:val="28"/>
        </w:rPr>
      </w:pPr>
    </w:p>
    <w:p w14:paraId="1465626A" w14:textId="77777777" w:rsidR="00E756C2" w:rsidRDefault="00E756C2" w:rsidP="00E756C2">
      <w:pPr>
        <w:rPr>
          <w:rFonts w:ascii="Arial" w:hAnsi="Arial" w:cs="Arial"/>
          <w:b/>
          <w:bCs/>
          <w:sz w:val="28"/>
          <w:szCs w:val="28"/>
        </w:rPr>
      </w:pPr>
    </w:p>
    <w:p w14:paraId="107D2FD6" w14:textId="77777777" w:rsidR="00E756C2" w:rsidRDefault="00E756C2" w:rsidP="00E756C2">
      <w:pPr>
        <w:rPr>
          <w:rFonts w:ascii="Arial" w:hAnsi="Arial" w:cs="Arial"/>
          <w:b/>
          <w:bCs/>
          <w:sz w:val="28"/>
          <w:szCs w:val="28"/>
        </w:rPr>
      </w:pPr>
    </w:p>
    <w:p w14:paraId="2DA0E87B" w14:textId="77777777" w:rsidR="00E756C2" w:rsidRDefault="00E756C2" w:rsidP="00E756C2">
      <w:pPr>
        <w:rPr>
          <w:rFonts w:ascii="Arial" w:hAnsi="Arial" w:cs="Arial"/>
          <w:b/>
          <w:bCs/>
          <w:sz w:val="28"/>
          <w:szCs w:val="28"/>
        </w:rPr>
      </w:pPr>
    </w:p>
    <w:p w14:paraId="110371F4" w14:textId="77777777" w:rsidR="00E756C2" w:rsidRDefault="00E756C2" w:rsidP="00E756C2">
      <w:pPr>
        <w:rPr>
          <w:rFonts w:ascii="Arial" w:hAnsi="Arial" w:cs="Arial"/>
          <w:b/>
          <w:bCs/>
          <w:sz w:val="28"/>
          <w:szCs w:val="28"/>
        </w:rPr>
      </w:pPr>
    </w:p>
    <w:p w14:paraId="4C376B1E" w14:textId="77777777" w:rsidR="00E756C2" w:rsidRDefault="00E756C2" w:rsidP="00E756C2">
      <w:pPr>
        <w:rPr>
          <w:rFonts w:ascii="Arial" w:hAnsi="Arial" w:cs="Arial"/>
          <w:b/>
          <w:bCs/>
          <w:sz w:val="28"/>
          <w:szCs w:val="28"/>
        </w:rPr>
      </w:pPr>
    </w:p>
    <w:p w14:paraId="051530B3" w14:textId="77777777" w:rsidR="00E756C2" w:rsidRDefault="00E756C2" w:rsidP="00E756C2">
      <w:pPr>
        <w:rPr>
          <w:rFonts w:ascii="Arial" w:hAnsi="Arial" w:cs="Arial"/>
          <w:b/>
          <w:bCs/>
          <w:sz w:val="28"/>
          <w:szCs w:val="28"/>
        </w:rPr>
      </w:pPr>
    </w:p>
    <w:p w14:paraId="18F9EB7E" w14:textId="77777777" w:rsidR="00E756C2" w:rsidRDefault="00E756C2" w:rsidP="00E756C2">
      <w:pPr>
        <w:rPr>
          <w:rFonts w:ascii="Arial" w:hAnsi="Arial" w:cs="Arial"/>
          <w:b/>
          <w:bCs/>
          <w:sz w:val="28"/>
          <w:szCs w:val="28"/>
        </w:rPr>
      </w:pPr>
    </w:p>
    <w:p w14:paraId="46CBF78C" w14:textId="77777777" w:rsidR="00E756C2" w:rsidRDefault="00E756C2" w:rsidP="00E756C2">
      <w:pPr>
        <w:rPr>
          <w:rFonts w:ascii="Arial" w:hAnsi="Arial" w:cs="Arial"/>
          <w:b/>
          <w:bCs/>
          <w:sz w:val="28"/>
          <w:szCs w:val="28"/>
        </w:rPr>
      </w:pPr>
    </w:p>
    <w:p w14:paraId="19E4873C" w14:textId="77777777" w:rsidR="00E756C2" w:rsidRDefault="00E756C2" w:rsidP="00E756C2">
      <w:pPr>
        <w:rPr>
          <w:rFonts w:ascii="Arial" w:hAnsi="Arial" w:cs="Arial"/>
          <w:b/>
          <w:bCs/>
          <w:sz w:val="28"/>
          <w:szCs w:val="28"/>
        </w:rPr>
      </w:pPr>
    </w:p>
    <w:p w14:paraId="6F24C64F" w14:textId="77777777" w:rsidR="00E756C2" w:rsidRDefault="00E756C2" w:rsidP="00E756C2">
      <w:pPr>
        <w:rPr>
          <w:rFonts w:ascii="Arial" w:hAnsi="Arial" w:cs="Arial"/>
          <w:b/>
          <w:bCs/>
          <w:sz w:val="28"/>
          <w:szCs w:val="28"/>
        </w:rPr>
      </w:pPr>
    </w:p>
    <w:p w14:paraId="70D8C9C5" w14:textId="77777777" w:rsidR="00E756C2" w:rsidRDefault="00E756C2" w:rsidP="00E756C2">
      <w:pPr>
        <w:rPr>
          <w:rFonts w:ascii="Arial" w:hAnsi="Arial" w:cs="Arial"/>
          <w:b/>
          <w:bCs/>
          <w:sz w:val="28"/>
          <w:szCs w:val="28"/>
        </w:rPr>
      </w:pPr>
    </w:p>
    <w:p w14:paraId="47C17B2F" w14:textId="77777777" w:rsidR="00E756C2" w:rsidRDefault="00E756C2" w:rsidP="00E756C2">
      <w:pPr>
        <w:rPr>
          <w:rFonts w:ascii="Arial" w:hAnsi="Arial" w:cs="Arial"/>
          <w:b/>
          <w:bCs/>
          <w:sz w:val="28"/>
          <w:szCs w:val="28"/>
        </w:rPr>
      </w:pPr>
    </w:p>
    <w:p w14:paraId="649F9436" w14:textId="77777777" w:rsidR="00E756C2" w:rsidRDefault="00E756C2" w:rsidP="00E756C2">
      <w:pPr>
        <w:rPr>
          <w:rFonts w:ascii="Arial" w:hAnsi="Arial" w:cs="Arial"/>
          <w:b/>
          <w:bCs/>
          <w:sz w:val="22"/>
          <w:szCs w:val="22"/>
        </w:rPr>
      </w:pPr>
    </w:p>
    <w:p w14:paraId="5905C929" w14:textId="77777777" w:rsidR="00E756C2" w:rsidRDefault="00E756C2" w:rsidP="00E756C2">
      <w:pPr>
        <w:spacing w:line="360" w:lineRule="auto"/>
        <w:jc w:val="both"/>
        <w:rPr>
          <w:rFonts w:ascii="Arial" w:hAnsi="Arial" w:cs="Arial"/>
          <w:b/>
          <w:bCs/>
          <w:color w:val="000000" w:themeColor="text1"/>
        </w:rPr>
      </w:pPr>
      <w:r>
        <w:rPr>
          <w:rFonts w:ascii="Arial" w:hAnsi="Arial" w:cs="Arial"/>
          <w:b/>
          <w:bCs/>
          <w:color w:val="000000" w:themeColor="text1"/>
        </w:rPr>
        <w:t>Table of Contents                                                                                                                                 page</w:t>
      </w:r>
    </w:p>
    <w:p w14:paraId="4E03192A" w14:textId="77777777" w:rsidR="00E756C2" w:rsidRDefault="00E756C2" w:rsidP="00E756C2">
      <w:pPr>
        <w:spacing w:line="360" w:lineRule="auto"/>
        <w:jc w:val="both"/>
        <w:rPr>
          <w:rFonts w:ascii="Arial" w:hAnsi="Arial" w:cs="Arial"/>
          <w:b/>
          <w:bCs/>
          <w:color w:val="000000" w:themeColor="text1"/>
        </w:rPr>
      </w:pPr>
    </w:p>
    <w:p w14:paraId="67E92FFB" w14:textId="77777777" w:rsidR="00E756C2" w:rsidRDefault="00E756C2" w:rsidP="00E756C2">
      <w:pPr>
        <w:spacing w:line="360" w:lineRule="auto"/>
        <w:jc w:val="both"/>
        <w:rPr>
          <w:rFonts w:ascii="Arial" w:hAnsi="Arial" w:cs="Arial"/>
          <w:b/>
          <w:bCs/>
          <w:color w:val="000000" w:themeColor="text1"/>
        </w:rPr>
      </w:pPr>
      <w:r>
        <w:rPr>
          <w:rFonts w:ascii="Arial" w:hAnsi="Arial" w:cs="Arial"/>
          <w:b/>
          <w:bCs/>
          <w:color w:val="000000" w:themeColor="text1"/>
        </w:rPr>
        <w:t xml:space="preserve">Chapter 5  </w:t>
      </w:r>
    </w:p>
    <w:p w14:paraId="77E29436" w14:textId="77777777" w:rsidR="00E756C2" w:rsidRDefault="00E756C2" w:rsidP="00E756C2">
      <w:pPr>
        <w:spacing w:line="360" w:lineRule="auto"/>
        <w:jc w:val="both"/>
        <w:rPr>
          <w:rFonts w:ascii="Arial" w:hAnsi="Arial" w:cs="Arial"/>
          <w:b/>
          <w:bCs/>
          <w:color w:val="000000" w:themeColor="text1"/>
        </w:rPr>
      </w:pPr>
      <w:r>
        <w:rPr>
          <w:rFonts w:ascii="Arial" w:hAnsi="Arial" w:cs="Arial"/>
          <w:b/>
          <w:bCs/>
          <w:color w:val="000000" w:themeColor="text1"/>
        </w:rPr>
        <w:t>Introduction</w:t>
      </w:r>
    </w:p>
    <w:p w14:paraId="4A5CC843" w14:textId="77777777" w:rsidR="00E756C2" w:rsidRDefault="00E756C2" w:rsidP="00E756C2">
      <w:pPr>
        <w:spacing w:line="360" w:lineRule="auto"/>
        <w:jc w:val="both"/>
        <w:rPr>
          <w:rFonts w:ascii="Arial" w:hAnsi="Arial" w:cs="Arial"/>
          <w:b/>
          <w:bCs/>
          <w:color w:val="000000" w:themeColor="text1"/>
        </w:rPr>
      </w:pPr>
      <w:r>
        <w:rPr>
          <w:rFonts w:ascii="Arial" w:hAnsi="Arial" w:cs="Arial"/>
          <w:b/>
          <w:bCs/>
          <w:color w:val="000000" w:themeColor="text1"/>
        </w:rPr>
        <w:t>5.1 Overall Conclusion</w:t>
      </w:r>
    </w:p>
    <w:p w14:paraId="647B9ADD" w14:textId="77777777" w:rsidR="00E756C2" w:rsidRDefault="00E756C2" w:rsidP="00E756C2">
      <w:pPr>
        <w:spacing w:line="360" w:lineRule="auto"/>
        <w:jc w:val="both"/>
        <w:rPr>
          <w:rFonts w:ascii="Arial" w:hAnsi="Arial" w:cs="Arial"/>
          <w:b/>
          <w:bCs/>
          <w:color w:val="000000" w:themeColor="text1"/>
        </w:rPr>
      </w:pPr>
      <w:r>
        <w:rPr>
          <w:rFonts w:ascii="Arial" w:hAnsi="Arial" w:cs="Arial"/>
          <w:b/>
          <w:bCs/>
          <w:color w:val="000000" w:themeColor="text1"/>
        </w:rPr>
        <w:t>5.2 Recommendation 1</w:t>
      </w:r>
    </w:p>
    <w:p w14:paraId="74F0F908" w14:textId="77777777" w:rsidR="00E756C2" w:rsidRDefault="00E756C2" w:rsidP="00E756C2">
      <w:pPr>
        <w:spacing w:line="360" w:lineRule="auto"/>
        <w:jc w:val="both"/>
        <w:rPr>
          <w:rFonts w:ascii="Arial" w:hAnsi="Arial" w:cs="Arial"/>
          <w:b/>
          <w:bCs/>
          <w:color w:val="000000" w:themeColor="text1"/>
        </w:rPr>
      </w:pPr>
      <w:r>
        <w:rPr>
          <w:rFonts w:ascii="Arial" w:hAnsi="Arial" w:cs="Arial"/>
          <w:b/>
          <w:bCs/>
          <w:color w:val="000000" w:themeColor="text1"/>
        </w:rPr>
        <w:t xml:space="preserve">      Recommendation 2</w:t>
      </w:r>
    </w:p>
    <w:p w14:paraId="5B8EA58F" w14:textId="77777777" w:rsidR="00E756C2" w:rsidRDefault="00E756C2" w:rsidP="00E756C2">
      <w:pPr>
        <w:spacing w:line="360" w:lineRule="auto"/>
        <w:jc w:val="both"/>
        <w:rPr>
          <w:rFonts w:ascii="Arial" w:hAnsi="Arial" w:cs="Arial"/>
          <w:b/>
          <w:bCs/>
          <w:color w:val="000000" w:themeColor="text1"/>
        </w:rPr>
      </w:pPr>
      <w:r>
        <w:rPr>
          <w:rFonts w:ascii="Arial" w:hAnsi="Arial" w:cs="Arial"/>
          <w:b/>
          <w:bCs/>
          <w:color w:val="000000" w:themeColor="text1"/>
        </w:rPr>
        <w:t xml:space="preserve">      Recommendation 3</w:t>
      </w:r>
    </w:p>
    <w:p w14:paraId="0A725052" w14:textId="77777777" w:rsidR="00E756C2" w:rsidRDefault="00E756C2" w:rsidP="00E756C2">
      <w:pPr>
        <w:spacing w:line="360" w:lineRule="auto"/>
        <w:jc w:val="both"/>
        <w:rPr>
          <w:rFonts w:ascii="Arial" w:hAnsi="Arial" w:cs="Arial"/>
          <w:b/>
          <w:bCs/>
          <w:color w:val="000000" w:themeColor="text1"/>
        </w:rPr>
      </w:pPr>
      <w:r>
        <w:rPr>
          <w:rFonts w:ascii="Arial" w:hAnsi="Arial" w:cs="Arial"/>
          <w:b/>
          <w:bCs/>
          <w:color w:val="000000" w:themeColor="text1"/>
        </w:rPr>
        <w:t xml:space="preserve">      Conclusion of Recommendation</w:t>
      </w:r>
    </w:p>
    <w:p w14:paraId="5E800672" w14:textId="77777777" w:rsidR="00E756C2" w:rsidRDefault="00E756C2" w:rsidP="00E756C2">
      <w:pPr>
        <w:spacing w:line="360" w:lineRule="auto"/>
        <w:jc w:val="both"/>
        <w:rPr>
          <w:rFonts w:ascii="Arial" w:hAnsi="Arial" w:cs="Arial"/>
          <w:b/>
          <w:bCs/>
          <w:color w:val="000000" w:themeColor="text1"/>
        </w:rPr>
      </w:pPr>
      <w:r>
        <w:rPr>
          <w:rFonts w:ascii="Arial" w:hAnsi="Arial" w:cs="Arial"/>
          <w:b/>
          <w:bCs/>
          <w:color w:val="000000" w:themeColor="text1"/>
        </w:rPr>
        <w:t xml:space="preserve">Refrences </w:t>
      </w:r>
    </w:p>
    <w:p w14:paraId="70842724" w14:textId="77777777" w:rsidR="00E756C2" w:rsidRDefault="00E756C2" w:rsidP="00E756C2">
      <w:pPr>
        <w:spacing w:line="360" w:lineRule="auto"/>
        <w:jc w:val="both"/>
        <w:rPr>
          <w:rFonts w:ascii="Arial" w:hAnsi="Arial" w:cs="Arial"/>
          <w:b/>
          <w:bCs/>
          <w:color w:val="000000" w:themeColor="text1"/>
          <w:sz w:val="28"/>
          <w:szCs w:val="28"/>
        </w:rPr>
      </w:pPr>
    </w:p>
    <w:p w14:paraId="18DE8738" w14:textId="77777777" w:rsidR="00E756C2" w:rsidRDefault="00E756C2" w:rsidP="00E756C2">
      <w:pPr>
        <w:spacing w:line="360" w:lineRule="auto"/>
        <w:jc w:val="both"/>
        <w:rPr>
          <w:rFonts w:ascii="Arial" w:hAnsi="Arial" w:cs="Arial"/>
          <w:b/>
          <w:bCs/>
          <w:color w:val="000000" w:themeColor="text1"/>
          <w:sz w:val="28"/>
          <w:szCs w:val="28"/>
        </w:rPr>
      </w:pPr>
    </w:p>
    <w:p w14:paraId="2BF61BA1" w14:textId="77777777" w:rsidR="00E756C2" w:rsidRDefault="00E756C2" w:rsidP="00E756C2">
      <w:pPr>
        <w:spacing w:line="360" w:lineRule="auto"/>
        <w:jc w:val="both"/>
        <w:rPr>
          <w:rFonts w:ascii="Arial" w:hAnsi="Arial" w:cs="Arial"/>
          <w:b/>
          <w:bCs/>
          <w:color w:val="000000" w:themeColor="text1"/>
          <w:sz w:val="28"/>
          <w:szCs w:val="28"/>
        </w:rPr>
      </w:pPr>
    </w:p>
    <w:p w14:paraId="1B8EB061" w14:textId="77777777" w:rsidR="00E756C2" w:rsidRDefault="00E756C2" w:rsidP="00E756C2">
      <w:pPr>
        <w:spacing w:line="360" w:lineRule="auto"/>
        <w:jc w:val="both"/>
        <w:rPr>
          <w:rFonts w:ascii="Arial" w:hAnsi="Arial" w:cs="Arial"/>
          <w:b/>
          <w:bCs/>
          <w:color w:val="000000" w:themeColor="text1"/>
          <w:sz w:val="28"/>
          <w:szCs w:val="28"/>
        </w:rPr>
      </w:pPr>
    </w:p>
    <w:p w14:paraId="4C113841" w14:textId="77777777" w:rsidR="00E756C2" w:rsidRDefault="00E756C2" w:rsidP="00E756C2">
      <w:pPr>
        <w:spacing w:line="360" w:lineRule="auto"/>
        <w:jc w:val="both"/>
        <w:rPr>
          <w:rFonts w:ascii="Arial" w:hAnsi="Arial" w:cs="Arial"/>
          <w:b/>
          <w:bCs/>
          <w:color w:val="000000" w:themeColor="text1"/>
          <w:sz w:val="28"/>
          <w:szCs w:val="28"/>
        </w:rPr>
      </w:pPr>
    </w:p>
    <w:p w14:paraId="4BA7E63C" w14:textId="77777777" w:rsidR="00E756C2" w:rsidRDefault="00E756C2" w:rsidP="00E756C2">
      <w:pPr>
        <w:spacing w:line="360" w:lineRule="auto"/>
        <w:jc w:val="both"/>
        <w:rPr>
          <w:rFonts w:ascii="Arial" w:hAnsi="Arial" w:cs="Arial"/>
          <w:b/>
          <w:bCs/>
          <w:color w:val="000000" w:themeColor="text1"/>
          <w:sz w:val="28"/>
          <w:szCs w:val="28"/>
        </w:rPr>
      </w:pPr>
    </w:p>
    <w:p w14:paraId="033876B9" w14:textId="77777777" w:rsidR="00E756C2" w:rsidRDefault="00E756C2" w:rsidP="00E756C2">
      <w:pPr>
        <w:spacing w:line="360" w:lineRule="auto"/>
        <w:jc w:val="both"/>
        <w:rPr>
          <w:rFonts w:ascii="Arial" w:hAnsi="Arial" w:cs="Arial"/>
          <w:b/>
          <w:bCs/>
          <w:color w:val="000000" w:themeColor="text1"/>
          <w:sz w:val="28"/>
          <w:szCs w:val="28"/>
        </w:rPr>
      </w:pPr>
    </w:p>
    <w:p w14:paraId="282F5267" w14:textId="77777777" w:rsidR="00E756C2" w:rsidRDefault="00E756C2" w:rsidP="00E756C2">
      <w:pPr>
        <w:spacing w:line="360" w:lineRule="auto"/>
        <w:jc w:val="both"/>
        <w:rPr>
          <w:rFonts w:ascii="Arial" w:hAnsi="Arial" w:cs="Arial"/>
          <w:b/>
          <w:bCs/>
          <w:color w:val="000000" w:themeColor="text1"/>
          <w:sz w:val="28"/>
          <w:szCs w:val="28"/>
        </w:rPr>
      </w:pPr>
    </w:p>
    <w:p w14:paraId="3A78FFEE" w14:textId="77777777" w:rsidR="00E756C2" w:rsidRDefault="00E756C2" w:rsidP="00E756C2">
      <w:pPr>
        <w:spacing w:line="360" w:lineRule="auto"/>
        <w:jc w:val="both"/>
        <w:rPr>
          <w:rFonts w:ascii="Arial" w:hAnsi="Arial" w:cs="Arial"/>
          <w:b/>
          <w:bCs/>
          <w:color w:val="000000" w:themeColor="text1"/>
          <w:sz w:val="28"/>
          <w:szCs w:val="28"/>
        </w:rPr>
      </w:pPr>
    </w:p>
    <w:p w14:paraId="4EFF1504" w14:textId="77777777" w:rsidR="00E756C2" w:rsidRDefault="00E756C2" w:rsidP="00E756C2">
      <w:pPr>
        <w:spacing w:line="360" w:lineRule="auto"/>
        <w:jc w:val="both"/>
        <w:rPr>
          <w:rFonts w:ascii="Arial" w:hAnsi="Arial" w:cs="Arial"/>
          <w:b/>
          <w:bCs/>
          <w:color w:val="000000" w:themeColor="text1"/>
          <w:sz w:val="28"/>
          <w:szCs w:val="28"/>
        </w:rPr>
      </w:pPr>
    </w:p>
    <w:p w14:paraId="2AD62634" w14:textId="77777777" w:rsidR="00E756C2" w:rsidRDefault="00E756C2" w:rsidP="00E756C2">
      <w:pPr>
        <w:spacing w:line="360" w:lineRule="auto"/>
        <w:jc w:val="both"/>
        <w:rPr>
          <w:rFonts w:ascii="Arial" w:hAnsi="Arial" w:cs="Arial"/>
          <w:b/>
          <w:bCs/>
          <w:color w:val="000000" w:themeColor="text1"/>
          <w:sz w:val="28"/>
          <w:szCs w:val="28"/>
        </w:rPr>
      </w:pPr>
    </w:p>
    <w:p w14:paraId="74845402" w14:textId="77777777" w:rsidR="00E756C2" w:rsidRDefault="00E756C2" w:rsidP="00E756C2">
      <w:pPr>
        <w:spacing w:line="360" w:lineRule="auto"/>
        <w:jc w:val="both"/>
        <w:rPr>
          <w:rFonts w:ascii="Arial" w:hAnsi="Arial" w:cs="Arial"/>
          <w:b/>
          <w:bCs/>
          <w:color w:val="000000" w:themeColor="text1"/>
          <w:sz w:val="28"/>
          <w:szCs w:val="28"/>
        </w:rPr>
      </w:pPr>
    </w:p>
    <w:p w14:paraId="1397B6A2" w14:textId="77777777" w:rsidR="00E756C2" w:rsidRDefault="00E756C2" w:rsidP="00E756C2">
      <w:pPr>
        <w:spacing w:line="360" w:lineRule="auto"/>
        <w:jc w:val="both"/>
        <w:rPr>
          <w:rFonts w:ascii="Arial" w:hAnsi="Arial" w:cs="Arial"/>
          <w:b/>
          <w:bCs/>
          <w:color w:val="000000" w:themeColor="text1"/>
          <w:sz w:val="32"/>
          <w:szCs w:val="32"/>
        </w:rPr>
      </w:pPr>
    </w:p>
    <w:p w14:paraId="3E461987" w14:textId="77777777" w:rsidR="00E756C2" w:rsidRDefault="00E756C2" w:rsidP="00E756C2">
      <w:pPr>
        <w:spacing w:line="360" w:lineRule="auto"/>
        <w:jc w:val="both"/>
        <w:rPr>
          <w:rFonts w:ascii="Arial" w:hAnsi="Arial" w:cs="Arial"/>
          <w:b/>
          <w:bCs/>
          <w:color w:val="000000" w:themeColor="text1"/>
          <w:sz w:val="32"/>
          <w:szCs w:val="32"/>
        </w:rPr>
      </w:pPr>
      <w:r>
        <w:rPr>
          <w:rFonts w:ascii="Arial" w:hAnsi="Arial" w:cs="Arial"/>
          <w:b/>
          <w:bCs/>
          <w:color w:val="000000" w:themeColor="text1"/>
          <w:sz w:val="32"/>
          <w:szCs w:val="32"/>
        </w:rPr>
        <w:t>Chapter 5.1</w:t>
      </w:r>
    </w:p>
    <w:p w14:paraId="224E1E1F" w14:textId="77777777" w:rsidR="00E756C2" w:rsidRDefault="00E756C2" w:rsidP="00E756C2">
      <w:pPr>
        <w:spacing w:line="360" w:lineRule="auto"/>
        <w:jc w:val="both"/>
        <w:rPr>
          <w:rFonts w:ascii="Arial" w:hAnsi="Arial" w:cs="Arial"/>
          <w:b/>
          <w:bCs/>
          <w:color w:val="000000" w:themeColor="text1"/>
          <w:sz w:val="32"/>
          <w:szCs w:val="32"/>
        </w:rPr>
      </w:pPr>
      <w:r>
        <w:rPr>
          <w:rFonts w:ascii="Arial" w:hAnsi="Arial" w:cs="Arial"/>
          <w:b/>
          <w:bCs/>
          <w:color w:val="000000" w:themeColor="text1"/>
          <w:sz w:val="32"/>
          <w:szCs w:val="32"/>
        </w:rPr>
        <w:t xml:space="preserve">Introduction </w:t>
      </w:r>
    </w:p>
    <w:p w14:paraId="29E64914" w14:textId="77777777" w:rsidR="00E756C2" w:rsidRDefault="00E756C2" w:rsidP="00E756C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This concluding chapter synthesises the principal findings from the review of stigma, language barriers, and cultural competence as determinants affecting ethnic minority communities' access to mental health treatments in the UK.  It evaluates the fulfilment of the research aim and objectives, while recognising the study's limits.  This chapter offers realistic suggestions for enhancing policy, service delivery, and future research, based on the findings outlined in Chapter 4.  This chapter outlines what this means for professional practice, underscoring the necessity for culturally inclusive, person-centred mental health assistance to mitigate inequities and foster positive outcomes for marginalised communities.</w:t>
      </w:r>
    </w:p>
    <w:p w14:paraId="028E587D" w14:textId="77777777" w:rsidR="00E756C2" w:rsidRDefault="00E756C2" w:rsidP="00E756C2">
      <w:pPr>
        <w:spacing w:line="360" w:lineRule="auto"/>
        <w:jc w:val="both"/>
        <w:rPr>
          <w:rFonts w:ascii="Arial" w:hAnsi="Arial" w:cs="Arial"/>
          <w:b/>
          <w:bCs/>
          <w:color w:val="000000" w:themeColor="text1"/>
          <w:sz w:val="32"/>
          <w:szCs w:val="32"/>
        </w:rPr>
      </w:pPr>
      <w:r>
        <w:rPr>
          <w:rFonts w:ascii="Arial" w:hAnsi="Arial" w:cs="Arial"/>
          <w:b/>
          <w:bCs/>
          <w:color w:val="000000" w:themeColor="text1"/>
          <w:sz w:val="32"/>
          <w:szCs w:val="32"/>
        </w:rPr>
        <w:t>Overall conclusion</w:t>
      </w:r>
    </w:p>
    <w:p w14:paraId="29E56D2E" w14:textId="77777777" w:rsidR="00E756C2" w:rsidRDefault="00E756C2" w:rsidP="00E756C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This dissertation examined the influence of stigma, language barriers, and cultural competence on the accessibility of mental health treatments for ethnic minority groups in the UK.  Chapter 1 introduced the research aim: to investigate how these impediments lead to inequities in mental healthcare, alongside objectives focussing on identifying issues, analysing policy solutions, and assessing implications for service improvement.   Chapter 2 examined existing research, emphasising robust evidence that stigma impedes help-seeking, language hurdles obstruct communication, and insufficient cultural competency diminishes trust and satisfaction.  Chapter 3 described a secondary research method that enabled a comprehensive thematic analysis of existing studies.   Chapter 4 revealed significant findings indicating that stigma continues to be an important barrier to obtaining timely assistance, whereas communication challenges result in misdiagnosis and disengagement from care.  Furthermore, insufficient cultural understanding in services leads to care that fails to adequately address patients' cultural requirements.</w:t>
      </w:r>
    </w:p>
    <w:p w14:paraId="619A5946" w14:textId="77777777" w:rsidR="00E756C2" w:rsidRDefault="00E756C2" w:rsidP="00E756C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Overall, the research reveals that these three topics are interconnected and are collectively promoting mental health inequities.   The study aim has been comprehensively addressed, and the objectives have been mostly fulfilled by identifying barriers and emphasising necessary enhancements in policy and practice.  This analysis underscores the necessity of creating culturally responsive, inclusive services to enhance equitable access and improve outcomes for ethnic minority groups in the UK.</w:t>
      </w:r>
    </w:p>
    <w:p w14:paraId="795FC1EB" w14:textId="77777777" w:rsidR="00E756C2" w:rsidRDefault="00E756C2" w:rsidP="00E756C2">
      <w:pPr>
        <w:spacing w:line="360" w:lineRule="auto"/>
        <w:jc w:val="both"/>
        <w:rPr>
          <w:rFonts w:ascii="Arial" w:hAnsi="Arial" w:cs="Arial"/>
          <w:b/>
          <w:bCs/>
          <w:color w:val="000000" w:themeColor="text1"/>
          <w:sz w:val="28"/>
          <w:szCs w:val="28"/>
        </w:rPr>
      </w:pPr>
    </w:p>
    <w:p w14:paraId="699F5F5C" w14:textId="77777777" w:rsidR="00E756C2" w:rsidRDefault="00E756C2" w:rsidP="00E756C2">
      <w:pPr>
        <w:spacing w:line="360" w:lineRule="auto"/>
        <w:jc w:val="both"/>
        <w:rPr>
          <w:rFonts w:ascii="Arial" w:hAnsi="Arial" w:cs="Arial"/>
          <w:b/>
          <w:bCs/>
          <w:color w:val="000000" w:themeColor="text1"/>
          <w:sz w:val="28"/>
          <w:szCs w:val="28"/>
        </w:rPr>
      </w:pPr>
    </w:p>
    <w:p w14:paraId="221A4A87" w14:textId="77777777" w:rsidR="00E756C2" w:rsidRDefault="00E756C2" w:rsidP="00E756C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To make it easier for ethnic minority populations in the UK to get mental health care, we need to make adjustments that can be made within the current health care system.  The three recommendations below are founded on evidence and fit with the NHS's present goals. They also consider the difficulties and limits of putting them into action.</w:t>
      </w:r>
    </w:p>
    <w:p w14:paraId="65A9EB6A" w14:textId="77777777" w:rsidR="00E756C2" w:rsidRDefault="00E756C2" w:rsidP="00E756C2">
      <w:pPr>
        <w:spacing w:line="360" w:lineRule="auto"/>
        <w:jc w:val="both"/>
        <w:rPr>
          <w:rFonts w:ascii="Arial" w:hAnsi="Arial" w:cs="Arial"/>
          <w:color w:val="000000" w:themeColor="text1"/>
          <w:sz w:val="28"/>
          <w:szCs w:val="28"/>
        </w:rPr>
      </w:pPr>
      <w:r>
        <w:rPr>
          <w:rFonts w:ascii="Arial" w:hAnsi="Arial" w:cs="Arial"/>
          <w:b/>
          <w:bCs/>
          <w:color w:val="000000" w:themeColor="text1"/>
          <w:sz w:val="28"/>
          <w:szCs w:val="28"/>
        </w:rPr>
        <w:t>Recommendation 1: Strengthen Community Led Anti Stigma Mental Health Interventions</w:t>
      </w:r>
    </w:p>
    <w:p w14:paraId="42B9418F" w14:textId="77777777" w:rsidR="00E756C2" w:rsidRDefault="00E756C2" w:rsidP="00E756C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Stigma continues to be a significant obstacle hindering ethnic minority individuals from obtaining mental health treatment, attributable to cultural shame, discrimination, and fear of judgement</w:t>
      </w:r>
      <w:r>
        <w:t xml:space="preserve"> </w:t>
      </w:r>
      <w:r>
        <w:rPr>
          <w:rFonts w:ascii="Arial" w:hAnsi="Arial" w:cs="Arial"/>
          <w:color w:val="000000" w:themeColor="text1"/>
          <w:sz w:val="22"/>
          <w:szCs w:val="22"/>
        </w:rPr>
        <w:t>(Henderson and Gronholm, 2018).  To address this, mental health providers should work with community organisations, church leaders, and voluntary sector organisations that people trust to run anti-stigma campaigns that are specific to each culture.  This is in line with the NHS Long Term Plan's promise to narrow the gap in access and outcomes (NHS England, 2019).</w:t>
      </w:r>
    </w:p>
    <w:p w14:paraId="5814F50C" w14:textId="77777777" w:rsidR="00E756C2" w:rsidRDefault="00E756C2" w:rsidP="00E756C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Campaigns could include peer-support ambassadors, public workshops that are adapted to different cultures, and social media campaigns that are led by people in the community.  These methods help make conversations about mental health more common and make people more likely to trust services</w:t>
      </w:r>
      <w:r>
        <w:t xml:space="preserve"> </w:t>
      </w:r>
      <w:r>
        <w:rPr>
          <w:rFonts w:ascii="Arial" w:hAnsi="Arial" w:cs="Arial"/>
          <w:color w:val="000000" w:themeColor="text1"/>
          <w:sz w:val="22"/>
          <w:szCs w:val="22"/>
        </w:rPr>
        <w:t>(Evans-Lacko et al., 2012).</w:t>
      </w:r>
    </w:p>
    <w:p w14:paraId="3709AEFE" w14:textId="77777777" w:rsidR="00E756C2" w:rsidRDefault="00E756C2" w:rsidP="00E756C2">
      <w:pPr>
        <w:spacing w:line="360" w:lineRule="auto"/>
        <w:jc w:val="both"/>
        <w:rPr>
          <w:rFonts w:ascii="Arial" w:hAnsi="Arial" w:cs="Arial"/>
          <w:color w:val="000000" w:themeColor="text1"/>
          <w:sz w:val="22"/>
          <w:szCs w:val="22"/>
        </w:rPr>
      </w:pPr>
      <w:r>
        <w:rPr>
          <w:rFonts w:ascii="Arial" w:hAnsi="Arial" w:cs="Arial"/>
          <w:b/>
          <w:bCs/>
          <w:color w:val="000000" w:themeColor="text1"/>
          <w:sz w:val="28"/>
          <w:szCs w:val="28"/>
        </w:rPr>
        <w:t>Limitations and Solutions:</w:t>
      </w:r>
      <w:r>
        <w:rPr>
          <w:rFonts w:ascii="Arial" w:hAnsi="Arial" w:cs="Arial"/>
          <w:color w:val="000000" w:themeColor="text1"/>
          <w:sz w:val="22"/>
          <w:szCs w:val="22"/>
        </w:rPr>
        <w:t xml:space="preserve"> Funding restrictions and a long history of scepticism in statutory services may make it hard for people to get involved (Thompson, </w:t>
      </w:r>
      <w:proofErr w:type="spellStart"/>
      <w:r>
        <w:rPr>
          <w:rFonts w:ascii="Arial" w:hAnsi="Arial" w:cs="Arial"/>
          <w:color w:val="000000" w:themeColor="text1"/>
          <w:sz w:val="22"/>
          <w:szCs w:val="22"/>
        </w:rPr>
        <w:t>Vidgen</w:t>
      </w:r>
      <w:proofErr w:type="spellEnd"/>
      <w:r>
        <w:rPr>
          <w:rFonts w:ascii="Arial" w:hAnsi="Arial" w:cs="Arial"/>
          <w:color w:val="000000" w:themeColor="text1"/>
          <w:sz w:val="22"/>
          <w:szCs w:val="22"/>
        </w:rPr>
        <w:t xml:space="preserve"> and Roberts, 2018). To fix this, NHS England could give targeted inequalities funding and keep an eye on how many people use it by looking at community involvement metrics.  Cultural sensitivity is another restriction, therefore it's important to work with service consumers and local leaders to make sure that the services are relevant and respectful of cultural norms.</w:t>
      </w:r>
    </w:p>
    <w:p w14:paraId="098B13C1" w14:textId="77777777" w:rsidR="00E756C2" w:rsidRDefault="00E756C2" w:rsidP="00E756C2">
      <w:pPr>
        <w:spacing w:line="360" w:lineRule="auto"/>
        <w:jc w:val="both"/>
        <w:rPr>
          <w:rFonts w:ascii="Arial" w:hAnsi="Arial" w:cs="Arial"/>
          <w:b/>
          <w:bCs/>
          <w:color w:val="000000" w:themeColor="text1"/>
          <w:sz w:val="28"/>
          <w:szCs w:val="28"/>
        </w:rPr>
      </w:pPr>
      <w:r>
        <w:rPr>
          <w:rFonts w:ascii="Arial" w:hAnsi="Arial" w:cs="Arial"/>
          <w:b/>
          <w:bCs/>
          <w:color w:val="000000" w:themeColor="text1"/>
          <w:sz w:val="28"/>
          <w:szCs w:val="28"/>
        </w:rPr>
        <w:t>Recommendation 2: Improve Access to Interpreting Services and Multilingual Mental Health Support</w:t>
      </w:r>
    </w:p>
    <w:p w14:paraId="37817F8C" w14:textId="77777777" w:rsidR="00E756C2" w:rsidRDefault="00E756C2" w:rsidP="00E756C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Language barriers have a big effect on communication, diagnosis, and following treatment plans</w:t>
      </w:r>
      <w:r>
        <w:t xml:space="preserve"> </w:t>
      </w:r>
      <w:r>
        <w:rPr>
          <w:rFonts w:ascii="Arial" w:hAnsi="Arial" w:cs="Arial"/>
          <w:color w:val="000000" w:themeColor="text1"/>
          <w:sz w:val="22"/>
          <w:szCs w:val="22"/>
        </w:rPr>
        <w:t xml:space="preserve">(Gibbons, Dempster and Moutray, 2010). Mental health services must provide the availability of skilled interpreters at all stages of the care pathway, encompassing triage, assessment, and therapy.  This is in line with the legal requirements of the Equality Act 2010, which says that care must be fair and easy to get (UK Government, 2010).  Also, NHS Trusts should offer more multilingual mental health resources, such as translated appointment </w:t>
      </w:r>
      <w:r>
        <w:rPr>
          <w:rFonts w:ascii="Arial" w:hAnsi="Arial" w:cs="Arial"/>
          <w:color w:val="000000" w:themeColor="text1"/>
          <w:sz w:val="22"/>
          <w:szCs w:val="22"/>
        </w:rPr>
        <w:lastRenderedPageBreak/>
        <w:t>systems, digital therapy, and interpreters who are trained in clinical language (NHS England, 2025).</w:t>
      </w:r>
    </w:p>
    <w:p w14:paraId="7E06ECAE" w14:textId="77777777" w:rsidR="00E756C2" w:rsidRDefault="00E756C2" w:rsidP="00E756C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Moreover, clinicians need to gain knowledge of how to work well with interpreters to minimise misunderstandings and wrong diagnoses (</w:t>
      </w:r>
      <w:proofErr w:type="spellStart"/>
      <w:r>
        <w:rPr>
          <w:rFonts w:ascii="Arial" w:hAnsi="Arial" w:cs="Arial"/>
          <w:color w:val="000000" w:themeColor="text1"/>
          <w:sz w:val="22"/>
          <w:szCs w:val="22"/>
        </w:rPr>
        <w:t>Karliner</w:t>
      </w:r>
      <w:proofErr w:type="spellEnd"/>
      <w:r>
        <w:rPr>
          <w:rFonts w:ascii="Arial" w:hAnsi="Arial" w:cs="Arial"/>
          <w:color w:val="000000" w:themeColor="text1"/>
          <w:sz w:val="22"/>
          <w:szCs w:val="22"/>
        </w:rPr>
        <w:t xml:space="preserve"> et al., 2024).</w:t>
      </w:r>
    </w:p>
    <w:p w14:paraId="6AB2D2B5" w14:textId="77777777" w:rsidR="00E756C2" w:rsidRDefault="00E756C2" w:rsidP="00E756C2">
      <w:pPr>
        <w:spacing w:line="360" w:lineRule="auto"/>
        <w:jc w:val="both"/>
        <w:rPr>
          <w:rFonts w:ascii="Arial" w:hAnsi="Arial" w:cs="Arial"/>
          <w:color w:val="000000" w:themeColor="text1"/>
          <w:sz w:val="22"/>
          <w:szCs w:val="22"/>
        </w:rPr>
      </w:pPr>
      <w:r>
        <w:rPr>
          <w:rFonts w:ascii="Arial" w:hAnsi="Arial" w:cs="Arial"/>
          <w:b/>
          <w:bCs/>
          <w:color w:val="000000" w:themeColor="text1"/>
          <w:sz w:val="28"/>
          <w:szCs w:val="28"/>
        </w:rPr>
        <w:t>Limitations and Solutions:</w:t>
      </w:r>
      <w:r>
        <w:rPr>
          <w:rFonts w:ascii="Arial" w:hAnsi="Arial" w:cs="Arial"/>
          <w:color w:val="000000" w:themeColor="text1"/>
          <w:sz w:val="22"/>
          <w:szCs w:val="22"/>
        </w:rPr>
        <w:t xml:space="preserve"> There aren't enough skilled mental health interpreters right now, and appointments with interpreters are hard to make because of time limits (Phillimore, 2015).  Commissioners should give money to mental health teams to hire interpreters and make sure that longer appointment times are always available.  People may also be hesitant to use the service because they are worried about privacy (Tribe and Thompson, 2021).  This could be lessened by making confidentiality training better and giving service users the option to choose the gender or ethnicity of the interpreter.</w:t>
      </w:r>
    </w:p>
    <w:p w14:paraId="694A6190" w14:textId="77777777" w:rsidR="00E756C2" w:rsidRDefault="00E756C2" w:rsidP="00E756C2">
      <w:pPr>
        <w:spacing w:line="360" w:lineRule="auto"/>
        <w:jc w:val="both"/>
        <w:rPr>
          <w:rFonts w:ascii="Arial" w:hAnsi="Arial" w:cs="Arial"/>
          <w:b/>
          <w:bCs/>
          <w:sz w:val="28"/>
          <w:szCs w:val="28"/>
        </w:rPr>
      </w:pPr>
      <w:r>
        <w:rPr>
          <w:rFonts w:ascii="Arial" w:hAnsi="Arial" w:cs="Arial"/>
          <w:b/>
          <w:bCs/>
          <w:color w:val="000000" w:themeColor="text1"/>
          <w:sz w:val="28"/>
          <w:szCs w:val="28"/>
        </w:rPr>
        <w:t>Recommendation 3</w:t>
      </w:r>
      <w:r>
        <w:rPr>
          <w:rFonts w:ascii="Arial" w:hAnsi="Arial" w:cs="Arial"/>
          <w:b/>
          <w:bCs/>
          <w:sz w:val="28"/>
          <w:szCs w:val="28"/>
        </w:rPr>
        <w:t>: Mandatory Cultural Competency Training and Improved Workforce Representation</w:t>
      </w:r>
    </w:p>
    <w:p w14:paraId="658DBC29" w14:textId="77777777" w:rsidR="00E756C2" w:rsidRDefault="00E756C2" w:rsidP="00E756C2">
      <w:pPr>
        <w:spacing w:line="360" w:lineRule="auto"/>
        <w:jc w:val="both"/>
        <w:rPr>
          <w:rFonts w:ascii="Arial" w:hAnsi="Arial" w:cs="Arial"/>
          <w:sz w:val="22"/>
          <w:szCs w:val="22"/>
        </w:rPr>
      </w:pPr>
      <w:r>
        <w:rPr>
          <w:rFonts w:ascii="Arial" w:hAnsi="Arial" w:cs="Arial"/>
          <w:sz w:val="22"/>
          <w:szCs w:val="22"/>
        </w:rPr>
        <w:t>Mental health workers must complete mandated training in cultural competency and anti-racism to establish trust and provide culturally appropriate care (</w:t>
      </w:r>
      <w:proofErr w:type="spellStart"/>
      <w:r>
        <w:rPr>
          <w:rFonts w:ascii="Arial" w:hAnsi="Arial" w:cs="Arial"/>
          <w:sz w:val="22"/>
          <w:szCs w:val="22"/>
        </w:rPr>
        <w:t>Nazroo</w:t>
      </w:r>
      <w:proofErr w:type="spellEnd"/>
      <w:r>
        <w:rPr>
          <w:rFonts w:ascii="Arial" w:hAnsi="Arial" w:cs="Arial"/>
          <w:sz w:val="22"/>
          <w:szCs w:val="22"/>
        </w:rPr>
        <w:t xml:space="preserve"> et al., 2020).  The augmentation of ethnic minority personnel in high clinical and leadership positions can foster more culturally secure settings and mitigate discriminatory experiences, as advocated by the NHS Workforce Race Equality Standard (WRES) (NHS England, 2023).</w:t>
      </w:r>
    </w:p>
    <w:p w14:paraId="09784B7D" w14:textId="77777777" w:rsidR="00E756C2" w:rsidRDefault="00E756C2" w:rsidP="00E756C2">
      <w:pPr>
        <w:spacing w:line="360" w:lineRule="auto"/>
        <w:jc w:val="both"/>
        <w:rPr>
          <w:rFonts w:ascii="Arial" w:hAnsi="Arial" w:cs="Arial"/>
          <w:sz w:val="22"/>
          <w:szCs w:val="22"/>
        </w:rPr>
      </w:pPr>
      <w:r>
        <w:rPr>
          <w:rFonts w:ascii="Arial" w:hAnsi="Arial" w:cs="Arial"/>
          <w:sz w:val="22"/>
          <w:szCs w:val="22"/>
        </w:rPr>
        <w:t>Training must emphasise intersectionality, trauma associated with migration, cultural explanatory frameworks for mental illness, and the mitigation of diagnostic bias (</w:t>
      </w:r>
      <w:proofErr w:type="spellStart"/>
      <w:r>
        <w:rPr>
          <w:rFonts w:ascii="Arial" w:hAnsi="Arial" w:cs="Arial"/>
          <w:sz w:val="22"/>
          <w:szCs w:val="22"/>
        </w:rPr>
        <w:t>Bhui</w:t>
      </w:r>
      <w:proofErr w:type="spellEnd"/>
      <w:r>
        <w:rPr>
          <w:rFonts w:ascii="Arial" w:hAnsi="Arial" w:cs="Arial"/>
          <w:sz w:val="22"/>
          <w:szCs w:val="22"/>
        </w:rPr>
        <w:t>, 2016). Moreover, supervision and reflective practice must integrate cultural awareness into routine care provision.</w:t>
      </w:r>
    </w:p>
    <w:p w14:paraId="66F49EAC" w14:textId="77777777" w:rsidR="00E756C2" w:rsidRDefault="00E756C2" w:rsidP="00E756C2">
      <w:pPr>
        <w:spacing w:line="360" w:lineRule="auto"/>
        <w:jc w:val="both"/>
        <w:rPr>
          <w:rFonts w:ascii="Arial" w:hAnsi="Arial" w:cs="Arial"/>
          <w:sz w:val="22"/>
          <w:szCs w:val="22"/>
        </w:rPr>
      </w:pPr>
      <w:r>
        <w:rPr>
          <w:rFonts w:ascii="Arial" w:hAnsi="Arial" w:cs="Arial"/>
          <w:b/>
          <w:bCs/>
          <w:sz w:val="28"/>
          <w:szCs w:val="28"/>
        </w:rPr>
        <w:t>Limitations and Solutions:</w:t>
      </w:r>
      <w:r>
        <w:rPr>
          <w:rFonts w:ascii="Arial" w:hAnsi="Arial" w:cs="Arial"/>
          <w:sz w:val="22"/>
          <w:szCs w:val="22"/>
        </w:rPr>
        <w:t xml:space="preserve"> A problem is that training may inadequately alter practitioner behaviour if implemented superficially (Jongen, McCalman and Bainbridge, 2018).  To address this, continuous competency evaluations and monitoring via WRES data should be instituted.  Labour shortages also impede advancement (Mind, 2022).  Enhancing recruitment incentives and career advancement possibilities for minority professionals may augment representation and ensure long-term viability.</w:t>
      </w:r>
    </w:p>
    <w:p w14:paraId="51782964" w14:textId="77777777" w:rsidR="00E756C2" w:rsidRDefault="00E756C2" w:rsidP="00E756C2">
      <w:pPr>
        <w:spacing w:line="360" w:lineRule="auto"/>
        <w:jc w:val="both"/>
        <w:rPr>
          <w:rFonts w:ascii="Arial" w:hAnsi="Arial" w:cs="Arial"/>
          <w:b/>
          <w:bCs/>
          <w:sz w:val="32"/>
          <w:szCs w:val="32"/>
        </w:rPr>
      </w:pPr>
      <w:r>
        <w:rPr>
          <w:rFonts w:ascii="Arial" w:hAnsi="Arial" w:cs="Arial"/>
          <w:b/>
          <w:bCs/>
          <w:sz w:val="32"/>
          <w:szCs w:val="32"/>
        </w:rPr>
        <w:t>Conclusion of Recommendations</w:t>
      </w:r>
    </w:p>
    <w:p w14:paraId="09D8B34E" w14:textId="77777777" w:rsidR="00E756C2" w:rsidRDefault="00E756C2" w:rsidP="00E756C2">
      <w:pPr>
        <w:spacing w:line="360" w:lineRule="auto"/>
        <w:jc w:val="both"/>
        <w:rPr>
          <w:rFonts w:ascii="Arial" w:hAnsi="Arial" w:cs="Arial"/>
          <w:sz w:val="22"/>
          <w:szCs w:val="22"/>
        </w:rPr>
      </w:pPr>
      <w:r>
        <w:rPr>
          <w:rFonts w:ascii="Arial" w:hAnsi="Arial" w:cs="Arial"/>
          <w:sz w:val="22"/>
          <w:szCs w:val="22"/>
        </w:rPr>
        <w:t xml:space="preserve">These ideas correspond with UK mental health policies and legislation designed to mitigate systematic inequities.  Despite the presence of problems, like funding limitations, workforce deficits, distrust in services, and irregular interpreter availability, these obstacles can be </w:t>
      </w:r>
      <w:r>
        <w:rPr>
          <w:rFonts w:ascii="Arial" w:hAnsi="Arial" w:cs="Arial"/>
          <w:sz w:val="22"/>
          <w:szCs w:val="22"/>
        </w:rPr>
        <w:lastRenderedPageBreak/>
        <w:t>alleviated by co-production, strategic commissioning, and policy-driven accountability initiatives.  Enhancing community links, communication assistance, and cultural competence will substantially improve access, engagement, and mental health outcomes for ethnic minority people throughout the UK.</w:t>
      </w:r>
    </w:p>
    <w:p w14:paraId="59635FDF" w14:textId="77777777" w:rsidR="00E756C2" w:rsidRDefault="00E756C2" w:rsidP="00E756C2">
      <w:pPr>
        <w:spacing w:line="360" w:lineRule="auto"/>
        <w:jc w:val="both"/>
        <w:rPr>
          <w:rFonts w:ascii="Arial" w:hAnsi="Arial" w:cs="Arial"/>
          <w:b/>
          <w:bCs/>
          <w:sz w:val="32"/>
          <w:szCs w:val="32"/>
        </w:rPr>
      </w:pPr>
    </w:p>
    <w:p w14:paraId="5461D21D" w14:textId="77777777" w:rsidR="00E756C2" w:rsidRDefault="00E756C2" w:rsidP="00E756C2">
      <w:pPr>
        <w:spacing w:line="360" w:lineRule="auto"/>
        <w:jc w:val="both"/>
        <w:rPr>
          <w:rFonts w:ascii="Arial" w:hAnsi="Arial" w:cs="Arial"/>
          <w:b/>
          <w:bCs/>
          <w:sz w:val="32"/>
          <w:szCs w:val="32"/>
        </w:rPr>
      </w:pPr>
      <w:r>
        <w:rPr>
          <w:rFonts w:ascii="Arial" w:hAnsi="Arial" w:cs="Arial"/>
          <w:b/>
          <w:bCs/>
          <w:sz w:val="32"/>
          <w:szCs w:val="32"/>
        </w:rPr>
        <w:t>References</w:t>
      </w:r>
    </w:p>
    <w:p w14:paraId="47C69626" w14:textId="77777777" w:rsidR="00E756C2" w:rsidRDefault="00E756C2" w:rsidP="00E756C2">
      <w:pPr>
        <w:spacing w:line="360" w:lineRule="auto"/>
        <w:jc w:val="both"/>
        <w:rPr>
          <w:rFonts w:ascii="Arial" w:hAnsi="Arial" w:cs="Arial"/>
          <w:color w:val="000000" w:themeColor="text1"/>
          <w:sz w:val="22"/>
          <w:szCs w:val="22"/>
        </w:rPr>
      </w:pPr>
      <w:proofErr w:type="spellStart"/>
      <w:r>
        <w:rPr>
          <w:rFonts w:ascii="Arial" w:hAnsi="Arial" w:cs="Arial"/>
          <w:color w:val="000000" w:themeColor="text1"/>
          <w:sz w:val="22"/>
          <w:szCs w:val="22"/>
        </w:rPr>
        <w:t>Bhui</w:t>
      </w:r>
      <w:proofErr w:type="spellEnd"/>
      <w:r>
        <w:rPr>
          <w:rFonts w:ascii="Arial" w:hAnsi="Arial" w:cs="Arial"/>
          <w:color w:val="000000" w:themeColor="text1"/>
          <w:sz w:val="22"/>
          <w:szCs w:val="22"/>
        </w:rPr>
        <w:t xml:space="preserve">, K. (2016) ‘Discrimination, poor mental health, and mental illness’, International Review of Psychiatry, 28(4), pp. 411–414. Available at: </w:t>
      </w:r>
      <w:hyperlink r:id="rId55" w:history="1">
        <w:r>
          <w:rPr>
            <w:rStyle w:val="Hyperlink"/>
            <w:rFonts w:ascii="Arial" w:hAnsi="Arial" w:cs="Arial"/>
            <w:sz w:val="22"/>
            <w:szCs w:val="22"/>
          </w:rPr>
          <w:t>https://doi.org/10.1080/09540261.2016.1210578</w:t>
        </w:r>
      </w:hyperlink>
      <w:r>
        <w:rPr>
          <w:rFonts w:ascii="Arial" w:hAnsi="Arial" w:cs="Arial"/>
          <w:color w:val="000000" w:themeColor="text1"/>
          <w:sz w:val="22"/>
          <w:szCs w:val="22"/>
        </w:rPr>
        <w:t>. (Accessed 21 November 2025).</w:t>
      </w:r>
    </w:p>
    <w:p w14:paraId="287B140F" w14:textId="77777777" w:rsidR="00E756C2" w:rsidRDefault="00E756C2" w:rsidP="00E756C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Thompson, C.T., </w:t>
      </w:r>
      <w:proofErr w:type="spellStart"/>
      <w:r>
        <w:rPr>
          <w:rFonts w:ascii="Arial" w:hAnsi="Arial" w:cs="Arial"/>
          <w:color w:val="000000" w:themeColor="text1"/>
          <w:sz w:val="22"/>
          <w:szCs w:val="22"/>
        </w:rPr>
        <w:t>Vidgen</w:t>
      </w:r>
      <w:proofErr w:type="spellEnd"/>
      <w:r>
        <w:rPr>
          <w:rFonts w:ascii="Arial" w:hAnsi="Arial" w:cs="Arial"/>
          <w:color w:val="000000" w:themeColor="text1"/>
          <w:sz w:val="22"/>
          <w:szCs w:val="22"/>
        </w:rPr>
        <w:t xml:space="preserve">, A. and Roberts, N.P. (2018) 'Psychological interventions for post-traumatic stress disorder in refugees and asylum seekers: A systematic review and meta-analysis,' Clinical Psychology Review, 63, pp. 66–79. </w:t>
      </w:r>
      <w:hyperlink r:id="rId56" w:history="1">
        <w:r>
          <w:rPr>
            <w:rStyle w:val="Hyperlink"/>
            <w:rFonts w:ascii="Arial" w:hAnsi="Arial" w:cs="Arial"/>
            <w:sz w:val="22"/>
            <w:szCs w:val="22"/>
          </w:rPr>
          <w:t>https://doi.org/10.1016/j.cpr.2018.06.006</w:t>
        </w:r>
      </w:hyperlink>
      <w:r>
        <w:rPr>
          <w:rFonts w:ascii="Arial" w:hAnsi="Arial" w:cs="Arial"/>
          <w:color w:val="000000" w:themeColor="text1"/>
          <w:sz w:val="22"/>
          <w:szCs w:val="22"/>
        </w:rPr>
        <w:t xml:space="preserve">. </w:t>
      </w:r>
      <w:bookmarkStart w:id="1" w:name="_Hlk214578974"/>
      <w:r>
        <w:rPr>
          <w:rFonts w:ascii="Arial" w:hAnsi="Arial" w:cs="Arial"/>
          <w:color w:val="000000" w:themeColor="text1"/>
          <w:sz w:val="22"/>
          <w:szCs w:val="22"/>
        </w:rPr>
        <w:t>(Accessed 21 November 2025).</w:t>
      </w:r>
      <w:bookmarkEnd w:id="1"/>
    </w:p>
    <w:p w14:paraId="14BD5EA4" w14:textId="77777777" w:rsidR="00E756C2" w:rsidRDefault="00E756C2" w:rsidP="00E756C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Evans-Lacko, S. et al. (2012) 'Mass social contact interventions and their effect on mental health related stigma and intended discrimination,' BMC Public Health, 12(1), p. 489. </w:t>
      </w:r>
      <w:hyperlink r:id="rId57" w:history="1">
        <w:r>
          <w:rPr>
            <w:rStyle w:val="Hyperlink"/>
            <w:rFonts w:ascii="Arial" w:hAnsi="Arial" w:cs="Arial"/>
            <w:sz w:val="22"/>
            <w:szCs w:val="22"/>
          </w:rPr>
          <w:t>https://doi.org/10.1186/1471-2458-12-489</w:t>
        </w:r>
      </w:hyperlink>
      <w:r>
        <w:rPr>
          <w:rFonts w:ascii="Arial" w:hAnsi="Arial" w:cs="Arial"/>
          <w:color w:val="000000" w:themeColor="text1"/>
          <w:sz w:val="22"/>
          <w:szCs w:val="22"/>
        </w:rPr>
        <w:t xml:space="preserve">. </w:t>
      </w:r>
      <w:bookmarkStart w:id="2" w:name="_Hlk214604028"/>
      <w:r>
        <w:rPr>
          <w:rFonts w:ascii="Arial" w:hAnsi="Arial" w:cs="Arial"/>
          <w:color w:val="000000" w:themeColor="text1"/>
          <w:sz w:val="22"/>
          <w:szCs w:val="22"/>
        </w:rPr>
        <w:t>(Accessed 21 November 2025).</w:t>
      </w:r>
      <w:bookmarkEnd w:id="2"/>
    </w:p>
    <w:p w14:paraId="3FE46F3A" w14:textId="77777777" w:rsidR="00E756C2" w:rsidRDefault="00E756C2" w:rsidP="00E756C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Gibbons, C., Dempster, M. and Moutray, M. (2010) 'Stress, coping and satisfaction in nursing students,' Journal of Advanced Nursing, 67(3), pp. 621–632. </w:t>
      </w:r>
      <w:hyperlink r:id="rId58" w:history="1">
        <w:r>
          <w:rPr>
            <w:rStyle w:val="Hyperlink"/>
            <w:rFonts w:ascii="Arial" w:hAnsi="Arial" w:cs="Arial"/>
            <w:sz w:val="22"/>
            <w:szCs w:val="22"/>
          </w:rPr>
          <w:t>https://doi.org/10.1111/j.1365-2648.2010.05495.x</w:t>
        </w:r>
      </w:hyperlink>
      <w:r>
        <w:rPr>
          <w:rFonts w:ascii="Arial" w:hAnsi="Arial" w:cs="Arial"/>
          <w:color w:val="000000" w:themeColor="text1"/>
          <w:sz w:val="22"/>
          <w:szCs w:val="22"/>
        </w:rPr>
        <w:t>. (Accessed 21 November 2025).</w:t>
      </w:r>
    </w:p>
    <w:p w14:paraId="398BE002" w14:textId="77777777" w:rsidR="00E756C2" w:rsidRDefault="00E756C2" w:rsidP="00E756C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Henderson, C. and Gronholm, P.C. (2018) ‘Mental Health Related Stigma as a “Wicked Problem”: The Need to Address Stigma and Consider the Consequences’, International journal of environmental research and public health, 15(6), p. 1158. Available at: </w:t>
      </w:r>
      <w:hyperlink r:id="rId59" w:history="1">
        <w:r>
          <w:rPr>
            <w:rStyle w:val="Hyperlink"/>
            <w:rFonts w:ascii="Arial" w:hAnsi="Arial" w:cs="Arial"/>
            <w:sz w:val="22"/>
            <w:szCs w:val="22"/>
          </w:rPr>
          <w:t>https://doi.org/10.3390/ijerph15061158</w:t>
        </w:r>
      </w:hyperlink>
      <w:r>
        <w:rPr>
          <w:rFonts w:ascii="Arial" w:hAnsi="Arial" w:cs="Arial"/>
          <w:color w:val="000000" w:themeColor="text1"/>
          <w:sz w:val="22"/>
          <w:szCs w:val="22"/>
        </w:rPr>
        <w:t xml:space="preserve">. </w:t>
      </w:r>
    </w:p>
    <w:p w14:paraId="461D81B2" w14:textId="77777777" w:rsidR="00E756C2" w:rsidRDefault="00E756C2" w:rsidP="00E756C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Jongen, C., McCalman, J. and Bainbridge, R. (2018) ‘Health workforce cultural competency interventions: a systematic scoping review’, BMC health services research, 18(1). Available at: </w:t>
      </w:r>
      <w:hyperlink r:id="rId60" w:history="1">
        <w:r>
          <w:rPr>
            <w:rStyle w:val="Hyperlink"/>
            <w:rFonts w:ascii="Arial" w:hAnsi="Arial" w:cs="Arial"/>
            <w:sz w:val="22"/>
            <w:szCs w:val="22"/>
          </w:rPr>
          <w:t>https://doi.org/10.1186/s12913-018-3001-5</w:t>
        </w:r>
      </w:hyperlink>
      <w:r>
        <w:rPr>
          <w:rFonts w:ascii="Arial" w:hAnsi="Arial" w:cs="Arial"/>
          <w:color w:val="000000" w:themeColor="text1"/>
          <w:sz w:val="22"/>
          <w:szCs w:val="22"/>
        </w:rPr>
        <w:t>.</w:t>
      </w:r>
    </w:p>
    <w:p w14:paraId="750562C0" w14:textId="77777777" w:rsidR="00E756C2" w:rsidRDefault="00E756C2" w:rsidP="00E756C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Tribe, R. and Thompson, K. (2021) Working with Interpreters in Mental Health: Good Practice Guidelines. Edited by Professor Dinesh Bhugra and Prof Rachel Tribe. Springer. Available at: </w:t>
      </w:r>
      <w:hyperlink r:id="rId61" w:history="1">
        <w:r>
          <w:rPr>
            <w:rStyle w:val="Hyperlink"/>
            <w:rFonts w:ascii="Arial" w:hAnsi="Arial" w:cs="Arial"/>
            <w:sz w:val="22"/>
            <w:szCs w:val="22"/>
          </w:rPr>
          <w:t>https://doi.org/10.1007/978-981-10-2366-8_38</w:t>
        </w:r>
      </w:hyperlink>
      <w:r>
        <w:rPr>
          <w:rFonts w:ascii="Arial" w:hAnsi="Arial" w:cs="Arial"/>
          <w:color w:val="000000" w:themeColor="text1"/>
          <w:sz w:val="22"/>
          <w:szCs w:val="22"/>
        </w:rPr>
        <w:t>. (Accessed 21 November 2025).</w:t>
      </w:r>
    </w:p>
    <w:p w14:paraId="6AAA5ED3" w14:textId="77777777" w:rsidR="00E756C2" w:rsidRDefault="00E756C2" w:rsidP="00E756C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NHS England (2023) NHS England» NHS Workforce Race Equality Standard 2023 data analysis report for NHS trusts, www.england.nhs.uk. Available at: </w:t>
      </w:r>
      <w:hyperlink r:id="rId62" w:history="1">
        <w:r>
          <w:rPr>
            <w:rStyle w:val="Hyperlink"/>
            <w:rFonts w:ascii="Arial" w:hAnsi="Arial" w:cs="Arial"/>
            <w:sz w:val="22"/>
            <w:szCs w:val="22"/>
          </w:rPr>
          <w:t>https://www.england.nhs.uk/publication/nhs-workforce-race-equality-standard-2023-data-analysis-report-for-nhs-trusts/</w:t>
        </w:r>
      </w:hyperlink>
      <w:r>
        <w:rPr>
          <w:rFonts w:ascii="Arial" w:hAnsi="Arial" w:cs="Arial"/>
          <w:color w:val="000000" w:themeColor="text1"/>
          <w:sz w:val="22"/>
          <w:szCs w:val="22"/>
        </w:rPr>
        <w:t xml:space="preserve">. </w:t>
      </w:r>
      <w:bookmarkStart w:id="3" w:name="_Hlk214609810"/>
      <w:r>
        <w:rPr>
          <w:rFonts w:ascii="Arial" w:hAnsi="Arial" w:cs="Arial"/>
          <w:color w:val="000000" w:themeColor="text1"/>
          <w:sz w:val="22"/>
          <w:szCs w:val="22"/>
        </w:rPr>
        <w:t>(Accessed 21 November 2025).</w:t>
      </w:r>
      <w:bookmarkEnd w:id="3"/>
    </w:p>
    <w:p w14:paraId="2504C741" w14:textId="77777777" w:rsidR="00E756C2" w:rsidRDefault="00E756C2" w:rsidP="00E756C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NHS England (2025) NHS England» Accessible information standard, England.nhs.uk. Available at: </w:t>
      </w:r>
      <w:hyperlink r:id="rId63" w:history="1">
        <w:r>
          <w:rPr>
            <w:rStyle w:val="Hyperlink"/>
            <w:rFonts w:ascii="Arial" w:hAnsi="Arial" w:cs="Arial"/>
            <w:sz w:val="22"/>
            <w:szCs w:val="22"/>
          </w:rPr>
          <w:t>https://www.england.nhs.uk/accessible-information-standard/</w:t>
        </w:r>
      </w:hyperlink>
      <w:r>
        <w:rPr>
          <w:rFonts w:ascii="Arial" w:hAnsi="Arial" w:cs="Arial"/>
          <w:color w:val="000000" w:themeColor="text1"/>
          <w:sz w:val="22"/>
          <w:szCs w:val="22"/>
        </w:rPr>
        <w:t>.</w:t>
      </w:r>
      <w:bookmarkStart w:id="4" w:name="_Hlk214610761"/>
      <w:r>
        <w:rPr>
          <w:rFonts w:ascii="Arial" w:hAnsi="Arial" w:cs="Arial"/>
          <w:color w:val="000000" w:themeColor="text1"/>
          <w:sz w:val="22"/>
          <w:szCs w:val="22"/>
        </w:rPr>
        <w:t xml:space="preserve"> </w:t>
      </w:r>
      <w:bookmarkStart w:id="5" w:name="_Hlk214611661"/>
      <w:r>
        <w:rPr>
          <w:rFonts w:ascii="Arial" w:hAnsi="Arial" w:cs="Arial"/>
          <w:color w:val="000000" w:themeColor="text1"/>
          <w:sz w:val="22"/>
          <w:szCs w:val="22"/>
        </w:rPr>
        <w:t>(Accessed 21 November 2025).</w:t>
      </w:r>
    </w:p>
    <w:bookmarkEnd w:id="4"/>
    <w:bookmarkEnd w:id="5"/>
    <w:p w14:paraId="435CD318" w14:textId="77777777" w:rsidR="00E756C2" w:rsidRDefault="00E756C2" w:rsidP="00E756C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Mind (2022) Workplace Wellbeing Index 2021/22 Index Insights. Available at: </w:t>
      </w:r>
      <w:hyperlink r:id="rId64" w:history="1">
        <w:r>
          <w:rPr>
            <w:rStyle w:val="Hyperlink"/>
            <w:rFonts w:ascii="Arial" w:hAnsi="Arial" w:cs="Arial"/>
            <w:sz w:val="22"/>
            <w:szCs w:val="22"/>
          </w:rPr>
          <w:t>https://www.mind.org.uk/media/kogesqr4/mind-index-insights-report-2021-22.pdf</w:t>
        </w:r>
      </w:hyperlink>
      <w:r>
        <w:rPr>
          <w:rFonts w:ascii="Arial" w:hAnsi="Arial" w:cs="Arial"/>
          <w:color w:val="000000" w:themeColor="text1"/>
          <w:sz w:val="22"/>
          <w:szCs w:val="22"/>
        </w:rPr>
        <w:t>. (Accessed 21 November 2025).</w:t>
      </w:r>
    </w:p>
    <w:p w14:paraId="5B1B0853" w14:textId="77777777" w:rsidR="00E756C2" w:rsidRDefault="00E756C2" w:rsidP="00E756C2">
      <w:pPr>
        <w:spacing w:line="360" w:lineRule="auto"/>
        <w:jc w:val="both"/>
        <w:rPr>
          <w:rFonts w:ascii="Arial" w:hAnsi="Arial" w:cs="Arial"/>
          <w:color w:val="000000" w:themeColor="text1"/>
          <w:sz w:val="22"/>
          <w:szCs w:val="22"/>
        </w:rPr>
      </w:pPr>
      <w:proofErr w:type="spellStart"/>
      <w:r>
        <w:rPr>
          <w:rFonts w:ascii="Arial" w:hAnsi="Arial" w:cs="Arial"/>
          <w:color w:val="000000" w:themeColor="text1"/>
          <w:sz w:val="22"/>
          <w:szCs w:val="22"/>
        </w:rPr>
        <w:t>Karliner</w:t>
      </w:r>
      <w:proofErr w:type="spellEnd"/>
      <w:r>
        <w:rPr>
          <w:rFonts w:ascii="Arial" w:hAnsi="Arial" w:cs="Arial"/>
          <w:color w:val="000000" w:themeColor="text1"/>
          <w:sz w:val="22"/>
          <w:szCs w:val="22"/>
        </w:rPr>
        <w:t xml:space="preserve">, L.S. et al. (2024) ‘Language Access Systems Improvement initiative: impact on professional interpreter utilisation, a natural experiment’, BMJ Open, 14(1), pp. e073486–e073486. Available at: </w:t>
      </w:r>
      <w:hyperlink r:id="rId65" w:history="1">
        <w:r>
          <w:rPr>
            <w:rStyle w:val="Hyperlink"/>
            <w:rFonts w:ascii="Arial" w:hAnsi="Arial" w:cs="Arial"/>
            <w:sz w:val="22"/>
            <w:szCs w:val="22"/>
          </w:rPr>
          <w:t>https://doi.org/10.1136/bmjopen-2023-073486</w:t>
        </w:r>
      </w:hyperlink>
      <w:r>
        <w:rPr>
          <w:rFonts w:ascii="Arial" w:hAnsi="Arial" w:cs="Arial"/>
          <w:color w:val="000000" w:themeColor="text1"/>
          <w:sz w:val="22"/>
          <w:szCs w:val="22"/>
        </w:rPr>
        <w:t>. (Accessed 21 November 2025).</w:t>
      </w:r>
    </w:p>
    <w:p w14:paraId="49B7E84A" w14:textId="77777777" w:rsidR="00E756C2" w:rsidRDefault="00E756C2" w:rsidP="00C42F2E">
      <w:pPr>
        <w:spacing w:line="360" w:lineRule="auto"/>
        <w:jc w:val="both"/>
        <w:rPr>
          <w:rFonts w:ascii="Arial" w:hAnsi="Arial" w:cs="Arial"/>
          <w:sz w:val="22"/>
          <w:szCs w:val="22"/>
        </w:rPr>
      </w:pPr>
    </w:p>
    <w:p w14:paraId="08C68602" w14:textId="77777777" w:rsidR="00E756C2" w:rsidRPr="000B526B" w:rsidRDefault="00E756C2" w:rsidP="00C42F2E">
      <w:pPr>
        <w:spacing w:line="360" w:lineRule="auto"/>
        <w:jc w:val="both"/>
        <w:rPr>
          <w:rFonts w:ascii="Arial" w:hAnsi="Arial" w:cs="Arial"/>
          <w:sz w:val="22"/>
          <w:szCs w:val="22"/>
        </w:rPr>
      </w:pPr>
    </w:p>
    <w:sectPr w:rsidR="00E756C2" w:rsidRPr="000B52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C7A18"/>
    <w:multiLevelType w:val="hybridMultilevel"/>
    <w:tmpl w:val="66240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C62D76"/>
    <w:multiLevelType w:val="hybridMultilevel"/>
    <w:tmpl w:val="6F045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8497419">
    <w:abstractNumId w:val="1"/>
  </w:num>
  <w:num w:numId="2" w16cid:durableId="2028100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928"/>
    <w:rsid w:val="000010D5"/>
    <w:rsid w:val="00002A86"/>
    <w:rsid w:val="00004C7D"/>
    <w:rsid w:val="0001178C"/>
    <w:rsid w:val="00034EF5"/>
    <w:rsid w:val="000B526B"/>
    <w:rsid w:val="000C526A"/>
    <w:rsid w:val="000E410F"/>
    <w:rsid w:val="00113C55"/>
    <w:rsid w:val="00151C3B"/>
    <w:rsid w:val="001663FE"/>
    <w:rsid w:val="00173A5F"/>
    <w:rsid w:val="00192C6E"/>
    <w:rsid w:val="00211A11"/>
    <w:rsid w:val="00212887"/>
    <w:rsid w:val="0027323D"/>
    <w:rsid w:val="00281ABF"/>
    <w:rsid w:val="002E1E1A"/>
    <w:rsid w:val="00326A47"/>
    <w:rsid w:val="003372BD"/>
    <w:rsid w:val="00392928"/>
    <w:rsid w:val="00393CA2"/>
    <w:rsid w:val="003C779A"/>
    <w:rsid w:val="003F4746"/>
    <w:rsid w:val="004120C9"/>
    <w:rsid w:val="00463DF9"/>
    <w:rsid w:val="004C6B6D"/>
    <w:rsid w:val="004D2FF8"/>
    <w:rsid w:val="004D3B0D"/>
    <w:rsid w:val="00520076"/>
    <w:rsid w:val="005447B9"/>
    <w:rsid w:val="005520A7"/>
    <w:rsid w:val="00556B7C"/>
    <w:rsid w:val="005951F8"/>
    <w:rsid w:val="005B32A0"/>
    <w:rsid w:val="005B3979"/>
    <w:rsid w:val="005E0CEB"/>
    <w:rsid w:val="006044EF"/>
    <w:rsid w:val="00615097"/>
    <w:rsid w:val="00646970"/>
    <w:rsid w:val="00675E1A"/>
    <w:rsid w:val="006830C4"/>
    <w:rsid w:val="00694538"/>
    <w:rsid w:val="006E0A6E"/>
    <w:rsid w:val="006E7171"/>
    <w:rsid w:val="006F2400"/>
    <w:rsid w:val="00702FEE"/>
    <w:rsid w:val="0075027C"/>
    <w:rsid w:val="00752EB5"/>
    <w:rsid w:val="00754DB0"/>
    <w:rsid w:val="00767852"/>
    <w:rsid w:val="0077053D"/>
    <w:rsid w:val="00777159"/>
    <w:rsid w:val="00786117"/>
    <w:rsid w:val="007A55D6"/>
    <w:rsid w:val="007B3013"/>
    <w:rsid w:val="007B6159"/>
    <w:rsid w:val="007F38E1"/>
    <w:rsid w:val="00824292"/>
    <w:rsid w:val="008774CA"/>
    <w:rsid w:val="008A0099"/>
    <w:rsid w:val="008B58FB"/>
    <w:rsid w:val="008C0A59"/>
    <w:rsid w:val="008D0C48"/>
    <w:rsid w:val="008D1CE2"/>
    <w:rsid w:val="008D4A8E"/>
    <w:rsid w:val="008D55F6"/>
    <w:rsid w:val="008D71FD"/>
    <w:rsid w:val="008E3B92"/>
    <w:rsid w:val="008F38CB"/>
    <w:rsid w:val="00904CD2"/>
    <w:rsid w:val="00915D3F"/>
    <w:rsid w:val="00922A36"/>
    <w:rsid w:val="00924845"/>
    <w:rsid w:val="009A4BB1"/>
    <w:rsid w:val="009A7846"/>
    <w:rsid w:val="009D212F"/>
    <w:rsid w:val="009E0C22"/>
    <w:rsid w:val="00A21D1E"/>
    <w:rsid w:val="00A24EF1"/>
    <w:rsid w:val="00A25261"/>
    <w:rsid w:val="00A36FEB"/>
    <w:rsid w:val="00A40462"/>
    <w:rsid w:val="00A55936"/>
    <w:rsid w:val="00A60959"/>
    <w:rsid w:val="00A65530"/>
    <w:rsid w:val="00A83488"/>
    <w:rsid w:val="00A92DE3"/>
    <w:rsid w:val="00AC2BE4"/>
    <w:rsid w:val="00AE1D56"/>
    <w:rsid w:val="00AF295B"/>
    <w:rsid w:val="00B022EE"/>
    <w:rsid w:val="00B13A95"/>
    <w:rsid w:val="00B22C4F"/>
    <w:rsid w:val="00B258F8"/>
    <w:rsid w:val="00B41D63"/>
    <w:rsid w:val="00B41F6B"/>
    <w:rsid w:val="00B73FFD"/>
    <w:rsid w:val="00B976BC"/>
    <w:rsid w:val="00BB70C9"/>
    <w:rsid w:val="00BD3958"/>
    <w:rsid w:val="00BE1633"/>
    <w:rsid w:val="00BF4961"/>
    <w:rsid w:val="00BF6B63"/>
    <w:rsid w:val="00C07094"/>
    <w:rsid w:val="00C42F2E"/>
    <w:rsid w:val="00C9219B"/>
    <w:rsid w:val="00CA7D5C"/>
    <w:rsid w:val="00CB2BC4"/>
    <w:rsid w:val="00CE384A"/>
    <w:rsid w:val="00CE7C46"/>
    <w:rsid w:val="00D163C5"/>
    <w:rsid w:val="00D27884"/>
    <w:rsid w:val="00D81076"/>
    <w:rsid w:val="00D84802"/>
    <w:rsid w:val="00DF710A"/>
    <w:rsid w:val="00E23C9D"/>
    <w:rsid w:val="00E71F1C"/>
    <w:rsid w:val="00E756C2"/>
    <w:rsid w:val="00E822CC"/>
    <w:rsid w:val="00E84398"/>
    <w:rsid w:val="00EA31F9"/>
    <w:rsid w:val="00EA4C3E"/>
    <w:rsid w:val="00EB0670"/>
    <w:rsid w:val="00EC4A4B"/>
    <w:rsid w:val="00EE407E"/>
    <w:rsid w:val="00F0050D"/>
    <w:rsid w:val="00F54E8B"/>
    <w:rsid w:val="00F70D6F"/>
    <w:rsid w:val="00F72D79"/>
    <w:rsid w:val="00F901DA"/>
    <w:rsid w:val="00FA0FC6"/>
    <w:rsid w:val="00FA5085"/>
    <w:rsid w:val="00FE0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1F88D"/>
  <w15:chartTrackingRefBased/>
  <w15:docId w15:val="{17978307-ECD6-4462-86EB-7B1245C57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29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29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29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29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29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29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29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29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29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29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29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29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29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29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29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29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29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2928"/>
    <w:rPr>
      <w:rFonts w:eastAsiaTheme="majorEastAsia" w:cstheme="majorBidi"/>
      <w:color w:val="272727" w:themeColor="text1" w:themeTint="D8"/>
    </w:rPr>
  </w:style>
  <w:style w:type="paragraph" w:styleId="Title">
    <w:name w:val="Title"/>
    <w:basedOn w:val="Normal"/>
    <w:next w:val="Normal"/>
    <w:link w:val="TitleChar"/>
    <w:uiPriority w:val="10"/>
    <w:qFormat/>
    <w:rsid w:val="003929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29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29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29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2928"/>
    <w:pPr>
      <w:spacing w:before="160"/>
      <w:jc w:val="center"/>
    </w:pPr>
    <w:rPr>
      <w:i/>
      <w:iCs/>
      <w:color w:val="404040" w:themeColor="text1" w:themeTint="BF"/>
    </w:rPr>
  </w:style>
  <w:style w:type="character" w:customStyle="1" w:styleId="QuoteChar">
    <w:name w:val="Quote Char"/>
    <w:basedOn w:val="DefaultParagraphFont"/>
    <w:link w:val="Quote"/>
    <w:uiPriority w:val="29"/>
    <w:rsid w:val="00392928"/>
    <w:rPr>
      <w:i/>
      <w:iCs/>
      <w:color w:val="404040" w:themeColor="text1" w:themeTint="BF"/>
    </w:rPr>
  </w:style>
  <w:style w:type="paragraph" w:styleId="ListParagraph">
    <w:name w:val="List Paragraph"/>
    <w:basedOn w:val="Normal"/>
    <w:uiPriority w:val="34"/>
    <w:qFormat/>
    <w:rsid w:val="00392928"/>
    <w:pPr>
      <w:ind w:left="720"/>
      <w:contextualSpacing/>
    </w:pPr>
  </w:style>
  <w:style w:type="character" w:styleId="IntenseEmphasis">
    <w:name w:val="Intense Emphasis"/>
    <w:basedOn w:val="DefaultParagraphFont"/>
    <w:uiPriority w:val="21"/>
    <w:qFormat/>
    <w:rsid w:val="00392928"/>
    <w:rPr>
      <w:i/>
      <w:iCs/>
      <w:color w:val="0F4761" w:themeColor="accent1" w:themeShade="BF"/>
    </w:rPr>
  </w:style>
  <w:style w:type="paragraph" w:styleId="IntenseQuote">
    <w:name w:val="Intense Quote"/>
    <w:basedOn w:val="Normal"/>
    <w:next w:val="Normal"/>
    <w:link w:val="IntenseQuoteChar"/>
    <w:uiPriority w:val="30"/>
    <w:qFormat/>
    <w:rsid w:val="003929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2928"/>
    <w:rPr>
      <w:i/>
      <w:iCs/>
      <w:color w:val="0F4761" w:themeColor="accent1" w:themeShade="BF"/>
    </w:rPr>
  </w:style>
  <w:style w:type="character" w:styleId="IntenseReference">
    <w:name w:val="Intense Reference"/>
    <w:basedOn w:val="DefaultParagraphFont"/>
    <w:uiPriority w:val="32"/>
    <w:qFormat/>
    <w:rsid w:val="00392928"/>
    <w:rPr>
      <w:b/>
      <w:bCs/>
      <w:smallCaps/>
      <w:color w:val="0F4761" w:themeColor="accent1" w:themeShade="BF"/>
      <w:spacing w:val="5"/>
    </w:rPr>
  </w:style>
  <w:style w:type="paragraph" w:styleId="NormalWeb">
    <w:name w:val="Normal (Web)"/>
    <w:basedOn w:val="Normal"/>
    <w:uiPriority w:val="99"/>
    <w:semiHidden/>
    <w:unhideWhenUsed/>
    <w:rsid w:val="00EA4C3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A4C3E"/>
    <w:rPr>
      <w:color w:val="467886" w:themeColor="hyperlink"/>
      <w:u w:val="single"/>
    </w:rPr>
  </w:style>
  <w:style w:type="character" w:styleId="UnresolvedMention">
    <w:name w:val="Unresolved Mention"/>
    <w:basedOn w:val="DefaultParagraphFont"/>
    <w:uiPriority w:val="99"/>
    <w:semiHidden/>
    <w:unhideWhenUsed/>
    <w:rsid w:val="00EA4C3E"/>
    <w:rPr>
      <w:color w:val="605E5C"/>
      <w:shd w:val="clear" w:color="auto" w:fill="E1DFDD"/>
    </w:rPr>
  </w:style>
  <w:style w:type="character" w:styleId="FollowedHyperlink">
    <w:name w:val="FollowedHyperlink"/>
    <w:basedOn w:val="DefaultParagraphFont"/>
    <w:uiPriority w:val="99"/>
    <w:semiHidden/>
    <w:unhideWhenUsed/>
    <w:rsid w:val="00211A1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hsrho.org/wp-content/uploads/2023/05/RHO-Rapid-Review-Final-Report_Summary_v.4.pdf" TargetMode="External"/><Relationship Id="rId21" Type="http://schemas.openxmlformats.org/officeDocument/2006/relationships/hyperlink" Target="https://doi.org/10.1097/mlr.0b013e3181f80749" TargetMode="External"/><Relationship Id="rId34" Type="http://schemas.openxmlformats.org/officeDocument/2006/relationships/hyperlink" Target="https://doi.org/10.1016/j.socscimed.2016.01.031" TargetMode="External"/><Relationship Id="rId42" Type="http://schemas.openxmlformats.org/officeDocument/2006/relationships/hyperlink" Target="https://doi.org/10.1186/1472-6963-7-15" TargetMode="External"/><Relationship Id="rId47" Type="http://schemas.openxmlformats.org/officeDocument/2006/relationships/hyperlink" Target="https://www.mind.org.uk/media/6484/race-equality-briefing-final-oct-2020.pdf" TargetMode="External"/><Relationship Id="rId50" Type="http://schemas.openxmlformats.org/officeDocument/2006/relationships/hyperlink" Target="https://doi.org/10.3310/hta19310" TargetMode="External"/><Relationship Id="rId55" Type="http://schemas.openxmlformats.org/officeDocument/2006/relationships/hyperlink" Target="https://doi.org/10.1080/09540261.2016.1210578" TargetMode="External"/><Relationship Id="rId63" Type="http://schemas.openxmlformats.org/officeDocument/2006/relationships/hyperlink" Target="https://www.england.nhs.uk/accessible-information-standard/" TargetMode="External"/><Relationship Id="rId7" Type="http://schemas.openxmlformats.org/officeDocument/2006/relationships/hyperlink" Target="https://doi.org/10.1177/1363461512437589" TargetMode="External"/><Relationship Id="rId2" Type="http://schemas.openxmlformats.org/officeDocument/2006/relationships/styles" Target="styles.xml"/><Relationship Id="rId16" Type="http://schemas.openxmlformats.org/officeDocument/2006/relationships/hyperlink" Target="https://www.gov.uk/guidance/equality-act-2010-guidance" TargetMode="External"/><Relationship Id="rId29" Type="http://schemas.openxmlformats.org/officeDocument/2006/relationships/hyperlink" Target="https://doi.org/10.1177/10398562251316102" TargetMode="External"/><Relationship Id="rId11" Type="http://schemas.openxmlformats.org/officeDocument/2006/relationships/hyperlink" Target="https://www.cqc.org.uk/publications/monitoring-mental-health-act/2022-2023" TargetMode="External"/><Relationship Id="rId24" Type="http://schemas.openxmlformats.org/officeDocument/2006/relationships/hyperlink" Target="https://www.england.nhs.uk/accessible-information-standard/" TargetMode="External"/><Relationship Id="rId32" Type="http://schemas.openxmlformats.org/officeDocument/2006/relationships/hyperlink" Target="https://doi.org/10.1111/1467-9566.00001" TargetMode="External"/><Relationship Id="rId37" Type="http://schemas.openxmlformats.org/officeDocument/2006/relationships/hyperlink" Target="https://www.england.nhs.uk/long-read/culturally-competent-inpatient-care/" TargetMode="External"/><Relationship Id="rId40" Type="http://schemas.openxmlformats.org/officeDocument/2006/relationships/hyperlink" Target="https://www.cqc.org.uk/publications/monitoring-mental-health-act/2022-2023" TargetMode="External"/><Relationship Id="rId45" Type="http://schemas.openxmlformats.org/officeDocument/2006/relationships/hyperlink" Target="https://www.england.nhs.uk/mental-health/advancing-mental-health-equalities/pcref/" TargetMode="External"/><Relationship Id="rId53" Type="http://schemas.openxmlformats.org/officeDocument/2006/relationships/hyperlink" Target="https://doi.org/10.1093/pubmed/fdv102" TargetMode="External"/><Relationship Id="rId58" Type="http://schemas.openxmlformats.org/officeDocument/2006/relationships/hyperlink" Target="https://doi.org/10.1111/j.1365-2648.2010.05495.x" TargetMode="External"/><Relationship Id="rId66" Type="http://schemas.openxmlformats.org/officeDocument/2006/relationships/fontTable" Target="fontTable.xml"/><Relationship Id="rId5" Type="http://schemas.openxmlformats.org/officeDocument/2006/relationships/hyperlink" Target="https://doi.org/10.14746/n.2024.64.2.15" TargetMode="External"/><Relationship Id="rId61" Type="http://schemas.openxmlformats.org/officeDocument/2006/relationships/hyperlink" Target="https://doi.org/10.1007/978-981-10-2366-8_38" TargetMode="External"/><Relationship Id="rId19" Type="http://schemas.openxmlformats.org/officeDocument/2006/relationships/hyperlink" Target="https://doi.org/10.1056/nejmp058316" TargetMode="External"/><Relationship Id="rId14" Type="http://schemas.openxmlformats.org/officeDocument/2006/relationships/hyperlink" Target="https://doi.org/10.1037/0003-066X.59.7.614" TargetMode="External"/><Relationship Id="rId22" Type="http://schemas.openxmlformats.org/officeDocument/2006/relationships/hyperlink" Target="https://doi.org/10.1111/jocn.14204" TargetMode="External"/><Relationship Id="rId27" Type="http://schemas.openxmlformats.org/officeDocument/2006/relationships/hyperlink" Target="https://www.legislation.gov.uk/ukpga/2010/15/contents" TargetMode="External"/><Relationship Id="rId30" Type="http://schemas.openxmlformats.org/officeDocument/2006/relationships/hyperlink" Target="https://doi.org/10.1136/bmj.m268" TargetMode="External"/><Relationship Id="rId35" Type="http://schemas.openxmlformats.org/officeDocument/2006/relationships/hyperlink" Target="https://doi.org/10.1186/s12913-021-06750-4" TargetMode="External"/><Relationship Id="rId43" Type="http://schemas.openxmlformats.org/officeDocument/2006/relationships/hyperlink" Target="https://doi.org/10.1037/ccp0000145" TargetMode="External"/><Relationship Id="rId48" Type="http://schemas.openxmlformats.org/officeDocument/2006/relationships/hyperlink" Target="https://doi.org/10.1136/bmj.r1334" TargetMode="External"/><Relationship Id="rId56" Type="http://schemas.openxmlformats.org/officeDocument/2006/relationships/hyperlink" Target="https://doi.org/10.1016/j.cpr.2018.06.006" TargetMode="External"/><Relationship Id="rId64" Type="http://schemas.openxmlformats.org/officeDocument/2006/relationships/hyperlink" Target="https://www.mind.org.uk/media/kogesqr4/mind-index-insights-report-2021-22.pdf" TargetMode="External"/><Relationship Id="rId8" Type="http://schemas.openxmlformats.org/officeDocument/2006/relationships/hyperlink" Target="https://pubmed.ncbi.nlm.nih.gov/16946807/" TargetMode="External"/><Relationship Id="rId51" Type="http://schemas.openxmlformats.org/officeDocument/2006/relationships/hyperlink" Target="https://www.nhsrho.org/wp-content/uploads/2023/05/RHO-Rapid-Review-Final-Report_.pdf" TargetMode="External"/><Relationship Id="rId3" Type="http://schemas.openxmlformats.org/officeDocument/2006/relationships/settings" Target="settings.xml"/><Relationship Id="rId12" Type="http://schemas.openxmlformats.org/officeDocument/2006/relationships/hyperlink" Target="https://www.mentalhealth.org.uk/explore-mental-health/a-z-topics/black-asian-and-minority-ethnic-bame-communities" TargetMode="External"/><Relationship Id="rId17" Type="http://schemas.openxmlformats.org/officeDocument/2006/relationships/hyperlink" Target="https://www.longtermplan.nhs.uk/" TargetMode="External"/><Relationship Id="rId25" Type="http://schemas.openxmlformats.org/officeDocument/2006/relationships/hyperlink" Target="https://www.gov.uk/government/publications/local-action-on-health-inequalities-improving-health-literacy" TargetMode="External"/><Relationship Id="rId33" Type="http://schemas.openxmlformats.org/officeDocument/2006/relationships/hyperlink" Target="https://doi.org/10.1016/S0140-6736(16)32312-1" TargetMode="External"/><Relationship Id="rId38" Type="http://schemas.openxmlformats.org/officeDocument/2006/relationships/hyperlink" Target="https://doi.org/10.1186/s12939-020-01223-2" TargetMode="External"/><Relationship Id="rId46" Type="http://schemas.openxmlformats.org/officeDocument/2006/relationships/hyperlink" Target="https://www.england.nhs.uk/long-read/nhs-equality-diversity-and-inclusion-improvement-plan/" TargetMode="External"/><Relationship Id="rId59" Type="http://schemas.openxmlformats.org/officeDocument/2006/relationships/hyperlink" Target="https://doi.org/10.3390/ijerph15061158" TargetMode="External"/><Relationship Id="rId67" Type="http://schemas.openxmlformats.org/officeDocument/2006/relationships/theme" Target="theme/theme1.xml"/><Relationship Id="rId20" Type="http://schemas.openxmlformats.org/officeDocument/2006/relationships/hyperlink" Target="https://doi.org/10.1186/1471-2296-8-48" TargetMode="External"/><Relationship Id="rId41" Type="http://schemas.openxmlformats.org/officeDocument/2006/relationships/hyperlink" Target="https://www.communitycare.co.uk/2021/01/08/black-ethnic-minority-mental-health-patients-cultural-needs-frequently-go-unmet/" TargetMode="External"/><Relationship Id="rId54" Type="http://schemas.openxmlformats.org/officeDocument/2006/relationships/hyperlink" Target="https://doi.org/10.1136/bmjment-2024-301481" TargetMode="External"/><Relationship Id="rId62" Type="http://schemas.openxmlformats.org/officeDocument/2006/relationships/hyperlink" Target="https://www.england.nhs.uk/publication/nhs-workforce-race-equality-standard-2023-data-analysis-report-for-nhs-trusts/" TargetMode="External"/><Relationship Id="rId1" Type="http://schemas.openxmlformats.org/officeDocument/2006/relationships/numbering" Target="numbering.xml"/><Relationship Id="rId6" Type="http://schemas.openxmlformats.org/officeDocument/2006/relationships/hyperlink" Target="https://doi.org/10.1371/journal.pmed.1004139" TargetMode="External"/><Relationship Id="rId15" Type="http://schemas.openxmlformats.org/officeDocument/2006/relationships/hyperlink" Target="https://doi.org/10.2307/2575995" TargetMode="External"/><Relationship Id="rId23" Type="http://schemas.openxmlformats.org/officeDocument/2006/relationships/hyperlink" Target="https://doi.org/10.1186/1471-2458-12-248" TargetMode="External"/><Relationship Id="rId28" Type="http://schemas.openxmlformats.org/officeDocument/2006/relationships/hyperlink" Target="https://doi.org/10.3390/ijerph182312599" TargetMode="External"/><Relationship Id="rId36" Type="http://schemas.openxmlformats.org/officeDocument/2006/relationships/hyperlink" Target="https://doi.org/10.1186/1472-6963-11-218" TargetMode="External"/><Relationship Id="rId49" Type="http://schemas.openxmlformats.org/officeDocument/2006/relationships/hyperlink" Target="https://doi.org/10.1186/1472-6963-11-218" TargetMode="External"/><Relationship Id="rId57" Type="http://schemas.openxmlformats.org/officeDocument/2006/relationships/hyperlink" Target="https://doi.org/10.1186/1471-2458-12-489" TargetMode="External"/><Relationship Id="rId10" Type="http://schemas.openxmlformats.org/officeDocument/2006/relationships/hyperlink" Target="https://doi.org/10.1016/j.psychres.2014.04.028" TargetMode="External"/><Relationship Id="rId31" Type="http://schemas.openxmlformats.org/officeDocument/2006/relationships/hyperlink" Target="https://doi.org/10.56687/9781447351269" TargetMode="External"/><Relationship Id="rId44" Type="http://schemas.openxmlformats.org/officeDocument/2006/relationships/hyperlink" Target="https://www.england.nhs.uk/publication/advancing-mental-health-equalities-strategy/" TargetMode="External"/><Relationship Id="rId52" Type="http://schemas.openxmlformats.org/officeDocument/2006/relationships/hyperlink" Target="https://doi.org/10.1136/bmjopen-2016-012337" TargetMode="External"/><Relationship Id="rId60" Type="http://schemas.openxmlformats.org/officeDocument/2006/relationships/hyperlink" Target="https://doi.org/10.1186/s12913-018-3001-5" TargetMode="External"/><Relationship Id="rId65" Type="http://schemas.openxmlformats.org/officeDocument/2006/relationships/hyperlink" Target="https://doi.org/10.1136/bmjopen-2023-073486" TargetMode="External"/><Relationship Id="rId4" Type="http://schemas.openxmlformats.org/officeDocument/2006/relationships/webSettings" Target="webSettings.xml"/><Relationship Id="rId9" Type="http://schemas.openxmlformats.org/officeDocument/2006/relationships/hyperlink" Target="https://doi.org/10.1111/hex.12464" TargetMode="External"/><Relationship Id="rId13" Type="http://schemas.openxmlformats.org/officeDocument/2006/relationships/hyperlink" Target="https://digital.nhs.uk/data-and-information/publications/statistical/mental-health-act-statistics-annual-figures" TargetMode="External"/><Relationship Id="rId18" Type="http://schemas.openxmlformats.org/officeDocument/2006/relationships/hyperlink" Target="https://doi.org/10.1177/1363461512437589" TargetMode="External"/><Relationship Id="rId39" Type="http://schemas.openxmlformats.org/officeDocument/2006/relationships/hyperlink" Target="https://doi.org/10.1017/gmh.202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28</Pages>
  <Words>7158</Words>
  <Characters>49248</Characters>
  <Application>Microsoft Office Word</Application>
  <DocSecurity>0</DocSecurity>
  <Lines>895</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Ekos Adamu (2016551)</dc:creator>
  <cp:keywords/>
  <dc:description/>
  <cp:lastModifiedBy>Ekos Adamu (2016551)</cp:lastModifiedBy>
  <cp:revision>2</cp:revision>
  <dcterms:created xsi:type="dcterms:W3CDTF">2025-11-21T10:08:00Z</dcterms:created>
  <dcterms:modified xsi:type="dcterms:W3CDTF">2025-11-21T10:08:00Z</dcterms:modified>
</cp:coreProperties>
</file>