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B7F79D" w14:textId="5F8A00A7" w:rsidR="008734FD" w:rsidRPr="00656FEE" w:rsidRDefault="008734FD" w:rsidP="008734FD">
      <w:pPr>
        <w:spacing w:line="240" w:lineRule="auto"/>
        <w:jc w:val="center"/>
        <w:rPr>
          <w:rFonts w:ascii="Calibri" w:hAnsi="Calibri" w:cs="Calibri"/>
        </w:rPr>
      </w:pPr>
    </w:p>
    <w:p w14:paraId="5B96BBE0" w14:textId="2AF838E7" w:rsidR="008734FD" w:rsidRDefault="00B6297C" w:rsidP="00297D75">
      <w:pPr>
        <w:spacing w:line="240" w:lineRule="auto"/>
        <w:jc w:val="both"/>
        <w:rPr>
          <w:rFonts w:ascii="Calibri" w:hAnsi="Calibri" w:cs="Calibri"/>
        </w:rPr>
      </w:pPr>
      <w:r>
        <w:rPr>
          <w:rFonts w:ascii="Calibri" w:hAnsi="Calibri" w:cs="Calibri"/>
        </w:rPr>
        <w:t xml:space="preserve">STUDENT </w:t>
      </w:r>
      <w:r w:rsidR="00377B1E">
        <w:rPr>
          <w:rFonts w:ascii="Calibri" w:hAnsi="Calibri" w:cs="Calibri"/>
        </w:rPr>
        <w:t>NAME: NAYFIN ALI</w:t>
      </w:r>
    </w:p>
    <w:p w14:paraId="26043387" w14:textId="006A999D" w:rsidR="00377B1E" w:rsidRPr="00656FEE" w:rsidRDefault="00377B1E" w:rsidP="00297D75">
      <w:pPr>
        <w:spacing w:line="240" w:lineRule="auto"/>
        <w:jc w:val="both"/>
        <w:rPr>
          <w:rFonts w:ascii="Calibri" w:hAnsi="Calibri" w:cs="Calibri"/>
        </w:rPr>
      </w:pPr>
      <w:r>
        <w:rPr>
          <w:rFonts w:ascii="Calibri" w:hAnsi="Calibri" w:cs="Calibri"/>
        </w:rPr>
        <w:t>STUDENT NUMBER:2414110</w:t>
      </w:r>
    </w:p>
    <w:p w14:paraId="28D12316" w14:textId="77777777" w:rsidR="008734FD" w:rsidRPr="00656FEE" w:rsidRDefault="008734FD" w:rsidP="00297D75">
      <w:pPr>
        <w:spacing w:line="240" w:lineRule="auto"/>
        <w:jc w:val="both"/>
        <w:rPr>
          <w:rFonts w:ascii="Calibri" w:hAnsi="Calibri" w:cs="Calibri"/>
        </w:rPr>
      </w:pPr>
    </w:p>
    <w:p w14:paraId="63E47C73" w14:textId="77777777" w:rsidR="008734FD" w:rsidRPr="00656FEE" w:rsidRDefault="008734FD" w:rsidP="00297D75">
      <w:pPr>
        <w:spacing w:line="240" w:lineRule="auto"/>
        <w:jc w:val="both"/>
        <w:rPr>
          <w:rFonts w:ascii="Calibri" w:hAnsi="Calibri" w:cs="Calibri"/>
        </w:rPr>
      </w:pPr>
    </w:p>
    <w:p w14:paraId="57410A02" w14:textId="1670E1B3" w:rsidR="00297D75" w:rsidRPr="00656FEE" w:rsidRDefault="00297D75" w:rsidP="00297D75">
      <w:pPr>
        <w:spacing w:line="240" w:lineRule="auto"/>
        <w:jc w:val="both"/>
        <w:rPr>
          <w:rFonts w:ascii="Calibri" w:hAnsi="Calibri" w:cs="Calibri"/>
        </w:rPr>
      </w:pPr>
      <w:r w:rsidRPr="00656FEE">
        <w:rPr>
          <w:rFonts w:ascii="Calibri" w:hAnsi="Calibri" w:cs="Calibri"/>
        </w:rPr>
        <w:t>Module Title:</w:t>
      </w:r>
      <w:r w:rsidRPr="00656FEE">
        <w:rPr>
          <w:rFonts w:ascii="Calibri" w:hAnsi="Calibri" w:cs="Calibri"/>
        </w:rPr>
        <w:tab/>
      </w:r>
      <w:r w:rsidRPr="00656FEE">
        <w:rPr>
          <w:rFonts w:ascii="Calibri" w:hAnsi="Calibri" w:cs="Calibri"/>
        </w:rPr>
        <w:tab/>
      </w:r>
      <w:r w:rsidRPr="00656FEE">
        <w:rPr>
          <w:rFonts w:ascii="Calibri" w:hAnsi="Calibri" w:cs="Calibri"/>
        </w:rPr>
        <w:tab/>
        <w:t xml:space="preserve">Personal, Academic and Professional Development </w:t>
      </w:r>
    </w:p>
    <w:p w14:paraId="0E2A0558" w14:textId="77777777" w:rsidR="001B71FC" w:rsidRPr="00656FEE" w:rsidRDefault="00297D75" w:rsidP="00297D75">
      <w:pPr>
        <w:spacing w:line="240" w:lineRule="auto"/>
        <w:jc w:val="both"/>
        <w:rPr>
          <w:rFonts w:ascii="Calibri" w:hAnsi="Calibri" w:cs="Calibri"/>
        </w:rPr>
      </w:pPr>
      <w:r w:rsidRPr="00656FEE">
        <w:rPr>
          <w:rFonts w:ascii="Calibri" w:hAnsi="Calibri" w:cs="Calibri"/>
        </w:rPr>
        <w:t>Module Code:</w:t>
      </w:r>
      <w:r w:rsidRPr="00656FEE">
        <w:rPr>
          <w:rFonts w:ascii="Calibri" w:hAnsi="Calibri" w:cs="Calibri"/>
        </w:rPr>
        <w:tab/>
      </w:r>
      <w:r w:rsidRPr="00656FEE">
        <w:rPr>
          <w:rFonts w:ascii="Calibri" w:hAnsi="Calibri" w:cs="Calibri"/>
        </w:rPr>
        <w:tab/>
      </w:r>
      <w:r w:rsidRPr="00656FEE">
        <w:rPr>
          <w:rFonts w:ascii="Calibri" w:hAnsi="Calibri" w:cs="Calibri"/>
        </w:rPr>
        <w:tab/>
        <w:t>BMNS4015</w:t>
      </w:r>
    </w:p>
    <w:p w14:paraId="52C5F3E0" w14:textId="77777777" w:rsidR="004D13C6" w:rsidRPr="00656FEE" w:rsidRDefault="001B71FC" w:rsidP="001B71FC">
      <w:pPr>
        <w:spacing w:line="240" w:lineRule="auto"/>
        <w:jc w:val="both"/>
        <w:rPr>
          <w:rFonts w:ascii="Calibri" w:hAnsi="Calibri" w:cs="Calibri"/>
        </w:rPr>
      </w:pPr>
      <w:r w:rsidRPr="00656FEE">
        <w:rPr>
          <w:rFonts w:ascii="Calibri" w:hAnsi="Calibri" w:cs="Calibri"/>
        </w:rPr>
        <w:t>Assignment Title:</w:t>
      </w:r>
      <w:r w:rsidRPr="00656FEE">
        <w:rPr>
          <w:rFonts w:ascii="Calibri" w:hAnsi="Calibri" w:cs="Calibri"/>
        </w:rPr>
        <w:tab/>
      </w:r>
      <w:r w:rsidRPr="00656FEE">
        <w:rPr>
          <w:rFonts w:ascii="Calibri" w:hAnsi="Calibri" w:cs="Calibri"/>
        </w:rPr>
        <w:tab/>
        <w:t>Assignment 2 - SWOT Analysis</w:t>
      </w:r>
    </w:p>
    <w:p w14:paraId="4F0E097C" w14:textId="77777777" w:rsidR="004D13C6" w:rsidRPr="00656FEE" w:rsidRDefault="004D13C6" w:rsidP="001B71FC">
      <w:pPr>
        <w:spacing w:line="240" w:lineRule="auto"/>
        <w:jc w:val="both"/>
        <w:rPr>
          <w:rFonts w:ascii="Calibri" w:hAnsi="Calibri" w:cs="Calibri"/>
        </w:rPr>
      </w:pPr>
    </w:p>
    <w:p w14:paraId="0BB70603" w14:textId="5AD86261" w:rsidR="00877363" w:rsidRPr="00656FEE" w:rsidRDefault="004D13C6" w:rsidP="004D13C6">
      <w:pPr>
        <w:spacing w:line="240" w:lineRule="auto"/>
        <w:jc w:val="center"/>
        <w:rPr>
          <w:rFonts w:ascii="Calibri" w:hAnsi="Calibri" w:cs="Calibri"/>
        </w:rPr>
      </w:pPr>
      <w:r w:rsidRPr="00656FEE">
        <w:rPr>
          <w:rFonts w:ascii="Calibri" w:hAnsi="Calibri" w:cs="Calibri"/>
        </w:rPr>
        <w:t>SWOT Analysis – Reflection Writing</w:t>
      </w:r>
      <w:r w:rsidR="00877363" w:rsidRPr="00656FEE">
        <w:rPr>
          <w:rFonts w:ascii="Calibri" w:hAnsi="Calibri" w:cs="Calibri"/>
        </w:rPr>
        <w:br w:type="page"/>
      </w:r>
    </w:p>
    <w:p w14:paraId="7B9D7F48" w14:textId="6B5735C7" w:rsidR="00BF7AB1" w:rsidRPr="00656FEE" w:rsidRDefault="00BF7AB1" w:rsidP="00376C94">
      <w:pPr>
        <w:spacing w:line="240" w:lineRule="auto"/>
        <w:jc w:val="center"/>
        <w:rPr>
          <w:rFonts w:ascii="Calibri" w:hAnsi="Calibri" w:cs="Calibri"/>
        </w:rPr>
      </w:pPr>
      <w:r w:rsidRPr="00656FEE">
        <w:rPr>
          <w:rFonts w:ascii="Calibri" w:hAnsi="Calibri" w:cs="Calibri"/>
        </w:rPr>
        <w:lastRenderedPageBreak/>
        <w:t>Contents</w:t>
      </w:r>
    </w:p>
    <w:p w14:paraId="34D4C699" w14:textId="3A948294" w:rsidR="0064048C" w:rsidRDefault="00BF7AB1">
      <w:pPr>
        <w:pStyle w:val="TOC1"/>
        <w:tabs>
          <w:tab w:val="left" w:pos="480"/>
          <w:tab w:val="right" w:pos="9016"/>
        </w:tabs>
        <w:rPr>
          <w:rFonts w:eastAsiaTheme="minorEastAsia"/>
          <w:b w:val="0"/>
          <w:bCs w:val="0"/>
          <w:caps w:val="0"/>
          <w:noProof/>
          <w:sz w:val="24"/>
          <w:szCs w:val="24"/>
        </w:rPr>
      </w:pPr>
      <w:r w:rsidRPr="00656FEE">
        <w:rPr>
          <w:rFonts w:ascii="Calibri" w:hAnsi="Calibri" w:cs="Calibri"/>
        </w:rPr>
        <w:fldChar w:fldCharType="begin"/>
      </w:r>
      <w:r w:rsidRPr="00656FEE">
        <w:rPr>
          <w:rFonts w:ascii="Calibri" w:hAnsi="Calibri" w:cs="Calibri"/>
        </w:rPr>
        <w:instrText xml:space="preserve"> TOC \o "1-3" \h \z \u </w:instrText>
      </w:r>
      <w:r w:rsidRPr="00656FEE">
        <w:rPr>
          <w:rFonts w:ascii="Calibri" w:hAnsi="Calibri" w:cs="Calibri"/>
        </w:rPr>
        <w:fldChar w:fldCharType="separate"/>
      </w:r>
      <w:hyperlink w:anchor="_Toc184466377" w:history="1">
        <w:r w:rsidR="0064048C" w:rsidRPr="0018229F">
          <w:rPr>
            <w:rStyle w:val="Hyperlink"/>
            <w:rFonts w:ascii="Calibri" w:hAnsi="Calibri" w:cs="Calibri"/>
            <w:noProof/>
          </w:rPr>
          <w:t>1.</w:t>
        </w:r>
        <w:r w:rsidR="0064048C">
          <w:rPr>
            <w:rFonts w:eastAsiaTheme="minorEastAsia"/>
            <w:b w:val="0"/>
            <w:bCs w:val="0"/>
            <w:caps w:val="0"/>
            <w:noProof/>
            <w:sz w:val="24"/>
            <w:szCs w:val="24"/>
          </w:rPr>
          <w:tab/>
        </w:r>
        <w:r w:rsidR="0064048C" w:rsidRPr="0018229F">
          <w:rPr>
            <w:rStyle w:val="Hyperlink"/>
            <w:rFonts w:ascii="Calibri" w:hAnsi="Calibri" w:cs="Calibri"/>
            <w:noProof/>
          </w:rPr>
          <w:t>Introduction</w:t>
        </w:r>
        <w:r w:rsidR="0064048C">
          <w:rPr>
            <w:noProof/>
            <w:webHidden/>
          </w:rPr>
          <w:tab/>
        </w:r>
        <w:r w:rsidR="0064048C">
          <w:rPr>
            <w:noProof/>
            <w:webHidden/>
          </w:rPr>
          <w:fldChar w:fldCharType="begin"/>
        </w:r>
        <w:r w:rsidR="0064048C">
          <w:rPr>
            <w:noProof/>
            <w:webHidden/>
          </w:rPr>
          <w:instrText xml:space="preserve"> PAGEREF _Toc184466377 \h </w:instrText>
        </w:r>
        <w:r w:rsidR="0064048C">
          <w:rPr>
            <w:noProof/>
            <w:webHidden/>
          </w:rPr>
        </w:r>
        <w:r w:rsidR="0064048C">
          <w:rPr>
            <w:noProof/>
            <w:webHidden/>
          </w:rPr>
          <w:fldChar w:fldCharType="separate"/>
        </w:r>
        <w:r w:rsidR="0064048C">
          <w:rPr>
            <w:noProof/>
            <w:webHidden/>
          </w:rPr>
          <w:t>3</w:t>
        </w:r>
        <w:r w:rsidR="0064048C">
          <w:rPr>
            <w:noProof/>
            <w:webHidden/>
          </w:rPr>
          <w:fldChar w:fldCharType="end"/>
        </w:r>
      </w:hyperlink>
    </w:p>
    <w:p w14:paraId="61D3AFBA" w14:textId="544B15E8" w:rsidR="0064048C" w:rsidRDefault="0064048C">
      <w:pPr>
        <w:pStyle w:val="TOC1"/>
        <w:tabs>
          <w:tab w:val="left" w:pos="480"/>
          <w:tab w:val="right" w:pos="9016"/>
        </w:tabs>
        <w:rPr>
          <w:rFonts w:eastAsiaTheme="minorEastAsia"/>
          <w:b w:val="0"/>
          <w:bCs w:val="0"/>
          <w:caps w:val="0"/>
          <w:noProof/>
          <w:sz w:val="24"/>
          <w:szCs w:val="24"/>
        </w:rPr>
      </w:pPr>
      <w:hyperlink w:anchor="_Toc184466378" w:history="1">
        <w:r w:rsidRPr="0018229F">
          <w:rPr>
            <w:rStyle w:val="Hyperlink"/>
            <w:rFonts w:ascii="Calibri" w:hAnsi="Calibri" w:cs="Calibri"/>
            <w:noProof/>
          </w:rPr>
          <w:t>2.</w:t>
        </w:r>
        <w:r>
          <w:rPr>
            <w:rFonts w:eastAsiaTheme="minorEastAsia"/>
            <w:b w:val="0"/>
            <w:bCs w:val="0"/>
            <w:caps w:val="0"/>
            <w:noProof/>
            <w:sz w:val="24"/>
            <w:szCs w:val="24"/>
          </w:rPr>
          <w:tab/>
        </w:r>
        <w:r w:rsidRPr="0018229F">
          <w:rPr>
            <w:rStyle w:val="Hyperlink"/>
            <w:rFonts w:ascii="Calibri" w:hAnsi="Calibri" w:cs="Calibri"/>
            <w:noProof/>
          </w:rPr>
          <w:t>Main Section</w:t>
        </w:r>
        <w:r>
          <w:rPr>
            <w:noProof/>
            <w:webHidden/>
          </w:rPr>
          <w:tab/>
        </w:r>
        <w:r>
          <w:rPr>
            <w:noProof/>
            <w:webHidden/>
          </w:rPr>
          <w:fldChar w:fldCharType="begin"/>
        </w:r>
        <w:r>
          <w:rPr>
            <w:noProof/>
            <w:webHidden/>
          </w:rPr>
          <w:instrText xml:space="preserve"> PAGEREF _Toc184466378 \h </w:instrText>
        </w:r>
        <w:r>
          <w:rPr>
            <w:noProof/>
            <w:webHidden/>
          </w:rPr>
        </w:r>
        <w:r>
          <w:rPr>
            <w:noProof/>
            <w:webHidden/>
          </w:rPr>
          <w:fldChar w:fldCharType="separate"/>
        </w:r>
        <w:r>
          <w:rPr>
            <w:noProof/>
            <w:webHidden/>
          </w:rPr>
          <w:t>3</w:t>
        </w:r>
        <w:r>
          <w:rPr>
            <w:noProof/>
            <w:webHidden/>
          </w:rPr>
          <w:fldChar w:fldCharType="end"/>
        </w:r>
      </w:hyperlink>
    </w:p>
    <w:p w14:paraId="11094BBD" w14:textId="74FD2EE3" w:rsidR="0064048C" w:rsidRDefault="0064048C">
      <w:pPr>
        <w:pStyle w:val="TOC2"/>
        <w:tabs>
          <w:tab w:val="left" w:pos="960"/>
          <w:tab w:val="right" w:pos="9016"/>
        </w:tabs>
        <w:rPr>
          <w:rFonts w:eastAsiaTheme="minorEastAsia"/>
          <w:smallCaps w:val="0"/>
          <w:noProof/>
          <w:sz w:val="24"/>
          <w:szCs w:val="24"/>
        </w:rPr>
      </w:pPr>
      <w:hyperlink w:anchor="_Toc184466379" w:history="1">
        <w:r w:rsidRPr="0018229F">
          <w:rPr>
            <w:rStyle w:val="Hyperlink"/>
            <w:rFonts w:ascii="Calibri" w:hAnsi="Calibri" w:cs="Calibri"/>
            <w:noProof/>
          </w:rPr>
          <w:t>2.1.</w:t>
        </w:r>
        <w:r>
          <w:rPr>
            <w:rFonts w:eastAsiaTheme="minorEastAsia"/>
            <w:smallCaps w:val="0"/>
            <w:noProof/>
            <w:sz w:val="24"/>
            <w:szCs w:val="24"/>
          </w:rPr>
          <w:tab/>
        </w:r>
        <w:r w:rsidRPr="0018229F">
          <w:rPr>
            <w:rStyle w:val="Hyperlink"/>
            <w:rFonts w:ascii="Calibri" w:hAnsi="Calibri" w:cs="Calibri"/>
            <w:noProof/>
          </w:rPr>
          <w:t>Strengths</w:t>
        </w:r>
        <w:r>
          <w:rPr>
            <w:noProof/>
            <w:webHidden/>
          </w:rPr>
          <w:tab/>
        </w:r>
        <w:r>
          <w:rPr>
            <w:noProof/>
            <w:webHidden/>
          </w:rPr>
          <w:fldChar w:fldCharType="begin"/>
        </w:r>
        <w:r>
          <w:rPr>
            <w:noProof/>
            <w:webHidden/>
          </w:rPr>
          <w:instrText xml:space="preserve"> PAGEREF _Toc184466379 \h </w:instrText>
        </w:r>
        <w:r>
          <w:rPr>
            <w:noProof/>
            <w:webHidden/>
          </w:rPr>
        </w:r>
        <w:r>
          <w:rPr>
            <w:noProof/>
            <w:webHidden/>
          </w:rPr>
          <w:fldChar w:fldCharType="separate"/>
        </w:r>
        <w:r>
          <w:rPr>
            <w:noProof/>
            <w:webHidden/>
          </w:rPr>
          <w:t>3</w:t>
        </w:r>
        <w:r>
          <w:rPr>
            <w:noProof/>
            <w:webHidden/>
          </w:rPr>
          <w:fldChar w:fldCharType="end"/>
        </w:r>
      </w:hyperlink>
    </w:p>
    <w:p w14:paraId="2CAB4AFB" w14:textId="0A5E4552" w:rsidR="0064048C" w:rsidRDefault="0064048C">
      <w:pPr>
        <w:pStyle w:val="TOC2"/>
        <w:tabs>
          <w:tab w:val="left" w:pos="960"/>
          <w:tab w:val="right" w:pos="9016"/>
        </w:tabs>
        <w:rPr>
          <w:rFonts w:eastAsiaTheme="minorEastAsia"/>
          <w:smallCaps w:val="0"/>
          <w:noProof/>
          <w:sz w:val="24"/>
          <w:szCs w:val="24"/>
        </w:rPr>
      </w:pPr>
      <w:hyperlink w:anchor="_Toc184466380" w:history="1">
        <w:r w:rsidRPr="0018229F">
          <w:rPr>
            <w:rStyle w:val="Hyperlink"/>
            <w:rFonts w:ascii="Calibri" w:hAnsi="Calibri" w:cs="Calibri"/>
            <w:noProof/>
          </w:rPr>
          <w:t>2.2.</w:t>
        </w:r>
        <w:r>
          <w:rPr>
            <w:rFonts w:eastAsiaTheme="minorEastAsia"/>
            <w:smallCaps w:val="0"/>
            <w:noProof/>
            <w:sz w:val="24"/>
            <w:szCs w:val="24"/>
          </w:rPr>
          <w:tab/>
        </w:r>
        <w:r w:rsidRPr="0018229F">
          <w:rPr>
            <w:rStyle w:val="Hyperlink"/>
            <w:rFonts w:ascii="Calibri" w:hAnsi="Calibri" w:cs="Calibri"/>
            <w:noProof/>
          </w:rPr>
          <w:t>Weaknesses</w:t>
        </w:r>
        <w:r>
          <w:rPr>
            <w:noProof/>
            <w:webHidden/>
          </w:rPr>
          <w:tab/>
        </w:r>
        <w:r>
          <w:rPr>
            <w:noProof/>
            <w:webHidden/>
          </w:rPr>
          <w:fldChar w:fldCharType="begin"/>
        </w:r>
        <w:r>
          <w:rPr>
            <w:noProof/>
            <w:webHidden/>
          </w:rPr>
          <w:instrText xml:space="preserve"> PAGEREF _Toc184466380 \h </w:instrText>
        </w:r>
        <w:r>
          <w:rPr>
            <w:noProof/>
            <w:webHidden/>
          </w:rPr>
        </w:r>
        <w:r>
          <w:rPr>
            <w:noProof/>
            <w:webHidden/>
          </w:rPr>
          <w:fldChar w:fldCharType="separate"/>
        </w:r>
        <w:r>
          <w:rPr>
            <w:noProof/>
            <w:webHidden/>
          </w:rPr>
          <w:t>4</w:t>
        </w:r>
        <w:r>
          <w:rPr>
            <w:noProof/>
            <w:webHidden/>
          </w:rPr>
          <w:fldChar w:fldCharType="end"/>
        </w:r>
      </w:hyperlink>
    </w:p>
    <w:p w14:paraId="4268574D" w14:textId="507A0DCE" w:rsidR="0064048C" w:rsidRDefault="0064048C">
      <w:pPr>
        <w:pStyle w:val="TOC2"/>
        <w:tabs>
          <w:tab w:val="left" w:pos="960"/>
          <w:tab w:val="right" w:pos="9016"/>
        </w:tabs>
        <w:rPr>
          <w:rFonts w:eastAsiaTheme="minorEastAsia"/>
          <w:smallCaps w:val="0"/>
          <w:noProof/>
          <w:sz w:val="24"/>
          <w:szCs w:val="24"/>
        </w:rPr>
      </w:pPr>
      <w:hyperlink w:anchor="_Toc184466381" w:history="1">
        <w:r w:rsidRPr="0018229F">
          <w:rPr>
            <w:rStyle w:val="Hyperlink"/>
            <w:rFonts w:ascii="Calibri" w:hAnsi="Calibri" w:cs="Calibri"/>
            <w:noProof/>
          </w:rPr>
          <w:t>2.3.</w:t>
        </w:r>
        <w:r>
          <w:rPr>
            <w:rFonts w:eastAsiaTheme="minorEastAsia"/>
            <w:smallCaps w:val="0"/>
            <w:noProof/>
            <w:sz w:val="24"/>
            <w:szCs w:val="24"/>
          </w:rPr>
          <w:tab/>
        </w:r>
        <w:r w:rsidRPr="0018229F">
          <w:rPr>
            <w:rStyle w:val="Hyperlink"/>
            <w:rFonts w:ascii="Calibri" w:hAnsi="Calibri" w:cs="Calibri"/>
            <w:noProof/>
          </w:rPr>
          <w:t>Opportunities</w:t>
        </w:r>
        <w:r>
          <w:rPr>
            <w:noProof/>
            <w:webHidden/>
          </w:rPr>
          <w:tab/>
        </w:r>
        <w:r>
          <w:rPr>
            <w:noProof/>
            <w:webHidden/>
          </w:rPr>
          <w:fldChar w:fldCharType="begin"/>
        </w:r>
        <w:r>
          <w:rPr>
            <w:noProof/>
            <w:webHidden/>
          </w:rPr>
          <w:instrText xml:space="preserve"> PAGEREF _Toc184466381 \h </w:instrText>
        </w:r>
        <w:r>
          <w:rPr>
            <w:noProof/>
            <w:webHidden/>
          </w:rPr>
        </w:r>
        <w:r>
          <w:rPr>
            <w:noProof/>
            <w:webHidden/>
          </w:rPr>
          <w:fldChar w:fldCharType="separate"/>
        </w:r>
        <w:r>
          <w:rPr>
            <w:noProof/>
            <w:webHidden/>
          </w:rPr>
          <w:t>4</w:t>
        </w:r>
        <w:r>
          <w:rPr>
            <w:noProof/>
            <w:webHidden/>
          </w:rPr>
          <w:fldChar w:fldCharType="end"/>
        </w:r>
      </w:hyperlink>
    </w:p>
    <w:p w14:paraId="37E9EFD4" w14:textId="1AA45965" w:rsidR="0064048C" w:rsidRDefault="0064048C">
      <w:pPr>
        <w:pStyle w:val="TOC2"/>
        <w:tabs>
          <w:tab w:val="left" w:pos="960"/>
          <w:tab w:val="right" w:pos="9016"/>
        </w:tabs>
        <w:rPr>
          <w:rFonts w:eastAsiaTheme="minorEastAsia"/>
          <w:smallCaps w:val="0"/>
          <w:noProof/>
          <w:sz w:val="24"/>
          <w:szCs w:val="24"/>
        </w:rPr>
      </w:pPr>
      <w:hyperlink w:anchor="_Toc184466382" w:history="1">
        <w:r w:rsidRPr="0018229F">
          <w:rPr>
            <w:rStyle w:val="Hyperlink"/>
            <w:rFonts w:ascii="Calibri" w:hAnsi="Calibri" w:cs="Calibri"/>
            <w:noProof/>
          </w:rPr>
          <w:t>2.4.</w:t>
        </w:r>
        <w:r>
          <w:rPr>
            <w:rFonts w:eastAsiaTheme="minorEastAsia"/>
            <w:smallCaps w:val="0"/>
            <w:noProof/>
            <w:sz w:val="24"/>
            <w:szCs w:val="24"/>
          </w:rPr>
          <w:tab/>
        </w:r>
        <w:r w:rsidRPr="0018229F">
          <w:rPr>
            <w:rStyle w:val="Hyperlink"/>
            <w:rFonts w:ascii="Calibri" w:hAnsi="Calibri" w:cs="Calibri"/>
            <w:noProof/>
          </w:rPr>
          <w:t>Threats</w:t>
        </w:r>
        <w:r>
          <w:rPr>
            <w:noProof/>
            <w:webHidden/>
          </w:rPr>
          <w:tab/>
        </w:r>
        <w:r>
          <w:rPr>
            <w:noProof/>
            <w:webHidden/>
          </w:rPr>
          <w:fldChar w:fldCharType="begin"/>
        </w:r>
        <w:r>
          <w:rPr>
            <w:noProof/>
            <w:webHidden/>
          </w:rPr>
          <w:instrText xml:space="preserve"> PAGEREF _Toc184466382 \h </w:instrText>
        </w:r>
        <w:r>
          <w:rPr>
            <w:noProof/>
            <w:webHidden/>
          </w:rPr>
        </w:r>
        <w:r>
          <w:rPr>
            <w:noProof/>
            <w:webHidden/>
          </w:rPr>
          <w:fldChar w:fldCharType="separate"/>
        </w:r>
        <w:r>
          <w:rPr>
            <w:noProof/>
            <w:webHidden/>
          </w:rPr>
          <w:t>5</w:t>
        </w:r>
        <w:r>
          <w:rPr>
            <w:noProof/>
            <w:webHidden/>
          </w:rPr>
          <w:fldChar w:fldCharType="end"/>
        </w:r>
      </w:hyperlink>
    </w:p>
    <w:p w14:paraId="24A25D1A" w14:textId="107B125C" w:rsidR="0064048C" w:rsidRDefault="0064048C">
      <w:pPr>
        <w:pStyle w:val="TOC1"/>
        <w:tabs>
          <w:tab w:val="left" w:pos="480"/>
          <w:tab w:val="right" w:pos="9016"/>
        </w:tabs>
        <w:rPr>
          <w:rFonts w:eastAsiaTheme="minorEastAsia"/>
          <w:b w:val="0"/>
          <w:bCs w:val="0"/>
          <w:caps w:val="0"/>
          <w:noProof/>
          <w:sz w:val="24"/>
          <w:szCs w:val="24"/>
        </w:rPr>
      </w:pPr>
      <w:hyperlink w:anchor="_Toc184466383" w:history="1">
        <w:r w:rsidRPr="0018229F">
          <w:rPr>
            <w:rStyle w:val="Hyperlink"/>
            <w:rFonts w:ascii="Calibri" w:hAnsi="Calibri" w:cs="Calibri"/>
            <w:noProof/>
          </w:rPr>
          <w:t>3.</w:t>
        </w:r>
        <w:r>
          <w:rPr>
            <w:rFonts w:eastAsiaTheme="minorEastAsia"/>
            <w:b w:val="0"/>
            <w:bCs w:val="0"/>
            <w:caps w:val="0"/>
            <w:noProof/>
            <w:sz w:val="24"/>
            <w:szCs w:val="24"/>
          </w:rPr>
          <w:tab/>
        </w:r>
        <w:r w:rsidRPr="0018229F">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_Toc184466383 \h </w:instrText>
        </w:r>
        <w:r>
          <w:rPr>
            <w:noProof/>
            <w:webHidden/>
          </w:rPr>
        </w:r>
        <w:r>
          <w:rPr>
            <w:noProof/>
            <w:webHidden/>
          </w:rPr>
          <w:fldChar w:fldCharType="separate"/>
        </w:r>
        <w:r>
          <w:rPr>
            <w:noProof/>
            <w:webHidden/>
          </w:rPr>
          <w:t>6</w:t>
        </w:r>
        <w:r>
          <w:rPr>
            <w:noProof/>
            <w:webHidden/>
          </w:rPr>
          <w:fldChar w:fldCharType="end"/>
        </w:r>
      </w:hyperlink>
    </w:p>
    <w:p w14:paraId="03DA740F" w14:textId="588C1104" w:rsidR="0064048C" w:rsidRDefault="0064048C">
      <w:pPr>
        <w:pStyle w:val="TOC1"/>
        <w:tabs>
          <w:tab w:val="left" w:pos="480"/>
          <w:tab w:val="right" w:pos="9016"/>
        </w:tabs>
        <w:rPr>
          <w:rFonts w:eastAsiaTheme="minorEastAsia"/>
          <w:b w:val="0"/>
          <w:bCs w:val="0"/>
          <w:caps w:val="0"/>
          <w:noProof/>
          <w:sz w:val="24"/>
          <w:szCs w:val="24"/>
        </w:rPr>
      </w:pPr>
      <w:hyperlink w:anchor="_Toc184466384" w:history="1">
        <w:r w:rsidRPr="0018229F">
          <w:rPr>
            <w:rStyle w:val="Hyperlink"/>
            <w:rFonts w:ascii="Calibri" w:hAnsi="Calibri" w:cs="Calibri"/>
            <w:noProof/>
          </w:rPr>
          <w:t>4.</w:t>
        </w:r>
        <w:r>
          <w:rPr>
            <w:rFonts w:eastAsiaTheme="minorEastAsia"/>
            <w:b w:val="0"/>
            <w:bCs w:val="0"/>
            <w:caps w:val="0"/>
            <w:noProof/>
            <w:sz w:val="24"/>
            <w:szCs w:val="24"/>
          </w:rPr>
          <w:tab/>
        </w:r>
        <w:r w:rsidRPr="0018229F">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_Toc184466384 \h </w:instrText>
        </w:r>
        <w:r>
          <w:rPr>
            <w:noProof/>
            <w:webHidden/>
          </w:rPr>
        </w:r>
        <w:r>
          <w:rPr>
            <w:noProof/>
            <w:webHidden/>
          </w:rPr>
          <w:fldChar w:fldCharType="separate"/>
        </w:r>
        <w:r>
          <w:rPr>
            <w:noProof/>
            <w:webHidden/>
          </w:rPr>
          <w:t>7</w:t>
        </w:r>
        <w:r>
          <w:rPr>
            <w:noProof/>
            <w:webHidden/>
          </w:rPr>
          <w:fldChar w:fldCharType="end"/>
        </w:r>
      </w:hyperlink>
    </w:p>
    <w:p w14:paraId="607AEFD0" w14:textId="6EA30D1B" w:rsidR="00BF7AB1" w:rsidRPr="00656FEE" w:rsidRDefault="00BF7AB1" w:rsidP="00376C94">
      <w:pPr>
        <w:spacing w:line="240" w:lineRule="auto"/>
        <w:jc w:val="center"/>
        <w:rPr>
          <w:rFonts w:ascii="Calibri" w:eastAsiaTheme="majorEastAsia" w:hAnsi="Calibri" w:cs="Calibri"/>
          <w:b/>
          <w:color w:val="000000" w:themeColor="text1"/>
          <w:sz w:val="28"/>
          <w:szCs w:val="40"/>
        </w:rPr>
      </w:pPr>
      <w:r w:rsidRPr="00656FEE">
        <w:rPr>
          <w:rFonts w:ascii="Calibri" w:hAnsi="Calibri" w:cs="Calibri"/>
        </w:rPr>
        <w:fldChar w:fldCharType="end"/>
      </w:r>
      <w:r w:rsidRPr="00656FEE">
        <w:rPr>
          <w:rFonts w:ascii="Calibri" w:hAnsi="Calibri" w:cs="Calibri"/>
        </w:rPr>
        <w:br w:type="page"/>
      </w:r>
    </w:p>
    <w:p w14:paraId="77E51232" w14:textId="0FEF0AB8" w:rsidR="006B2FDB" w:rsidRPr="00656FEE" w:rsidRDefault="006B2FDB" w:rsidP="00376C94">
      <w:pPr>
        <w:pStyle w:val="Heading1"/>
        <w:spacing w:line="240" w:lineRule="auto"/>
        <w:rPr>
          <w:rFonts w:ascii="Calibri" w:hAnsi="Calibri" w:cs="Calibri"/>
        </w:rPr>
      </w:pPr>
      <w:bookmarkStart w:id="0" w:name="_Toc184466377"/>
      <w:r w:rsidRPr="00656FEE">
        <w:rPr>
          <w:rFonts w:ascii="Calibri" w:hAnsi="Calibri" w:cs="Calibri"/>
        </w:rPr>
        <w:lastRenderedPageBreak/>
        <w:t>Introduction</w:t>
      </w:r>
      <w:bookmarkEnd w:id="0"/>
    </w:p>
    <w:p w14:paraId="29F7FA22" w14:textId="77777777" w:rsidR="006B2FDB" w:rsidRPr="00656FEE" w:rsidRDefault="006B2FDB" w:rsidP="00376C94">
      <w:pPr>
        <w:spacing w:line="240" w:lineRule="auto"/>
        <w:jc w:val="both"/>
        <w:rPr>
          <w:rFonts w:ascii="Calibri" w:hAnsi="Calibri" w:cs="Calibri"/>
        </w:rPr>
      </w:pPr>
      <w:r w:rsidRPr="00656FEE">
        <w:rPr>
          <w:rFonts w:ascii="Calibri" w:hAnsi="Calibri" w:cs="Calibri"/>
        </w:rPr>
        <w:t>Reflection is the process of thoughtful consideration of personal experiences, emotions, and insights to derive meaningful learning and improvement. Dewey (1933, p. 9) defines reflection as "active, persistent, and careful consideration of any belief or supposed form of knowledge in the light of the grounds that support it." Reflective practice extends this idea, enabling individuals to apply this introspection systematically to professional and academic contexts (Schön, 1983, p. 61). According to Bassot (2016, p. 12), reflective practice empowers students to critically evaluate their academic performance, enhance their decision-making, and improve problem-solving skills through structured frameworks such as Gibbs’ Reflective Cycle or Kolb’s Experiential Learning Model.</w:t>
      </w:r>
    </w:p>
    <w:p w14:paraId="7C5F4695" w14:textId="0E59503E" w:rsidR="001A01DF" w:rsidRPr="00656FEE" w:rsidRDefault="006B2FDB" w:rsidP="00376C94">
      <w:pPr>
        <w:spacing w:line="240" w:lineRule="auto"/>
        <w:jc w:val="both"/>
        <w:rPr>
          <w:rFonts w:ascii="Calibri" w:hAnsi="Calibri" w:cs="Calibri"/>
        </w:rPr>
      </w:pPr>
      <w:r w:rsidRPr="00656FEE">
        <w:rPr>
          <w:rFonts w:ascii="Calibri" w:hAnsi="Calibri" w:cs="Calibri"/>
        </w:rPr>
        <w:t xml:space="preserve">In academic contexts, reflection facilitates continuous improvement by fostering critical thinking and promoting a deeper understanding of learning experiences. Moon (2013, p. 85) </w:t>
      </w:r>
      <w:r w:rsidR="0087586D" w:rsidRPr="00656FEE">
        <w:rPr>
          <w:rFonts w:ascii="Calibri" w:hAnsi="Calibri" w:cs="Calibri"/>
        </w:rPr>
        <w:t>emphasizes</w:t>
      </w:r>
      <w:r w:rsidRPr="00656FEE">
        <w:rPr>
          <w:rFonts w:ascii="Calibri" w:hAnsi="Calibri" w:cs="Calibri"/>
        </w:rPr>
        <w:t xml:space="preserve"> that reflection allows students to assess their cognitive and emotional responses, improving their ability to adapt and engage with complex academic challenges. Moreover, reflective practice is crucial for developing metacognitive skills, which underpin self-regulation and academic success (Cambridge Assessment, 2020, p. 3).</w:t>
      </w:r>
      <w:r w:rsidR="00837A43" w:rsidRPr="00656FEE">
        <w:rPr>
          <w:rFonts w:ascii="Calibri" w:hAnsi="Calibri" w:cs="Calibri"/>
        </w:rPr>
        <w:t xml:space="preserve"> </w:t>
      </w:r>
      <w:r w:rsidRPr="00656FEE">
        <w:rPr>
          <w:rFonts w:ascii="Calibri" w:hAnsi="Calibri" w:cs="Calibri"/>
        </w:rPr>
        <w:t xml:space="preserve">This SWOT analysis aims to evaluate the role of "Reflection and Reflective Practice" in enhancing academic success by identifying strengths, weaknesses, opportunities, and threats within this skill set. The analysis will critically assess how reflection contributes to personal growth, highlight areas for improvement, and explore external factors influencing its application. This structure ensures a comprehensive examination of reflective practice as a vital tool for academic development, paving the way for strategic improvements in its </w:t>
      </w:r>
      <w:r w:rsidR="0087586D" w:rsidRPr="00656FEE">
        <w:rPr>
          <w:rFonts w:ascii="Calibri" w:hAnsi="Calibri" w:cs="Calibri"/>
        </w:rPr>
        <w:t>utilization</w:t>
      </w:r>
      <w:r w:rsidRPr="00656FEE">
        <w:rPr>
          <w:rFonts w:ascii="Calibri" w:hAnsi="Calibri" w:cs="Calibri"/>
        </w:rPr>
        <w:t>.</w:t>
      </w:r>
    </w:p>
    <w:p w14:paraId="54D00A14" w14:textId="681095F8" w:rsidR="00AB47DA" w:rsidRPr="00656FEE" w:rsidRDefault="00AB47DA" w:rsidP="00376C94">
      <w:pPr>
        <w:pStyle w:val="Heading1"/>
        <w:spacing w:line="240" w:lineRule="auto"/>
        <w:rPr>
          <w:rFonts w:ascii="Calibri" w:hAnsi="Calibri" w:cs="Calibri"/>
        </w:rPr>
      </w:pPr>
      <w:bookmarkStart w:id="1" w:name="_Toc184466378"/>
      <w:r w:rsidRPr="00656FEE">
        <w:rPr>
          <w:rFonts w:ascii="Calibri" w:hAnsi="Calibri" w:cs="Calibri"/>
        </w:rPr>
        <w:t>Main Section</w:t>
      </w:r>
      <w:bookmarkEnd w:id="1"/>
    </w:p>
    <w:p w14:paraId="39C27D15" w14:textId="77777777" w:rsidR="000B0823" w:rsidRPr="00656FEE" w:rsidRDefault="000B0823" w:rsidP="00376C94">
      <w:pPr>
        <w:pStyle w:val="Heading2"/>
        <w:spacing w:line="240" w:lineRule="auto"/>
        <w:rPr>
          <w:rFonts w:ascii="Calibri" w:hAnsi="Calibri" w:cs="Calibri"/>
        </w:rPr>
      </w:pPr>
      <w:bookmarkStart w:id="2" w:name="_Toc184466379"/>
      <w:r w:rsidRPr="00656FEE">
        <w:rPr>
          <w:rFonts w:ascii="Calibri" w:hAnsi="Calibri" w:cs="Calibri"/>
        </w:rPr>
        <w:t>Strengths</w:t>
      </w:r>
      <w:bookmarkEnd w:id="2"/>
    </w:p>
    <w:p w14:paraId="754560F9" w14:textId="3BE7FC0C" w:rsidR="000B0823" w:rsidRPr="000B0823" w:rsidRDefault="001B2EAC" w:rsidP="00376C94">
      <w:pPr>
        <w:spacing w:line="240" w:lineRule="auto"/>
        <w:jc w:val="both"/>
        <w:rPr>
          <w:rFonts w:ascii="Calibri" w:hAnsi="Calibri" w:cs="Calibri"/>
        </w:rPr>
      </w:pPr>
      <w:r w:rsidRPr="00656FEE">
        <w:rPr>
          <w:rFonts w:ascii="Calibri" w:hAnsi="Calibri" w:cs="Calibri"/>
        </w:rPr>
        <w:t xml:space="preserve">Self-awareness and critically evaluating my learning experience in increasing radically reflective practice is one of my key academic strengths. This strength allows me to pinpoint my areas of need and highlight my fields of triumph. For example, in a recent assignment </w:t>
      </w:r>
      <w:r w:rsidR="00112E05" w:rsidRPr="00656FEE">
        <w:rPr>
          <w:rFonts w:ascii="Calibri" w:hAnsi="Calibri" w:cs="Calibri"/>
        </w:rPr>
        <w:t xml:space="preserve">on </w:t>
      </w:r>
      <w:r w:rsidR="0087586D" w:rsidRPr="00656FEE">
        <w:rPr>
          <w:rFonts w:ascii="Calibri" w:hAnsi="Calibri" w:cs="Calibri"/>
        </w:rPr>
        <w:t>organizational</w:t>
      </w:r>
      <w:r w:rsidR="00112E05" w:rsidRPr="00656FEE">
        <w:rPr>
          <w:rFonts w:ascii="Calibri" w:hAnsi="Calibri" w:cs="Calibri"/>
        </w:rPr>
        <w:t xml:space="preserve"> </w:t>
      </w:r>
      <w:r w:rsidR="0087586D" w:rsidRPr="00656FEE">
        <w:rPr>
          <w:rFonts w:ascii="Calibri" w:hAnsi="Calibri" w:cs="Calibri"/>
        </w:rPr>
        <w:t>behavior</w:t>
      </w:r>
      <w:r w:rsidRPr="00656FEE">
        <w:rPr>
          <w:rFonts w:ascii="Calibri" w:hAnsi="Calibri" w:cs="Calibri"/>
        </w:rPr>
        <w:t xml:space="preserve">, I reflected on my approach to writing my essay using Gibbs’ (1998) Therapeutic Cycle. I reflected on my first draft, </w:t>
      </w:r>
      <w:r w:rsidR="0087586D" w:rsidRPr="00656FEE">
        <w:rPr>
          <w:rFonts w:ascii="Calibri" w:hAnsi="Calibri" w:cs="Calibri"/>
        </w:rPr>
        <w:t>realizing</w:t>
      </w:r>
      <w:r w:rsidRPr="00656FEE">
        <w:rPr>
          <w:rFonts w:ascii="Calibri" w:hAnsi="Calibri" w:cs="Calibri"/>
        </w:rPr>
        <w:t xml:space="preserve"> that my arguments were </w:t>
      </w:r>
      <w:r w:rsidR="00112E05" w:rsidRPr="00656FEE">
        <w:rPr>
          <w:rFonts w:ascii="Calibri" w:hAnsi="Calibri" w:cs="Calibri"/>
        </w:rPr>
        <w:t>fragile</w:t>
      </w:r>
      <w:r w:rsidRPr="00656FEE">
        <w:rPr>
          <w:rFonts w:ascii="Calibri" w:hAnsi="Calibri" w:cs="Calibri"/>
        </w:rPr>
        <w:t xml:space="preserve"> and that I needed to add more scholarly sources and sharpen my critical analysis. It was this iterative process that not only polished my final submission but also greatly added to </w:t>
      </w:r>
      <w:r w:rsidR="00112E05" w:rsidRPr="00656FEE">
        <w:rPr>
          <w:rFonts w:ascii="Calibri" w:hAnsi="Calibri" w:cs="Calibri"/>
        </w:rPr>
        <w:t>my know-how</w:t>
      </w:r>
      <w:r w:rsidRPr="00656FEE">
        <w:rPr>
          <w:rFonts w:ascii="Calibri" w:hAnsi="Calibri" w:cs="Calibri"/>
        </w:rPr>
        <w:t xml:space="preserve"> of structures of academic writing and other qualified </w:t>
      </w:r>
      <w:r w:rsidR="00083A52" w:rsidRPr="00656FEE">
        <w:rPr>
          <w:rFonts w:ascii="Calibri" w:hAnsi="Calibri" w:cs="Calibri"/>
        </w:rPr>
        <w:t>pieces.</w:t>
      </w:r>
    </w:p>
    <w:p w14:paraId="01A63935" w14:textId="6AC789FF" w:rsidR="000B0823" w:rsidRPr="000B0823" w:rsidRDefault="00083A52" w:rsidP="00376C94">
      <w:pPr>
        <w:spacing w:line="240" w:lineRule="auto"/>
        <w:jc w:val="both"/>
        <w:rPr>
          <w:rFonts w:ascii="Calibri" w:hAnsi="Calibri" w:cs="Calibri"/>
        </w:rPr>
      </w:pPr>
      <w:r w:rsidRPr="00656FEE">
        <w:rPr>
          <w:rFonts w:ascii="Calibri" w:hAnsi="Calibri" w:cs="Calibri"/>
        </w:rPr>
        <w:t xml:space="preserve">This has strengthened my ability to make an application of the theoretical knowledge acquired through the application of Kolb’s Experiential Learning Model (1984). Kolb’s model discriminates a cycle of experience comprised of the phases </w:t>
      </w:r>
      <w:r w:rsidR="00112E05" w:rsidRPr="00656FEE">
        <w:rPr>
          <w:rFonts w:ascii="Calibri" w:hAnsi="Calibri" w:cs="Calibri"/>
        </w:rPr>
        <w:t xml:space="preserve">of </w:t>
      </w:r>
      <w:r w:rsidRPr="00656FEE">
        <w:rPr>
          <w:rFonts w:ascii="Calibri" w:hAnsi="Calibri" w:cs="Calibri"/>
        </w:rPr>
        <w:t xml:space="preserve">concrete experience, reflective observation, abstract </w:t>
      </w:r>
      <w:r w:rsidR="0087586D" w:rsidRPr="00656FEE">
        <w:rPr>
          <w:rFonts w:ascii="Calibri" w:hAnsi="Calibri" w:cs="Calibri"/>
        </w:rPr>
        <w:t>conceptualization</w:t>
      </w:r>
      <w:r w:rsidRPr="00656FEE">
        <w:rPr>
          <w:rFonts w:ascii="Calibri" w:hAnsi="Calibri" w:cs="Calibri"/>
        </w:rPr>
        <w:t xml:space="preserve"> and active experimentation. In group </w:t>
      </w:r>
      <w:r w:rsidR="00112E05" w:rsidRPr="00656FEE">
        <w:rPr>
          <w:rFonts w:ascii="Calibri" w:hAnsi="Calibri" w:cs="Calibri"/>
        </w:rPr>
        <w:t>projects,</w:t>
      </w:r>
      <w:r w:rsidRPr="00656FEE">
        <w:rPr>
          <w:rFonts w:ascii="Calibri" w:hAnsi="Calibri" w:cs="Calibri"/>
        </w:rPr>
        <w:t xml:space="preserve"> for example, I have witnessed where less than </w:t>
      </w:r>
      <w:r w:rsidR="00112E05" w:rsidRPr="00656FEE">
        <w:rPr>
          <w:rFonts w:ascii="Calibri" w:hAnsi="Calibri" w:cs="Calibri"/>
        </w:rPr>
        <w:t>adequate</w:t>
      </w:r>
      <w:r w:rsidRPr="00656FEE">
        <w:rPr>
          <w:rFonts w:ascii="Calibri" w:hAnsi="Calibri" w:cs="Calibri"/>
        </w:rPr>
        <w:t xml:space="preserve"> communication has limited the collaboration process. I intentionally started using a structured communication strategy in the subsequent projects that helped me increase the teamwork outcomes. Therefore, reflective models demonstrate how this kind of </w:t>
      </w:r>
      <w:r w:rsidR="00112E05" w:rsidRPr="00656FEE">
        <w:rPr>
          <w:rFonts w:ascii="Calibri" w:hAnsi="Calibri" w:cs="Calibri"/>
        </w:rPr>
        <w:t>model</w:t>
      </w:r>
      <w:r w:rsidRPr="00656FEE">
        <w:rPr>
          <w:rFonts w:ascii="Calibri" w:hAnsi="Calibri" w:cs="Calibri"/>
        </w:rPr>
        <w:t xml:space="preserve"> provides active insights to </w:t>
      </w:r>
      <w:r w:rsidR="00890042" w:rsidRPr="00656FEE">
        <w:rPr>
          <w:rFonts w:ascii="Calibri" w:hAnsi="Calibri" w:cs="Calibri"/>
        </w:rPr>
        <w:t>assist the students in enhancing</w:t>
      </w:r>
      <w:r w:rsidRPr="00656FEE">
        <w:rPr>
          <w:rFonts w:ascii="Calibri" w:hAnsi="Calibri" w:cs="Calibri"/>
        </w:rPr>
        <w:t xml:space="preserve"> academic and interpersonal skills</w:t>
      </w:r>
      <w:r w:rsidR="000B0823" w:rsidRPr="000B0823">
        <w:rPr>
          <w:rFonts w:ascii="Calibri" w:hAnsi="Calibri" w:cs="Calibri"/>
        </w:rPr>
        <w:t>.</w:t>
      </w:r>
    </w:p>
    <w:p w14:paraId="09B28DFA" w14:textId="39CAF94F" w:rsidR="000B0823" w:rsidRPr="00656FEE" w:rsidRDefault="004F4B22" w:rsidP="00376C94">
      <w:pPr>
        <w:spacing w:line="240" w:lineRule="auto"/>
        <w:jc w:val="both"/>
        <w:rPr>
          <w:rFonts w:ascii="Calibri" w:hAnsi="Calibri" w:cs="Calibri"/>
        </w:rPr>
      </w:pPr>
      <w:r w:rsidRPr="00656FEE">
        <w:rPr>
          <w:rFonts w:ascii="Calibri" w:hAnsi="Calibri" w:cs="Calibri"/>
        </w:rPr>
        <w:t xml:space="preserve">The frameworks of Gibbs and Kolb promote metacognition, the ability to think about one’s thinking processes particularly effectively (Cambridge Assessment, 2020, p. 3). With this </w:t>
      </w:r>
      <w:r w:rsidRPr="00656FEE">
        <w:rPr>
          <w:rFonts w:ascii="Calibri" w:hAnsi="Calibri" w:cs="Calibri"/>
        </w:rPr>
        <w:lastRenderedPageBreak/>
        <w:t>increased awareness</w:t>
      </w:r>
      <w:r w:rsidR="00112E05" w:rsidRPr="00656FEE">
        <w:rPr>
          <w:rFonts w:ascii="Calibri" w:hAnsi="Calibri" w:cs="Calibri"/>
        </w:rPr>
        <w:t>,</w:t>
      </w:r>
      <w:r w:rsidRPr="00656FEE">
        <w:rPr>
          <w:rFonts w:ascii="Calibri" w:hAnsi="Calibri" w:cs="Calibri"/>
        </w:rPr>
        <w:t xml:space="preserve"> I have been able to come to the table of academic learning with more intention and plan. This helps me to assess my performance by identifying the recurring patterns of my </w:t>
      </w:r>
      <w:r w:rsidR="00FE1E39" w:rsidRPr="00656FEE">
        <w:rPr>
          <w:rFonts w:ascii="Calibri" w:hAnsi="Calibri" w:cs="Calibri"/>
        </w:rPr>
        <w:t>educational</w:t>
      </w:r>
      <w:r w:rsidRPr="00656FEE">
        <w:rPr>
          <w:rFonts w:ascii="Calibri" w:hAnsi="Calibri" w:cs="Calibri"/>
        </w:rPr>
        <w:t xml:space="preserve"> experience and </w:t>
      </w:r>
      <w:r w:rsidR="00112E05" w:rsidRPr="00656FEE">
        <w:rPr>
          <w:rFonts w:ascii="Calibri" w:hAnsi="Calibri" w:cs="Calibri"/>
        </w:rPr>
        <w:t>finding</w:t>
      </w:r>
      <w:r w:rsidRPr="00656FEE">
        <w:rPr>
          <w:rFonts w:ascii="Calibri" w:hAnsi="Calibri" w:cs="Calibri"/>
        </w:rPr>
        <w:t xml:space="preserve"> a way to tackle challenges. Moon (2013, p. 92) inscribes that reflective practice not only aids personal growth but also facilitates a skill required for academic success (adaptability)</w:t>
      </w:r>
      <w:r w:rsidR="000B0823" w:rsidRPr="000B0823">
        <w:rPr>
          <w:rFonts w:ascii="Calibri" w:hAnsi="Calibri" w:cs="Calibri"/>
        </w:rPr>
        <w:t>.</w:t>
      </w:r>
    </w:p>
    <w:p w14:paraId="090076EB" w14:textId="77777777" w:rsidR="00AD4FC9" w:rsidRPr="00656FEE" w:rsidRDefault="00AD4FC9" w:rsidP="00376C94">
      <w:pPr>
        <w:pStyle w:val="Heading2"/>
        <w:spacing w:line="240" w:lineRule="auto"/>
        <w:rPr>
          <w:rFonts w:ascii="Calibri" w:hAnsi="Calibri" w:cs="Calibri"/>
        </w:rPr>
      </w:pPr>
      <w:bookmarkStart w:id="3" w:name="_Toc184466380"/>
      <w:r w:rsidRPr="00656FEE">
        <w:rPr>
          <w:rFonts w:ascii="Calibri" w:hAnsi="Calibri" w:cs="Calibri"/>
        </w:rPr>
        <w:t>Weaknesses</w:t>
      </w:r>
      <w:bookmarkEnd w:id="3"/>
    </w:p>
    <w:p w14:paraId="71DED13C" w14:textId="533FC8D6" w:rsidR="00AD4FC9" w:rsidRPr="00AD4FC9" w:rsidRDefault="00AD4FC9" w:rsidP="00376C94">
      <w:pPr>
        <w:spacing w:line="240" w:lineRule="auto"/>
        <w:jc w:val="both"/>
        <w:rPr>
          <w:rFonts w:ascii="Calibri" w:hAnsi="Calibri" w:cs="Calibri"/>
        </w:rPr>
      </w:pPr>
      <w:r w:rsidRPr="00AD4FC9">
        <w:rPr>
          <w:rFonts w:ascii="Calibri" w:hAnsi="Calibri" w:cs="Calibri"/>
        </w:rPr>
        <w:t xml:space="preserve">While reflective practice is a valuable tool, I face several challenges that undermine its effectiveness in my academic development. A primary issue is the difficulty in balancing descriptive and critical reflection. Bassot (2016, p. 20) </w:t>
      </w:r>
      <w:r w:rsidR="00603DF1" w:rsidRPr="00656FEE">
        <w:rPr>
          <w:rFonts w:ascii="Calibri" w:hAnsi="Calibri" w:cs="Calibri"/>
        </w:rPr>
        <w:t>emphasizes</w:t>
      </w:r>
      <w:r w:rsidRPr="00AD4FC9">
        <w:rPr>
          <w:rFonts w:ascii="Calibri" w:hAnsi="Calibri" w:cs="Calibri"/>
        </w:rPr>
        <w:t xml:space="preserve"> that many learners struggle to progress beyond simple narration to engage in </w:t>
      </w:r>
      <w:r w:rsidR="00890042" w:rsidRPr="00656FEE">
        <w:rPr>
          <w:rFonts w:ascii="Calibri" w:hAnsi="Calibri" w:cs="Calibri"/>
        </w:rPr>
        <w:t>more profound</w:t>
      </w:r>
      <w:r w:rsidRPr="00AD4FC9">
        <w:rPr>
          <w:rFonts w:ascii="Calibri" w:hAnsi="Calibri" w:cs="Calibri"/>
        </w:rPr>
        <w:t xml:space="preserve"> analytical thought. For example, in reviewing feedback for a group project, I often describe the events and outcomes without adequately interrogating the underlying factors or systemic issues that contributed to the challenges. This limitation diminishes the depth of my learning and inhibits the formulation of actionable strategies for future improvement.</w:t>
      </w:r>
    </w:p>
    <w:p w14:paraId="0C0DF006" w14:textId="508B8144" w:rsidR="00AD4FC9" w:rsidRPr="00AD4FC9" w:rsidRDefault="00AD4FC9" w:rsidP="00376C94">
      <w:pPr>
        <w:spacing w:line="240" w:lineRule="auto"/>
        <w:jc w:val="both"/>
        <w:rPr>
          <w:rFonts w:ascii="Calibri" w:hAnsi="Calibri" w:cs="Calibri"/>
        </w:rPr>
      </w:pPr>
      <w:r w:rsidRPr="00AD4FC9">
        <w:rPr>
          <w:rFonts w:ascii="Calibri" w:hAnsi="Calibri" w:cs="Calibri"/>
        </w:rPr>
        <w:t xml:space="preserve">Overthinking is another significant challenge, which often manifests as excessive self-criticism. Rolfe (2005, p. 79) warns that </w:t>
      </w:r>
      <w:r w:rsidR="00603DF1" w:rsidRPr="00656FEE">
        <w:rPr>
          <w:rFonts w:ascii="Calibri" w:hAnsi="Calibri" w:cs="Calibri"/>
        </w:rPr>
        <w:t>overanalyzing</w:t>
      </w:r>
      <w:r w:rsidRPr="00AD4FC9">
        <w:rPr>
          <w:rFonts w:ascii="Calibri" w:hAnsi="Calibri" w:cs="Calibri"/>
        </w:rPr>
        <w:t xml:space="preserve"> experiences during reflective practice can lead to distorted perceptions and negatively affect self-efficacy. In my experience, after receiving critical feedback on an essay, I focused disproportionately on the negative aspects, overlooking positive feedback and areas of strength. This tendency not only impacted my confidence but also hindered my ability to approach subsequent tasks constructively. Such overcritical reflections align with Moon’s (2013, p. 96) observation that reflection, when improperly managed, can exacerbate feelings of inadequacy rather than fostering growth.</w:t>
      </w:r>
    </w:p>
    <w:p w14:paraId="44B4864A" w14:textId="584036FD" w:rsidR="00AD4FC9" w:rsidRPr="00656FEE" w:rsidRDefault="00AD4FC9" w:rsidP="00376C94">
      <w:pPr>
        <w:spacing w:line="240" w:lineRule="auto"/>
        <w:jc w:val="both"/>
        <w:rPr>
          <w:rFonts w:ascii="Calibri" w:hAnsi="Calibri" w:cs="Calibri"/>
        </w:rPr>
      </w:pPr>
      <w:r w:rsidRPr="00AD4FC9">
        <w:rPr>
          <w:rFonts w:ascii="Calibri" w:hAnsi="Calibri" w:cs="Calibri"/>
        </w:rPr>
        <w:t xml:space="preserve">The time-intensive nature of reflective practice further complicates its </w:t>
      </w:r>
      <w:r w:rsidR="00106CD6" w:rsidRPr="00656FEE">
        <w:rPr>
          <w:rFonts w:ascii="Calibri" w:hAnsi="Calibri" w:cs="Calibri"/>
        </w:rPr>
        <w:t>practical</w:t>
      </w:r>
      <w:r w:rsidRPr="00AD4FC9">
        <w:rPr>
          <w:rFonts w:ascii="Calibri" w:hAnsi="Calibri" w:cs="Calibri"/>
        </w:rPr>
        <w:t xml:space="preserve"> application. Schön (1983, p. 67) argues that while reflective practitioners gain long-term benefits, the immediate demands of structured reflection can conflict with tight academic deadlines. In my case, I have often found it challenging to allocate sufficient time for comprehensive reflection, resulting in superficial evaluations that lack actionable insights. Thompson and Thompson (2023, p. 42) highlight that rushed reflections can compromise the quality of critical engagement and hinder the practical application of reflective insights.</w:t>
      </w:r>
      <w:r w:rsidR="004C1BFC" w:rsidRPr="00656FEE">
        <w:rPr>
          <w:rFonts w:ascii="Calibri" w:hAnsi="Calibri" w:cs="Calibri"/>
        </w:rPr>
        <w:t xml:space="preserve"> </w:t>
      </w:r>
      <w:r w:rsidRPr="00AD4FC9">
        <w:rPr>
          <w:rFonts w:ascii="Calibri" w:hAnsi="Calibri" w:cs="Calibri"/>
        </w:rPr>
        <w:t xml:space="preserve">Addressing these weaknesses requires a strategic approach, such as leveraging structured frameworks like Gibbs’ Reflective Cycle or Schön’s reflection-in-action, to enhance focus and mitigate the pitfalls of overthinking. This will allow me to balance critique with constructive self-assessment and allocate time effectively, ultimately </w:t>
      </w:r>
      <w:r w:rsidR="00603DF1" w:rsidRPr="00656FEE">
        <w:rPr>
          <w:rFonts w:ascii="Calibri" w:hAnsi="Calibri" w:cs="Calibri"/>
        </w:rPr>
        <w:t>maximizing</w:t>
      </w:r>
      <w:r w:rsidRPr="00AD4FC9">
        <w:rPr>
          <w:rFonts w:ascii="Calibri" w:hAnsi="Calibri" w:cs="Calibri"/>
        </w:rPr>
        <w:t xml:space="preserve"> the benefits of reflective practice.</w:t>
      </w:r>
    </w:p>
    <w:p w14:paraId="2476D339" w14:textId="77777777" w:rsidR="00746EA7" w:rsidRPr="00656FEE" w:rsidRDefault="00746EA7" w:rsidP="00376C94">
      <w:pPr>
        <w:pStyle w:val="Heading2"/>
        <w:spacing w:line="240" w:lineRule="auto"/>
        <w:rPr>
          <w:rFonts w:ascii="Calibri" w:hAnsi="Calibri" w:cs="Calibri"/>
        </w:rPr>
      </w:pPr>
      <w:bookmarkStart w:id="4" w:name="_Toc184466381"/>
      <w:r w:rsidRPr="00656FEE">
        <w:rPr>
          <w:rFonts w:ascii="Calibri" w:hAnsi="Calibri" w:cs="Calibri"/>
        </w:rPr>
        <w:t>Opportunities</w:t>
      </w:r>
      <w:bookmarkEnd w:id="4"/>
    </w:p>
    <w:p w14:paraId="7D920327" w14:textId="14BD2EBC" w:rsidR="00746EA7" w:rsidRPr="00746EA7" w:rsidRDefault="00C52282" w:rsidP="00376C94">
      <w:pPr>
        <w:spacing w:line="240" w:lineRule="auto"/>
        <w:jc w:val="both"/>
        <w:rPr>
          <w:rFonts w:ascii="Calibri" w:hAnsi="Calibri" w:cs="Calibri"/>
        </w:rPr>
      </w:pPr>
      <w:r w:rsidRPr="00656FEE">
        <w:rPr>
          <w:rFonts w:ascii="Calibri" w:hAnsi="Calibri" w:cs="Calibri"/>
        </w:rPr>
        <w:t xml:space="preserve">In the academic setting, opportunities for reflective practice </w:t>
      </w:r>
      <w:r w:rsidR="00112E05" w:rsidRPr="00656FEE">
        <w:rPr>
          <w:rFonts w:ascii="Calibri" w:hAnsi="Calibri" w:cs="Calibri"/>
        </w:rPr>
        <w:t>increase</w:t>
      </w:r>
      <w:r w:rsidRPr="00656FEE">
        <w:rPr>
          <w:rFonts w:ascii="Calibri" w:hAnsi="Calibri" w:cs="Calibri"/>
        </w:rPr>
        <w:t xml:space="preserve"> and it is enhanced with access to the resources of workshops, peer mentoring and structured feedback systems. Academic </w:t>
      </w:r>
      <w:r w:rsidR="00106CD6" w:rsidRPr="00656FEE">
        <w:rPr>
          <w:rFonts w:ascii="Calibri" w:hAnsi="Calibri" w:cs="Calibri"/>
        </w:rPr>
        <w:t>seminars</w:t>
      </w:r>
      <w:r w:rsidRPr="00656FEE">
        <w:rPr>
          <w:rFonts w:ascii="Calibri" w:hAnsi="Calibri" w:cs="Calibri"/>
        </w:rPr>
        <w:t>, such as the ones designed to aid in developing reflection skills, provide students with an opportunity to access structured training and use models like Boud’s Model of Reflection (Boud et al., 1985). As Brookfield (2017, p. 89) indicates, these workshops not only improve critical thinking but also contribute to bridging the gap between reflective theory and practical application. Moreover, learning platforms such as digital journals or e-portfolios offer a means to document reflections systematically for students to revisit and improve their analyses for the purpose of engaging in a continuous learning cycle</w:t>
      </w:r>
      <w:r w:rsidR="00746EA7" w:rsidRPr="00746EA7">
        <w:rPr>
          <w:rFonts w:ascii="Calibri" w:hAnsi="Calibri" w:cs="Calibri"/>
        </w:rPr>
        <w:t>.</w:t>
      </w:r>
    </w:p>
    <w:p w14:paraId="658FDA04" w14:textId="00CF4032" w:rsidR="00746EA7" w:rsidRPr="00746EA7" w:rsidRDefault="00D72469" w:rsidP="00376C94">
      <w:pPr>
        <w:spacing w:line="240" w:lineRule="auto"/>
        <w:jc w:val="both"/>
        <w:rPr>
          <w:rFonts w:ascii="Calibri" w:hAnsi="Calibri" w:cs="Calibri"/>
        </w:rPr>
      </w:pPr>
      <w:r w:rsidRPr="00656FEE">
        <w:rPr>
          <w:rFonts w:ascii="Calibri" w:hAnsi="Calibri" w:cs="Calibri"/>
        </w:rPr>
        <w:lastRenderedPageBreak/>
        <w:t xml:space="preserve">In addition to that, expanding the reflective capabilities also </w:t>
      </w:r>
      <w:r w:rsidR="00112E05" w:rsidRPr="00656FEE">
        <w:rPr>
          <w:rFonts w:ascii="Calibri" w:hAnsi="Calibri" w:cs="Calibri"/>
        </w:rPr>
        <w:t>depends</w:t>
      </w:r>
      <w:r w:rsidRPr="00656FEE">
        <w:rPr>
          <w:rFonts w:ascii="Calibri" w:hAnsi="Calibri" w:cs="Calibri"/>
        </w:rPr>
        <w:t xml:space="preserve"> on peer mentoring and collaborative activities</w:t>
      </w:r>
      <w:r w:rsidR="00746EA7" w:rsidRPr="00746EA7">
        <w:rPr>
          <w:rFonts w:ascii="Calibri" w:hAnsi="Calibri" w:cs="Calibri"/>
        </w:rPr>
        <w:t xml:space="preserve">. Engaging with peers facilitates the exchange of diverse perspectives, which, according to Finlay (2008, p. 3), enriches reflective practice by challenging assumptions and promoting critical engagement. For instance, during group assignments, peer feedback helped me </w:t>
      </w:r>
      <w:r w:rsidR="00603DF1" w:rsidRPr="00656FEE">
        <w:rPr>
          <w:rFonts w:ascii="Calibri" w:hAnsi="Calibri" w:cs="Calibri"/>
        </w:rPr>
        <w:t>recognize</w:t>
      </w:r>
      <w:r w:rsidR="00746EA7" w:rsidRPr="00746EA7">
        <w:rPr>
          <w:rFonts w:ascii="Calibri" w:hAnsi="Calibri" w:cs="Calibri"/>
        </w:rPr>
        <w:t xml:space="preserve"> biases in my reflections and provided alternative viewpoints to address challenges. These collaborative opportunities align with Boud and Walker’s (1998, p. 197) assertion that dialogue-based reflection enhances personal and professional growth by offering a balanced mix of support and critique.</w:t>
      </w:r>
    </w:p>
    <w:p w14:paraId="06137E5F" w14:textId="5B4E378A" w:rsidR="00746EA7" w:rsidRPr="00746EA7" w:rsidRDefault="00746EA7" w:rsidP="00376C94">
      <w:pPr>
        <w:spacing w:line="240" w:lineRule="auto"/>
        <w:jc w:val="both"/>
        <w:rPr>
          <w:rFonts w:ascii="Calibri" w:hAnsi="Calibri" w:cs="Calibri"/>
        </w:rPr>
      </w:pPr>
      <w:r w:rsidRPr="00746EA7">
        <w:rPr>
          <w:rFonts w:ascii="Calibri" w:hAnsi="Calibri" w:cs="Calibri"/>
        </w:rPr>
        <w:t xml:space="preserve">University-structured reflection-focused assignments, such as reflective essays or portfolios, provide additional avenues to develop reflective skills. Such assignments often encourage students to apply models like Rolfe et al.’s (2001) reflective framework, which integrates description, analysis, and future planning, offering a clear path for improvement. Moreover, academic advising sessions tailored to reflective practices help students </w:t>
      </w:r>
      <w:r w:rsidR="0087586D" w:rsidRPr="00656FEE">
        <w:rPr>
          <w:rFonts w:ascii="Calibri" w:hAnsi="Calibri" w:cs="Calibri"/>
        </w:rPr>
        <w:t>contextualize</w:t>
      </w:r>
      <w:r w:rsidRPr="00746EA7">
        <w:rPr>
          <w:rFonts w:ascii="Calibri" w:hAnsi="Calibri" w:cs="Calibri"/>
        </w:rPr>
        <w:t xml:space="preserve"> feedback, thus addressing individual learning needs.</w:t>
      </w:r>
      <w:r w:rsidRPr="00656FEE">
        <w:rPr>
          <w:rFonts w:ascii="Calibri" w:hAnsi="Calibri" w:cs="Calibri"/>
        </w:rPr>
        <w:t xml:space="preserve"> </w:t>
      </w:r>
      <w:r w:rsidRPr="00746EA7">
        <w:rPr>
          <w:rFonts w:ascii="Calibri" w:hAnsi="Calibri" w:cs="Calibri"/>
        </w:rPr>
        <w:t xml:space="preserve">Leveraging these opportunities not only enhances academic performance but also prepares students for long-term personal and professional development. As </w:t>
      </w:r>
      <w:proofErr w:type="spellStart"/>
      <w:r w:rsidRPr="00746EA7">
        <w:rPr>
          <w:rFonts w:ascii="Calibri" w:hAnsi="Calibri" w:cs="Calibri"/>
        </w:rPr>
        <w:t>McDrury</w:t>
      </w:r>
      <w:proofErr w:type="spellEnd"/>
      <w:r w:rsidRPr="00746EA7">
        <w:rPr>
          <w:rFonts w:ascii="Calibri" w:hAnsi="Calibri" w:cs="Calibri"/>
        </w:rPr>
        <w:t xml:space="preserve"> and Alterio (2003, p. 87) </w:t>
      </w:r>
      <w:r w:rsidR="0087586D" w:rsidRPr="00656FEE">
        <w:rPr>
          <w:rFonts w:ascii="Calibri" w:hAnsi="Calibri" w:cs="Calibri"/>
        </w:rPr>
        <w:t>emphasize</w:t>
      </w:r>
      <w:r w:rsidRPr="00746EA7">
        <w:rPr>
          <w:rFonts w:ascii="Calibri" w:hAnsi="Calibri" w:cs="Calibri"/>
        </w:rPr>
        <w:t>, engaging in structured reflective activities cultivates lifelong learning habits, enabling individuals to adapt effectively in dynamic environments.</w:t>
      </w:r>
    </w:p>
    <w:p w14:paraId="4B637E33" w14:textId="77777777" w:rsidR="0054351B" w:rsidRPr="00656FEE" w:rsidRDefault="0054351B" w:rsidP="00376C94">
      <w:pPr>
        <w:pStyle w:val="Heading2"/>
        <w:spacing w:line="240" w:lineRule="auto"/>
        <w:rPr>
          <w:rFonts w:ascii="Calibri" w:hAnsi="Calibri" w:cs="Calibri"/>
        </w:rPr>
      </w:pPr>
      <w:bookmarkStart w:id="5" w:name="_Toc184466382"/>
      <w:r w:rsidRPr="00656FEE">
        <w:rPr>
          <w:rFonts w:ascii="Calibri" w:hAnsi="Calibri" w:cs="Calibri"/>
        </w:rPr>
        <w:t>Threats</w:t>
      </w:r>
      <w:bookmarkEnd w:id="5"/>
    </w:p>
    <w:p w14:paraId="23591C57" w14:textId="425E1485" w:rsidR="0054351B" w:rsidRPr="0054351B" w:rsidRDefault="0054351B" w:rsidP="00376C94">
      <w:pPr>
        <w:spacing w:line="240" w:lineRule="auto"/>
        <w:jc w:val="both"/>
        <w:rPr>
          <w:rFonts w:ascii="Calibri" w:hAnsi="Calibri" w:cs="Calibri"/>
        </w:rPr>
      </w:pPr>
      <w:r w:rsidRPr="0054351B">
        <w:rPr>
          <w:rFonts w:ascii="Calibri" w:hAnsi="Calibri" w:cs="Calibri"/>
        </w:rPr>
        <w:t xml:space="preserve">Several external threats can hinder the effective use of reflective practice in academic contexts, thereby limiting its potential benefits. Time constraints, particularly during peak assignment periods, pose a significant barrier. Reflection requires cognitive space and dedicated time, which can be </w:t>
      </w:r>
      <w:r w:rsidR="00FE1E39" w:rsidRPr="00656FEE">
        <w:rPr>
          <w:rFonts w:ascii="Calibri" w:hAnsi="Calibri" w:cs="Calibri"/>
        </w:rPr>
        <w:t>challenging</w:t>
      </w:r>
      <w:r w:rsidRPr="0054351B">
        <w:rPr>
          <w:rFonts w:ascii="Calibri" w:hAnsi="Calibri" w:cs="Calibri"/>
        </w:rPr>
        <w:t xml:space="preserve"> to </w:t>
      </w:r>
      <w:r w:rsidR="00B81308" w:rsidRPr="00656FEE">
        <w:rPr>
          <w:rFonts w:ascii="Calibri" w:hAnsi="Calibri" w:cs="Calibri"/>
        </w:rPr>
        <w:t>prioritize</w:t>
      </w:r>
      <w:r w:rsidRPr="0054351B">
        <w:rPr>
          <w:rFonts w:ascii="Calibri" w:hAnsi="Calibri" w:cs="Calibri"/>
        </w:rPr>
        <w:t xml:space="preserve"> amidst tight deadlines. Clegg (2016, p. 91) notes that the pressure to meet academic demands often results in rushed or superficial reflections, thereby compromising their quality and effectiveness. </w:t>
      </w:r>
      <w:r w:rsidR="001C2AF6" w:rsidRPr="00656FEE">
        <w:rPr>
          <w:rFonts w:ascii="Calibri" w:hAnsi="Calibri" w:cs="Calibri"/>
        </w:rPr>
        <w:t>I have found this to be true in my experience</w:t>
      </w:r>
      <w:r w:rsidR="00112E05" w:rsidRPr="00656FEE">
        <w:rPr>
          <w:rFonts w:ascii="Calibri" w:hAnsi="Calibri" w:cs="Calibri"/>
        </w:rPr>
        <w:t xml:space="preserve">, as competing deadlines led me to complete tasks rather than </w:t>
      </w:r>
      <w:r w:rsidR="001C2AF6" w:rsidRPr="00656FEE">
        <w:rPr>
          <w:rFonts w:ascii="Calibri" w:hAnsi="Calibri" w:cs="Calibri"/>
        </w:rPr>
        <w:t>fully engage in</w:t>
      </w:r>
      <w:r w:rsidR="009D2016" w:rsidRPr="00656FEE">
        <w:rPr>
          <w:rFonts w:ascii="Calibri" w:hAnsi="Calibri" w:cs="Calibri"/>
        </w:rPr>
        <w:t xml:space="preserve"> </w:t>
      </w:r>
      <w:r w:rsidR="001C2AF6" w:rsidRPr="00656FEE">
        <w:rPr>
          <w:rFonts w:ascii="Calibri" w:hAnsi="Calibri" w:cs="Calibri"/>
        </w:rPr>
        <w:t>deep</w:t>
      </w:r>
      <w:r w:rsidR="00106CD6" w:rsidRPr="00656FEE">
        <w:rPr>
          <w:rFonts w:ascii="Calibri" w:hAnsi="Calibri" w:cs="Calibri"/>
        </w:rPr>
        <w:t>,</w:t>
      </w:r>
      <w:r w:rsidR="001C2AF6" w:rsidRPr="00656FEE">
        <w:rPr>
          <w:rFonts w:ascii="Calibri" w:hAnsi="Calibri" w:cs="Calibri"/>
        </w:rPr>
        <w:t xml:space="preserve"> reflective thought processes. This worsens the problem during periods when academic pressure is high. As said by McGonigal (2015, p. 162), stress also injures cognitive flexibility, one of the critical aspects of reflective thinking, and transfers focus </w:t>
      </w:r>
      <w:r w:rsidR="00112E05" w:rsidRPr="00656FEE">
        <w:rPr>
          <w:rFonts w:ascii="Calibri" w:hAnsi="Calibri" w:cs="Calibri"/>
        </w:rPr>
        <w:t>from critical evaluation to immediate problem-solving</w:t>
      </w:r>
      <w:r w:rsidR="001C2AF6" w:rsidRPr="00656FEE">
        <w:rPr>
          <w:rFonts w:ascii="Calibri" w:hAnsi="Calibri" w:cs="Calibri"/>
        </w:rPr>
        <w:t>. For example, as I planned for several assessments</w:t>
      </w:r>
      <w:r w:rsidR="00112E05" w:rsidRPr="00656FEE">
        <w:rPr>
          <w:rFonts w:ascii="Calibri" w:hAnsi="Calibri" w:cs="Calibri"/>
        </w:rPr>
        <w:t>,</w:t>
      </w:r>
      <w:r w:rsidR="001C2AF6" w:rsidRPr="00656FEE">
        <w:rPr>
          <w:rFonts w:ascii="Calibri" w:hAnsi="Calibri" w:cs="Calibri"/>
        </w:rPr>
        <w:t xml:space="preserve"> I was unable to balance descriptive </w:t>
      </w:r>
      <w:r w:rsidR="00FE1E39" w:rsidRPr="00656FEE">
        <w:rPr>
          <w:rFonts w:ascii="Calibri" w:hAnsi="Calibri" w:cs="Calibri"/>
        </w:rPr>
        <w:t>and essential</w:t>
      </w:r>
      <w:r w:rsidR="001C2AF6" w:rsidRPr="00656FEE">
        <w:rPr>
          <w:rFonts w:ascii="Calibri" w:hAnsi="Calibri" w:cs="Calibri"/>
        </w:rPr>
        <w:t xml:space="preserve"> reflection, consequently missing significant chances for learning and improvement.</w:t>
      </w:r>
    </w:p>
    <w:p w14:paraId="2AC793F7" w14:textId="5AFBDFC5" w:rsidR="0054351B" w:rsidRPr="00656FEE" w:rsidRDefault="004F70EB" w:rsidP="00376C94">
      <w:pPr>
        <w:spacing w:line="240" w:lineRule="auto"/>
        <w:jc w:val="both"/>
        <w:rPr>
          <w:rFonts w:ascii="Calibri" w:hAnsi="Calibri" w:cs="Calibri"/>
        </w:rPr>
      </w:pPr>
      <w:r w:rsidRPr="00656FEE">
        <w:rPr>
          <w:rFonts w:ascii="Calibri" w:hAnsi="Calibri" w:cs="Calibri"/>
        </w:rPr>
        <w:t>Unstructured feedback hinders reflective practice. Without feedback, reflections are misinterpreted or unproductive. Dewey (1933, p. 109), 'because there is external validation on the accuracy of their self-perception and for its need of adjustment', says reflective learning works. My reflections have occasionally confirmed incorrect assumptions, delaying academic progress, so timely feedback is needed</w:t>
      </w:r>
      <w:r w:rsidR="0054351B" w:rsidRPr="0054351B">
        <w:rPr>
          <w:rFonts w:ascii="Calibri" w:hAnsi="Calibri" w:cs="Calibri"/>
        </w:rPr>
        <w:t>.</w:t>
      </w:r>
      <w:r w:rsidRPr="00656FEE">
        <w:rPr>
          <w:rFonts w:ascii="Calibri" w:hAnsi="Calibri" w:cs="Calibri"/>
        </w:rPr>
        <w:t xml:space="preserve"> External distractions like personal responsibilities and unstructured learning environments threaten reflective practice consistency. According to Boud and Walker (1998, p. 198), meaningful reflection requires context. Without such an environment, reflection becomes fragmented and unrelated to action. To address these threats, you need a strategic plan that includes time for reflection, feedback, and an enabling learning environment. When these barriers are removed, reflective practice can better align with academic and personal goals</w:t>
      </w:r>
      <w:r w:rsidR="0054351B" w:rsidRPr="0054351B">
        <w:rPr>
          <w:rFonts w:ascii="Calibri" w:hAnsi="Calibri" w:cs="Calibri"/>
        </w:rPr>
        <w:t>.</w:t>
      </w:r>
    </w:p>
    <w:p w14:paraId="52515391" w14:textId="77777777" w:rsidR="00261FAD" w:rsidRPr="00656FEE" w:rsidRDefault="00261FAD" w:rsidP="00376C94">
      <w:pPr>
        <w:pStyle w:val="Heading1"/>
        <w:spacing w:line="240" w:lineRule="auto"/>
        <w:rPr>
          <w:rFonts w:ascii="Calibri" w:hAnsi="Calibri" w:cs="Calibri"/>
        </w:rPr>
      </w:pPr>
      <w:bookmarkStart w:id="6" w:name="_Toc184466383"/>
      <w:r w:rsidRPr="00656FEE">
        <w:rPr>
          <w:rFonts w:ascii="Calibri" w:hAnsi="Calibri" w:cs="Calibri"/>
        </w:rPr>
        <w:lastRenderedPageBreak/>
        <w:t>Conclusion</w:t>
      </w:r>
      <w:bookmarkEnd w:id="6"/>
    </w:p>
    <w:p w14:paraId="68E5C5EA" w14:textId="44CAB805" w:rsidR="00261FAD" w:rsidRPr="00656FEE" w:rsidRDefault="00783D1C" w:rsidP="00376C94">
      <w:pPr>
        <w:spacing w:line="240" w:lineRule="auto"/>
        <w:jc w:val="both"/>
        <w:rPr>
          <w:rFonts w:ascii="Calibri" w:hAnsi="Calibri" w:cs="Calibri"/>
        </w:rPr>
      </w:pPr>
      <w:r w:rsidRPr="00656FEE">
        <w:rPr>
          <w:rFonts w:ascii="Calibri" w:hAnsi="Calibri" w:cs="Calibri"/>
        </w:rPr>
        <w:t xml:space="preserve">SWOT analysis is an effective tool for understanding how reflective practice promotes academic </w:t>
      </w:r>
      <w:r w:rsidR="00FE1E39" w:rsidRPr="00656FEE">
        <w:rPr>
          <w:rFonts w:ascii="Calibri" w:hAnsi="Calibri" w:cs="Calibri"/>
        </w:rPr>
        <w:t>growth despite</w:t>
      </w:r>
      <w:r w:rsidRPr="00656FEE">
        <w:rPr>
          <w:rFonts w:ascii="Calibri" w:hAnsi="Calibri" w:cs="Calibri"/>
        </w:rPr>
        <w:t xml:space="preserve"> all the other tools. I excel at structured reflection and theoretical models like Gibbs' Reflective Cycle and Kolb's Experiential Learning Model. Overthinking and balance between descriptive and critical reflection limit mindfulness's potential. I can also improve my reflective skills by using academic resources, peer mentoring, and structured assignments. External threats like time constraints, stress, and limited (later nonexistent) feedback prevent me from learning</w:t>
      </w:r>
      <w:r w:rsidR="00261FAD" w:rsidRPr="00261FAD">
        <w:rPr>
          <w:rFonts w:ascii="Calibri" w:hAnsi="Calibri" w:cs="Calibri"/>
        </w:rPr>
        <w:t>.</w:t>
      </w:r>
      <w:r w:rsidRPr="00656FEE">
        <w:rPr>
          <w:rFonts w:ascii="Calibri" w:hAnsi="Calibri" w:cs="Calibri"/>
        </w:rPr>
        <w:t xml:space="preserve"> Reflective practice boosts critical thinking, self-awareness, and problem-solving, crucial to academic success with my strengths and resources, I'm excited to use structured frameworks to improve my weaknesses. I must be proactive and plan for positive feedback when dealing with threats. Continuous reflective practice ensures self-adaptability and academic and professional development.</w:t>
      </w:r>
    </w:p>
    <w:p w14:paraId="0B71C01F" w14:textId="25E427E0" w:rsidR="00656FEE" w:rsidRPr="00656FEE" w:rsidRDefault="00656FEE">
      <w:pPr>
        <w:rPr>
          <w:rFonts w:ascii="Calibri" w:hAnsi="Calibri" w:cs="Calibri"/>
        </w:rPr>
      </w:pPr>
      <w:r w:rsidRPr="00656FEE">
        <w:rPr>
          <w:rFonts w:ascii="Calibri" w:hAnsi="Calibri" w:cs="Calibri"/>
        </w:rPr>
        <w:br w:type="page"/>
      </w:r>
    </w:p>
    <w:p w14:paraId="3CDA8235" w14:textId="6DFB47C1" w:rsidR="00656FEE" w:rsidRPr="00656FEE" w:rsidRDefault="00656FEE" w:rsidP="00656FEE">
      <w:pPr>
        <w:pStyle w:val="Heading1"/>
        <w:rPr>
          <w:rFonts w:ascii="Calibri" w:hAnsi="Calibri" w:cs="Calibri"/>
        </w:rPr>
      </w:pPr>
      <w:bookmarkStart w:id="7" w:name="_Toc184466384"/>
      <w:r w:rsidRPr="00656FEE">
        <w:rPr>
          <w:rFonts w:ascii="Calibri" w:hAnsi="Calibri" w:cs="Calibri"/>
        </w:rPr>
        <w:lastRenderedPageBreak/>
        <w:t>References</w:t>
      </w:r>
      <w:bookmarkEnd w:id="7"/>
    </w:p>
    <w:p w14:paraId="5644A86C" w14:textId="77777777" w:rsidR="00656FEE" w:rsidRPr="00656FEE" w:rsidRDefault="00656FEE" w:rsidP="00656FEE">
      <w:pPr>
        <w:jc w:val="both"/>
        <w:rPr>
          <w:rFonts w:ascii="Calibri" w:hAnsi="Calibri" w:cs="Calibri"/>
        </w:rPr>
      </w:pPr>
      <w:r w:rsidRPr="00656FEE">
        <w:rPr>
          <w:rFonts w:ascii="Calibri" w:hAnsi="Calibri" w:cs="Calibri"/>
        </w:rPr>
        <w:t xml:space="preserve">Bassot, B. (2016) </w:t>
      </w:r>
      <w:r w:rsidRPr="00656FEE">
        <w:rPr>
          <w:rFonts w:ascii="Calibri" w:hAnsi="Calibri" w:cs="Calibri"/>
          <w:i/>
          <w:iCs/>
        </w:rPr>
        <w:t>The reflective practice guide: An interdisciplinary approach to critical reflection</w:t>
      </w:r>
      <w:r w:rsidRPr="00656FEE">
        <w:rPr>
          <w:rFonts w:ascii="Calibri" w:hAnsi="Calibri" w:cs="Calibri"/>
        </w:rPr>
        <w:t>. Oxon: Routledge.</w:t>
      </w:r>
    </w:p>
    <w:p w14:paraId="22FE1F29" w14:textId="77777777" w:rsidR="00656FEE" w:rsidRPr="00656FEE" w:rsidRDefault="00656FEE" w:rsidP="00656FEE">
      <w:pPr>
        <w:jc w:val="both"/>
        <w:rPr>
          <w:rFonts w:ascii="Calibri" w:hAnsi="Calibri" w:cs="Calibri"/>
        </w:rPr>
      </w:pPr>
      <w:r w:rsidRPr="00656FEE">
        <w:rPr>
          <w:rFonts w:ascii="Calibri" w:hAnsi="Calibri" w:cs="Calibri"/>
        </w:rPr>
        <w:t xml:space="preserve">Cambridge Assessment (2020) What is Reflective Practice? [Online]. Available at: </w:t>
      </w:r>
      <w:hyperlink r:id="rId6" w:tgtFrame="_new" w:history="1">
        <w:r w:rsidRPr="00656FEE">
          <w:rPr>
            <w:rStyle w:val="Hyperlink"/>
            <w:rFonts w:ascii="Calibri" w:hAnsi="Calibri" w:cs="Calibri"/>
          </w:rPr>
          <w:t>https://www.cambridge-community.org.uk/professional-development/gswrp/index.html</w:t>
        </w:r>
      </w:hyperlink>
      <w:r w:rsidRPr="00656FEE">
        <w:rPr>
          <w:rFonts w:ascii="Calibri" w:hAnsi="Calibri" w:cs="Calibri"/>
        </w:rPr>
        <w:t xml:space="preserve"> [Accessed 12 Nov. 2023].</w:t>
      </w:r>
    </w:p>
    <w:p w14:paraId="09FE3F44" w14:textId="77777777" w:rsidR="00656FEE" w:rsidRPr="00656FEE" w:rsidRDefault="00656FEE" w:rsidP="00656FEE">
      <w:pPr>
        <w:jc w:val="both"/>
        <w:rPr>
          <w:rFonts w:ascii="Calibri" w:hAnsi="Calibri" w:cs="Calibri"/>
        </w:rPr>
      </w:pPr>
      <w:r w:rsidRPr="00656FEE">
        <w:rPr>
          <w:rFonts w:ascii="Calibri" w:hAnsi="Calibri" w:cs="Calibri"/>
        </w:rPr>
        <w:t xml:space="preserve">Dewey, J. (1933) </w:t>
      </w:r>
      <w:r w:rsidRPr="00656FEE">
        <w:rPr>
          <w:rFonts w:ascii="Calibri" w:hAnsi="Calibri" w:cs="Calibri"/>
          <w:i/>
          <w:iCs/>
        </w:rPr>
        <w:t>How we think: A restatement of the relation of reflective thinking to the educative process</w:t>
      </w:r>
      <w:r w:rsidRPr="00656FEE">
        <w:rPr>
          <w:rFonts w:ascii="Calibri" w:hAnsi="Calibri" w:cs="Calibri"/>
        </w:rPr>
        <w:t>. Boston: D.C. Heath and Company.</w:t>
      </w:r>
    </w:p>
    <w:p w14:paraId="79CDBF3C" w14:textId="77777777" w:rsidR="00656FEE" w:rsidRPr="00656FEE" w:rsidRDefault="00656FEE" w:rsidP="00656FEE">
      <w:pPr>
        <w:jc w:val="both"/>
        <w:rPr>
          <w:rFonts w:ascii="Calibri" w:hAnsi="Calibri" w:cs="Calibri"/>
        </w:rPr>
      </w:pPr>
      <w:r w:rsidRPr="00656FEE">
        <w:rPr>
          <w:rFonts w:ascii="Calibri" w:hAnsi="Calibri" w:cs="Calibri"/>
        </w:rPr>
        <w:t xml:space="preserve">Moon, J. (2013) </w:t>
      </w:r>
      <w:r w:rsidRPr="00656FEE">
        <w:rPr>
          <w:rFonts w:ascii="Calibri" w:hAnsi="Calibri" w:cs="Calibri"/>
          <w:i/>
          <w:iCs/>
        </w:rPr>
        <w:t>A handbook of reflective and experiential learning: Theory and practice</w:t>
      </w:r>
      <w:r w:rsidRPr="00656FEE">
        <w:rPr>
          <w:rFonts w:ascii="Calibri" w:hAnsi="Calibri" w:cs="Calibri"/>
        </w:rPr>
        <w:t>. London: Routledge.</w:t>
      </w:r>
    </w:p>
    <w:p w14:paraId="652E4F17" w14:textId="77777777" w:rsidR="00656FEE" w:rsidRPr="00656FEE" w:rsidRDefault="00656FEE" w:rsidP="00656FEE">
      <w:pPr>
        <w:jc w:val="both"/>
        <w:rPr>
          <w:rFonts w:ascii="Calibri" w:hAnsi="Calibri" w:cs="Calibri"/>
        </w:rPr>
      </w:pPr>
      <w:r w:rsidRPr="00656FEE">
        <w:rPr>
          <w:rFonts w:ascii="Calibri" w:hAnsi="Calibri" w:cs="Calibri"/>
        </w:rPr>
        <w:t xml:space="preserve">Schön, D.A. (1983) </w:t>
      </w:r>
      <w:r w:rsidRPr="00656FEE">
        <w:rPr>
          <w:rFonts w:ascii="Calibri" w:hAnsi="Calibri" w:cs="Calibri"/>
          <w:i/>
          <w:iCs/>
        </w:rPr>
        <w:t>The reflective practitioner: How professionals think in action</w:t>
      </w:r>
      <w:r w:rsidRPr="00656FEE">
        <w:rPr>
          <w:rFonts w:ascii="Calibri" w:hAnsi="Calibri" w:cs="Calibri"/>
        </w:rPr>
        <w:t>. New York: Basic Books.</w:t>
      </w:r>
    </w:p>
    <w:p w14:paraId="3C9D0D95" w14:textId="77777777" w:rsidR="00656FEE" w:rsidRPr="00656FEE" w:rsidRDefault="00656FEE" w:rsidP="00656FEE">
      <w:pPr>
        <w:jc w:val="both"/>
        <w:rPr>
          <w:rFonts w:ascii="Calibri" w:hAnsi="Calibri" w:cs="Calibri"/>
        </w:rPr>
      </w:pPr>
      <w:r w:rsidRPr="00656FEE">
        <w:rPr>
          <w:rFonts w:ascii="Calibri" w:hAnsi="Calibri" w:cs="Calibri"/>
        </w:rPr>
        <w:t xml:space="preserve">Gibbs, G. (1998) </w:t>
      </w:r>
      <w:r w:rsidRPr="00656FEE">
        <w:rPr>
          <w:rFonts w:ascii="Calibri" w:hAnsi="Calibri" w:cs="Calibri"/>
          <w:i/>
          <w:iCs/>
        </w:rPr>
        <w:t>Learning by doing: A guide to teaching and learning methods</w:t>
      </w:r>
      <w:r w:rsidRPr="00656FEE">
        <w:rPr>
          <w:rFonts w:ascii="Calibri" w:hAnsi="Calibri" w:cs="Calibri"/>
        </w:rPr>
        <w:t>. Oxford: Oxford Polytechnic.</w:t>
      </w:r>
    </w:p>
    <w:p w14:paraId="701EDA01" w14:textId="77777777" w:rsidR="00656FEE" w:rsidRPr="00656FEE" w:rsidRDefault="00656FEE" w:rsidP="00656FEE">
      <w:pPr>
        <w:jc w:val="both"/>
        <w:rPr>
          <w:rFonts w:ascii="Calibri" w:hAnsi="Calibri" w:cs="Calibri"/>
        </w:rPr>
      </w:pPr>
      <w:r w:rsidRPr="00656FEE">
        <w:rPr>
          <w:rFonts w:ascii="Calibri" w:hAnsi="Calibri" w:cs="Calibri"/>
        </w:rPr>
        <w:t xml:space="preserve">Kolb, D.A. (1984) </w:t>
      </w:r>
      <w:r w:rsidRPr="00656FEE">
        <w:rPr>
          <w:rFonts w:ascii="Calibri" w:hAnsi="Calibri" w:cs="Calibri"/>
          <w:i/>
          <w:iCs/>
        </w:rPr>
        <w:t>Experiential learning: Experience as the source of learning and development</w:t>
      </w:r>
      <w:r w:rsidRPr="00656FEE">
        <w:rPr>
          <w:rFonts w:ascii="Calibri" w:hAnsi="Calibri" w:cs="Calibri"/>
        </w:rPr>
        <w:t>. Upper Saddle River: Prentice Hall.</w:t>
      </w:r>
    </w:p>
    <w:p w14:paraId="6A9E4023" w14:textId="77777777" w:rsidR="00656FEE" w:rsidRPr="00656FEE" w:rsidRDefault="00656FEE" w:rsidP="00656FEE">
      <w:pPr>
        <w:jc w:val="both"/>
        <w:rPr>
          <w:rFonts w:ascii="Calibri" w:hAnsi="Calibri" w:cs="Calibri"/>
        </w:rPr>
      </w:pPr>
      <w:r w:rsidRPr="00656FEE">
        <w:rPr>
          <w:rFonts w:ascii="Calibri" w:hAnsi="Calibri" w:cs="Calibri"/>
        </w:rPr>
        <w:t xml:space="preserve">Rolfe, G. (2005) The deconstructing angel: Nursing, reflection and evidence-based practice. </w:t>
      </w:r>
      <w:r w:rsidRPr="00656FEE">
        <w:rPr>
          <w:rFonts w:ascii="Calibri" w:hAnsi="Calibri" w:cs="Calibri"/>
          <w:i/>
          <w:iCs/>
        </w:rPr>
        <w:t>Nursing Inquiry</w:t>
      </w:r>
      <w:r w:rsidRPr="00656FEE">
        <w:rPr>
          <w:rFonts w:ascii="Calibri" w:hAnsi="Calibri" w:cs="Calibri"/>
        </w:rPr>
        <w:t>, 12(2), pp.78–86.</w:t>
      </w:r>
    </w:p>
    <w:p w14:paraId="540F6E95" w14:textId="77777777" w:rsidR="00656FEE" w:rsidRPr="00656FEE" w:rsidRDefault="00656FEE" w:rsidP="00656FEE">
      <w:pPr>
        <w:jc w:val="both"/>
        <w:rPr>
          <w:rFonts w:ascii="Calibri" w:hAnsi="Calibri" w:cs="Calibri"/>
        </w:rPr>
      </w:pPr>
      <w:r w:rsidRPr="00656FEE">
        <w:rPr>
          <w:rFonts w:ascii="Calibri" w:hAnsi="Calibri" w:cs="Calibri"/>
        </w:rPr>
        <w:t xml:space="preserve">Thompson, S. and Thompson, N. (2023) </w:t>
      </w:r>
      <w:r w:rsidRPr="00656FEE">
        <w:rPr>
          <w:rFonts w:ascii="Calibri" w:hAnsi="Calibri" w:cs="Calibri"/>
          <w:i/>
          <w:iCs/>
        </w:rPr>
        <w:t>The critically reflective practitioner</w:t>
      </w:r>
      <w:r w:rsidRPr="00656FEE">
        <w:rPr>
          <w:rFonts w:ascii="Calibri" w:hAnsi="Calibri" w:cs="Calibri"/>
        </w:rPr>
        <w:t xml:space="preserve">. 3rd </w:t>
      </w:r>
      <w:proofErr w:type="spellStart"/>
      <w:r w:rsidRPr="00656FEE">
        <w:rPr>
          <w:rFonts w:ascii="Calibri" w:hAnsi="Calibri" w:cs="Calibri"/>
        </w:rPr>
        <w:t>edn</w:t>
      </w:r>
      <w:proofErr w:type="spellEnd"/>
      <w:r w:rsidRPr="00656FEE">
        <w:rPr>
          <w:rFonts w:ascii="Calibri" w:hAnsi="Calibri" w:cs="Calibri"/>
        </w:rPr>
        <w:t>. London: Bloomsbury Academy.</w:t>
      </w:r>
    </w:p>
    <w:p w14:paraId="6F122B3C" w14:textId="77777777" w:rsidR="00656FEE" w:rsidRPr="00656FEE" w:rsidRDefault="00656FEE" w:rsidP="00656FEE">
      <w:pPr>
        <w:jc w:val="both"/>
        <w:rPr>
          <w:rFonts w:ascii="Calibri" w:hAnsi="Calibri" w:cs="Calibri"/>
        </w:rPr>
      </w:pPr>
      <w:r w:rsidRPr="00656FEE">
        <w:rPr>
          <w:rFonts w:ascii="Calibri" w:hAnsi="Calibri" w:cs="Calibri"/>
        </w:rPr>
        <w:t xml:space="preserve">Boud, D., Keogh, R. and Walker, D. (1985) </w:t>
      </w:r>
      <w:r w:rsidRPr="00656FEE">
        <w:rPr>
          <w:rFonts w:ascii="Calibri" w:hAnsi="Calibri" w:cs="Calibri"/>
          <w:i/>
          <w:iCs/>
        </w:rPr>
        <w:t>Reflection: Turning experience into learning</w:t>
      </w:r>
      <w:r w:rsidRPr="00656FEE">
        <w:rPr>
          <w:rFonts w:ascii="Calibri" w:hAnsi="Calibri" w:cs="Calibri"/>
        </w:rPr>
        <w:t>. London: Routledge.</w:t>
      </w:r>
    </w:p>
    <w:p w14:paraId="27118639" w14:textId="77777777" w:rsidR="00656FEE" w:rsidRPr="00656FEE" w:rsidRDefault="00656FEE" w:rsidP="00656FEE">
      <w:pPr>
        <w:jc w:val="both"/>
        <w:rPr>
          <w:rFonts w:ascii="Calibri" w:hAnsi="Calibri" w:cs="Calibri"/>
        </w:rPr>
      </w:pPr>
      <w:r w:rsidRPr="00656FEE">
        <w:rPr>
          <w:rFonts w:ascii="Calibri" w:hAnsi="Calibri" w:cs="Calibri"/>
        </w:rPr>
        <w:t xml:space="preserve">Boud, D. and Walker, D. (1998) Promoting reflection in professional courses: The challenge of context. </w:t>
      </w:r>
      <w:r w:rsidRPr="00656FEE">
        <w:rPr>
          <w:rFonts w:ascii="Calibri" w:hAnsi="Calibri" w:cs="Calibri"/>
          <w:i/>
          <w:iCs/>
        </w:rPr>
        <w:t>Studies in Higher Education</w:t>
      </w:r>
      <w:r w:rsidRPr="00656FEE">
        <w:rPr>
          <w:rFonts w:ascii="Calibri" w:hAnsi="Calibri" w:cs="Calibri"/>
        </w:rPr>
        <w:t>, 23(2), pp.191–206.</w:t>
      </w:r>
    </w:p>
    <w:p w14:paraId="6657020F" w14:textId="77777777" w:rsidR="00656FEE" w:rsidRPr="00656FEE" w:rsidRDefault="00656FEE" w:rsidP="00656FEE">
      <w:pPr>
        <w:jc w:val="both"/>
        <w:rPr>
          <w:rFonts w:ascii="Calibri" w:hAnsi="Calibri" w:cs="Calibri"/>
        </w:rPr>
      </w:pPr>
      <w:r w:rsidRPr="00656FEE">
        <w:rPr>
          <w:rFonts w:ascii="Calibri" w:hAnsi="Calibri" w:cs="Calibri"/>
        </w:rPr>
        <w:t xml:space="preserve">Brookfield, S.D. (2017) </w:t>
      </w:r>
      <w:r w:rsidRPr="00656FEE">
        <w:rPr>
          <w:rFonts w:ascii="Calibri" w:hAnsi="Calibri" w:cs="Calibri"/>
          <w:i/>
          <w:iCs/>
        </w:rPr>
        <w:t>Becoming a critically reflective teacher</w:t>
      </w:r>
      <w:r w:rsidRPr="00656FEE">
        <w:rPr>
          <w:rFonts w:ascii="Calibri" w:hAnsi="Calibri" w:cs="Calibri"/>
        </w:rPr>
        <w:t>. San Francisco: Jossey-Bass.</w:t>
      </w:r>
    </w:p>
    <w:p w14:paraId="32F6F2FC" w14:textId="77777777" w:rsidR="00656FEE" w:rsidRPr="00656FEE" w:rsidRDefault="00656FEE" w:rsidP="00656FEE">
      <w:pPr>
        <w:jc w:val="both"/>
        <w:rPr>
          <w:rFonts w:ascii="Calibri" w:hAnsi="Calibri" w:cs="Calibri"/>
        </w:rPr>
      </w:pPr>
      <w:r w:rsidRPr="00656FEE">
        <w:rPr>
          <w:rFonts w:ascii="Calibri" w:hAnsi="Calibri" w:cs="Calibri"/>
        </w:rPr>
        <w:t xml:space="preserve">Finlay, L. (2008) Reflecting on reflective practice. </w:t>
      </w:r>
      <w:r w:rsidRPr="00656FEE">
        <w:rPr>
          <w:rFonts w:ascii="Calibri" w:hAnsi="Calibri" w:cs="Calibri"/>
          <w:i/>
          <w:iCs/>
        </w:rPr>
        <w:t>Practice-Based Professional Learning Centre</w:t>
      </w:r>
      <w:r w:rsidRPr="00656FEE">
        <w:rPr>
          <w:rFonts w:ascii="Calibri" w:hAnsi="Calibri" w:cs="Calibri"/>
        </w:rPr>
        <w:t>, Paper 52. Milton Keynes: The Open University.</w:t>
      </w:r>
    </w:p>
    <w:p w14:paraId="46D478DA" w14:textId="77777777" w:rsidR="00656FEE" w:rsidRPr="00656FEE" w:rsidRDefault="00656FEE" w:rsidP="00656FEE">
      <w:pPr>
        <w:jc w:val="both"/>
        <w:rPr>
          <w:rFonts w:ascii="Calibri" w:hAnsi="Calibri" w:cs="Calibri"/>
        </w:rPr>
      </w:pPr>
      <w:proofErr w:type="spellStart"/>
      <w:r w:rsidRPr="00656FEE">
        <w:rPr>
          <w:rFonts w:ascii="Calibri" w:hAnsi="Calibri" w:cs="Calibri"/>
        </w:rPr>
        <w:t>McDrury</w:t>
      </w:r>
      <w:proofErr w:type="spellEnd"/>
      <w:r w:rsidRPr="00656FEE">
        <w:rPr>
          <w:rFonts w:ascii="Calibri" w:hAnsi="Calibri" w:cs="Calibri"/>
        </w:rPr>
        <w:t xml:space="preserve">, J. and Alterio, M. (2003) </w:t>
      </w:r>
      <w:r w:rsidRPr="00656FEE">
        <w:rPr>
          <w:rFonts w:ascii="Calibri" w:hAnsi="Calibri" w:cs="Calibri"/>
          <w:i/>
          <w:iCs/>
        </w:rPr>
        <w:t>Learning through storytelling in higher education: Using reflection and experience to improve learning</w:t>
      </w:r>
      <w:r w:rsidRPr="00656FEE">
        <w:rPr>
          <w:rFonts w:ascii="Calibri" w:hAnsi="Calibri" w:cs="Calibri"/>
        </w:rPr>
        <w:t>. London: Kogan Page.</w:t>
      </w:r>
    </w:p>
    <w:p w14:paraId="602D0BB9" w14:textId="77777777" w:rsidR="00656FEE" w:rsidRPr="00656FEE" w:rsidRDefault="00656FEE" w:rsidP="00656FEE">
      <w:pPr>
        <w:jc w:val="both"/>
        <w:rPr>
          <w:rFonts w:ascii="Calibri" w:hAnsi="Calibri" w:cs="Calibri"/>
        </w:rPr>
      </w:pPr>
      <w:r w:rsidRPr="00656FEE">
        <w:rPr>
          <w:rFonts w:ascii="Calibri" w:hAnsi="Calibri" w:cs="Calibri"/>
        </w:rPr>
        <w:t xml:space="preserve">Rolfe, G., Freshwater, D. and Jasper, M. (2001) </w:t>
      </w:r>
      <w:r w:rsidRPr="00656FEE">
        <w:rPr>
          <w:rFonts w:ascii="Calibri" w:hAnsi="Calibri" w:cs="Calibri"/>
          <w:i/>
          <w:iCs/>
        </w:rPr>
        <w:t>Critical reflection for nursing and the helping professions: A user's guide</w:t>
      </w:r>
      <w:r w:rsidRPr="00656FEE">
        <w:rPr>
          <w:rFonts w:ascii="Calibri" w:hAnsi="Calibri" w:cs="Calibri"/>
        </w:rPr>
        <w:t>. Basingstoke: Palgrave Macmillan.</w:t>
      </w:r>
    </w:p>
    <w:p w14:paraId="3B27B1D1" w14:textId="77777777" w:rsidR="00656FEE" w:rsidRPr="00656FEE" w:rsidRDefault="00656FEE" w:rsidP="00656FEE">
      <w:pPr>
        <w:jc w:val="both"/>
        <w:rPr>
          <w:rFonts w:ascii="Calibri" w:hAnsi="Calibri" w:cs="Calibri"/>
        </w:rPr>
      </w:pPr>
      <w:r w:rsidRPr="00656FEE">
        <w:rPr>
          <w:rFonts w:ascii="Calibri" w:hAnsi="Calibri" w:cs="Calibri"/>
        </w:rPr>
        <w:t xml:space="preserve">Clegg, S. (2016) The necessity and impossibility of reflective practice in higher education. </w:t>
      </w:r>
      <w:r w:rsidRPr="00656FEE">
        <w:rPr>
          <w:rFonts w:ascii="Calibri" w:hAnsi="Calibri" w:cs="Calibri"/>
          <w:i/>
          <w:iCs/>
        </w:rPr>
        <w:t>Studies in Higher Education</w:t>
      </w:r>
      <w:r w:rsidRPr="00656FEE">
        <w:rPr>
          <w:rFonts w:ascii="Calibri" w:hAnsi="Calibri" w:cs="Calibri"/>
        </w:rPr>
        <w:t>, 41(6), pp.89–94.</w:t>
      </w:r>
    </w:p>
    <w:p w14:paraId="02B6126D" w14:textId="2F680BF1" w:rsidR="000B0823" w:rsidRPr="00656FEE" w:rsidRDefault="00656FEE" w:rsidP="00365E66">
      <w:pPr>
        <w:jc w:val="both"/>
        <w:rPr>
          <w:rFonts w:ascii="Calibri" w:hAnsi="Calibri" w:cs="Calibri"/>
        </w:rPr>
      </w:pPr>
      <w:r w:rsidRPr="00656FEE">
        <w:rPr>
          <w:rFonts w:ascii="Calibri" w:hAnsi="Calibri" w:cs="Calibri"/>
        </w:rPr>
        <w:lastRenderedPageBreak/>
        <w:t xml:space="preserve">McGonigal, K. (2015) </w:t>
      </w:r>
      <w:r w:rsidRPr="00656FEE">
        <w:rPr>
          <w:rFonts w:ascii="Calibri" w:hAnsi="Calibri" w:cs="Calibri"/>
          <w:i/>
          <w:iCs/>
        </w:rPr>
        <w:t>The upside of stress: Why stress is good for you, and how to get good at it</w:t>
      </w:r>
      <w:r w:rsidRPr="00656FEE">
        <w:rPr>
          <w:rFonts w:ascii="Calibri" w:hAnsi="Calibri" w:cs="Calibri"/>
        </w:rPr>
        <w:t>. New York: Avery.</w:t>
      </w:r>
    </w:p>
    <w:sectPr w:rsidR="000B0823" w:rsidRPr="00656FEE" w:rsidSect="00837A43">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A3436"/>
    <w:multiLevelType w:val="multilevel"/>
    <w:tmpl w:val="A1EEC95E"/>
    <w:lvl w:ilvl="0">
      <w:start w:val="1"/>
      <w:numFmt w:val="decimal"/>
      <w:pStyle w:val="Heading1"/>
      <w:lvlText w:val="%1."/>
      <w:lvlJc w:val="left"/>
      <w:pPr>
        <w:ind w:left="720" w:hanging="360"/>
      </w:pPr>
      <w:rPr>
        <w:rFonts w:hint="default"/>
      </w:rPr>
    </w:lvl>
    <w:lvl w:ilvl="1">
      <w:start w:val="1"/>
      <w:numFmt w:val="decimal"/>
      <w:pStyle w:val="Heading2"/>
      <w:isLgl/>
      <w:lvlText w:val="%1.%2. "/>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D495F5D"/>
    <w:multiLevelType w:val="multilevel"/>
    <w:tmpl w:val="852EAF2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389038605">
    <w:abstractNumId w:val="1"/>
  </w:num>
  <w:num w:numId="2" w16cid:durableId="1031079060">
    <w:abstractNumId w:val="0"/>
  </w:num>
  <w:num w:numId="3" w16cid:durableId="861086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B2FDB"/>
    <w:rsid w:val="000772CA"/>
    <w:rsid w:val="00083A52"/>
    <w:rsid w:val="000B0823"/>
    <w:rsid w:val="001004F3"/>
    <w:rsid w:val="00106CD6"/>
    <w:rsid w:val="001111A3"/>
    <w:rsid w:val="00112E05"/>
    <w:rsid w:val="00113B8B"/>
    <w:rsid w:val="001766F5"/>
    <w:rsid w:val="00191A0F"/>
    <w:rsid w:val="001A01DF"/>
    <w:rsid w:val="001A28F4"/>
    <w:rsid w:val="001B2EAC"/>
    <w:rsid w:val="001B71FC"/>
    <w:rsid w:val="001C2AF6"/>
    <w:rsid w:val="001C2E0A"/>
    <w:rsid w:val="00261FAD"/>
    <w:rsid w:val="00296D8C"/>
    <w:rsid w:val="00297D75"/>
    <w:rsid w:val="00365E66"/>
    <w:rsid w:val="00376C94"/>
    <w:rsid w:val="00377B1E"/>
    <w:rsid w:val="00444CCE"/>
    <w:rsid w:val="004C1BFC"/>
    <w:rsid w:val="004C43CD"/>
    <w:rsid w:val="004D13C6"/>
    <w:rsid w:val="004F4B22"/>
    <w:rsid w:val="004F70EB"/>
    <w:rsid w:val="005333B5"/>
    <w:rsid w:val="0054351B"/>
    <w:rsid w:val="00554487"/>
    <w:rsid w:val="005D0E0B"/>
    <w:rsid w:val="0060104A"/>
    <w:rsid w:val="00603DF1"/>
    <w:rsid w:val="0064048C"/>
    <w:rsid w:val="00655F4F"/>
    <w:rsid w:val="00656FEE"/>
    <w:rsid w:val="006674BD"/>
    <w:rsid w:val="006A48CD"/>
    <w:rsid w:val="006B2FDB"/>
    <w:rsid w:val="006F3830"/>
    <w:rsid w:val="00745A9E"/>
    <w:rsid w:val="00746EA7"/>
    <w:rsid w:val="00767AC1"/>
    <w:rsid w:val="00783D1C"/>
    <w:rsid w:val="007C4851"/>
    <w:rsid w:val="00837A43"/>
    <w:rsid w:val="008571CF"/>
    <w:rsid w:val="008650C2"/>
    <w:rsid w:val="008734FD"/>
    <w:rsid w:val="0087586D"/>
    <w:rsid w:val="00877363"/>
    <w:rsid w:val="00890042"/>
    <w:rsid w:val="0095495B"/>
    <w:rsid w:val="00972F53"/>
    <w:rsid w:val="0098560A"/>
    <w:rsid w:val="009A1384"/>
    <w:rsid w:val="009C66B5"/>
    <w:rsid w:val="009D2016"/>
    <w:rsid w:val="00AB47DA"/>
    <w:rsid w:val="00AD1744"/>
    <w:rsid w:val="00AD4FC9"/>
    <w:rsid w:val="00AF3C75"/>
    <w:rsid w:val="00B01754"/>
    <w:rsid w:val="00B01FA3"/>
    <w:rsid w:val="00B6297C"/>
    <w:rsid w:val="00B759AA"/>
    <w:rsid w:val="00B81308"/>
    <w:rsid w:val="00B937FA"/>
    <w:rsid w:val="00BD4859"/>
    <w:rsid w:val="00BF7AB1"/>
    <w:rsid w:val="00C05562"/>
    <w:rsid w:val="00C315D8"/>
    <w:rsid w:val="00C52282"/>
    <w:rsid w:val="00C80D39"/>
    <w:rsid w:val="00CB1C03"/>
    <w:rsid w:val="00CD3287"/>
    <w:rsid w:val="00D72469"/>
    <w:rsid w:val="00DA2515"/>
    <w:rsid w:val="00E33A02"/>
    <w:rsid w:val="00EC3D2E"/>
    <w:rsid w:val="00F411DA"/>
    <w:rsid w:val="00FE1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12D835"/>
  <w15:chartTrackingRefBased/>
  <w15:docId w15:val="{CC83C85E-18CF-4445-8F52-C8ACD1454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D4859"/>
    <w:pPr>
      <w:keepNext/>
      <w:keepLines/>
      <w:numPr>
        <w:numId w:val="2"/>
      </w:numPr>
      <w:spacing w:before="360" w:after="80" w:line="279" w:lineRule="auto"/>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BD4859"/>
    <w:pPr>
      <w:keepNext/>
      <w:keepLines/>
      <w:numPr>
        <w:ilvl w:val="1"/>
        <w:numId w:val="3"/>
      </w:numPr>
      <w:spacing w:before="160" w:after="80" w:line="279" w:lineRule="auto"/>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autoRedefine/>
    <w:uiPriority w:val="9"/>
    <w:unhideWhenUsed/>
    <w:qFormat/>
    <w:rsid w:val="000772CA"/>
    <w:pPr>
      <w:keepNext/>
      <w:keepLines/>
      <w:spacing w:before="160" w:after="80" w:line="279" w:lineRule="auto"/>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6B2F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2F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2F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2F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2F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2F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859"/>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745A9E"/>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0772CA"/>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6B2F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2F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2F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2F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2F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2FDB"/>
    <w:rPr>
      <w:rFonts w:eastAsiaTheme="majorEastAsia" w:cstheme="majorBidi"/>
      <w:color w:val="272727" w:themeColor="text1" w:themeTint="D8"/>
    </w:rPr>
  </w:style>
  <w:style w:type="paragraph" w:styleId="Title">
    <w:name w:val="Title"/>
    <w:basedOn w:val="Normal"/>
    <w:next w:val="Normal"/>
    <w:link w:val="TitleChar"/>
    <w:uiPriority w:val="10"/>
    <w:qFormat/>
    <w:rsid w:val="006B2F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2F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2F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2F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2FDB"/>
    <w:pPr>
      <w:spacing w:before="160"/>
      <w:jc w:val="center"/>
    </w:pPr>
    <w:rPr>
      <w:i/>
      <w:iCs/>
      <w:color w:val="404040" w:themeColor="text1" w:themeTint="BF"/>
    </w:rPr>
  </w:style>
  <w:style w:type="character" w:customStyle="1" w:styleId="QuoteChar">
    <w:name w:val="Quote Char"/>
    <w:basedOn w:val="DefaultParagraphFont"/>
    <w:link w:val="Quote"/>
    <w:uiPriority w:val="29"/>
    <w:rsid w:val="006B2FDB"/>
    <w:rPr>
      <w:i/>
      <w:iCs/>
      <w:color w:val="404040" w:themeColor="text1" w:themeTint="BF"/>
    </w:rPr>
  </w:style>
  <w:style w:type="paragraph" w:styleId="ListParagraph">
    <w:name w:val="List Paragraph"/>
    <w:basedOn w:val="Normal"/>
    <w:uiPriority w:val="34"/>
    <w:qFormat/>
    <w:rsid w:val="006B2FDB"/>
    <w:pPr>
      <w:ind w:left="720"/>
      <w:contextualSpacing/>
    </w:pPr>
  </w:style>
  <w:style w:type="character" w:styleId="IntenseEmphasis">
    <w:name w:val="Intense Emphasis"/>
    <w:basedOn w:val="DefaultParagraphFont"/>
    <w:uiPriority w:val="21"/>
    <w:qFormat/>
    <w:rsid w:val="006B2FDB"/>
    <w:rPr>
      <w:i/>
      <w:iCs/>
      <w:color w:val="0F4761" w:themeColor="accent1" w:themeShade="BF"/>
    </w:rPr>
  </w:style>
  <w:style w:type="paragraph" w:styleId="IntenseQuote">
    <w:name w:val="Intense Quote"/>
    <w:basedOn w:val="Normal"/>
    <w:next w:val="Normal"/>
    <w:link w:val="IntenseQuoteChar"/>
    <w:uiPriority w:val="30"/>
    <w:qFormat/>
    <w:rsid w:val="006B2F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2FDB"/>
    <w:rPr>
      <w:i/>
      <w:iCs/>
      <w:color w:val="0F4761" w:themeColor="accent1" w:themeShade="BF"/>
    </w:rPr>
  </w:style>
  <w:style w:type="character" w:styleId="IntenseReference">
    <w:name w:val="Intense Reference"/>
    <w:basedOn w:val="DefaultParagraphFont"/>
    <w:uiPriority w:val="32"/>
    <w:qFormat/>
    <w:rsid w:val="006B2FDB"/>
    <w:rPr>
      <w:b/>
      <w:bCs/>
      <w:smallCaps/>
      <w:color w:val="0F4761" w:themeColor="accent1" w:themeShade="BF"/>
      <w:spacing w:val="5"/>
    </w:rPr>
  </w:style>
  <w:style w:type="paragraph" w:styleId="TOC1">
    <w:name w:val="toc 1"/>
    <w:basedOn w:val="Normal"/>
    <w:next w:val="Normal"/>
    <w:autoRedefine/>
    <w:uiPriority w:val="39"/>
    <w:unhideWhenUsed/>
    <w:rsid w:val="00BF7AB1"/>
    <w:pPr>
      <w:spacing w:before="120" w:after="120"/>
    </w:pPr>
    <w:rPr>
      <w:b/>
      <w:bCs/>
      <w:caps/>
      <w:sz w:val="20"/>
      <w:szCs w:val="20"/>
    </w:rPr>
  </w:style>
  <w:style w:type="paragraph" w:styleId="TOC2">
    <w:name w:val="toc 2"/>
    <w:basedOn w:val="Normal"/>
    <w:next w:val="Normal"/>
    <w:autoRedefine/>
    <w:uiPriority w:val="39"/>
    <w:unhideWhenUsed/>
    <w:rsid w:val="00BF7AB1"/>
    <w:pPr>
      <w:spacing w:after="0"/>
      <w:ind w:left="240"/>
    </w:pPr>
    <w:rPr>
      <w:smallCaps/>
      <w:sz w:val="20"/>
      <w:szCs w:val="20"/>
    </w:rPr>
  </w:style>
  <w:style w:type="paragraph" w:styleId="TOC3">
    <w:name w:val="toc 3"/>
    <w:basedOn w:val="Normal"/>
    <w:next w:val="Normal"/>
    <w:autoRedefine/>
    <w:uiPriority w:val="39"/>
    <w:unhideWhenUsed/>
    <w:rsid w:val="00BF7AB1"/>
    <w:pPr>
      <w:spacing w:after="0"/>
      <w:ind w:left="480"/>
    </w:pPr>
    <w:rPr>
      <w:i/>
      <w:iCs/>
      <w:sz w:val="20"/>
      <w:szCs w:val="20"/>
    </w:rPr>
  </w:style>
  <w:style w:type="paragraph" w:styleId="TOC4">
    <w:name w:val="toc 4"/>
    <w:basedOn w:val="Normal"/>
    <w:next w:val="Normal"/>
    <w:autoRedefine/>
    <w:uiPriority w:val="39"/>
    <w:unhideWhenUsed/>
    <w:rsid w:val="00BF7AB1"/>
    <w:pPr>
      <w:spacing w:after="0"/>
      <w:ind w:left="720"/>
    </w:pPr>
    <w:rPr>
      <w:sz w:val="18"/>
      <w:szCs w:val="18"/>
    </w:rPr>
  </w:style>
  <w:style w:type="paragraph" w:styleId="TOC5">
    <w:name w:val="toc 5"/>
    <w:basedOn w:val="Normal"/>
    <w:next w:val="Normal"/>
    <w:autoRedefine/>
    <w:uiPriority w:val="39"/>
    <w:unhideWhenUsed/>
    <w:rsid w:val="00BF7AB1"/>
    <w:pPr>
      <w:spacing w:after="0"/>
      <w:ind w:left="960"/>
    </w:pPr>
    <w:rPr>
      <w:sz w:val="18"/>
      <w:szCs w:val="18"/>
    </w:rPr>
  </w:style>
  <w:style w:type="paragraph" w:styleId="TOC6">
    <w:name w:val="toc 6"/>
    <w:basedOn w:val="Normal"/>
    <w:next w:val="Normal"/>
    <w:autoRedefine/>
    <w:uiPriority w:val="39"/>
    <w:unhideWhenUsed/>
    <w:rsid w:val="00BF7AB1"/>
    <w:pPr>
      <w:spacing w:after="0"/>
      <w:ind w:left="1200"/>
    </w:pPr>
    <w:rPr>
      <w:sz w:val="18"/>
      <w:szCs w:val="18"/>
    </w:rPr>
  </w:style>
  <w:style w:type="paragraph" w:styleId="TOC7">
    <w:name w:val="toc 7"/>
    <w:basedOn w:val="Normal"/>
    <w:next w:val="Normal"/>
    <w:autoRedefine/>
    <w:uiPriority w:val="39"/>
    <w:unhideWhenUsed/>
    <w:rsid w:val="00BF7AB1"/>
    <w:pPr>
      <w:spacing w:after="0"/>
      <w:ind w:left="1440"/>
    </w:pPr>
    <w:rPr>
      <w:sz w:val="18"/>
      <w:szCs w:val="18"/>
    </w:rPr>
  </w:style>
  <w:style w:type="paragraph" w:styleId="TOC8">
    <w:name w:val="toc 8"/>
    <w:basedOn w:val="Normal"/>
    <w:next w:val="Normal"/>
    <w:autoRedefine/>
    <w:uiPriority w:val="39"/>
    <w:unhideWhenUsed/>
    <w:rsid w:val="00BF7AB1"/>
    <w:pPr>
      <w:spacing w:after="0"/>
      <w:ind w:left="1680"/>
    </w:pPr>
    <w:rPr>
      <w:sz w:val="18"/>
      <w:szCs w:val="18"/>
    </w:rPr>
  </w:style>
  <w:style w:type="paragraph" w:styleId="TOC9">
    <w:name w:val="toc 9"/>
    <w:basedOn w:val="Normal"/>
    <w:next w:val="Normal"/>
    <w:autoRedefine/>
    <w:uiPriority w:val="39"/>
    <w:unhideWhenUsed/>
    <w:rsid w:val="00BF7AB1"/>
    <w:pPr>
      <w:spacing w:after="0"/>
      <w:ind w:left="1920"/>
    </w:pPr>
    <w:rPr>
      <w:sz w:val="18"/>
      <w:szCs w:val="18"/>
    </w:rPr>
  </w:style>
  <w:style w:type="character" w:styleId="Hyperlink">
    <w:name w:val="Hyperlink"/>
    <w:basedOn w:val="DefaultParagraphFont"/>
    <w:uiPriority w:val="99"/>
    <w:unhideWhenUsed/>
    <w:rsid w:val="00BF7AB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933767">
      <w:bodyDiv w:val="1"/>
      <w:marLeft w:val="0"/>
      <w:marRight w:val="0"/>
      <w:marTop w:val="0"/>
      <w:marBottom w:val="0"/>
      <w:divBdr>
        <w:top w:val="none" w:sz="0" w:space="0" w:color="auto"/>
        <w:left w:val="none" w:sz="0" w:space="0" w:color="auto"/>
        <w:bottom w:val="none" w:sz="0" w:space="0" w:color="auto"/>
        <w:right w:val="none" w:sz="0" w:space="0" w:color="auto"/>
      </w:divBdr>
    </w:div>
    <w:div w:id="342124707">
      <w:bodyDiv w:val="1"/>
      <w:marLeft w:val="0"/>
      <w:marRight w:val="0"/>
      <w:marTop w:val="0"/>
      <w:marBottom w:val="0"/>
      <w:divBdr>
        <w:top w:val="none" w:sz="0" w:space="0" w:color="auto"/>
        <w:left w:val="none" w:sz="0" w:space="0" w:color="auto"/>
        <w:bottom w:val="none" w:sz="0" w:space="0" w:color="auto"/>
        <w:right w:val="none" w:sz="0" w:space="0" w:color="auto"/>
      </w:divBdr>
    </w:div>
    <w:div w:id="441923910">
      <w:bodyDiv w:val="1"/>
      <w:marLeft w:val="0"/>
      <w:marRight w:val="0"/>
      <w:marTop w:val="0"/>
      <w:marBottom w:val="0"/>
      <w:divBdr>
        <w:top w:val="none" w:sz="0" w:space="0" w:color="auto"/>
        <w:left w:val="none" w:sz="0" w:space="0" w:color="auto"/>
        <w:bottom w:val="none" w:sz="0" w:space="0" w:color="auto"/>
        <w:right w:val="none" w:sz="0" w:space="0" w:color="auto"/>
      </w:divBdr>
    </w:div>
    <w:div w:id="644360448">
      <w:bodyDiv w:val="1"/>
      <w:marLeft w:val="0"/>
      <w:marRight w:val="0"/>
      <w:marTop w:val="0"/>
      <w:marBottom w:val="0"/>
      <w:divBdr>
        <w:top w:val="none" w:sz="0" w:space="0" w:color="auto"/>
        <w:left w:val="none" w:sz="0" w:space="0" w:color="auto"/>
        <w:bottom w:val="none" w:sz="0" w:space="0" w:color="auto"/>
        <w:right w:val="none" w:sz="0" w:space="0" w:color="auto"/>
      </w:divBdr>
    </w:div>
    <w:div w:id="928777236">
      <w:bodyDiv w:val="1"/>
      <w:marLeft w:val="0"/>
      <w:marRight w:val="0"/>
      <w:marTop w:val="0"/>
      <w:marBottom w:val="0"/>
      <w:divBdr>
        <w:top w:val="none" w:sz="0" w:space="0" w:color="auto"/>
        <w:left w:val="none" w:sz="0" w:space="0" w:color="auto"/>
        <w:bottom w:val="none" w:sz="0" w:space="0" w:color="auto"/>
        <w:right w:val="none" w:sz="0" w:space="0" w:color="auto"/>
      </w:divBdr>
    </w:div>
    <w:div w:id="1005091026">
      <w:bodyDiv w:val="1"/>
      <w:marLeft w:val="0"/>
      <w:marRight w:val="0"/>
      <w:marTop w:val="0"/>
      <w:marBottom w:val="0"/>
      <w:divBdr>
        <w:top w:val="none" w:sz="0" w:space="0" w:color="auto"/>
        <w:left w:val="none" w:sz="0" w:space="0" w:color="auto"/>
        <w:bottom w:val="none" w:sz="0" w:space="0" w:color="auto"/>
        <w:right w:val="none" w:sz="0" w:space="0" w:color="auto"/>
      </w:divBdr>
    </w:div>
    <w:div w:id="1273392543">
      <w:bodyDiv w:val="1"/>
      <w:marLeft w:val="0"/>
      <w:marRight w:val="0"/>
      <w:marTop w:val="0"/>
      <w:marBottom w:val="0"/>
      <w:divBdr>
        <w:top w:val="none" w:sz="0" w:space="0" w:color="auto"/>
        <w:left w:val="none" w:sz="0" w:space="0" w:color="auto"/>
        <w:bottom w:val="none" w:sz="0" w:space="0" w:color="auto"/>
        <w:right w:val="none" w:sz="0" w:space="0" w:color="auto"/>
      </w:divBdr>
    </w:div>
    <w:div w:id="1278681374">
      <w:bodyDiv w:val="1"/>
      <w:marLeft w:val="0"/>
      <w:marRight w:val="0"/>
      <w:marTop w:val="0"/>
      <w:marBottom w:val="0"/>
      <w:divBdr>
        <w:top w:val="none" w:sz="0" w:space="0" w:color="auto"/>
        <w:left w:val="none" w:sz="0" w:space="0" w:color="auto"/>
        <w:bottom w:val="none" w:sz="0" w:space="0" w:color="auto"/>
        <w:right w:val="none" w:sz="0" w:space="0" w:color="auto"/>
      </w:divBdr>
    </w:div>
    <w:div w:id="1633825968">
      <w:bodyDiv w:val="1"/>
      <w:marLeft w:val="0"/>
      <w:marRight w:val="0"/>
      <w:marTop w:val="0"/>
      <w:marBottom w:val="0"/>
      <w:divBdr>
        <w:top w:val="none" w:sz="0" w:space="0" w:color="auto"/>
        <w:left w:val="none" w:sz="0" w:space="0" w:color="auto"/>
        <w:bottom w:val="none" w:sz="0" w:space="0" w:color="auto"/>
        <w:right w:val="none" w:sz="0" w:space="0" w:color="auto"/>
      </w:divBdr>
    </w:div>
    <w:div w:id="1688949527">
      <w:bodyDiv w:val="1"/>
      <w:marLeft w:val="0"/>
      <w:marRight w:val="0"/>
      <w:marTop w:val="0"/>
      <w:marBottom w:val="0"/>
      <w:divBdr>
        <w:top w:val="none" w:sz="0" w:space="0" w:color="auto"/>
        <w:left w:val="none" w:sz="0" w:space="0" w:color="auto"/>
        <w:bottom w:val="none" w:sz="0" w:space="0" w:color="auto"/>
        <w:right w:val="none" w:sz="0" w:space="0" w:color="auto"/>
      </w:divBdr>
    </w:div>
    <w:div w:id="1795245345">
      <w:bodyDiv w:val="1"/>
      <w:marLeft w:val="0"/>
      <w:marRight w:val="0"/>
      <w:marTop w:val="0"/>
      <w:marBottom w:val="0"/>
      <w:divBdr>
        <w:top w:val="none" w:sz="0" w:space="0" w:color="auto"/>
        <w:left w:val="none" w:sz="0" w:space="0" w:color="auto"/>
        <w:bottom w:val="none" w:sz="0" w:space="0" w:color="auto"/>
        <w:right w:val="none" w:sz="0" w:space="0" w:color="auto"/>
      </w:divBdr>
    </w:div>
    <w:div w:id="1923758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ambridge-community.org.uk/professional-development/gswrp/index.ht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1CE23F-F61C-4E18-9451-BE2B669A7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1504</TotalTime>
  <Pages>8</Pages>
  <Words>2254</Words>
  <Characters>12852</Characters>
  <Application>Microsoft Office Word</Application>
  <DocSecurity>0</DocSecurity>
  <Lines>107</Lines>
  <Paragraphs>30</Paragraphs>
  <ScaleCrop>false</ScaleCrop>
  <Company/>
  <LinksUpToDate>false</LinksUpToDate>
  <CharactersWithSpaces>15076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Nayfin Ali</cp:lastModifiedBy>
  <cp:revision>7</cp:revision>
  <dcterms:created xsi:type="dcterms:W3CDTF">2024-12-06T19:33:00Z</dcterms:created>
  <dcterms:modified xsi:type="dcterms:W3CDTF">2024-12-10T12:18:00Z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b23cbcdfeae9d177520da491f78abfe9e7df703a85b80c20a775b37f0c6141b1</vt:lpwstr>
  </property>
</Properties>
</file>