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6CBDC" w14:textId="65ACA76B" w:rsidR="00690583" w:rsidRPr="00D343CC" w:rsidRDefault="00333745" w:rsidP="00333745">
      <w:pPr>
        <w:jc w:val="center"/>
        <w:rPr>
          <w:rFonts w:cs="Arial"/>
          <w:b/>
          <w:bCs/>
        </w:rPr>
      </w:pPr>
      <w:r w:rsidRPr="00D343CC">
        <w:rPr>
          <w:rFonts w:cs="Arial"/>
          <w:b/>
          <w:bCs/>
          <w:noProof/>
        </w:rPr>
        <w:drawing>
          <wp:inline distT="0" distB="0" distL="0" distR="0" wp14:anchorId="6155AE1C" wp14:editId="48ECF8E7">
            <wp:extent cx="2800800" cy="1120530"/>
            <wp:effectExtent l="0" t="0" r="0" b="3810"/>
            <wp:docPr id="1848955295"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8961" cy="1123795"/>
                    </a:xfrm>
                    <a:prstGeom prst="rect">
                      <a:avLst/>
                    </a:prstGeom>
                    <a:noFill/>
                    <a:ln>
                      <a:noFill/>
                    </a:ln>
                  </pic:spPr>
                </pic:pic>
              </a:graphicData>
            </a:graphic>
          </wp:inline>
        </w:drawing>
      </w:r>
    </w:p>
    <w:p w14:paraId="4E8F0E33" w14:textId="77777777" w:rsidR="00333745" w:rsidRPr="00D343CC" w:rsidRDefault="00333745" w:rsidP="00333745">
      <w:pPr>
        <w:jc w:val="center"/>
        <w:rPr>
          <w:rFonts w:cs="Arial"/>
          <w:b/>
          <w:bCs/>
        </w:rPr>
      </w:pPr>
    </w:p>
    <w:p w14:paraId="3A0B2A45" w14:textId="77777777" w:rsidR="00333745" w:rsidRPr="00D343CC" w:rsidRDefault="00333745" w:rsidP="00333745">
      <w:pPr>
        <w:jc w:val="center"/>
        <w:rPr>
          <w:rFonts w:cs="Arial"/>
          <w:b/>
          <w:bCs/>
        </w:rPr>
      </w:pPr>
    </w:p>
    <w:p w14:paraId="572401F1" w14:textId="61209544" w:rsidR="00333745" w:rsidRPr="00D343CC" w:rsidRDefault="00333745" w:rsidP="00333745">
      <w:pPr>
        <w:jc w:val="center"/>
        <w:rPr>
          <w:rFonts w:cs="Arial"/>
          <w:b/>
          <w:bCs/>
        </w:rPr>
      </w:pPr>
      <w:r w:rsidRPr="00D343CC">
        <w:rPr>
          <w:rFonts w:cs="Arial"/>
          <w:b/>
          <w:bCs/>
        </w:rPr>
        <w:t>Programme: Master of Business Administration</w:t>
      </w:r>
    </w:p>
    <w:p w14:paraId="7F29D6A7" w14:textId="5ED8DA41" w:rsidR="00333745" w:rsidRPr="00D343CC" w:rsidRDefault="00333745" w:rsidP="00333745">
      <w:pPr>
        <w:jc w:val="center"/>
        <w:rPr>
          <w:rFonts w:cs="Arial"/>
          <w:b/>
          <w:bCs/>
        </w:rPr>
      </w:pPr>
      <w:r w:rsidRPr="00D343CC">
        <w:rPr>
          <w:rFonts w:cs="Arial"/>
          <w:b/>
          <w:bCs/>
        </w:rPr>
        <w:t>Module: Financial Management</w:t>
      </w:r>
    </w:p>
    <w:p w14:paraId="61CD06ED" w14:textId="4039E999" w:rsidR="00333745" w:rsidRPr="00D343CC" w:rsidRDefault="00333745" w:rsidP="00333745">
      <w:pPr>
        <w:jc w:val="center"/>
        <w:rPr>
          <w:rFonts w:cs="Arial"/>
          <w:b/>
          <w:bCs/>
        </w:rPr>
      </w:pPr>
      <w:r w:rsidRPr="00D343CC">
        <w:rPr>
          <w:rFonts w:cs="Arial"/>
          <w:b/>
          <w:bCs/>
        </w:rPr>
        <w:t>Module code: LCMB7002</w:t>
      </w:r>
    </w:p>
    <w:p w14:paraId="25EF0F8E" w14:textId="00E4BA55" w:rsidR="00333745" w:rsidRPr="00D343CC" w:rsidRDefault="00333745" w:rsidP="00333745">
      <w:pPr>
        <w:jc w:val="center"/>
        <w:rPr>
          <w:rFonts w:cs="Arial"/>
          <w:b/>
          <w:bCs/>
        </w:rPr>
      </w:pPr>
      <w:r w:rsidRPr="00D343CC">
        <w:rPr>
          <w:rFonts w:cs="Arial"/>
          <w:b/>
          <w:bCs/>
        </w:rPr>
        <w:t xml:space="preserve">Lecturer: </w:t>
      </w:r>
      <w:proofErr w:type="spellStart"/>
      <w:r w:rsidRPr="00D343CC">
        <w:rPr>
          <w:rFonts w:cs="Arial"/>
          <w:b/>
          <w:bCs/>
        </w:rPr>
        <w:t>Shengfeng</w:t>
      </w:r>
      <w:proofErr w:type="spellEnd"/>
      <w:r w:rsidRPr="00D343CC">
        <w:rPr>
          <w:rFonts w:cs="Arial"/>
          <w:b/>
          <w:bCs/>
        </w:rPr>
        <w:t xml:space="preserve"> Mei (London)</w:t>
      </w:r>
    </w:p>
    <w:p w14:paraId="3813175F" w14:textId="402FF6D6" w:rsidR="00333745" w:rsidRPr="00D343CC" w:rsidRDefault="00333745" w:rsidP="00333745">
      <w:pPr>
        <w:jc w:val="center"/>
        <w:rPr>
          <w:rFonts w:cs="Arial"/>
          <w:b/>
          <w:bCs/>
        </w:rPr>
      </w:pPr>
      <w:r w:rsidRPr="00D343CC">
        <w:rPr>
          <w:rFonts w:cs="Arial"/>
          <w:b/>
          <w:bCs/>
        </w:rPr>
        <w:t>Assignment Title: Financial performance and management</w:t>
      </w:r>
    </w:p>
    <w:p w14:paraId="5C0D7451" w14:textId="276A8CBB" w:rsidR="00333745" w:rsidRPr="00D343CC" w:rsidRDefault="00333745" w:rsidP="00333745">
      <w:pPr>
        <w:jc w:val="center"/>
        <w:rPr>
          <w:rFonts w:cs="Arial"/>
          <w:b/>
          <w:bCs/>
        </w:rPr>
      </w:pPr>
      <w:r w:rsidRPr="00D343CC">
        <w:rPr>
          <w:rFonts w:cs="Arial"/>
          <w:b/>
          <w:bCs/>
        </w:rPr>
        <w:t xml:space="preserve">Student Name: </w:t>
      </w:r>
      <w:r w:rsidR="00D20550">
        <w:rPr>
          <w:rFonts w:cs="Arial"/>
          <w:b/>
          <w:bCs/>
        </w:rPr>
        <w:t>Md Moinul Hasan Bappy</w:t>
      </w:r>
    </w:p>
    <w:p w14:paraId="3C992F19" w14:textId="18B9E56B" w:rsidR="00333745" w:rsidRPr="00D343CC" w:rsidRDefault="00333745" w:rsidP="00333745">
      <w:pPr>
        <w:jc w:val="center"/>
        <w:rPr>
          <w:rFonts w:cs="Arial"/>
          <w:b/>
          <w:bCs/>
        </w:rPr>
      </w:pPr>
      <w:r w:rsidRPr="00D343CC">
        <w:rPr>
          <w:rFonts w:cs="Arial"/>
          <w:b/>
          <w:bCs/>
        </w:rPr>
        <w:t>Student ID:</w:t>
      </w:r>
      <w:r w:rsidR="00D20550">
        <w:rPr>
          <w:rFonts w:cs="Arial"/>
          <w:b/>
          <w:bCs/>
        </w:rPr>
        <w:t>2503567</w:t>
      </w:r>
    </w:p>
    <w:p w14:paraId="2B00EE86" w14:textId="5DCB51C9" w:rsidR="00333745" w:rsidRPr="00D343CC" w:rsidRDefault="00333745" w:rsidP="00333745">
      <w:pPr>
        <w:jc w:val="center"/>
        <w:rPr>
          <w:rFonts w:cs="Arial"/>
          <w:b/>
          <w:bCs/>
        </w:rPr>
      </w:pPr>
      <w:r w:rsidRPr="00D343CC">
        <w:rPr>
          <w:rFonts w:cs="Arial"/>
          <w:b/>
          <w:bCs/>
        </w:rPr>
        <w:t>Word Count: 5372</w:t>
      </w:r>
    </w:p>
    <w:p w14:paraId="28C76620" w14:textId="4F746E94" w:rsidR="00333745" w:rsidRPr="00D343CC" w:rsidRDefault="00333745" w:rsidP="00333745">
      <w:pPr>
        <w:jc w:val="center"/>
        <w:rPr>
          <w:rFonts w:cs="Arial"/>
          <w:b/>
          <w:bCs/>
        </w:rPr>
      </w:pPr>
      <w:r w:rsidRPr="00D343CC">
        <w:rPr>
          <w:rFonts w:cs="Arial"/>
          <w:b/>
          <w:bCs/>
        </w:rPr>
        <w:t>Submission deadline: Monday 22nd December 2025 by 2pm</w:t>
      </w:r>
    </w:p>
    <w:p w14:paraId="18A1F40D" w14:textId="77777777" w:rsidR="00690583" w:rsidRPr="00D343CC" w:rsidRDefault="00690583" w:rsidP="000E65AF">
      <w:pPr>
        <w:rPr>
          <w:rFonts w:cs="Arial"/>
        </w:rPr>
      </w:pPr>
    </w:p>
    <w:p w14:paraId="11402DBA" w14:textId="77777777" w:rsidR="00690583" w:rsidRPr="00D343CC" w:rsidRDefault="00690583" w:rsidP="000E65AF">
      <w:pPr>
        <w:rPr>
          <w:rFonts w:cs="Arial"/>
        </w:rPr>
      </w:pPr>
    </w:p>
    <w:p w14:paraId="7FE0E704" w14:textId="77777777" w:rsidR="00690583" w:rsidRPr="00D343CC" w:rsidRDefault="00690583" w:rsidP="000E65AF">
      <w:pPr>
        <w:rPr>
          <w:rFonts w:cs="Arial"/>
        </w:rPr>
      </w:pPr>
    </w:p>
    <w:p w14:paraId="400F45A4" w14:textId="77777777" w:rsidR="00690583" w:rsidRPr="00D343CC" w:rsidRDefault="00690583" w:rsidP="000E65AF">
      <w:pPr>
        <w:rPr>
          <w:rFonts w:cs="Arial"/>
        </w:rPr>
      </w:pPr>
    </w:p>
    <w:p w14:paraId="13A0973C" w14:textId="77777777" w:rsidR="00690583" w:rsidRPr="00D343CC" w:rsidRDefault="00690583" w:rsidP="000E65AF">
      <w:pPr>
        <w:rPr>
          <w:rFonts w:cs="Arial"/>
        </w:rPr>
      </w:pPr>
    </w:p>
    <w:p w14:paraId="0BD423A0" w14:textId="77777777" w:rsidR="00690583" w:rsidRPr="00D343CC" w:rsidRDefault="00690583" w:rsidP="000E65AF">
      <w:pPr>
        <w:rPr>
          <w:rFonts w:cs="Arial"/>
        </w:rPr>
        <w:sectPr w:rsidR="00690583" w:rsidRPr="00D343CC" w:rsidSect="008C353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Arial" w:eastAsiaTheme="minorHAnsi" w:hAnsi="Arial" w:cs="Arial"/>
          <w:color w:val="auto"/>
          <w:sz w:val="24"/>
          <w:szCs w:val="22"/>
          <w:lang w:val="en-GB"/>
        </w:rPr>
        <w:id w:val="-1679414004"/>
        <w:docPartObj>
          <w:docPartGallery w:val="Table of Contents"/>
          <w:docPartUnique/>
        </w:docPartObj>
      </w:sdtPr>
      <w:sdtEndPr>
        <w:rPr>
          <w:b/>
          <w:bCs/>
          <w:noProof/>
        </w:rPr>
      </w:sdtEndPr>
      <w:sdtContent>
        <w:p w14:paraId="5D78B18B" w14:textId="0226B24F" w:rsidR="00AD1754" w:rsidRPr="00D343CC" w:rsidRDefault="00AD1754" w:rsidP="000E65AF">
          <w:pPr>
            <w:pStyle w:val="TOCHeading"/>
            <w:spacing w:line="360" w:lineRule="auto"/>
            <w:jc w:val="both"/>
            <w:rPr>
              <w:rFonts w:ascii="Arial" w:hAnsi="Arial" w:cs="Arial"/>
            </w:rPr>
          </w:pPr>
          <w:r w:rsidRPr="00D343CC">
            <w:rPr>
              <w:rFonts w:ascii="Arial" w:hAnsi="Arial" w:cs="Arial"/>
            </w:rPr>
            <w:t>Table of Contents</w:t>
          </w:r>
        </w:p>
        <w:p w14:paraId="5866A94F" w14:textId="7EF0E347" w:rsidR="0089212B" w:rsidRDefault="00AD1754">
          <w:pPr>
            <w:pStyle w:val="TOC1"/>
            <w:tabs>
              <w:tab w:val="right" w:leader="dot" w:pos="9016"/>
            </w:tabs>
            <w:rPr>
              <w:rFonts w:asciiTheme="minorHAnsi" w:eastAsiaTheme="minorEastAsia" w:hAnsiTheme="minorHAnsi"/>
              <w:noProof/>
              <w:kern w:val="2"/>
              <w:szCs w:val="24"/>
              <w:lang w:eastAsia="en-GB"/>
              <w14:ligatures w14:val="standardContextual"/>
            </w:rPr>
          </w:pPr>
          <w:r w:rsidRPr="00D343CC">
            <w:rPr>
              <w:rFonts w:cs="Arial"/>
            </w:rPr>
            <w:fldChar w:fldCharType="begin"/>
          </w:r>
          <w:r w:rsidRPr="00D343CC">
            <w:rPr>
              <w:rFonts w:cs="Arial"/>
            </w:rPr>
            <w:instrText xml:space="preserve"> TOC \o "1-3" \h \z \u </w:instrText>
          </w:r>
          <w:r w:rsidRPr="00D343CC">
            <w:rPr>
              <w:rFonts w:cs="Arial"/>
            </w:rPr>
            <w:fldChar w:fldCharType="separate"/>
          </w:r>
          <w:hyperlink w:anchor="_Toc217246559" w:history="1">
            <w:r w:rsidR="0089212B" w:rsidRPr="005C7D90">
              <w:rPr>
                <w:rStyle w:val="Hyperlink"/>
                <w:rFonts w:cs="Arial"/>
                <w:noProof/>
              </w:rPr>
              <w:t>Introduction</w:t>
            </w:r>
            <w:r w:rsidR="0089212B">
              <w:rPr>
                <w:noProof/>
                <w:webHidden/>
              </w:rPr>
              <w:tab/>
            </w:r>
            <w:r w:rsidR="0089212B">
              <w:rPr>
                <w:noProof/>
                <w:webHidden/>
              </w:rPr>
              <w:fldChar w:fldCharType="begin"/>
            </w:r>
            <w:r w:rsidR="0089212B">
              <w:rPr>
                <w:noProof/>
                <w:webHidden/>
              </w:rPr>
              <w:instrText xml:space="preserve"> PAGEREF _Toc217246559 \h </w:instrText>
            </w:r>
            <w:r w:rsidR="0089212B">
              <w:rPr>
                <w:noProof/>
                <w:webHidden/>
              </w:rPr>
            </w:r>
            <w:r w:rsidR="0089212B">
              <w:rPr>
                <w:noProof/>
                <w:webHidden/>
              </w:rPr>
              <w:fldChar w:fldCharType="separate"/>
            </w:r>
            <w:r w:rsidR="0089212B">
              <w:rPr>
                <w:noProof/>
                <w:webHidden/>
              </w:rPr>
              <w:t>6</w:t>
            </w:r>
            <w:r w:rsidR="0089212B">
              <w:rPr>
                <w:noProof/>
                <w:webHidden/>
              </w:rPr>
              <w:fldChar w:fldCharType="end"/>
            </w:r>
          </w:hyperlink>
        </w:p>
        <w:p w14:paraId="757A1BFB" w14:textId="52C8F06C"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60" w:history="1">
            <w:r w:rsidRPr="005C7D90">
              <w:rPr>
                <w:rStyle w:val="Hyperlink"/>
                <w:noProof/>
              </w:rPr>
              <w:t>1.0 Financial Health Check of General Electronics (2020–2024)</w:t>
            </w:r>
            <w:r>
              <w:rPr>
                <w:noProof/>
                <w:webHidden/>
              </w:rPr>
              <w:tab/>
            </w:r>
            <w:r>
              <w:rPr>
                <w:noProof/>
                <w:webHidden/>
              </w:rPr>
              <w:fldChar w:fldCharType="begin"/>
            </w:r>
            <w:r>
              <w:rPr>
                <w:noProof/>
                <w:webHidden/>
              </w:rPr>
              <w:instrText xml:space="preserve"> PAGEREF _Toc217246560 \h </w:instrText>
            </w:r>
            <w:r>
              <w:rPr>
                <w:noProof/>
                <w:webHidden/>
              </w:rPr>
            </w:r>
            <w:r>
              <w:rPr>
                <w:noProof/>
                <w:webHidden/>
              </w:rPr>
              <w:fldChar w:fldCharType="separate"/>
            </w:r>
            <w:r>
              <w:rPr>
                <w:noProof/>
                <w:webHidden/>
              </w:rPr>
              <w:t>7</w:t>
            </w:r>
            <w:r>
              <w:rPr>
                <w:noProof/>
                <w:webHidden/>
              </w:rPr>
              <w:fldChar w:fldCharType="end"/>
            </w:r>
          </w:hyperlink>
        </w:p>
        <w:p w14:paraId="689055AE" w14:textId="2EF747C8"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1" w:history="1">
            <w:r w:rsidRPr="005C7D90">
              <w:rPr>
                <w:rStyle w:val="Hyperlink"/>
                <w:rFonts w:cs="Arial"/>
                <w:noProof/>
              </w:rPr>
              <w:t>1.2 Overall Financial Performance Trends</w:t>
            </w:r>
            <w:r>
              <w:rPr>
                <w:noProof/>
                <w:webHidden/>
              </w:rPr>
              <w:tab/>
            </w:r>
            <w:r>
              <w:rPr>
                <w:noProof/>
                <w:webHidden/>
              </w:rPr>
              <w:fldChar w:fldCharType="begin"/>
            </w:r>
            <w:r>
              <w:rPr>
                <w:noProof/>
                <w:webHidden/>
              </w:rPr>
              <w:instrText xml:space="preserve"> PAGEREF _Toc217246561 \h </w:instrText>
            </w:r>
            <w:r>
              <w:rPr>
                <w:noProof/>
                <w:webHidden/>
              </w:rPr>
            </w:r>
            <w:r>
              <w:rPr>
                <w:noProof/>
                <w:webHidden/>
              </w:rPr>
              <w:fldChar w:fldCharType="separate"/>
            </w:r>
            <w:r>
              <w:rPr>
                <w:noProof/>
                <w:webHidden/>
              </w:rPr>
              <w:t>7</w:t>
            </w:r>
            <w:r>
              <w:rPr>
                <w:noProof/>
                <w:webHidden/>
              </w:rPr>
              <w:fldChar w:fldCharType="end"/>
            </w:r>
          </w:hyperlink>
        </w:p>
        <w:p w14:paraId="0433EAD4" w14:textId="38F3ED49"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2" w:history="1">
            <w:r w:rsidRPr="005C7D90">
              <w:rPr>
                <w:rStyle w:val="Hyperlink"/>
                <w:rFonts w:cs="Arial"/>
                <w:noProof/>
              </w:rPr>
              <w:t>1.3 Profitability Analysis</w:t>
            </w:r>
            <w:r>
              <w:rPr>
                <w:noProof/>
                <w:webHidden/>
              </w:rPr>
              <w:tab/>
            </w:r>
            <w:r>
              <w:rPr>
                <w:noProof/>
                <w:webHidden/>
              </w:rPr>
              <w:fldChar w:fldCharType="begin"/>
            </w:r>
            <w:r>
              <w:rPr>
                <w:noProof/>
                <w:webHidden/>
              </w:rPr>
              <w:instrText xml:space="preserve"> PAGEREF _Toc217246562 \h </w:instrText>
            </w:r>
            <w:r>
              <w:rPr>
                <w:noProof/>
                <w:webHidden/>
              </w:rPr>
            </w:r>
            <w:r>
              <w:rPr>
                <w:noProof/>
                <w:webHidden/>
              </w:rPr>
              <w:fldChar w:fldCharType="separate"/>
            </w:r>
            <w:r>
              <w:rPr>
                <w:noProof/>
                <w:webHidden/>
              </w:rPr>
              <w:t>8</w:t>
            </w:r>
            <w:r>
              <w:rPr>
                <w:noProof/>
                <w:webHidden/>
              </w:rPr>
              <w:fldChar w:fldCharType="end"/>
            </w:r>
          </w:hyperlink>
        </w:p>
        <w:p w14:paraId="56C468BB" w14:textId="1861D2D1"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3" w:history="1">
            <w:r w:rsidRPr="005C7D90">
              <w:rPr>
                <w:rStyle w:val="Hyperlink"/>
                <w:rFonts w:cs="Arial"/>
                <w:noProof/>
              </w:rPr>
              <w:t>1.4 Liquidity analysis</w:t>
            </w:r>
            <w:r>
              <w:rPr>
                <w:noProof/>
                <w:webHidden/>
              </w:rPr>
              <w:tab/>
            </w:r>
            <w:r>
              <w:rPr>
                <w:noProof/>
                <w:webHidden/>
              </w:rPr>
              <w:fldChar w:fldCharType="begin"/>
            </w:r>
            <w:r>
              <w:rPr>
                <w:noProof/>
                <w:webHidden/>
              </w:rPr>
              <w:instrText xml:space="preserve"> PAGEREF _Toc217246563 \h </w:instrText>
            </w:r>
            <w:r>
              <w:rPr>
                <w:noProof/>
                <w:webHidden/>
              </w:rPr>
            </w:r>
            <w:r>
              <w:rPr>
                <w:noProof/>
                <w:webHidden/>
              </w:rPr>
              <w:fldChar w:fldCharType="separate"/>
            </w:r>
            <w:r>
              <w:rPr>
                <w:noProof/>
                <w:webHidden/>
              </w:rPr>
              <w:t>8</w:t>
            </w:r>
            <w:r>
              <w:rPr>
                <w:noProof/>
                <w:webHidden/>
              </w:rPr>
              <w:fldChar w:fldCharType="end"/>
            </w:r>
          </w:hyperlink>
        </w:p>
        <w:p w14:paraId="47F2C418" w14:textId="0EA4549A"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4" w:history="1">
            <w:r w:rsidRPr="005C7D90">
              <w:rPr>
                <w:rStyle w:val="Hyperlink"/>
                <w:rFonts w:cs="Arial"/>
                <w:noProof/>
              </w:rPr>
              <w:t>1.5 Efficient analysis and working capital</w:t>
            </w:r>
            <w:r>
              <w:rPr>
                <w:noProof/>
                <w:webHidden/>
              </w:rPr>
              <w:tab/>
            </w:r>
            <w:r>
              <w:rPr>
                <w:noProof/>
                <w:webHidden/>
              </w:rPr>
              <w:fldChar w:fldCharType="begin"/>
            </w:r>
            <w:r>
              <w:rPr>
                <w:noProof/>
                <w:webHidden/>
              </w:rPr>
              <w:instrText xml:space="preserve"> PAGEREF _Toc217246564 \h </w:instrText>
            </w:r>
            <w:r>
              <w:rPr>
                <w:noProof/>
                <w:webHidden/>
              </w:rPr>
            </w:r>
            <w:r>
              <w:rPr>
                <w:noProof/>
                <w:webHidden/>
              </w:rPr>
              <w:fldChar w:fldCharType="separate"/>
            </w:r>
            <w:r>
              <w:rPr>
                <w:noProof/>
                <w:webHidden/>
              </w:rPr>
              <w:t>9</w:t>
            </w:r>
            <w:r>
              <w:rPr>
                <w:noProof/>
                <w:webHidden/>
              </w:rPr>
              <w:fldChar w:fldCharType="end"/>
            </w:r>
          </w:hyperlink>
        </w:p>
        <w:p w14:paraId="4759B7B7" w14:textId="4514AFDF"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5" w:history="1">
            <w:r w:rsidRPr="005C7D90">
              <w:rPr>
                <w:rStyle w:val="Hyperlink"/>
                <w:rFonts w:cs="Arial"/>
                <w:noProof/>
              </w:rPr>
              <w:t>1.6 Gearing and Leverage Analysis</w:t>
            </w:r>
            <w:r>
              <w:rPr>
                <w:noProof/>
                <w:webHidden/>
              </w:rPr>
              <w:tab/>
            </w:r>
            <w:r>
              <w:rPr>
                <w:noProof/>
                <w:webHidden/>
              </w:rPr>
              <w:fldChar w:fldCharType="begin"/>
            </w:r>
            <w:r>
              <w:rPr>
                <w:noProof/>
                <w:webHidden/>
              </w:rPr>
              <w:instrText xml:space="preserve"> PAGEREF _Toc217246565 \h </w:instrText>
            </w:r>
            <w:r>
              <w:rPr>
                <w:noProof/>
                <w:webHidden/>
              </w:rPr>
            </w:r>
            <w:r>
              <w:rPr>
                <w:noProof/>
                <w:webHidden/>
              </w:rPr>
              <w:fldChar w:fldCharType="separate"/>
            </w:r>
            <w:r>
              <w:rPr>
                <w:noProof/>
                <w:webHidden/>
              </w:rPr>
              <w:t>9</w:t>
            </w:r>
            <w:r>
              <w:rPr>
                <w:noProof/>
                <w:webHidden/>
              </w:rPr>
              <w:fldChar w:fldCharType="end"/>
            </w:r>
          </w:hyperlink>
        </w:p>
        <w:p w14:paraId="57E9D001" w14:textId="6A9BEDDA"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6" w:history="1">
            <w:r w:rsidRPr="005C7D90">
              <w:rPr>
                <w:rStyle w:val="Hyperlink"/>
                <w:rFonts w:cs="Arial"/>
                <w:noProof/>
              </w:rPr>
              <w:t>1.7 Investment and market-based Ratio Analysis</w:t>
            </w:r>
            <w:r>
              <w:rPr>
                <w:noProof/>
                <w:webHidden/>
              </w:rPr>
              <w:tab/>
            </w:r>
            <w:r>
              <w:rPr>
                <w:noProof/>
                <w:webHidden/>
              </w:rPr>
              <w:fldChar w:fldCharType="begin"/>
            </w:r>
            <w:r>
              <w:rPr>
                <w:noProof/>
                <w:webHidden/>
              </w:rPr>
              <w:instrText xml:space="preserve"> PAGEREF _Toc217246566 \h </w:instrText>
            </w:r>
            <w:r>
              <w:rPr>
                <w:noProof/>
                <w:webHidden/>
              </w:rPr>
            </w:r>
            <w:r>
              <w:rPr>
                <w:noProof/>
                <w:webHidden/>
              </w:rPr>
              <w:fldChar w:fldCharType="separate"/>
            </w:r>
            <w:r>
              <w:rPr>
                <w:noProof/>
                <w:webHidden/>
              </w:rPr>
              <w:t>10</w:t>
            </w:r>
            <w:r>
              <w:rPr>
                <w:noProof/>
                <w:webHidden/>
              </w:rPr>
              <w:fldChar w:fldCharType="end"/>
            </w:r>
          </w:hyperlink>
        </w:p>
        <w:p w14:paraId="3FDD9F1D" w14:textId="632B8063"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7" w:history="1">
            <w:r w:rsidRPr="005C7D90">
              <w:rPr>
                <w:rStyle w:val="Hyperlink"/>
                <w:rFonts w:cs="Arial"/>
                <w:noProof/>
              </w:rPr>
              <w:t>1.8 Cash Flow Analysis</w:t>
            </w:r>
            <w:r>
              <w:rPr>
                <w:noProof/>
                <w:webHidden/>
              </w:rPr>
              <w:tab/>
            </w:r>
            <w:r>
              <w:rPr>
                <w:noProof/>
                <w:webHidden/>
              </w:rPr>
              <w:fldChar w:fldCharType="begin"/>
            </w:r>
            <w:r>
              <w:rPr>
                <w:noProof/>
                <w:webHidden/>
              </w:rPr>
              <w:instrText xml:space="preserve"> PAGEREF _Toc217246567 \h </w:instrText>
            </w:r>
            <w:r>
              <w:rPr>
                <w:noProof/>
                <w:webHidden/>
              </w:rPr>
            </w:r>
            <w:r>
              <w:rPr>
                <w:noProof/>
                <w:webHidden/>
              </w:rPr>
              <w:fldChar w:fldCharType="separate"/>
            </w:r>
            <w:r>
              <w:rPr>
                <w:noProof/>
                <w:webHidden/>
              </w:rPr>
              <w:t>10</w:t>
            </w:r>
            <w:r>
              <w:rPr>
                <w:noProof/>
                <w:webHidden/>
              </w:rPr>
              <w:fldChar w:fldCharType="end"/>
            </w:r>
          </w:hyperlink>
        </w:p>
        <w:p w14:paraId="342DF2D4" w14:textId="0C40337A"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8" w:history="1">
            <w:r w:rsidRPr="005C7D90">
              <w:rPr>
                <w:rStyle w:val="Hyperlink"/>
                <w:rFonts w:cs="Arial"/>
                <w:noProof/>
              </w:rPr>
              <w:t>1.9 Corporate Failure Prediction</w:t>
            </w:r>
            <w:r>
              <w:rPr>
                <w:noProof/>
                <w:webHidden/>
              </w:rPr>
              <w:tab/>
            </w:r>
            <w:r>
              <w:rPr>
                <w:noProof/>
                <w:webHidden/>
              </w:rPr>
              <w:fldChar w:fldCharType="begin"/>
            </w:r>
            <w:r>
              <w:rPr>
                <w:noProof/>
                <w:webHidden/>
              </w:rPr>
              <w:instrText xml:space="preserve"> PAGEREF _Toc217246568 \h </w:instrText>
            </w:r>
            <w:r>
              <w:rPr>
                <w:noProof/>
                <w:webHidden/>
              </w:rPr>
            </w:r>
            <w:r>
              <w:rPr>
                <w:noProof/>
                <w:webHidden/>
              </w:rPr>
              <w:fldChar w:fldCharType="separate"/>
            </w:r>
            <w:r>
              <w:rPr>
                <w:noProof/>
                <w:webHidden/>
              </w:rPr>
              <w:t>10</w:t>
            </w:r>
            <w:r>
              <w:rPr>
                <w:noProof/>
                <w:webHidden/>
              </w:rPr>
              <w:fldChar w:fldCharType="end"/>
            </w:r>
          </w:hyperlink>
        </w:p>
        <w:p w14:paraId="61C979F1" w14:textId="1DD4F3C5"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69" w:history="1">
            <w:r w:rsidRPr="005C7D90">
              <w:rPr>
                <w:rStyle w:val="Hyperlink"/>
                <w:rFonts w:cs="Arial"/>
                <w:noProof/>
              </w:rPr>
              <w:t>1.10 Strengths, Weaknesses, and Risk Outlook</w:t>
            </w:r>
            <w:r>
              <w:rPr>
                <w:noProof/>
                <w:webHidden/>
              </w:rPr>
              <w:tab/>
            </w:r>
            <w:r>
              <w:rPr>
                <w:noProof/>
                <w:webHidden/>
              </w:rPr>
              <w:fldChar w:fldCharType="begin"/>
            </w:r>
            <w:r>
              <w:rPr>
                <w:noProof/>
                <w:webHidden/>
              </w:rPr>
              <w:instrText xml:space="preserve"> PAGEREF _Toc217246569 \h </w:instrText>
            </w:r>
            <w:r>
              <w:rPr>
                <w:noProof/>
                <w:webHidden/>
              </w:rPr>
            </w:r>
            <w:r>
              <w:rPr>
                <w:noProof/>
                <w:webHidden/>
              </w:rPr>
              <w:fldChar w:fldCharType="separate"/>
            </w:r>
            <w:r>
              <w:rPr>
                <w:noProof/>
                <w:webHidden/>
              </w:rPr>
              <w:t>11</w:t>
            </w:r>
            <w:r>
              <w:rPr>
                <w:noProof/>
                <w:webHidden/>
              </w:rPr>
              <w:fldChar w:fldCharType="end"/>
            </w:r>
          </w:hyperlink>
        </w:p>
        <w:p w14:paraId="095804F8" w14:textId="2FE4E71E"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70" w:history="1">
            <w:r w:rsidRPr="005C7D90">
              <w:rPr>
                <w:rStyle w:val="Hyperlink"/>
                <w:noProof/>
              </w:rPr>
              <w:t>1.11 Interdependence of Internal Performance and External Dynamics</w:t>
            </w:r>
            <w:r>
              <w:rPr>
                <w:noProof/>
                <w:webHidden/>
              </w:rPr>
              <w:tab/>
            </w:r>
            <w:r>
              <w:rPr>
                <w:noProof/>
                <w:webHidden/>
              </w:rPr>
              <w:fldChar w:fldCharType="begin"/>
            </w:r>
            <w:r>
              <w:rPr>
                <w:noProof/>
                <w:webHidden/>
              </w:rPr>
              <w:instrText xml:space="preserve"> PAGEREF _Toc217246570 \h </w:instrText>
            </w:r>
            <w:r>
              <w:rPr>
                <w:noProof/>
                <w:webHidden/>
              </w:rPr>
            </w:r>
            <w:r>
              <w:rPr>
                <w:noProof/>
                <w:webHidden/>
              </w:rPr>
              <w:fldChar w:fldCharType="separate"/>
            </w:r>
            <w:r>
              <w:rPr>
                <w:noProof/>
                <w:webHidden/>
              </w:rPr>
              <w:t>11</w:t>
            </w:r>
            <w:r>
              <w:rPr>
                <w:noProof/>
                <w:webHidden/>
              </w:rPr>
              <w:fldChar w:fldCharType="end"/>
            </w:r>
          </w:hyperlink>
        </w:p>
        <w:p w14:paraId="10C35F96" w14:textId="71696DC4"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71" w:history="1">
            <w:r w:rsidRPr="005C7D90">
              <w:rPr>
                <w:rStyle w:val="Hyperlink"/>
                <w:rFonts w:cs="Arial"/>
                <w:noProof/>
              </w:rPr>
              <w:t>2.0 Working Capital Management Analysis</w:t>
            </w:r>
            <w:r>
              <w:rPr>
                <w:noProof/>
                <w:webHidden/>
              </w:rPr>
              <w:tab/>
            </w:r>
            <w:r>
              <w:rPr>
                <w:noProof/>
                <w:webHidden/>
              </w:rPr>
              <w:fldChar w:fldCharType="begin"/>
            </w:r>
            <w:r>
              <w:rPr>
                <w:noProof/>
                <w:webHidden/>
              </w:rPr>
              <w:instrText xml:space="preserve"> PAGEREF _Toc217246571 \h </w:instrText>
            </w:r>
            <w:r>
              <w:rPr>
                <w:noProof/>
                <w:webHidden/>
              </w:rPr>
            </w:r>
            <w:r>
              <w:rPr>
                <w:noProof/>
                <w:webHidden/>
              </w:rPr>
              <w:fldChar w:fldCharType="separate"/>
            </w:r>
            <w:r>
              <w:rPr>
                <w:noProof/>
                <w:webHidden/>
              </w:rPr>
              <w:t>12</w:t>
            </w:r>
            <w:r>
              <w:rPr>
                <w:noProof/>
                <w:webHidden/>
              </w:rPr>
              <w:fldChar w:fldCharType="end"/>
            </w:r>
          </w:hyperlink>
        </w:p>
        <w:p w14:paraId="3236A787" w14:textId="772E0749"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72" w:history="1">
            <w:r w:rsidRPr="005C7D90">
              <w:rPr>
                <w:rStyle w:val="Hyperlink"/>
                <w:rFonts w:cs="Arial"/>
                <w:noProof/>
              </w:rPr>
              <w:t>2.1 Assessment of the Cash Operating Cycle</w:t>
            </w:r>
            <w:r>
              <w:rPr>
                <w:noProof/>
                <w:webHidden/>
              </w:rPr>
              <w:tab/>
            </w:r>
            <w:r>
              <w:rPr>
                <w:noProof/>
                <w:webHidden/>
              </w:rPr>
              <w:fldChar w:fldCharType="begin"/>
            </w:r>
            <w:r>
              <w:rPr>
                <w:noProof/>
                <w:webHidden/>
              </w:rPr>
              <w:instrText xml:space="preserve"> PAGEREF _Toc217246572 \h </w:instrText>
            </w:r>
            <w:r>
              <w:rPr>
                <w:noProof/>
                <w:webHidden/>
              </w:rPr>
            </w:r>
            <w:r>
              <w:rPr>
                <w:noProof/>
                <w:webHidden/>
              </w:rPr>
              <w:fldChar w:fldCharType="separate"/>
            </w:r>
            <w:r>
              <w:rPr>
                <w:noProof/>
                <w:webHidden/>
              </w:rPr>
              <w:t>12</w:t>
            </w:r>
            <w:r>
              <w:rPr>
                <w:noProof/>
                <w:webHidden/>
              </w:rPr>
              <w:fldChar w:fldCharType="end"/>
            </w:r>
          </w:hyperlink>
        </w:p>
        <w:p w14:paraId="75C5BC0F" w14:textId="4595D34D"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73" w:history="1">
            <w:r w:rsidRPr="005C7D90">
              <w:rPr>
                <w:rStyle w:val="Hyperlink"/>
                <w:rFonts w:cs="Arial"/>
                <w:noProof/>
              </w:rPr>
              <w:t>2.2 Implications for Liquidity and Operational Risk</w:t>
            </w:r>
            <w:r>
              <w:rPr>
                <w:noProof/>
                <w:webHidden/>
              </w:rPr>
              <w:tab/>
            </w:r>
            <w:r>
              <w:rPr>
                <w:noProof/>
                <w:webHidden/>
              </w:rPr>
              <w:fldChar w:fldCharType="begin"/>
            </w:r>
            <w:r>
              <w:rPr>
                <w:noProof/>
                <w:webHidden/>
              </w:rPr>
              <w:instrText xml:space="preserve"> PAGEREF _Toc217246573 \h </w:instrText>
            </w:r>
            <w:r>
              <w:rPr>
                <w:noProof/>
                <w:webHidden/>
              </w:rPr>
            </w:r>
            <w:r>
              <w:rPr>
                <w:noProof/>
                <w:webHidden/>
              </w:rPr>
              <w:fldChar w:fldCharType="separate"/>
            </w:r>
            <w:r>
              <w:rPr>
                <w:noProof/>
                <w:webHidden/>
              </w:rPr>
              <w:t>12</w:t>
            </w:r>
            <w:r>
              <w:rPr>
                <w:noProof/>
                <w:webHidden/>
              </w:rPr>
              <w:fldChar w:fldCharType="end"/>
            </w:r>
          </w:hyperlink>
        </w:p>
        <w:p w14:paraId="3DCC795F" w14:textId="3F6E305D"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74" w:history="1">
            <w:r w:rsidRPr="005C7D90">
              <w:rPr>
                <w:rStyle w:val="Hyperlink"/>
                <w:rFonts w:cs="Arial"/>
                <w:noProof/>
              </w:rPr>
              <w:t>2.3 Recommended Working Capital Reform Strategies</w:t>
            </w:r>
            <w:r>
              <w:rPr>
                <w:noProof/>
                <w:webHidden/>
              </w:rPr>
              <w:tab/>
            </w:r>
            <w:r>
              <w:rPr>
                <w:noProof/>
                <w:webHidden/>
              </w:rPr>
              <w:fldChar w:fldCharType="begin"/>
            </w:r>
            <w:r>
              <w:rPr>
                <w:noProof/>
                <w:webHidden/>
              </w:rPr>
              <w:instrText xml:space="preserve"> PAGEREF _Toc217246574 \h </w:instrText>
            </w:r>
            <w:r>
              <w:rPr>
                <w:noProof/>
                <w:webHidden/>
              </w:rPr>
            </w:r>
            <w:r>
              <w:rPr>
                <w:noProof/>
                <w:webHidden/>
              </w:rPr>
              <w:fldChar w:fldCharType="separate"/>
            </w:r>
            <w:r>
              <w:rPr>
                <w:noProof/>
                <w:webHidden/>
              </w:rPr>
              <w:t>12</w:t>
            </w:r>
            <w:r>
              <w:rPr>
                <w:noProof/>
                <w:webHidden/>
              </w:rPr>
              <w:fldChar w:fldCharType="end"/>
            </w:r>
          </w:hyperlink>
        </w:p>
        <w:p w14:paraId="6858F6F8" w14:textId="628FF8FB"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75" w:history="1">
            <w:r w:rsidRPr="005C7D90">
              <w:rPr>
                <w:rStyle w:val="Hyperlink"/>
                <w:rFonts w:cs="Arial"/>
                <w:noProof/>
              </w:rPr>
              <w:t>3.0 Strategic Financial Restructuring Plan</w:t>
            </w:r>
            <w:r>
              <w:rPr>
                <w:noProof/>
                <w:webHidden/>
              </w:rPr>
              <w:tab/>
            </w:r>
            <w:r>
              <w:rPr>
                <w:noProof/>
                <w:webHidden/>
              </w:rPr>
              <w:fldChar w:fldCharType="begin"/>
            </w:r>
            <w:r>
              <w:rPr>
                <w:noProof/>
                <w:webHidden/>
              </w:rPr>
              <w:instrText xml:space="preserve"> PAGEREF _Toc217246575 \h </w:instrText>
            </w:r>
            <w:r>
              <w:rPr>
                <w:noProof/>
                <w:webHidden/>
              </w:rPr>
            </w:r>
            <w:r>
              <w:rPr>
                <w:noProof/>
                <w:webHidden/>
              </w:rPr>
              <w:fldChar w:fldCharType="separate"/>
            </w:r>
            <w:r>
              <w:rPr>
                <w:noProof/>
                <w:webHidden/>
              </w:rPr>
              <w:t>13</w:t>
            </w:r>
            <w:r>
              <w:rPr>
                <w:noProof/>
                <w:webHidden/>
              </w:rPr>
              <w:fldChar w:fldCharType="end"/>
            </w:r>
          </w:hyperlink>
        </w:p>
        <w:p w14:paraId="3807708B" w14:textId="2F9ED146"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76" w:history="1">
            <w:r w:rsidRPr="005C7D90">
              <w:rPr>
                <w:rStyle w:val="Hyperlink"/>
                <w:rFonts w:cs="Arial"/>
                <w:noProof/>
              </w:rPr>
              <w:t>3.1 Recommended Restructuring Options</w:t>
            </w:r>
            <w:r>
              <w:rPr>
                <w:noProof/>
                <w:webHidden/>
              </w:rPr>
              <w:tab/>
            </w:r>
            <w:r>
              <w:rPr>
                <w:noProof/>
                <w:webHidden/>
              </w:rPr>
              <w:fldChar w:fldCharType="begin"/>
            </w:r>
            <w:r>
              <w:rPr>
                <w:noProof/>
                <w:webHidden/>
              </w:rPr>
              <w:instrText xml:space="preserve"> PAGEREF _Toc217246576 \h </w:instrText>
            </w:r>
            <w:r>
              <w:rPr>
                <w:noProof/>
                <w:webHidden/>
              </w:rPr>
            </w:r>
            <w:r>
              <w:rPr>
                <w:noProof/>
                <w:webHidden/>
              </w:rPr>
              <w:fldChar w:fldCharType="separate"/>
            </w:r>
            <w:r>
              <w:rPr>
                <w:noProof/>
                <w:webHidden/>
              </w:rPr>
              <w:t>14</w:t>
            </w:r>
            <w:r>
              <w:rPr>
                <w:noProof/>
                <w:webHidden/>
              </w:rPr>
              <w:fldChar w:fldCharType="end"/>
            </w:r>
          </w:hyperlink>
        </w:p>
        <w:p w14:paraId="10756648" w14:textId="7A1F37E5"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77" w:history="1">
            <w:r w:rsidRPr="005C7D90">
              <w:rPr>
                <w:rStyle w:val="Hyperlink"/>
                <w:rFonts w:cs="Arial"/>
                <w:noProof/>
              </w:rPr>
              <w:t>3.2.1 Strategic Divestiture of Non-Core Assets</w:t>
            </w:r>
            <w:r>
              <w:rPr>
                <w:noProof/>
                <w:webHidden/>
              </w:rPr>
              <w:tab/>
            </w:r>
            <w:r>
              <w:rPr>
                <w:noProof/>
                <w:webHidden/>
              </w:rPr>
              <w:fldChar w:fldCharType="begin"/>
            </w:r>
            <w:r>
              <w:rPr>
                <w:noProof/>
                <w:webHidden/>
              </w:rPr>
              <w:instrText xml:space="preserve"> PAGEREF _Toc217246577 \h </w:instrText>
            </w:r>
            <w:r>
              <w:rPr>
                <w:noProof/>
                <w:webHidden/>
              </w:rPr>
            </w:r>
            <w:r>
              <w:rPr>
                <w:noProof/>
                <w:webHidden/>
              </w:rPr>
              <w:fldChar w:fldCharType="separate"/>
            </w:r>
            <w:r>
              <w:rPr>
                <w:noProof/>
                <w:webHidden/>
              </w:rPr>
              <w:t>14</w:t>
            </w:r>
            <w:r>
              <w:rPr>
                <w:noProof/>
                <w:webHidden/>
              </w:rPr>
              <w:fldChar w:fldCharType="end"/>
            </w:r>
          </w:hyperlink>
        </w:p>
        <w:p w14:paraId="02E18D36" w14:textId="75D4AE70"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78" w:history="1">
            <w:r w:rsidRPr="005C7D90">
              <w:rPr>
                <w:rStyle w:val="Hyperlink"/>
                <w:rFonts w:cs="Arial"/>
                <w:noProof/>
              </w:rPr>
              <w:t>3.2.2 Equity Injection and Capital Base Re-engineering</w:t>
            </w:r>
            <w:r>
              <w:rPr>
                <w:noProof/>
                <w:webHidden/>
              </w:rPr>
              <w:tab/>
            </w:r>
            <w:r>
              <w:rPr>
                <w:noProof/>
                <w:webHidden/>
              </w:rPr>
              <w:fldChar w:fldCharType="begin"/>
            </w:r>
            <w:r>
              <w:rPr>
                <w:noProof/>
                <w:webHidden/>
              </w:rPr>
              <w:instrText xml:space="preserve"> PAGEREF _Toc217246578 \h </w:instrText>
            </w:r>
            <w:r>
              <w:rPr>
                <w:noProof/>
                <w:webHidden/>
              </w:rPr>
            </w:r>
            <w:r>
              <w:rPr>
                <w:noProof/>
                <w:webHidden/>
              </w:rPr>
              <w:fldChar w:fldCharType="separate"/>
            </w:r>
            <w:r>
              <w:rPr>
                <w:noProof/>
                <w:webHidden/>
              </w:rPr>
              <w:t>14</w:t>
            </w:r>
            <w:r>
              <w:rPr>
                <w:noProof/>
                <w:webHidden/>
              </w:rPr>
              <w:fldChar w:fldCharType="end"/>
            </w:r>
          </w:hyperlink>
        </w:p>
        <w:p w14:paraId="21F2F4CF" w14:textId="3BAA5C92"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79" w:history="1">
            <w:r w:rsidRPr="005C7D90">
              <w:rPr>
                <w:rStyle w:val="Hyperlink"/>
                <w:rFonts w:cs="Arial"/>
                <w:noProof/>
              </w:rPr>
              <w:t>3.2.3 Merger or Strategic Alliance</w:t>
            </w:r>
            <w:r>
              <w:rPr>
                <w:noProof/>
                <w:webHidden/>
              </w:rPr>
              <w:tab/>
            </w:r>
            <w:r>
              <w:rPr>
                <w:noProof/>
                <w:webHidden/>
              </w:rPr>
              <w:fldChar w:fldCharType="begin"/>
            </w:r>
            <w:r>
              <w:rPr>
                <w:noProof/>
                <w:webHidden/>
              </w:rPr>
              <w:instrText xml:space="preserve"> PAGEREF _Toc217246579 \h </w:instrText>
            </w:r>
            <w:r>
              <w:rPr>
                <w:noProof/>
                <w:webHidden/>
              </w:rPr>
            </w:r>
            <w:r>
              <w:rPr>
                <w:noProof/>
                <w:webHidden/>
              </w:rPr>
              <w:fldChar w:fldCharType="separate"/>
            </w:r>
            <w:r>
              <w:rPr>
                <w:noProof/>
                <w:webHidden/>
              </w:rPr>
              <w:t>14</w:t>
            </w:r>
            <w:r>
              <w:rPr>
                <w:noProof/>
                <w:webHidden/>
              </w:rPr>
              <w:fldChar w:fldCharType="end"/>
            </w:r>
          </w:hyperlink>
        </w:p>
        <w:p w14:paraId="00A678C8" w14:textId="62D6C33C"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80" w:history="1">
            <w:r w:rsidRPr="005C7D90">
              <w:rPr>
                <w:rStyle w:val="Hyperlink"/>
                <w:rFonts w:cs="Arial"/>
                <w:noProof/>
              </w:rPr>
              <w:t>3.2 Evaluation of Restructuring Impact</w:t>
            </w:r>
            <w:r>
              <w:rPr>
                <w:noProof/>
                <w:webHidden/>
              </w:rPr>
              <w:tab/>
            </w:r>
            <w:r>
              <w:rPr>
                <w:noProof/>
                <w:webHidden/>
              </w:rPr>
              <w:fldChar w:fldCharType="begin"/>
            </w:r>
            <w:r>
              <w:rPr>
                <w:noProof/>
                <w:webHidden/>
              </w:rPr>
              <w:instrText xml:space="preserve"> PAGEREF _Toc217246580 \h </w:instrText>
            </w:r>
            <w:r>
              <w:rPr>
                <w:noProof/>
                <w:webHidden/>
              </w:rPr>
            </w:r>
            <w:r>
              <w:rPr>
                <w:noProof/>
                <w:webHidden/>
              </w:rPr>
              <w:fldChar w:fldCharType="separate"/>
            </w:r>
            <w:r>
              <w:rPr>
                <w:noProof/>
                <w:webHidden/>
              </w:rPr>
              <w:t>15</w:t>
            </w:r>
            <w:r>
              <w:rPr>
                <w:noProof/>
                <w:webHidden/>
              </w:rPr>
              <w:fldChar w:fldCharType="end"/>
            </w:r>
          </w:hyperlink>
        </w:p>
        <w:p w14:paraId="0D743107" w14:textId="56E7A5A0"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81" w:history="1">
            <w:r w:rsidRPr="005C7D90">
              <w:rPr>
                <w:rStyle w:val="Hyperlink"/>
                <w:rFonts w:cs="Arial"/>
                <w:noProof/>
              </w:rPr>
              <w:t>3.3.1 Impact on Shareholder Value</w:t>
            </w:r>
            <w:r>
              <w:rPr>
                <w:noProof/>
                <w:webHidden/>
              </w:rPr>
              <w:tab/>
            </w:r>
            <w:r>
              <w:rPr>
                <w:noProof/>
                <w:webHidden/>
              </w:rPr>
              <w:fldChar w:fldCharType="begin"/>
            </w:r>
            <w:r>
              <w:rPr>
                <w:noProof/>
                <w:webHidden/>
              </w:rPr>
              <w:instrText xml:space="preserve"> PAGEREF _Toc217246581 \h </w:instrText>
            </w:r>
            <w:r>
              <w:rPr>
                <w:noProof/>
                <w:webHidden/>
              </w:rPr>
            </w:r>
            <w:r>
              <w:rPr>
                <w:noProof/>
                <w:webHidden/>
              </w:rPr>
              <w:fldChar w:fldCharType="separate"/>
            </w:r>
            <w:r>
              <w:rPr>
                <w:noProof/>
                <w:webHidden/>
              </w:rPr>
              <w:t>15</w:t>
            </w:r>
            <w:r>
              <w:rPr>
                <w:noProof/>
                <w:webHidden/>
              </w:rPr>
              <w:fldChar w:fldCharType="end"/>
            </w:r>
          </w:hyperlink>
        </w:p>
        <w:p w14:paraId="3D899F01" w14:textId="4C61F4B6"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82" w:history="1">
            <w:r w:rsidRPr="005C7D90">
              <w:rPr>
                <w:rStyle w:val="Hyperlink"/>
                <w:rFonts w:cs="Arial"/>
                <w:noProof/>
              </w:rPr>
              <w:t>3.3.2 Impact on Debt Structure</w:t>
            </w:r>
            <w:r>
              <w:rPr>
                <w:noProof/>
                <w:webHidden/>
              </w:rPr>
              <w:tab/>
            </w:r>
            <w:r>
              <w:rPr>
                <w:noProof/>
                <w:webHidden/>
              </w:rPr>
              <w:fldChar w:fldCharType="begin"/>
            </w:r>
            <w:r>
              <w:rPr>
                <w:noProof/>
                <w:webHidden/>
              </w:rPr>
              <w:instrText xml:space="preserve"> PAGEREF _Toc217246582 \h </w:instrText>
            </w:r>
            <w:r>
              <w:rPr>
                <w:noProof/>
                <w:webHidden/>
              </w:rPr>
            </w:r>
            <w:r>
              <w:rPr>
                <w:noProof/>
                <w:webHidden/>
              </w:rPr>
              <w:fldChar w:fldCharType="separate"/>
            </w:r>
            <w:r>
              <w:rPr>
                <w:noProof/>
                <w:webHidden/>
              </w:rPr>
              <w:t>15</w:t>
            </w:r>
            <w:r>
              <w:rPr>
                <w:noProof/>
                <w:webHidden/>
              </w:rPr>
              <w:fldChar w:fldCharType="end"/>
            </w:r>
          </w:hyperlink>
        </w:p>
        <w:p w14:paraId="63A5B6F3" w14:textId="42462CDE"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83" w:history="1">
            <w:r w:rsidRPr="005C7D90">
              <w:rPr>
                <w:rStyle w:val="Hyperlink"/>
                <w:rFonts w:cs="Arial"/>
                <w:noProof/>
              </w:rPr>
              <w:t>3.3.3 Impact on Operational Flexibility</w:t>
            </w:r>
            <w:r>
              <w:rPr>
                <w:noProof/>
                <w:webHidden/>
              </w:rPr>
              <w:tab/>
            </w:r>
            <w:r>
              <w:rPr>
                <w:noProof/>
                <w:webHidden/>
              </w:rPr>
              <w:fldChar w:fldCharType="begin"/>
            </w:r>
            <w:r>
              <w:rPr>
                <w:noProof/>
                <w:webHidden/>
              </w:rPr>
              <w:instrText xml:space="preserve"> PAGEREF _Toc217246583 \h </w:instrText>
            </w:r>
            <w:r>
              <w:rPr>
                <w:noProof/>
                <w:webHidden/>
              </w:rPr>
            </w:r>
            <w:r>
              <w:rPr>
                <w:noProof/>
                <w:webHidden/>
              </w:rPr>
              <w:fldChar w:fldCharType="separate"/>
            </w:r>
            <w:r>
              <w:rPr>
                <w:noProof/>
                <w:webHidden/>
              </w:rPr>
              <w:t>15</w:t>
            </w:r>
            <w:r>
              <w:rPr>
                <w:noProof/>
                <w:webHidden/>
              </w:rPr>
              <w:fldChar w:fldCharType="end"/>
            </w:r>
          </w:hyperlink>
        </w:p>
        <w:p w14:paraId="676878AB" w14:textId="7E9882B3"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84" w:history="1">
            <w:r w:rsidRPr="005C7D90">
              <w:rPr>
                <w:rStyle w:val="Hyperlink"/>
                <w:rFonts w:cs="Arial"/>
                <w:noProof/>
              </w:rPr>
              <w:t>3.3 International and Ethical Considerations</w:t>
            </w:r>
            <w:r>
              <w:rPr>
                <w:noProof/>
                <w:webHidden/>
              </w:rPr>
              <w:tab/>
            </w:r>
            <w:r>
              <w:rPr>
                <w:noProof/>
                <w:webHidden/>
              </w:rPr>
              <w:fldChar w:fldCharType="begin"/>
            </w:r>
            <w:r>
              <w:rPr>
                <w:noProof/>
                <w:webHidden/>
              </w:rPr>
              <w:instrText xml:space="preserve"> PAGEREF _Toc217246584 \h </w:instrText>
            </w:r>
            <w:r>
              <w:rPr>
                <w:noProof/>
                <w:webHidden/>
              </w:rPr>
            </w:r>
            <w:r>
              <w:rPr>
                <w:noProof/>
                <w:webHidden/>
              </w:rPr>
              <w:fldChar w:fldCharType="separate"/>
            </w:r>
            <w:r>
              <w:rPr>
                <w:noProof/>
                <w:webHidden/>
              </w:rPr>
              <w:t>16</w:t>
            </w:r>
            <w:r>
              <w:rPr>
                <w:noProof/>
                <w:webHidden/>
              </w:rPr>
              <w:fldChar w:fldCharType="end"/>
            </w:r>
          </w:hyperlink>
        </w:p>
        <w:p w14:paraId="2DEA23A5" w14:textId="5D91A270"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85" w:history="1">
            <w:r w:rsidRPr="005C7D90">
              <w:rPr>
                <w:rStyle w:val="Hyperlink"/>
                <w:rFonts w:cs="Arial"/>
                <w:noProof/>
              </w:rPr>
              <w:t>4.0 Investment Appraisal and Capital Budgeting of General Electronics</w:t>
            </w:r>
            <w:r>
              <w:rPr>
                <w:noProof/>
                <w:webHidden/>
              </w:rPr>
              <w:tab/>
            </w:r>
            <w:r>
              <w:rPr>
                <w:noProof/>
                <w:webHidden/>
              </w:rPr>
              <w:fldChar w:fldCharType="begin"/>
            </w:r>
            <w:r>
              <w:rPr>
                <w:noProof/>
                <w:webHidden/>
              </w:rPr>
              <w:instrText xml:space="preserve"> PAGEREF _Toc217246585 \h </w:instrText>
            </w:r>
            <w:r>
              <w:rPr>
                <w:noProof/>
                <w:webHidden/>
              </w:rPr>
            </w:r>
            <w:r>
              <w:rPr>
                <w:noProof/>
                <w:webHidden/>
              </w:rPr>
              <w:fldChar w:fldCharType="separate"/>
            </w:r>
            <w:r>
              <w:rPr>
                <w:noProof/>
                <w:webHidden/>
              </w:rPr>
              <w:t>17</w:t>
            </w:r>
            <w:r>
              <w:rPr>
                <w:noProof/>
                <w:webHidden/>
              </w:rPr>
              <w:fldChar w:fldCharType="end"/>
            </w:r>
          </w:hyperlink>
        </w:p>
        <w:p w14:paraId="0A663D86" w14:textId="37195F3D"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86" w:history="1">
            <w:r w:rsidRPr="005C7D90">
              <w:rPr>
                <w:rStyle w:val="Hyperlink"/>
                <w:rFonts w:cs="Arial"/>
                <w:noProof/>
              </w:rPr>
              <w:t>4.1 Project Details and Assumptions</w:t>
            </w:r>
            <w:r>
              <w:rPr>
                <w:noProof/>
                <w:webHidden/>
              </w:rPr>
              <w:tab/>
            </w:r>
            <w:r>
              <w:rPr>
                <w:noProof/>
                <w:webHidden/>
              </w:rPr>
              <w:fldChar w:fldCharType="begin"/>
            </w:r>
            <w:r>
              <w:rPr>
                <w:noProof/>
                <w:webHidden/>
              </w:rPr>
              <w:instrText xml:space="preserve"> PAGEREF _Toc217246586 \h </w:instrText>
            </w:r>
            <w:r>
              <w:rPr>
                <w:noProof/>
                <w:webHidden/>
              </w:rPr>
            </w:r>
            <w:r>
              <w:rPr>
                <w:noProof/>
                <w:webHidden/>
              </w:rPr>
              <w:fldChar w:fldCharType="separate"/>
            </w:r>
            <w:r>
              <w:rPr>
                <w:noProof/>
                <w:webHidden/>
              </w:rPr>
              <w:t>17</w:t>
            </w:r>
            <w:r>
              <w:rPr>
                <w:noProof/>
                <w:webHidden/>
              </w:rPr>
              <w:fldChar w:fldCharType="end"/>
            </w:r>
          </w:hyperlink>
        </w:p>
        <w:p w14:paraId="0F52E339" w14:textId="13CCDA2F"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87" w:history="1">
            <w:r w:rsidRPr="005C7D90">
              <w:rPr>
                <w:rStyle w:val="Hyperlink"/>
                <w:rFonts w:cs="Arial"/>
                <w:noProof/>
              </w:rPr>
              <w:t>4.2 Payback Period (PBP) Analysis</w:t>
            </w:r>
            <w:r>
              <w:rPr>
                <w:noProof/>
                <w:webHidden/>
              </w:rPr>
              <w:tab/>
            </w:r>
            <w:r>
              <w:rPr>
                <w:noProof/>
                <w:webHidden/>
              </w:rPr>
              <w:fldChar w:fldCharType="begin"/>
            </w:r>
            <w:r>
              <w:rPr>
                <w:noProof/>
                <w:webHidden/>
              </w:rPr>
              <w:instrText xml:space="preserve"> PAGEREF _Toc217246587 \h </w:instrText>
            </w:r>
            <w:r>
              <w:rPr>
                <w:noProof/>
                <w:webHidden/>
              </w:rPr>
            </w:r>
            <w:r>
              <w:rPr>
                <w:noProof/>
                <w:webHidden/>
              </w:rPr>
              <w:fldChar w:fldCharType="separate"/>
            </w:r>
            <w:r>
              <w:rPr>
                <w:noProof/>
                <w:webHidden/>
              </w:rPr>
              <w:t>17</w:t>
            </w:r>
            <w:r>
              <w:rPr>
                <w:noProof/>
                <w:webHidden/>
              </w:rPr>
              <w:fldChar w:fldCharType="end"/>
            </w:r>
          </w:hyperlink>
        </w:p>
        <w:p w14:paraId="79E3B541" w14:textId="5172DE8E"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88" w:history="1">
            <w:r w:rsidRPr="005C7D90">
              <w:rPr>
                <w:rStyle w:val="Hyperlink"/>
                <w:rFonts w:cs="Arial"/>
                <w:noProof/>
              </w:rPr>
              <w:t>4.3 Annual Percentage Rate (APR) Analysis</w:t>
            </w:r>
            <w:r>
              <w:rPr>
                <w:noProof/>
                <w:webHidden/>
              </w:rPr>
              <w:tab/>
            </w:r>
            <w:r>
              <w:rPr>
                <w:noProof/>
                <w:webHidden/>
              </w:rPr>
              <w:fldChar w:fldCharType="begin"/>
            </w:r>
            <w:r>
              <w:rPr>
                <w:noProof/>
                <w:webHidden/>
              </w:rPr>
              <w:instrText xml:space="preserve"> PAGEREF _Toc217246588 \h </w:instrText>
            </w:r>
            <w:r>
              <w:rPr>
                <w:noProof/>
                <w:webHidden/>
              </w:rPr>
            </w:r>
            <w:r>
              <w:rPr>
                <w:noProof/>
                <w:webHidden/>
              </w:rPr>
              <w:fldChar w:fldCharType="separate"/>
            </w:r>
            <w:r>
              <w:rPr>
                <w:noProof/>
                <w:webHidden/>
              </w:rPr>
              <w:t>18</w:t>
            </w:r>
            <w:r>
              <w:rPr>
                <w:noProof/>
                <w:webHidden/>
              </w:rPr>
              <w:fldChar w:fldCharType="end"/>
            </w:r>
          </w:hyperlink>
        </w:p>
        <w:p w14:paraId="2FAD7D9E" w14:textId="695D1F54"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89" w:history="1">
            <w:r w:rsidRPr="005C7D90">
              <w:rPr>
                <w:rStyle w:val="Hyperlink"/>
                <w:rFonts w:cs="Arial"/>
                <w:noProof/>
              </w:rPr>
              <w:t>4.4 Net Present Value (NPV) Analysis</w:t>
            </w:r>
            <w:r>
              <w:rPr>
                <w:noProof/>
                <w:webHidden/>
              </w:rPr>
              <w:tab/>
            </w:r>
            <w:r>
              <w:rPr>
                <w:noProof/>
                <w:webHidden/>
              </w:rPr>
              <w:fldChar w:fldCharType="begin"/>
            </w:r>
            <w:r>
              <w:rPr>
                <w:noProof/>
                <w:webHidden/>
              </w:rPr>
              <w:instrText xml:space="preserve"> PAGEREF _Toc217246589 \h </w:instrText>
            </w:r>
            <w:r>
              <w:rPr>
                <w:noProof/>
                <w:webHidden/>
              </w:rPr>
            </w:r>
            <w:r>
              <w:rPr>
                <w:noProof/>
                <w:webHidden/>
              </w:rPr>
              <w:fldChar w:fldCharType="separate"/>
            </w:r>
            <w:r>
              <w:rPr>
                <w:noProof/>
                <w:webHidden/>
              </w:rPr>
              <w:t>18</w:t>
            </w:r>
            <w:r>
              <w:rPr>
                <w:noProof/>
                <w:webHidden/>
              </w:rPr>
              <w:fldChar w:fldCharType="end"/>
            </w:r>
          </w:hyperlink>
        </w:p>
        <w:p w14:paraId="2DB8EBBE" w14:textId="59C9A440"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90" w:history="1">
            <w:r w:rsidRPr="005C7D90">
              <w:rPr>
                <w:rStyle w:val="Hyperlink"/>
                <w:rFonts w:cs="Arial"/>
                <w:noProof/>
              </w:rPr>
              <w:t>4.5 Internal Rate of Return (IRR) Analysis</w:t>
            </w:r>
            <w:r>
              <w:rPr>
                <w:noProof/>
                <w:webHidden/>
              </w:rPr>
              <w:tab/>
            </w:r>
            <w:r>
              <w:rPr>
                <w:noProof/>
                <w:webHidden/>
              </w:rPr>
              <w:fldChar w:fldCharType="begin"/>
            </w:r>
            <w:r>
              <w:rPr>
                <w:noProof/>
                <w:webHidden/>
              </w:rPr>
              <w:instrText xml:space="preserve"> PAGEREF _Toc217246590 \h </w:instrText>
            </w:r>
            <w:r>
              <w:rPr>
                <w:noProof/>
                <w:webHidden/>
              </w:rPr>
            </w:r>
            <w:r>
              <w:rPr>
                <w:noProof/>
                <w:webHidden/>
              </w:rPr>
              <w:fldChar w:fldCharType="separate"/>
            </w:r>
            <w:r>
              <w:rPr>
                <w:noProof/>
                <w:webHidden/>
              </w:rPr>
              <w:t>18</w:t>
            </w:r>
            <w:r>
              <w:rPr>
                <w:noProof/>
                <w:webHidden/>
              </w:rPr>
              <w:fldChar w:fldCharType="end"/>
            </w:r>
          </w:hyperlink>
        </w:p>
        <w:p w14:paraId="2A38AD98" w14:textId="7FD63B5C"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91" w:history="1">
            <w:r w:rsidRPr="005C7D90">
              <w:rPr>
                <w:rStyle w:val="Hyperlink"/>
                <w:rFonts w:cs="Arial"/>
                <w:noProof/>
              </w:rPr>
              <w:t>4.6 Profitability Index (PI) Analysis</w:t>
            </w:r>
            <w:r>
              <w:rPr>
                <w:noProof/>
                <w:webHidden/>
              </w:rPr>
              <w:tab/>
            </w:r>
            <w:r>
              <w:rPr>
                <w:noProof/>
                <w:webHidden/>
              </w:rPr>
              <w:fldChar w:fldCharType="begin"/>
            </w:r>
            <w:r>
              <w:rPr>
                <w:noProof/>
                <w:webHidden/>
              </w:rPr>
              <w:instrText xml:space="preserve"> PAGEREF _Toc217246591 \h </w:instrText>
            </w:r>
            <w:r>
              <w:rPr>
                <w:noProof/>
                <w:webHidden/>
              </w:rPr>
            </w:r>
            <w:r>
              <w:rPr>
                <w:noProof/>
                <w:webHidden/>
              </w:rPr>
              <w:fldChar w:fldCharType="separate"/>
            </w:r>
            <w:r>
              <w:rPr>
                <w:noProof/>
                <w:webHidden/>
              </w:rPr>
              <w:t>19</w:t>
            </w:r>
            <w:r>
              <w:rPr>
                <w:noProof/>
                <w:webHidden/>
              </w:rPr>
              <w:fldChar w:fldCharType="end"/>
            </w:r>
          </w:hyperlink>
        </w:p>
        <w:p w14:paraId="5B686454" w14:textId="7CEBF31C"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92" w:history="1">
            <w:r w:rsidRPr="005C7D90">
              <w:rPr>
                <w:rStyle w:val="Hyperlink"/>
                <w:rFonts w:cs="Arial"/>
                <w:noProof/>
              </w:rPr>
              <w:t>4.7 Capital Rationing and Project Selection</w:t>
            </w:r>
            <w:r>
              <w:rPr>
                <w:noProof/>
                <w:webHidden/>
              </w:rPr>
              <w:tab/>
            </w:r>
            <w:r>
              <w:rPr>
                <w:noProof/>
                <w:webHidden/>
              </w:rPr>
              <w:fldChar w:fldCharType="begin"/>
            </w:r>
            <w:r>
              <w:rPr>
                <w:noProof/>
                <w:webHidden/>
              </w:rPr>
              <w:instrText xml:space="preserve"> PAGEREF _Toc217246592 \h </w:instrText>
            </w:r>
            <w:r>
              <w:rPr>
                <w:noProof/>
                <w:webHidden/>
              </w:rPr>
            </w:r>
            <w:r>
              <w:rPr>
                <w:noProof/>
                <w:webHidden/>
              </w:rPr>
              <w:fldChar w:fldCharType="separate"/>
            </w:r>
            <w:r>
              <w:rPr>
                <w:noProof/>
                <w:webHidden/>
              </w:rPr>
              <w:t>19</w:t>
            </w:r>
            <w:r>
              <w:rPr>
                <w:noProof/>
                <w:webHidden/>
              </w:rPr>
              <w:fldChar w:fldCharType="end"/>
            </w:r>
          </w:hyperlink>
        </w:p>
        <w:p w14:paraId="4EDDC8A0" w14:textId="132FC109"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93" w:history="1">
            <w:r w:rsidRPr="005C7D90">
              <w:rPr>
                <w:rStyle w:val="Hyperlink"/>
                <w:rFonts w:cs="Arial"/>
                <w:noProof/>
              </w:rPr>
              <w:t>4.8 Justification Based on Financial Performance and Project Risk Characteristics</w:t>
            </w:r>
            <w:r>
              <w:rPr>
                <w:noProof/>
                <w:webHidden/>
              </w:rPr>
              <w:tab/>
            </w:r>
            <w:r>
              <w:rPr>
                <w:noProof/>
                <w:webHidden/>
              </w:rPr>
              <w:fldChar w:fldCharType="begin"/>
            </w:r>
            <w:r>
              <w:rPr>
                <w:noProof/>
                <w:webHidden/>
              </w:rPr>
              <w:instrText xml:space="preserve"> PAGEREF _Toc217246593 \h </w:instrText>
            </w:r>
            <w:r>
              <w:rPr>
                <w:noProof/>
                <w:webHidden/>
              </w:rPr>
            </w:r>
            <w:r>
              <w:rPr>
                <w:noProof/>
                <w:webHidden/>
              </w:rPr>
              <w:fldChar w:fldCharType="separate"/>
            </w:r>
            <w:r>
              <w:rPr>
                <w:noProof/>
                <w:webHidden/>
              </w:rPr>
              <w:t>20</w:t>
            </w:r>
            <w:r>
              <w:rPr>
                <w:noProof/>
                <w:webHidden/>
              </w:rPr>
              <w:fldChar w:fldCharType="end"/>
            </w:r>
          </w:hyperlink>
        </w:p>
        <w:p w14:paraId="2D66815C" w14:textId="56EA82D8"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94" w:history="1">
            <w:r w:rsidRPr="005C7D90">
              <w:rPr>
                <w:rStyle w:val="Hyperlink"/>
                <w:rFonts w:cs="Arial"/>
                <w:noProof/>
              </w:rPr>
              <w:t>5.0 Conclusion</w:t>
            </w:r>
            <w:r>
              <w:rPr>
                <w:noProof/>
                <w:webHidden/>
              </w:rPr>
              <w:tab/>
            </w:r>
            <w:r>
              <w:rPr>
                <w:noProof/>
                <w:webHidden/>
              </w:rPr>
              <w:fldChar w:fldCharType="begin"/>
            </w:r>
            <w:r>
              <w:rPr>
                <w:noProof/>
                <w:webHidden/>
              </w:rPr>
              <w:instrText xml:space="preserve"> PAGEREF _Toc217246594 \h </w:instrText>
            </w:r>
            <w:r>
              <w:rPr>
                <w:noProof/>
                <w:webHidden/>
              </w:rPr>
            </w:r>
            <w:r>
              <w:rPr>
                <w:noProof/>
                <w:webHidden/>
              </w:rPr>
              <w:fldChar w:fldCharType="separate"/>
            </w:r>
            <w:r>
              <w:rPr>
                <w:noProof/>
                <w:webHidden/>
              </w:rPr>
              <w:t>20</w:t>
            </w:r>
            <w:r>
              <w:rPr>
                <w:noProof/>
                <w:webHidden/>
              </w:rPr>
              <w:fldChar w:fldCharType="end"/>
            </w:r>
          </w:hyperlink>
        </w:p>
        <w:p w14:paraId="507D7B17" w14:textId="107700C9"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95" w:history="1">
            <w:r w:rsidRPr="005C7D90">
              <w:rPr>
                <w:rStyle w:val="Hyperlink"/>
                <w:rFonts w:cs="Arial"/>
                <w:noProof/>
              </w:rPr>
              <w:t>6.0 References</w:t>
            </w:r>
            <w:r>
              <w:rPr>
                <w:noProof/>
                <w:webHidden/>
              </w:rPr>
              <w:tab/>
            </w:r>
            <w:r>
              <w:rPr>
                <w:noProof/>
                <w:webHidden/>
              </w:rPr>
              <w:fldChar w:fldCharType="begin"/>
            </w:r>
            <w:r>
              <w:rPr>
                <w:noProof/>
                <w:webHidden/>
              </w:rPr>
              <w:instrText xml:space="preserve"> PAGEREF _Toc217246595 \h </w:instrText>
            </w:r>
            <w:r>
              <w:rPr>
                <w:noProof/>
                <w:webHidden/>
              </w:rPr>
            </w:r>
            <w:r>
              <w:rPr>
                <w:noProof/>
                <w:webHidden/>
              </w:rPr>
              <w:fldChar w:fldCharType="separate"/>
            </w:r>
            <w:r>
              <w:rPr>
                <w:noProof/>
                <w:webHidden/>
              </w:rPr>
              <w:t>22</w:t>
            </w:r>
            <w:r>
              <w:rPr>
                <w:noProof/>
                <w:webHidden/>
              </w:rPr>
              <w:fldChar w:fldCharType="end"/>
            </w:r>
          </w:hyperlink>
        </w:p>
        <w:p w14:paraId="78E804EF" w14:textId="1F7C8A77" w:rsidR="0089212B" w:rsidRDefault="0089212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7246596" w:history="1">
            <w:r w:rsidRPr="005C7D90">
              <w:rPr>
                <w:rStyle w:val="Hyperlink"/>
                <w:noProof/>
              </w:rPr>
              <w:t>7.0 Appendices</w:t>
            </w:r>
            <w:r>
              <w:rPr>
                <w:noProof/>
                <w:webHidden/>
              </w:rPr>
              <w:tab/>
            </w:r>
            <w:r>
              <w:rPr>
                <w:noProof/>
                <w:webHidden/>
              </w:rPr>
              <w:fldChar w:fldCharType="begin"/>
            </w:r>
            <w:r>
              <w:rPr>
                <w:noProof/>
                <w:webHidden/>
              </w:rPr>
              <w:instrText xml:space="preserve"> PAGEREF _Toc217246596 \h </w:instrText>
            </w:r>
            <w:r>
              <w:rPr>
                <w:noProof/>
                <w:webHidden/>
              </w:rPr>
            </w:r>
            <w:r>
              <w:rPr>
                <w:noProof/>
                <w:webHidden/>
              </w:rPr>
              <w:fldChar w:fldCharType="separate"/>
            </w:r>
            <w:r>
              <w:rPr>
                <w:noProof/>
                <w:webHidden/>
              </w:rPr>
              <w:t>25</w:t>
            </w:r>
            <w:r>
              <w:rPr>
                <w:noProof/>
                <w:webHidden/>
              </w:rPr>
              <w:fldChar w:fldCharType="end"/>
            </w:r>
          </w:hyperlink>
        </w:p>
        <w:p w14:paraId="78122E05" w14:textId="1DB7F7D3"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597" w:history="1">
            <w:r w:rsidRPr="005C7D90">
              <w:rPr>
                <w:rStyle w:val="Hyperlink"/>
                <w:rFonts w:cs="Arial"/>
                <w:noProof/>
              </w:rPr>
              <w:t>Appendix A: Detailed Ratio Calculations</w:t>
            </w:r>
            <w:r>
              <w:rPr>
                <w:noProof/>
                <w:webHidden/>
              </w:rPr>
              <w:tab/>
            </w:r>
            <w:r>
              <w:rPr>
                <w:noProof/>
                <w:webHidden/>
              </w:rPr>
              <w:fldChar w:fldCharType="begin"/>
            </w:r>
            <w:r>
              <w:rPr>
                <w:noProof/>
                <w:webHidden/>
              </w:rPr>
              <w:instrText xml:space="preserve"> PAGEREF _Toc217246597 \h </w:instrText>
            </w:r>
            <w:r>
              <w:rPr>
                <w:noProof/>
                <w:webHidden/>
              </w:rPr>
            </w:r>
            <w:r>
              <w:rPr>
                <w:noProof/>
                <w:webHidden/>
              </w:rPr>
              <w:fldChar w:fldCharType="separate"/>
            </w:r>
            <w:r>
              <w:rPr>
                <w:noProof/>
                <w:webHidden/>
              </w:rPr>
              <w:t>25</w:t>
            </w:r>
            <w:r>
              <w:rPr>
                <w:noProof/>
                <w:webHidden/>
              </w:rPr>
              <w:fldChar w:fldCharType="end"/>
            </w:r>
          </w:hyperlink>
        </w:p>
        <w:p w14:paraId="6C7C76EA" w14:textId="01D2523F"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98" w:history="1">
            <w:r w:rsidRPr="005C7D90">
              <w:rPr>
                <w:rStyle w:val="Hyperlink"/>
                <w:rFonts w:cs="Arial"/>
                <w:noProof/>
              </w:rPr>
              <w:t>Table A1: Profitability Ratios (2020–2024)</w:t>
            </w:r>
            <w:r>
              <w:rPr>
                <w:noProof/>
                <w:webHidden/>
              </w:rPr>
              <w:tab/>
            </w:r>
            <w:r>
              <w:rPr>
                <w:noProof/>
                <w:webHidden/>
              </w:rPr>
              <w:fldChar w:fldCharType="begin"/>
            </w:r>
            <w:r>
              <w:rPr>
                <w:noProof/>
                <w:webHidden/>
              </w:rPr>
              <w:instrText xml:space="preserve"> PAGEREF _Toc217246598 \h </w:instrText>
            </w:r>
            <w:r>
              <w:rPr>
                <w:noProof/>
                <w:webHidden/>
              </w:rPr>
            </w:r>
            <w:r>
              <w:rPr>
                <w:noProof/>
                <w:webHidden/>
              </w:rPr>
              <w:fldChar w:fldCharType="separate"/>
            </w:r>
            <w:r>
              <w:rPr>
                <w:noProof/>
                <w:webHidden/>
              </w:rPr>
              <w:t>25</w:t>
            </w:r>
            <w:r>
              <w:rPr>
                <w:noProof/>
                <w:webHidden/>
              </w:rPr>
              <w:fldChar w:fldCharType="end"/>
            </w:r>
          </w:hyperlink>
        </w:p>
        <w:p w14:paraId="7DEAEE02" w14:textId="1CC007C2"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599" w:history="1">
            <w:r w:rsidRPr="005C7D90">
              <w:rPr>
                <w:rStyle w:val="Hyperlink"/>
                <w:rFonts w:cs="Arial"/>
                <w:noProof/>
              </w:rPr>
              <w:t>Table A2: Liquidity Ratios (2020–2024)</w:t>
            </w:r>
            <w:r>
              <w:rPr>
                <w:noProof/>
                <w:webHidden/>
              </w:rPr>
              <w:tab/>
            </w:r>
            <w:r>
              <w:rPr>
                <w:noProof/>
                <w:webHidden/>
              </w:rPr>
              <w:fldChar w:fldCharType="begin"/>
            </w:r>
            <w:r>
              <w:rPr>
                <w:noProof/>
                <w:webHidden/>
              </w:rPr>
              <w:instrText xml:space="preserve"> PAGEREF _Toc217246599 \h </w:instrText>
            </w:r>
            <w:r>
              <w:rPr>
                <w:noProof/>
                <w:webHidden/>
              </w:rPr>
            </w:r>
            <w:r>
              <w:rPr>
                <w:noProof/>
                <w:webHidden/>
              </w:rPr>
              <w:fldChar w:fldCharType="separate"/>
            </w:r>
            <w:r>
              <w:rPr>
                <w:noProof/>
                <w:webHidden/>
              </w:rPr>
              <w:t>27</w:t>
            </w:r>
            <w:r>
              <w:rPr>
                <w:noProof/>
                <w:webHidden/>
              </w:rPr>
              <w:fldChar w:fldCharType="end"/>
            </w:r>
          </w:hyperlink>
        </w:p>
        <w:p w14:paraId="38B9BE6F" w14:textId="3E446A09"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0" w:history="1">
            <w:r w:rsidRPr="005C7D90">
              <w:rPr>
                <w:rStyle w:val="Hyperlink"/>
                <w:rFonts w:cs="Arial"/>
                <w:noProof/>
              </w:rPr>
              <w:t>Table A3: Efficiency Ratios (2020–2024)</w:t>
            </w:r>
            <w:r>
              <w:rPr>
                <w:noProof/>
                <w:webHidden/>
              </w:rPr>
              <w:tab/>
            </w:r>
            <w:r>
              <w:rPr>
                <w:noProof/>
                <w:webHidden/>
              </w:rPr>
              <w:fldChar w:fldCharType="begin"/>
            </w:r>
            <w:r>
              <w:rPr>
                <w:noProof/>
                <w:webHidden/>
              </w:rPr>
              <w:instrText xml:space="preserve"> PAGEREF _Toc217246600 \h </w:instrText>
            </w:r>
            <w:r>
              <w:rPr>
                <w:noProof/>
                <w:webHidden/>
              </w:rPr>
            </w:r>
            <w:r>
              <w:rPr>
                <w:noProof/>
                <w:webHidden/>
              </w:rPr>
              <w:fldChar w:fldCharType="separate"/>
            </w:r>
            <w:r>
              <w:rPr>
                <w:noProof/>
                <w:webHidden/>
              </w:rPr>
              <w:t>28</w:t>
            </w:r>
            <w:r>
              <w:rPr>
                <w:noProof/>
                <w:webHidden/>
              </w:rPr>
              <w:fldChar w:fldCharType="end"/>
            </w:r>
          </w:hyperlink>
        </w:p>
        <w:p w14:paraId="48CB7DF8" w14:textId="076B7D59"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1" w:history="1">
            <w:r w:rsidRPr="005C7D90">
              <w:rPr>
                <w:rStyle w:val="Hyperlink"/>
                <w:rFonts w:cs="Arial"/>
                <w:noProof/>
              </w:rPr>
              <w:t>Table A4: Gearing Ratios (2020–2024)</w:t>
            </w:r>
            <w:r>
              <w:rPr>
                <w:noProof/>
                <w:webHidden/>
              </w:rPr>
              <w:tab/>
            </w:r>
            <w:r>
              <w:rPr>
                <w:noProof/>
                <w:webHidden/>
              </w:rPr>
              <w:fldChar w:fldCharType="begin"/>
            </w:r>
            <w:r>
              <w:rPr>
                <w:noProof/>
                <w:webHidden/>
              </w:rPr>
              <w:instrText xml:space="preserve"> PAGEREF _Toc217246601 \h </w:instrText>
            </w:r>
            <w:r>
              <w:rPr>
                <w:noProof/>
                <w:webHidden/>
              </w:rPr>
            </w:r>
            <w:r>
              <w:rPr>
                <w:noProof/>
                <w:webHidden/>
              </w:rPr>
              <w:fldChar w:fldCharType="separate"/>
            </w:r>
            <w:r>
              <w:rPr>
                <w:noProof/>
                <w:webHidden/>
              </w:rPr>
              <w:t>29</w:t>
            </w:r>
            <w:r>
              <w:rPr>
                <w:noProof/>
                <w:webHidden/>
              </w:rPr>
              <w:fldChar w:fldCharType="end"/>
            </w:r>
          </w:hyperlink>
        </w:p>
        <w:p w14:paraId="41AC5E2C" w14:textId="4140D0E8"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2" w:history="1">
            <w:r w:rsidRPr="005C7D90">
              <w:rPr>
                <w:rStyle w:val="Hyperlink"/>
                <w:rFonts w:cs="Arial"/>
                <w:noProof/>
              </w:rPr>
              <w:t>Table A5: Investment Ratios (2020–2024)</w:t>
            </w:r>
            <w:r>
              <w:rPr>
                <w:noProof/>
                <w:webHidden/>
              </w:rPr>
              <w:tab/>
            </w:r>
            <w:r>
              <w:rPr>
                <w:noProof/>
                <w:webHidden/>
              </w:rPr>
              <w:fldChar w:fldCharType="begin"/>
            </w:r>
            <w:r>
              <w:rPr>
                <w:noProof/>
                <w:webHidden/>
              </w:rPr>
              <w:instrText xml:space="preserve"> PAGEREF _Toc217246602 \h </w:instrText>
            </w:r>
            <w:r>
              <w:rPr>
                <w:noProof/>
                <w:webHidden/>
              </w:rPr>
            </w:r>
            <w:r>
              <w:rPr>
                <w:noProof/>
                <w:webHidden/>
              </w:rPr>
              <w:fldChar w:fldCharType="separate"/>
            </w:r>
            <w:r>
              <w:rPr>
                <w:noProof/>
                <w:webHidden/>
              </w:rPr>
              <w:t>31</w:t>
            </w:r>
            <w:r>
              <w:rPr>
                <w:noProof/>
                <w:webHidden/>
              </w:rPr>
              <w:fldChar w:fldCharType="end"/>
            </w:r>
          </w:hyperlink>
        </w:p>
        <w:p w14:paraId="0CA597FA" w14:textId="540B5880"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3" w:history="1">
            <w:r w:rsidRPr="005C7D90">
              <w:rPr>
                <w:rStyle w:val="Hyperlink"/>
                <w:rFonts w:cs="Arial"/>
                <w:noProof/>
              </w:rPr>
              <w:t>Table A6: Cash Flow Ratios (2020–2024)</w:t>
            </w:r>
            <w:r>
              <w:rPr>
                <w:noProof/>
                <w:webHidden/>
              </w:rPr>
              <w:tab/>
            </w:r>
            <w:r>
              <w:rPr>
                <w:noProof/>
                <w:webHidden/>
              </w:rPr>
              <w:fldChar w:fldCharType="begin"/>
            </w:r>
            <w:r>
              <w:rPr>
                <w:noProof/>
                <w:webHidden/>
              </w:rPr>
              <w:instrText xml:space="preserve"> PAGEREF _Toc217246603 \h </w:instrText>
            </w:r>
            <w:r>
              <w:rPr>
                <w:noProof/>
                <w:webHidden/>
              </w:rPr>
            </w:r>
            <w:r>
              <w:rPr>
                <w:noProof/>
                <w:webHidden/>
              </w:rPr>
              <w:fldChar w:fldCharType="separate"/>
            </w:r>
            <w:r>
              <w:rPr>
                <w:noProof/>
                <w:webHidden/>
              </w:rPr>
              <w:t>32</w:t>
            </w:r>
            <w:r>
              <w:rPr>
                <w:noProof/>
                <w:webHidden/>
              </w:rPr>
              <w:fldChar w:fldCharType="end"/>
            </w:r>
          </w:hyperlink>
        </w:p>
        <w:p w14:paraId="47C40B11" w14:textId="3BE3DA3E"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4" w:history="1">
            <w:r w:rsidRPr="005C7D90">
              <w:rPr>
                <w:rStyle w:val="Hyperlink"/>
                <w:rFonts w:cs="Arial"/>
                <w:noProof/>
              </w:rPr>
              <w:t>Table A7: Altman Z-Score Calculation (2020–2024)</w:t>
            </w:r>
            <w:r>
              <w:rPr>
                <w:noProof/>
                <w:webHidden/>
              </w:rPr>
              <w:tab/>
            </w:r>
            <w:r>
              <w:rPr>
                <w:noProof/>
                <w:webHidden/>
              </w:rPr>
              <w:fldChar w:fldCharType="begin"/>
            </w:r>
            <w:r>
              <w:rPr>
                <w:noProof/>
                <w:webHidden/>
              </w:rPr>
              <w:instrText xml:space="preserve"> PAGEREF _Toc217246604 \h </w:instrText>
            </w:r>
            <w:r>
              <w:rPr>
                <w:noProof/>
                <w:webHidden/>
              </w:rPr>
            </w:r>
            <w:r>
              <w:rPr>
                <w:noProof/>
                <w:webHidden/>
              </w:rPr>
              <w:fldChar w:fldCharType="separate"/>
            </w:r>
            <w:r>
              <w:rPr>
                <w:noProof/>
                <w:webHidden/>
              </w:rPr>
              <w:t>33</w:t>
            </w:r>
            <w:r>
              <w:rPr>
                <w:noProof/>
                <w:webHidden/>
              </w:rPr>
              <w:fldChar w:fldCharType="end"/>
            </w:r>
          </w:hyperlink>
        </w:p>
        <w:p w14:paraId="46E95C53" w14:textId="2013B6EC"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605" w:history="1">
            <w:r w:rsidRPr="005C7D90">
              <w:rPr>
                <w:rStyle w:val="Hyperlink"/>
                <w:rFonts w:cs="Arial"/>
                <w:noProof/>
              </w:rPr>
              <w:t>Appendix B: Working Capital Calculations</w:t>
            </w:r>
            <w:r>
              <w:rPr>
                <w:noProof/>
                <w:webHidden/>
              </w:rPr>
              <w:tab/>
            </w:r>
            <w:r>
              <w:rPr>
                <w:noProof/>
                <w:webHidden/>
              </w:rPr>
              <w:fldChar w:fldCharType="begin"/>
            </w:r>
            <w:r>
              <w:rPr>
                <w:noProof/>
                <w:webHidden/>
              </w:rPr>
              <w:instrText xml:space="preserve"> PAGEREF _Toc217246605 \h </w:instrText>
            </w:r>
            <w:r>
              <w:rPr>
                <w:noProof/>
                <w:webHidden/>
              </w:rPr>
            </w:r>
            <w:r>
              <w:rPr>
                <w:noProof/>
                <w:webHidden/>
              </w:rPr>
              <w:fldChar w:fldCharType="separate"/>
            </w:r>
            <w:r>
              <w:rPr>
                <w:noProof/>
                <w:webHidden/>
              </w:rPr>
              <w:t>34</w:t>
            </w:r>
            <w:r>
              <w:rPr>
                <w:noProof/>
                <w:webHidden/>
              </w:rPr>
              <w:fldChar w:fldCharType="end"/>
            </w:r>
          </w:hyperlink>
        </w:p>
        <w:p w14:paraId="0187AB22" w14:textId="2A1340CD"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6" w:history="1">
            <w:r w:rsidRPr="005C7D90">
              <w:rPr>
                <w:rStyle w:val="Hyperlink"/>
                <w:rFonts w:cs="Arial"/>
                <w:noProof/>
              </w:rPr>
              <w:t>Table B1: Cash Operating Cycle Components (Days)</w:t>
            </w:r>
            <w:r>
              <w:rPr>
                <w:noProof/>
                <w:webHidden/>
              </w:rPr>
              <w:tab/>
            </w:r>
            <w:r>
              <w:rPr>
                <w:noProof/>
                <w:webHidden/>
              </w:rPr>
              <w:fldChar w:fldCharType="begin"/>
            </w:r>
            <w:r>
              <w:rPr>
                <w:noProof/>
                <w:webHidden/>
              </w:rPr>
              <w:instrText xml:space="preserve"> PAGEREF _Toc217246606 \h </w:instrText>
            </w:r>
            <w:r>
              <w:rPr>
                <w:noProof/>
                <w:webHidden/>
              </w:rPr>
            </w:r>
            <w:r>
              <w:rPr>
                <w:noProof/>
                <w:webHidden/>
              </w:rPr>
              <w:fldChar w:fldCharType="separate"/>
            </w:r>
            <w:r>
              <w:rPr>
                <w:noProof/>
                <w:webHidden/>
              </w:rPr>
              <w:t>34</w:t>
            </w:r>
            <w:r>
              <w:rPr>
                <w:noProof/>
                <w:webHidden/>
              </w:rPr>
              <w:fldChar w:fldCharType="end"/>
            </w:r>
          </w:hyperlink>
        </w:p>
        <w:p w14:paraId="4CBCD5B2" w14:textId="6E8374ED" w:rsidR="0089212B" w:rsidRDefault="0089212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7246607" w:history="1">
            <w:r w:rsidRPr="005C7D90">
              <w:rPr>
                <w:rStyle w:val="Hyperlink"/>
                <w:rFonts w:cs="Arial"/>
                <w:noProof/>
              </w:rPr>
              <w:t>Appendix C: Investment Appraisal and Capital Budgeting Calculations</w:t>
            </w:r>
            <w:r>
              <w:rPr>
                <w:noProof/>
                <w:webHidden/>
              </w:rPr>
              <w:tab/>
            </w:r>
            <w:r>
              <w:rPr>
                <w:noProof/>
                <w:webHidden/>
              </w:rPr>
              <w:fldChar w:fldCharType="begin"/>
            </w:r>
            <w:r>
              <w:rPr>
                <w:noProof/>
                <w:webHidden/>
              </w:rPr>
              <w:instrText xml:space="preserve"> PAGEREF _Toc217246607 \h </w:instrText>
            </w:r>
            <w:r>
              <w:rPr>
                <w:noProof/>
                <w:webHidden/>
              </w:rPr>
            </w:r>
            <w:r>
              <w:rPr>
                <w:noProof/>
                <w:webHidden/>
              </w:rPr>
              <w:fldChar w:fldCharType="separate"/>
            </w:r>
            <w:r>
              <w:rPr>
                <w:noProof/>
                <w:webHidden/>
              </w:rPr>
              <w:t>35</w:t>
            </w:r>
            <w:r>
              <w:rPr>
                <w:noProof/>
                <w:webHidden/>
              </w:rPr>
              <w:fldChar w:fldCharType="end"/>
            </w:r>
          </w:hyperlink>
        </w:p>
        <w:p w14:paraId="035EFD2A" w14:textId="09C08B0A"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8" w:history="1">
            <w:r w:rsidRPr="005C7D90">
              <w:rPr>
                <w:rStyle w:val="Hyperlink"/>
                <w:rFonts w:cs="Arial"/>
                <w:noProof/>
              </w:rPr>
              <w:t>Table C1: Payback Period (PBP) Calculations</w:t>
            </w:r>
            <w:r>
              <w:rPr>
                <w:noProof/>
                <w:webHidden/>
              </w:rPr>
              <w:tab/>
            </w:r>
            <w:r>
              <w:rPr>
                <w:noProof/>
                <w:webHidden/>
              </w:rPr>
              <w:fldChar w:fldCharType="begin"/>
            </w:r>
            <w:r>
              <w:rPr>
                <w:noProof/>
                <w:webHidden/>
              </w:rPr>
              <w:instrText xml:space="preserve"> PAGEREF _Toc217246608 \h </w:instrText>
            </w:r>
            <w:r>
              <w:rPr>
                <w:noProof/>
                <w:webHidden/>
              </w:rPr>
            </w:r>
            <w:r>
              <w:rPr>
                <w:noProof/>
                <w:webHidden/>
              </w:rPr>
              <w:fldChar w:fldCharType="separate"/>
            </w:r>
            <w:r>
              <w:rPr>
                <w:noProof/>
                <w:webHidden/>
              </w:rPr>
              <w:t>35</w:t>
            </w:r>
            <w:r>
              <w:rPr>
                <w:noProof/>
                <w:webHidden/>
              </w:rPr>
              <w:fldChar w:fldCharType="end"/>
            </w:r>
          </w:hyperlink>
        </w:p>
        <w:p w14:paraId="6E22D79F" w14:textId="0D97D95B"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09" w:history="1">
            <w:r w:rsidRPr="005C7D90">
              <w:rPr>
                <w:rStyle w:val="Hyperlink"/>
                <w:rFonts w:eastAsia="Times New Roman" w:cs="Arial"/>
                <w:noProof/>
                <w:lang w:val="en-US"/>
              </w:rPr>
              <w:t>Table C2: Annual Percentage Rate (APR)</w:t>
            </w:r>
            <w:r>
              <w:rPr>
                <w:noProof/>
                <w:webHidden/>
              </w:rPr>
              <w:tab/>
            </w:r>
            <w:r>
              <w:rPr>
                <w:noProof/>
                <w:webHidden/>
              </w:rPr>
              <w:fldChar w:fldCharType="begin"/>
            </w:r>
            <w:r>
              <w:rPr>
                <w:noProof/>
                <w:webHidden/>
              </w:rPr>
              <w:instrText xml:space="preserve"> PAGEREF _Toc217246609 \h </w:instrText>
            </w:r>
            <w:r>
              <w:rPr>
                <w:noProof/>
                <w:webHidden/>
              </w:rPr>
            </w:r>
            <w:r>
              <w:rPr>
                <w:noProof/>
                <w:webHidden/>
              </w:rPr>
              <w:fldChar w:fldCharType="separate"/>
            </w:r>
            <w:r>
              <w:rPr>
                <w:noProof/>
                <w:webHidden/>
              </w:rPr>
              <w:t>36</w:t>
            </w:r>
            <w:r>
              <w:rPr>
                <w:noProof/>
                <w:webHidden/>
              </w:rPr>
              <w:fldChar w:fldCharType="end"/>
            </w:r>
          </w:hyperlink>
        </w:p>
        <w:p w14:paraId="49B6E4C6" w14:textId="0E0CB41B"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10" w:history="1">
            <w:r w:rsidRPr="005C7D90">
              <w:rPr>
                <w:rStyle w:val="Hyperlink"/>
                <w:rFonts w:eastAsia="Times New Roman" w:cs="Arial"/>
                <w:noProof/>
                <w:lang w:val="en-US"/>
              </w:rPr>
              <w:t>Table C3: Net Present Value (NPV) Calculations (10% Discount Rate)</w:t>
            </w:r>
            <w:r>
              <w:rPr>
                <w:noProof/>
                <w:webHidden/>
              </w:rPr>
              <w:tab/>
            </w:r>
            <w:r>
              <w:rPr>
                <w:noProof/>
                <w:webHidden/>
              </w:rPr>
              <w:fldChar w:fldCharType="begin"/>
            </w:r>
            <w:r>
              <w:rPr>
                <w:noProof/>
                <w:webHidden/>
              </w:rPr>
              <w:instrText xml:space="preserve"> PAGEREF _Toc217246610 \h </w:instrText>
            </w:r>
            <w:r>
              <w:rPr>
                <w:noProof/>
                <w:webHidden/>
              </w:rPr>
            </w:r>
            <w:r>
              <w:rPr>
                <w:noProof/>
                <w:webHidden/>
              </w:rPr>
              <w:fldChar w:fldCharType="separate"/>
            </w:r>
            <w:r>
              <w:rPr>
                <w:noProof/>
                <w:webHidden/>
              </w:rPr>
              <w:t>37</w:t>
            </w:r>
            <w:r>
              <w:rPr>
                <w:noProof/>
                <w:webHidden/>
              </w:rPr>
              <w:fldChar w:fldCharType="end"/>
            </w:r>
          </w:hyperlink>
        </w:p>
        <w:p w14:paraId="08735D12" w14:textId="20422641"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11" w:history="1">
            <w:r w:rsidRPr="005C7D90">
              <w:rPr>
                <w:rStyle w:val="Hyperlink"/>
                <w:rFonts w:cs="Arial"/>
                <w:noProof/>
              </w:rPr>
              <w:t>Table C4: Internal Rate of Return (IRR)</w:t>
            </w:r>
            <w:r>
              <w:rPr>
                <w:noProof/>
                <w:webHidden/>
              </w:rPr>
              <w:tab/>
            </w:r>
            <w:r>
              <w:rPr>
                <w:noProof/>
                <w:webHidden/>
              </w:rPr>
              <w:fldChar w:fldCharType="begin"/>
            </w:r>
            <w:r>
              <w:rPr>
                <w:noProof/>
                <w:webHidden/>
              </w:rPr>
              <w:instrText xml:space="preserve"> PAGEREF _Toc217246611 \h </w:instrText>
            </w:r>
            <w:r>
              <w:rPr>
                <w:noProof/>
                <w:webHidden/>
              </w:rPr>
            </w:r>
            <w:r>
              <w:rPr>
                <w:noProof/>
                <w:webHidden/>
              </w:rPr>
              <w:fldChar w:fldCharType="separate"/>
            </w:r>
            <w:r>
              <w:rPr>
                <w:noProof/>
                <w:webHidden/>
              </w:rPr>
              <w:t>37</w:t>
            </w:r>
            <w:r>
              <w:rPr>
                <w:noProof/>
                <w:webHidden/>
              </w:rPr>
              <w:fldChar w:fldCharType="end"/>
            </w:r>
          </w:hyperlink>
        </w:p>
        <w:p w14:paraId="4CC6268C" w14:textId="4FCC4F8C" w:rsidR="0089212B" w:rsidRDefault="0089212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7246612" w:history="1">
            <w:r w:rsidRPr="005C7D90">
              <w:rPr>
                <w:rStyle w:val="Hyperlink"/>
                <w:rFonts w:cs="Arial"/>
                <w:noProof/>
              </w:rPr>
              <w:t>Table C5: Profitability Index (PI) Calculations</w:t>
            </w:r>
            <w:r>
              <w:rPr>
                <w:noProof/>
                <w:webHidden/>
              </w:rPr>
              <w:tab/>
            </w:r>
            <w:r>
              <w:rPr>
                <w:noProof/>
                <w:webHidden/>
              </w:rPr>
              <w:fldChar w:fldCharType="begin"/>
            </w:r>
            <w:r>
              <w:rPr>
                <w:noProof/>
                <w:webHidden/>
              </w:rPr>
              <w:instrText xml:space="preserve"> PAGEREF _Toc217246612 \h </w:instrText>
            </w:r>
            <w:r>
              <w:rPr>
                <w:noProof/>
                <w:webHidden/>
              </w:rPr>
            </w:r>
            <w:r>
              <w:rPr>
                <w:noProof/>
                <w:webHidden/>
              </w:rPr>
              <w:fldChar w:fldCharType="separate"/>
            </w:r>
            <w:r>
              <w:rPr>
                <w:noProof/>
                <w:webHidden/>
              </w:rPr>
              <w:t>38</w:t>
            </w:r>
            <w:r>
              <w:rPr>
                <w:noProof/>
                <w:webHidden/>
              </w:rPr>
              <w:fldChar w:fldCharType="end"/>
            </w:r>
          </w:hyperlink>
        </w:p>
        <w:p w14:paraId="7A401ABA" w14:textId="68C1ACBD" w:rsidR="00AD1754" w:rsidRPr="00D343CC" w:rsidRDefault="00AD1754" w:rsidP="000E65AF">
          <w:pPr>
            <w:rPr>
              <w:rFonts w:cs="Arial"/>
            </w:rPr>
          </w:pPr>
          <w:r w:rsidRPr="00D343CC">
            <w:rPr>
              <w:rFonts w:cs="Arial"/>
              <w:b/>
              <w:bCs/>
              <w:noProof/>
            </w:rPr>
            <w:fldChar w:fldCharType="end"/>
          </w:r>
        </w:p>
      </w:sdtContent>
    </w:sdt>
    <w:p w14:paraId="435839F6" w14:textId="77777777" w:rsidR="00990E6A" w:rsidRPr="00D343CC" w:rsidRDefault="00990E6A" w:rsidP="000E65AF">
      <w:pPr>
        <w:rPr>
          <w:rFonts w:cs="Arial"/>
        </w:rPr>
      </w:pPr>
      <w:r w:rsidRPr="00D343CC">
        <w:rPr>
          <w:rFonts w:cs="Arial"/>
        </w:rPr>
        <w:br w:type="page"/>
      </w:r>
    </w:p>
    <w:p w14:paraId="648095F2" w14:textId="6C9DD012" w:rsidR="000E65AF" w:rsidRPr="00D343CC" w:rsidRDefault="000E65AF" w:rsidP="008C353B">
      <w:pPr>
        <w:jc w:val="center"/>
        <w:rPr>
          <w:rFonts w:cs="Arial"/>
          <w:b/>
          <w:bCs/>
        </w:rPr>
      </w:pPr>
      <w:r w:rsidRPr="00D343CC">
        <w:rPr>
          <w:rFonts w:cs="Arial"/>
          <w:b/>
          <w:bCs/>
        </w:rPr>
        <w:lastRenderedPageBreak/>
        <w:t>List of Figures</w:t>
      </w:r>
    </w:p>
    <w:p w14:paraId="06040596" w14:textId="0AF2E428"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r>
        <w:rPr>
          <w:rFonts w:cs="Arial"/>
        </w:rPr>
        <w:fldChar w:fldCharType="begin"/>
      </w:r>
      <w:r>
        <w:rPr>
          <w:rFonts w:cs="Arial"/>
        </w:rPr>
        <w:instrText xml:space="preserve"> TOC \h \z \c "Figure" </w:instrText>
      </w:r>
      <w:r>
        <w:rPr>
          <w:rFonts w:cs="Arial"/>
        </w:rPr>
        <w:fldChar w:fldCharType="separate"/>
      </w:r>
      <w:hyperlink w:anchor="_Toc217246620" w:history="1">
        <w:r w:rsidRPr="00A6600B">
          <w:rPr>
            <w:rStyle w:val="Hyperlink"/>
            <w:noProof/>
          </w:rPr>
          <w:t>Figure 1 Global Consumer Electronics Market Size; Source: (Fortune Business Insights, 2021)</w:t>
        </w:r>
        <w:r>
          <w:rPr>
            <w:noProof/>
            <w:webHidden/>
          </w:rPr>
          <w:tab/>
        </w:r>
        <w:r>
          <w:rPr>
            <w:noProof/>
            <w:webHidden/>
          </w:rPr>
          <w:fldChar w:fldCharType="begin"/>
        </w:r>
        <w:r>
          <w:rPr>
            <w:noProof/>
            <w:webHidden/>
          </w:rPr>
          <w:instrText xml:space="preserve"> PAGEREF _Toc217246620 \h </w:instrText>
        </w:r>
        <w:r>
          <w:rPr>
            <w:noProof/>
            <w:webHidden/>
          </w:rPr>
        </w:r>
        <w:r>
          <w:rPr>
            <w:noProof/>
            <w:webHidden/>
          </w:rPr>
          <w:fldChar w:fldCharType="separate"/>
        </w:r>
        <w:r>
          <w:rPr>
            <w:noProof/>
            <w:webHidden/>
          </w:rPr>
          <w:t>26</w:t>
        </w:r>
        <w:r>
          <w:rPr>
            <w:noProof/>
            <w:webHidden/>
          </w:rPr>
          <w:fldChar w:fldCharType="end"/>
        </w:r>
      </w:hyperlink>
    </w:p>
    <w:p w14:paraId="6357051C" w14:textId="182872D8"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hyperlink w:anchor="_Toc217246621" w:history="1">
        <w:r w:rsidRPr="00A6600B">
          <w:rPr>
            <w:rStyle w:val="Hyperlink"/>
            <w:rFonts w:cs="Arial"/>
            <w:noProof/>
          </w:rPr>
          <w:t xml:space="preserve">Figure 2 </w:t>
        </w:r>
        <w:r w:rsidRPr="00A6600B">
          <w:rPr>
            <w:rStyle w:val="Hyperlink"/>
            <w:rFonts w:cs="Arial"/>
            <w:noProof/>
            <w:lang w:val="en-US"/>
          </w:rPr>
          <w:t>Profitability Ratio Comparison (Self-Prepared)</w:t>
        </w:r>
        <w:r>
          <w:rPr>
            <w:noProof/>
            <w:webHidden/>
          </w:rPr>
          <w:tab/>
        </w:r>
        <w:r>
          <w:rPr>
            <w:noProof/>
            <w:webHidden/>
          </w:rPr>
          <w:fldChar w:fldCharType="begin"/>
        </w:r>
        <w:r>
          <w:rPr>
            <w:noProof/>
            <w:webHidden/>
          </w:rPr>
          <w:instrText xml:space="preserve"> PAGEREF _Toc217246621 \h </w:instrText>
        </w:r>
        <w:r>
          <w:rPr>
            <w:noProof/>
            <w:webHidden/>
          </w:rPr>
        </w:r>
        <w:r>
          <w:rPr>
            <w:noProof/>
            <w:webHidden/>
          </w:rPr>
          <w:fldChar w:fldCharType="separate"/>
        </w:r>
        <w:r>
          <w:rPr>
            <w:noProof/>
            <w:webHidden/>
          </w:rPr>
          <w:t>28</w:t>
        </w:r>
        <w:r>
          <w:rPr>
            <w:noProof/>
            <w:webHidden/>
          </w:rPr>
          <w:fldChar w:fldCharType="end"/>
        </w:r>
      </w:hyperlink>
    </w:p>
    <w:p w14:paraId="1C6BF72A" w14:textId="644DB841"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hyperlink w:anchor="_Toc217246622" w:history="1">
        <w:r w:rsidRPr="00A6600B">
          <w:rPr>
            <w:rStyle w:val="Hyperlink"/>
            <w:rFonts w:cs="Arial"/>
            <w:noProof/>
          </w:rPr>
          <w:t xml:space="preserve">Figure 3 </w:t>
        </w:r>
        <w:r w:rsidRPr="00A6600B">
          <w:rPr>
            <w:rStyle w:val="Hyperlink"/>
            <w:rFonts w:cs="Arial"/>
            <w:noProof/>
            <w:lang w:val="en-US"/>
          </w:rPr>
          <w:t>Liquidity Ratio Comparison (Self-Prepared)</w:t>
        </w:r>
        <w:r>
          <w:rPr>
            <w:noProof/>
            <w:webHidden/>
          </w:rPr>
          <w:tab/>
        </w:r>
        <w:r>
          <w:rPr>
            <w:noProof/>
            <w:webHidden/>
          </w:rPr>
          <w:fldChar w:fldCharType="begin"/>
        </w:r>
        <w:r>
          <w:rPr>
            <w:noProof/>
            <w:webHidden/>
          </w:rPr>
          <w:instrText xml:space="preserve"> PAGEREF _Toc217246622 \h </w:instrText>
        </w:r>
        <w:r>
          <w:rPr>
            <w:noProof/>
            <w:webHidden/>
          </w:rPr>
        </w:r>
        <w:r>
          <w:rPr>
            <w:noProof/>
            <w:webHidden/>
          </w:rPr>
          <w:fldChar w:fldCharType="separate"/>
        </w:r>
        <w:r>
          <w:rPr>
            <w:noProof/>
            <w:webHidden/>
          </w:rPr>
          <w:t>29</w:t>
        </w:r>
        <w:r>
          <w:rPr>
            <w:noProof/>
            <w:webHidden/>
          </w:rPr>
          <w:fldChar w:fldCharType="end"/>
        </w:r>
      </w:hyperlink>
    </w:p>
    <w:p w14:paraId="74F5C0A0" w14:textId="3B09F3BB"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hyperlink w:anchor="_Toc217246623" w:history="1">
        <w:r w:rsidRPr="00A6600B">
          <w:rPr>
            <w:rStyle w:val="Hyperlink"/>
            <w:rFonts w:cs="Arial"/>
            <w:noProof/>
          </w:rPr>
          <w:t xml:space="preserve">Figure 4 </w:t>
        </w:r>
        <w:r w:rsidRPr="00A6600B">
          <w:rPr>
            <w:rStyle w:val="Hyperlink"/>
            <w:rFonts w:eastAsia="Times New Roman" w:cs="Arial"/>
            <w:noProof/>
          </w:rPr>
          <w:t>Efficiency Ratio Comparison (Self-Prepared)</w:t>
        </w:r>
        <w:r>
          <w:rPr>
            <w:noProof/>
            <w:webHidden/>
          </w:rPr>
          <w:tab/>
        </w:r>
        <w:r>
          <w:rPr>
            <w:noProof/>
            <w:webHidden/>
          </w:rPr>
          <w:fldChar w:fldCharType="begin"/>
        </w:r>
        <w:r>
          <w:rPr>
            <w:noProof/>
            <w:webHidden/>
          </w:rPr>
          <w:instrText xml:space="preserve"> PAGEREF _Toc217246623 \h </w:instrText>
        </w:r>
        <w:r>
          <w:rPr>
            <w:noProof/>
            <w:webHidden/>
          </w:rPr>
        </w:r>
        <w:r>
          <w:rPr>
            <w:noProof/>
            <w:webHidden/>
          </w:rPr>
          <w:fldChar w:fldCharType="separate"/>
        </w:r>
        <w:r>
          <w:rPr>
            <w:noProof/>
            <w:webHidden/>
          </w:rPr>
          <w:t>30</w:t>
        </w:r>
        <w:r>
          <w:rPr>
            <w:noProof/>
            <w:webHidden/>
          </w:rPr>
          <w:fldChar w:fldCharType="end"/>
        </w:r>
      </w:hyperlink>
    </w:p>
    <w:p w14:paraId="12EBA713" w14:textId="07C7C8F6"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hyperlink w:anchor="_Toc217246624" w:history="1">
        <w:r w:rsidRPr="00A6600B">
          <w:rPr>
            <w:rStyle w:val="Hyperlink"/>
            <w:rFonts w:cs="Arial"/>
            <w:noProof/>
          </w:rPr>
          <w:t xml:space="preserve">Figure 5  </w:t>
        </w:r>
        <w:r w:rsidRPr="00A6600B">
          <w:rPr>
            <w:rStyle w:val="Hyperlink"/>
            <w:rFonts w:eastAsia="Times New Roman" w:cs="Arial"/>
            <w:noProof/>
          </w:rPr>
          <w:t>Gearing Ratios Comparison (Self-Prepared)</w:t>
        </w:r>
        <w:r>
          <w:rPr>
            <w:noProof/>
            <w:webHidden/>
          </w:rPr>
          <w:tab/>
        </w:r>
        <w:r>
          <w:rPr>
            <w:noProof/>
            <w:webHidden/>
          </w:rPr>
          <w:fldChar w:fldCharType="begin"/>
        </w:r>
        <w:r>
          <w:rPr>
            <w:noProof/>
            <w:webHidden/>
          </w:rPr>
          <w:instrText xml:space="preserve"> PAGEREF _Toc217246624 \h </w:instrText>
        </w:r>
        <w:r>
          <w:rPr>
            <w:noProof/>
            <w:webHidden/>
          </w:rPr>
        </w:r>
        <w:r>
          <w:rPr>
            <w:noProof/>
            <w:webHidden/>
          </w:rPr>
          <w:fldChar w:fldCharType="separate"/>
        </w:r>
        <w:r>
          <w:rPr>
            <w:noProof/>
            <w:webHidden/>
          </w:rPr>
          <w:t>31</w:t>
        </w:r>
        <w:r>
          <w:rPr>
            <w:noProof/>
            <w:webHidden/>
          </w:rPr>
          <w:fldChar w:fldCharType="end"/>
        </w:r>
      </w:hyperlink>
    </w:p>
    <w:p w14:paraId="75753B92" w14:textId="2C378F71"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hyperlink w:anchor="_Toc217246625" w:history="1">
        <w:r w:rsidRPr="00A6600B">
          <w:rPr>
            <w:rStyle w:val="Hyperlink"/>
            <w:rFonts w:cs="Arial"/>
            <w:noProof/>
          </w:rPr>
          <w:t xml:space="preserve">Figure 6  </w:t>
        </w:r>
        <w:r w:rsidRPr="00A6600B">
          <w:rPr>
            <w:rStyle w:val="Hyperlink"/>
            <w:rFonts w:eastAsia="Times New Roman" w:cs="Arial"/>
            <w:noProof/>
          </w:rPr>
          <w:t>Investment Ratios Comparison (Self-Prepared)</w:t>
        </w:r>
        <w:r>
          <w:rPr>
            <w:noProof/>
            <w:webHidden/>
          </w:rPr>
          <w:tab/>
        </w:r>
        <w:r>
          <w:rPr>
            <w:noProof/>
            <w:webHidden/>
          </w:rPr>
          <w:fldChar w:fldCharType="begin"/>
        </w:r>
        <w:r>
          <w:rPr>
            <w:noProof/>
            <w:webHidden/>
          </w:rPr>
          <w:instrText xml:space="preserve"> PAGEREF _Toc217246625 \h </w:instrText>
        </w:r>
        <w:r>
          <w:rPr>
            <w:noProof/>
            <w:webHidden/>
          </w:rPr>
        </w:r>
        <w:r>
          <w:rPr>
            <w:noProof/>
            <w:webHidden/>
          </w:rPr>
          <w:fldChar w:fldCharType="separate"/>
        </w:r>
        <w:r>
          <w:rPr>
            <w:noProof/>
            <w:webHidden/>
          </w:rPr>
          <w:t>33</w:t>
        </w:r>
        <w:r>
          <w:rPr>
            <w:noProof/>
            <w:webHidden/>
          </w:rPr>
          <w:fldChar w:fldCharType="end"/>
        </w:r>
      </w:hyperlink>
    </w:p>
    <w:p w14:paraId="2D7B4EAB" w14:textId="4AD7EE8C" w:rsidR="0089212B" w:rsidRDefault="0089212B">
      <w:pPr>
        <w:pStyle w:val="TableofFigures"/>
        <w:tabs>
          <w:tab w:val="right" w:leader="dot" w:pos="9016"/>
        </w:tabs>
        <w:rPr>
          <w:rFonts w:asciiTheme="minorHAnsi" w:eastAsiaTheme="minorEastAsia" w:hAnsiTheme="minorHAnsi"/>
          <w:noProof/>
          <w:kern w:val="2"/>
          <w:szCs w:val="24"/>
          <w:lang w:eastAsia="en-GB"/>
          <w14:ligatures w14:val="standardContextual"/>
        </w:rPr>
      </w:pPr>
      <w:hyperlink w:anchor="_Toc217246626" w:history="1">
        <w:r w:rsidRPr="00A6600B">
          <w:rPr>
            <w:rStyle w:val="Hyperlink"/>
            <w:rFonts w:cs="Arial"/>
            <w:noProof/>
          </w:rPr>
          <w:t xml:space="preserve">Figure 7  </w:t>
        </w:r>
        <w:r w:rsidRPr="00A6600B">
          <w:rPr>
            <w:rStyle w:val="Hyperlink"/>
            <w:rFonts w:eastAsia="Times New Roman" w:cs="Arial"/>
            <w:noProof/>
          </w:rPr>
          <w:t>Cash Flow Ratios Comparison (Self-Prepared)</w:t>
        </w:r>
        <w:r>
          <w:rPr>
            <w:noProof/>
            <w:webHidden/>
          </w:rPr>
          <w:tab/>
        </w:r>
        <w:r>
          <w:rPr>
            <w:noProof/>
            <w:webHidden/>
          </w:rPr>
          <w:fldChar w:fldCharType="begin"/>
        </w:r>
        <w:r>
          <w:rPr>
            <w:noProof/>
            <w:webHidden/>
          </w:rPr>
          <w:instrText xml:space="preserve"> PAGEREF _Toc217246626 \h </w:instrText>
        </w:r>
        <w:r>
          <w:rPr>
            <w:noProof/>
            <w:webHidden/>
          </w:rPr>
        </w:r>
        <w:r>
          <w:rPr>
            <w:noProof/>
            <w:webHidden/>
          </w:rPr>
          <w:fldChar w:fldCharType="separate"/>
        </w:r>
        <w:r>
          <w:rPr>
            <w:noProof/>
            <w:webHidden/>
          </w:rPr>
          <w:t>34</w:t>
        </w:r>
        <w:r>
          <w:rPr>
            <w:noProof/>
            <w:webHidden/>
          </w:rPr>
          <w:fldChar w:fldCharType="end"/>
        </w:r>
      </w:hyperlink>
    </w:p>
    <w:p w14:paraId="3E54BF30" w14:textId="6E85CF0F" w:rsidR="000E65AF" w:rsidRPr="00D343CC" w:rsidRDefault="0089212B" w:rsidP="008C353B">
      <w:pPr>
        <w:rPr>
          <w:rFonts w:cs="Arial"/>
        </w:rPr>
      </w:pPr>
      <w:r>
        <w:rPr>
          <w:rFonts w:cs="Arial"/>
        </w:rPr>
        <w:fldChar w:fldCharType="end"/>
      </w:r>
    </w:p>
    <w:p w14:paraId="7C3785D5" w14:textId="03ADF202" w:rsidR="000E65AF" w:rsidRPr="00D343CC" w:rsidRDefault="000E65AF" w:rsidP="008C353B">
      <w:pPr>
        <w:jc w:val="center"/>
        <w:rPr>
          <w:rFonts w:cs="Arial"/>
          <w:b/>
          <w:bCs/>
        </w:rPr>
      </w:pPr>
      <w:r w:rsidRPr="00D343CC">
        <w:rPr>
          <w:rFonts w:cs="Arial"/>
          <w:b/>
          <w:bCs/>
        </w:rPr>
        <w:t>List of Tables</w:t>
      </w:r>
    </w:p>
    <w:p w14:paraId="41B76083" w14:textId="64074AAE"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r w:rsidRPr="00D343CC">
        <w:rPr>
          <w:rFonts w:cs="Arial"/>
        </w:rPr>
        <w:fldChar w:fldCharType="begin"/>
      </w:r>
      <w:r w:rsidRPr="00D343CC">
        <w:rPr>
          <w:rFonts w:cs="Arial"/>
        </w:rPr>
        <w:instrText xml:space="preserve"> TOC \h \z \c "Table" </w:instrText>
      </w:r>
      <w:r w:rsidRPr="00D343CC">
        <w:rPr>
          <w:rFonts w:cs="Arial"/>
        </w:rPr>
        <w:fldChar w:fldCharType="separate"/>
      </w:r>
      <w:hyperlink w:anchor="_Toc217131027" w:history="1">
        <w:r w:rsidRPr="00D343CC">
          <w:rPr>
            <w:rStyle w:val="Hyperlink"/>
            <w:rFonts w:cs="Arial"/>
            <w:noProof/>
          </w:rPr>
          <w:t xml:space="preserve">Table 1 </w:t>
        </w:r>
        <w:r w:rsidRPr="00D343CC">
          <w:rPr>
            <w:rStyle w:val="Hyperlink"/>
            <w:rFonts w:eastAsia="Times New Roman" w:cs="Arial"/>
            <w:noProof/>
          </w:rPr>
          <w:t>Profitability Ratio (Self-Prepared)</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_Toc217131027 \h </w:instrText>
        </w:r>
        <w:r w:rsidRPr="00D343CC">
          <w:rPr>
            <w:rFonts w:cs="Arial"/>
            <w:noProof/>
            <w:webHidden/>
          </w:rPr>
        </w:r>
        <w:r w:rsidRPr="00D343CC">
          <w:rPr>
            <w:rFonts w:cs="Arial"/>
            <w:noProof/>
            <w:webHidden/>
          </w:rPr>
          <w:fldChar w:fldCharType="separate"/>
        </w:r>
        <w:r w:rsidRPr="00D343CC">
          <w:rPr>
            <w:rFonts w:cs="Arial"/>
            <w:noProof/>
            <w:webHidden/>
          </w:rPr>
          <w:t>25</w:t>
        </w:r>
        <w:r w:rsidRPr="00D343CC">
          <w:rPr>
            <w:rFonts w:cs="Arial"/>
            <w:noProof/>
            <w:webHidden/>
          </w:rPr>
          <w:fldChar w:fldCharType="end"/>
        </w:r>
      </w:hyperlink>
    </w:p>
    <w:p w14:paraId="32FE4FE4" w14:textId="615170AB"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28" w:history="1">
        <w:r w:rsidRPr="00D343CC">
          <w:rPr>
            <w:rStyle w:val="Hyperlink"/>
            <w:rFonts w:cs="Arial"/>
            <w:noProof/>
          </w:rPr>
          <w:t>Table 2  Liquidity Ratio (Self-Prepared)</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_Toc217131028 \h </w:instrText>
        </w:r>
        <w:r w:rsidRPr="00D343CC">
          <w:rPr>
            <w:rFonts w:cs="Arial"/>
            <w:noProof/>
            <w:webHidden/>
          </w:rPr>
        </w:r>
        <w:r w:rsidRPr="00D343CC">
          <w:rPr>
            <w:rFonts w:cs="Arial"/>
            <w:noProof/>
            <w:webHidden/>
          </w:rPr>
          <w:fldChar w:fldCharType="separate"/>
        </w:r>
        <w:r w:rsidRPr="00D343CC">
          <w:rPr>
            <w:rFonts w:cs="Arial"/>
            <w:noProof/>
            <w:webHidden/>
          </w:rPr>
          <w:t>26</w:t>
        </w:r>
        <w:r w:rsidRPr="00D343CC">
          <w:rPr>
            <w:rFonts w:cs="Arial"/>
            <w:noProof/>
            <w:webHidden/>
          </w:rPr>
          <w:fldChar w:fldCharType="end"/>
        </w:r>
      </w:hyperlink>
    </w:p>
    <w:p w14:paraId="614BB08C" w14:textId="4912B966"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29" w:history="1">
        <w:r w:rsidRPr="00D343CC">
          <w:rPr>
            <w:rStyle w:val="Hyperlink"/>
            <w:rFonts w:cs="Arial"/>
            <w:noProof/>
          </w:rPr>
          <w:t xml:space="preserve">Table 3 </w:t>
        </w:r>
        <w:r w:rsidRPr="00D343CC">
          <w:rPr>
            <w:rStyle w:val="Hyperlink"/>
            <w:rFonts w:eastAsia="Times New Roman" w:cs="Arial"/>
            <w:noProof/>
          </w:rPr>
          <w:t>Efficiency Ratio (Self-Prepared)</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_Toc217131029 \h </w:instrText>
        </w:r>
        <w:r w:rsidRPr="00D343CC">
          <w:rPr>
            <w:rFonts w:cs="Arial"/>
            <w:noProof/>
            <w:webHidden/>
          </w:rPr>
        </w:r>
        <w:r w:rsidRPr="00D343CC">
          <w:rPr>
            <w:rFonts w:cs="Arial"/>
            <w:noProof/>
            <w:webHidden/>
          </w:rPr>
          <w:fldChar w:fldCharType="separate"/>
        </w:r>
        <w:r w:rsidRPr="00D343CC">
          <w:rPr>
            <w:rFonts w:cs="Arial"/>
            <w:noProof/>
            <w:webHidden/>
          </w:rPr>
          <w:t>27</w:t>
        </w:r>
        <w:r w:rsidRPr="00D343CC">
          <w:rPr>
            <w:rFonts w:cs="Arial"/>
            <w:noProof/>
            <w:webHidden/>
          </w:rPr>
          <w:fldChar w:fldCharType="end"/>
        </w:r>
      </w:hyperlink>
    </w:p>
    <w:p w14:paraId="2FC0D915" w14:textId="59ECC72C"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0" w:history="1">
        <w:r w:rsidRPr="00D343CC">
          <w:rPr>
            <w:rStyle w:val="Hyperlink"/>
            <w:rFonts w:cs="Arial"/>
            <w:noProof/>
          </w:rPr>
          <w:t xml:space="preserve">Table 4 </w:t>
        </w:r>
        <w:r w:rsidRPr="00D343CC">
          <w:rPr>
            <w:rStyle w:val="Hyperlink"/>
            <w:rFonts w:eastAsia="Times New Roman" w:cs="Arial"/>
            <w:noProof/>
          </w:rPr>
          <w:t>Gearing Ratios (Self-Prepared)</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_Toc217131030 \h </w:instrText>
        </w:r>
        <w:r w:rsidRPr="00D343CC">
          <w:rPr>
            <w:rFonts w:cs="Arial"/>
            <w:noProof/>
            <w:webHidden/>
          </w:rPr>
        </w:r>
        <w:r w:rsidRPr="00D343CC">
          <w:rPr>
            <w:rFonts w:cs="Arial"/>
            <w:noProof/>
            <w:webHidden/>
          </w:rPr>
          <w:fldChar w:fldCharType="separate"/>
        </w:r>
        <w:r w:rsidRPr="00D343CC">
          <w:rPr>
            <w:rFonts w:cs="Arial"/>
            <w:noProof/>
            <w:webHidden/>
          </w:rPr>
          <w:t>29</w:t>
        </w:r>
        <w:r w:rsidRPr="00D343CC">
          <w:rPr>
            <w:rFonts w:cs="Arial"/>
            <w:noProof/>
            <w:webHidden/>
          </w:rPr>
          <w:fldChar w:fldCharType="end"/>
        </w:r>
      </w:hyperlink>
    </w:p>
    <w:p w14:paraId="1454B587" w14:textId="3B030C37"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1" w:history="1">
        <w:r w:rsidRPr="00D343CC">
          <w:rPr>
            <w:rStyle w:val="Hyperlink"/>
            <w:rFonts w:cs="Arial"/>
            <w:noProof/>
          </w:rPr>
          <w:t>Table 5 Investment Ratios (Self-Prepared)</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_Toc217131031 \h </w:instrText>
        </w:r>
        <w:r w:rsidRPr="00D343CC">
          <w:rPr>
            <w:rFonts w:cs="Arial"/>
            <w:noProof/>
            <w:webHidden/>
          </w:rPr>
        </w:r>
        <w:r w:rsidRPr="00D343CC">
          <w:rPr>
            <w:rFonts w:cs="Arial"/>
            <w:noProof/>
            <w:webHidden/>
          </w:rPr>
          <w:fldChar w:fldCharType="separate"/>
        </w:r>
        <w:r w:rsidRPr="00D343CC">
          <w:rPr>
            <w:rFonts w:cs="Arial"/>
            <w:noProof/>
            <w:webHidden/>
          </w:rPr>
          <w:t>30</w:t>
        </w:r>
        <w:r w:rsidRPr="00D343CC">
          <w:rPr>
            <w:rFonts w:cs="Arial"/>
            <w:noProof/>
            <w:webHidden/>
          </w:rPr>
          <w:fldChar w:fldCharType="end"/>
        </w:r>
      </w:hyperlink>
    </w:p>
    <w:p w14:paraId="10C4A6AE" w14:textId="1CAE0EE5"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2" w:history="1">
        <w:r w:rsidRPr="00D343CC">
          <w:rPr>
            <w:rStyle w:val="Hyperlink"/>
            <w:rFonts w:cs="Arial"/>
            <w:noProof/>
          </w:rPr>
          <w:t xml:space="preserve">Table 6 </w:t>
        </w:r>
        <w:r w:rsidRPr="00D343CC">
          <w:rPr>
            <w:rStyle w:val="Hyperlink"/>
            <w:rFonts w:eastAsia="Times New Roman" w:cs="Arial"/>
            <w:noProof/>
          </w:rPr>
          <w:t>Cash Flow Ratios (Self-Prepared)</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_Toc217131032 \h </w:instrText>
        </w:r>
        <w:r w:rsidRPr="00D343CC">
          <w:rPr>
            <w:rFonts w:cs="Arial"/>
            <w:noProof/>
            <w:webHidden/>
          </w:rPr>
        </w:r>
        <w:r w:rsidRPr="00D343CC">
          <w:rPr>
            <w:rFonts w:cs="Arial"/>
            <w:noProof/>
            <w:webHidden/>
          </w:rPr>
          <w:fldChar w:fldCharType="separate"/>
        </w:r>
        <w:r w:rsidRPr="00D343CC">
          <w:rPr>
            <w:rFonts w:cs="Arial"/>
            <w:noProof/>
            <w:webHidden/>
          </w:rPr>
          <w:t>31</w:t>
        </w:r>
        <w:r w:rsidRPr="00D343CC">
          <w:rPr>
            <w:rFonts w:cs="Arial"/>
            <w:noProof/>
            <w:webHidden/>
          </w:rPr>
          <w:fldChar w:fldCharType="end"/>
        </w:r>
      </w:hyperlink>
    </w:p>
    <w:p w14:paraId="633B223F" w14:textId="6E6451AF"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3" w:history="1">
        <w:r w:rsidRPr="00D343CC">
          <w:rPr>
            <w:rStyle w:val="Hyperlink"/>
            <w:rFonts w:cs="Arial"/>
            <w:noProof/>
          </w:rPr>
          <w:t>Table 7 Altman Z-Score Calculation</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_Toc217131033 \h </w:instrText>
        </w:r>
        <w:r w:rsidRPr="00D343CC">
          <w:rPr>
            <w:rFonts w:cs="Arial"/>
            <w:noProof/>
            <w:webHidden/>
          </w:rPr>
        </w:r>
        <w:r w:rsidRPr="00D343CC">
          <w:rPr>
            <w:rFonts w:cs="Arial"/>
            <w:noProof/>
            <w:webHidden/>
          </w:rPr>
          <w:fldChar w:fldCharType="separate"/>
        </w:r>
        <w:r w:rsidRPr="00D343CC">
          <w:rPr>
            <w:rFonts w:cs="Arial"/>
            <w:noProof/>
            <w:webHidden/>
          </w:rPr>
          <w:t>32</w:t>
        </w:r>
        <w:r w:rsidRPr="00D343CC">
          <w:rPr>
            <w:rFonts w:cs="Arial"/>
            <w:noProof/>
            <w:webHidden/>
          </w:rPr>
          <w:fldChar w:fldCharType="end"/>
        </w:r>
      </w:hyperlink>
    </w:p>
    <w:p w14:paraId="6E9DBE33" w14:textId="76263566"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4" w:history="1">
        <w:r w:rsidRPr="00D343CC">
          <w:rPr>
            <w:rStyle w:val="Hyperlink"/>
            <w:rFonts w:cs="Arial"/>
            <w:noProof/>
          </w:rPr>
          <w:t>Table 8 Cash Operating Cycle Components (Days)</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_Toc217131034 \h </w:instrText>
        </w:r>
        <w:r w:rsidRPr="00D343CC">
          <w:rPr>
            <w:rFonts w:cs="Arial"/>
            <w:noProof/>
            <w:webHidden/>
          </w:rPr>
        </w:r>
        <w:r w:rsidRPr="00D343CC">
          <w:rPr>
            <w:rFonts w:cs="Arial"/>
            <w:noProof/>
            <w:webHidden/>
          </w:rPr>
          <w:fldChar w:fldCharType="separate"/>
        </w:r>
        <w:r w:rsidRPr="00D343CC">
          <w:rPr>
            <w:rFonts w:cs="Arial"/>
            <w:noProof/>
            <w:webHidden/>
          </w:rPr>
          <w:t>34</w:t>
        </w:r>
        <w:r w:rsidRPr="00D343CC">
          <w:rPr>
            <w:rFonts w:cs="Arial"/>
            <w:noProof/>
            <w:webHidden/>
          </w:rPr>
          <w:fldChar w:fldCharType="end"/>
        </w:r>
      </w:hyperlink>
    </w:p>
    <w:p w14:paraId="34969946" w14:textId="2B1D3A1B"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5" w:history="1">
        <w:r w:rsidRPr="00D343CC">
          <w:rPr>
            <w:rStyle w:val="Hyperlink"/>
            <w:rFonts w:cs="Arial"/>
            <w:noProof/>
          </w:rPr>
          <w:t>Table 9 Payback Period (PBP) Calculations Table</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_Toc217131035 \h </w:instrText>
        </w:r>
        <w:r w:rsidRPr="00D343CC">
          <w:rPr>
            <w:rFonts w:cs="Arial"/>
            <w:noProof/>
            <w:webHidden/>
          </w:rPr>
        </w:r>
        <w:r w:rsidRPr="00D343CC">
          <w:rPr>
            <w:rFonts w:cs="Arial"/>
            <w:noProof/>
            <w:webHidden/>
          </w:rPr>
          <w:fldChar w:fldCharType="separate"/>
        </w:r>
        <w:r w:rsidRPr="00D343CC">
          <w:rPr>
            <w:rFonts w:cs="Arial"/>
            <w:noProof/>
            <w:webHidden/>
          </w:rPr>
          <w:t>35</w:t>
        </w:r>
        <w:r w:rsidRPr="00D343CC">
          <w:rPr>
            <w:rFonts w:cs="Arial"/>
            <w:noProof/>
            <w:webHidden/>
          </w:rPr>
          <w:fldChar w:fldCharType="end"/>
        </w:r>
      </w:hyperlink>
    </w:p>
    <w:p w14:paraId="1082D7E4" w14:textId="26368B0A"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6" w:history="1">
        <w:r w:rsidRPr="00D343CC">
          <w:rPr>
            <w:rStyle w:val="Hyperlink"/>
            <w:rFonts w:cs="Arial"/>
            <w:noProof/>
          </w:rPr>
          <w:t>Table 10 Annual Percentage Rate (APR) Calculation Table</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_Toc217131036 \h </w:instrText>
        </w:r>
        <w:r w:rsidRPr="00D343CC">
          <w:rPr>
            <w:rFonts w:cs="Arial"/>
            <w:noProof/>
            <w:webHidden/>
          </w:rPr>
        </w:r>
        <w:r w:rsidRPr="00D343CC">
          <w:rPr>
            <w:rFonts w:cs="Arial"/>
            <w:noProof/>
            <w:webHidden/>
          </w:rPr>
          <w:fldChar w:fldCharType="separate"/>
        </w:r>
        <w:r w:rsidRPr="00D343CC">
          <w:rPr>
            <w:rFonts w:cs="Arial"/>
            <w:noProof/>
            <w:webHidden/>
          </w:rPr>
          <w:t>36</w:t>
        </w:r>
        <w:r w:rsidRPr="00D343CC">
          <w:rPr>
            <w:rFonts w:cs="Arial"/>
            <w:noProof/>
            <w:webHidden/>
          </w:rPr>
          <w:fldChar w:fldCharType="end"/>
        </w:r>
      </w:hyperlink>
    </w:p>
    <w:p w14:paraId="06A107EB" w14:textId="076874E3"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7" w:history="1">
        <w:r w:rsidRPr="00D343CC">
          <w:rPr>
            <w:rStyle w:val="Hyperlink"/>
            <w:rFonts w:cs="Arial"/>
            <w:noProof/>
          </w:rPr>
          <w:t>Table 11 Net Present Value (NPV) Calculations Table</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_Toc217131037 \h </w:instrText>
        </w:r>
        <w:r w:rsidRPr="00D343CC">
          <w:rPr>
            <w:rFonts w:cs="Arial"/>
            <w:noProof/>
            <w:webHidden/>
          </w:rPr>
        </w:r>
        <w:r w:rsidRPr="00D343CC">
          <w:rPr>
            <w:rFonts w:cs="Arial"/>
            <w:noProof/>
            <w:webHidden/>
          </w:rPr>
          <w:fldChar w:fldCharType="separate"/>
        </w:r>
        <w:r w:rsidRPr="00D343CC">
          <w:rPr>
            <w:rFonts w:cs="Arial"/>
            <w:noProof/>
            <w:webHidden/>
          </w:rPr>
          <w:t>37</w:t>
        </w:r>
        <w:r w:rsidRPr="00D343CC">
          <w:rPr>
            <w:rFonts w:cs="Arial"/>
            <w:noProof/>
            <w:webHidden/>
          </w:rPr>
          <w:fldChar w:fldCharType="end"/>
        </w:r>
      </w:hyperlink>
    </w:p>
    <w:p w14:paraId="6AB97DC9" w14:textId="66730D47"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8" w:history="1">
        <w:r w:rsidRPr="00D343CC">
          <w:rPr>
            <w:rStyle w:val="Hyperlink"/>
            <w:rFonts w:cs="Arial"/>
            <w:noProof/>
          </w:rPr>
          <w:t>Table 12 Internal Rate of Return (IRR)</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_Toc217131038 \h </w:instrText>
        </w:r>
        <w:r w:rsidRPr="00D343CC">
          <w:rPr>
            <w:rFonts w:cs="Arial"/>
            <w:noProof/>
            <w:webHidden/>
          </w:rPr>
        </w:r>
        <w:r w:rsidRPr="00D343CC">
          <w:rPr>
            <w:rFonts w:cs="Arial"/>
            <w:noProof/>
            <w:webHidden/>
          </w:rPr>
          <w:fldChar w:fldCharType="separate"/>
        </w:r>
        <w:r w:rsidRPr="00D343CC">
          <w:rPr>
            <w:rFonts w:cs="Arial"/>
            <w:noProof/>
            <w:webHidden/>
          </w:rPr>
          <w:t>37</w:t>
        </w:r>
        <w:r w:rsidRPr="00D343CC">
          <w:rPr>
            <w:rFonts w:cs="Arial"/>
            <w:noProof/>
            <w:webHidden/>
          </w:rPr>
          <w:fldChar w:fldCharType="end"/>
        </w:r>
      </w:hyperlink>
    </w:p>
    <w:p w14:paraId="691B89CB" w14:textId="086DD9E0" w:rsidR="00690583" w:rsidRPr="00D343CC" w:rsidRDefault="00690583" w:rsidP="008C353B">
      <w:pPr>
        <w:pStyle w:val="TableofFigures"/>
        <w:tabs>
          <w:tab w:val="right" w:leader="dot" w:pos="9016"/>
        </w:tabs>
        <w:rPr>
          <w:rFonts w:eastAsiaTheme="minorEastAsia" w:cs="Arial"/>
          <w:noProof/>
          <w:kern w:val="2"/>
          <w:szCs w:val="24"/>
          <w:lang w:eastAsia="en-GB"/>
          <w14:ligatures w14:val="standardContextual"/>
        </w:rPr>
      </w:pPr>
      <w:hyperlink w:anchor="_Toc217131039" w:history="1">
        <w:r w:rsidRPr="00D343CC">
          <w:rPr>
            <w:rStyle w:val="Hyperlink"/>
            <w:rFonts w:cs="Arial"/>
            <w:noProof/>
          </w:rPr>
          <w:t>Table 13 Profitability Index (PI) Calculations Table</w:t>
        </w:r>
        <w:r w:rsidRPr="00D343CC">
          <w:rPr>
            <w:rFonts w:cs="Arial"/>
            <w:noProof/>
            <w:webHidden/>
          </w:rPr>
          <w:tab/>
        </w:r>
        <w:r w:rsidRPr="00D343CC">
          <w:rPr>
            <w:rFonts w:cs="Arial"/>
            <w:noProof/>
            <w:webHidden/>
          </w:rPr>
          <w:fldChar w:fldCharType="begin"/>
        </w:r>
        <w:r w:rsidRPr="00D343CC">
          <w:rPr>
            <w:rFonts w:cs="Arial"/>
            <w:noProof/>
            <w:webHidden/>
          </w:rPr>
          <w:instrText xml:space="preserve"> PAGEREF _Toc217131039 \h </w:instrText>
        </w:r>
        <w:r w:rsidRPr="00D343CC">
          <w:rPr>
            <w:rFonts w:cs="Arial"/>
            <w:noProof/>
            <w:webHidden/>
          </w:rPr>
        </w:r>
        <w:r w:rsidRPr="00D343CC">
          <w:rPr>
            <w:rFonts w:cs="Arial"/>
            <w:noProof/>
            <w:webHidden/>
          </w:rPr>
          <w:fldChar w:fldCharType="separate"/>
        </w:r>
        <w:r w:rsidRPr="00D343CC">
          <w:rPr>
            <w:rFonts w:cs="Arial"/>
            <w:noProof/>
            <w:webHidden/>
          </w:rPr>
          <w:t>38</w:t>
        </w:r>
        <w:r w:rsidRPr="00D343CC">
          <w:rPr>
            <w:rFonts w:cs="Arial"/>
            <w:noProof/>
            <w:webHidden/>
          </w:rPr>
          <w:fldChar w:fldCharType="end"/>
        </w:r>
      </w:hyperlink>
    </w:p>
    <w:p w14:paraId="1464C30F" w14:textId="608221A9" w:rsidR="00690583" w:rsidRPr="00D343CC" w:rsidRDefault="00690583" w:rsidP="008C353B">
      <w:pPr>
        <w:jc w:val="left"/>
        <w:rPr>
          <w:rFonts w:eastAsia="Trebuchet MS" w:cs="Arial"/>
          <w:b/>
          <w:bCs/>
          <w:color w:val="1F497D" w:themeColor="text2"/>
          <w:kern w:val="2"/>
          <w:sz w:val="30"/>
          <w:szCs w:val="28"/>
          <w14:ligatures w14:val="standardContextual"/>
        </w:rPr>
      </w:pPr>
      <w:r w:rsidRPr="00D343CC">
        <w:rPr>
          <w:rFonts w:cs="Arial"/>
        </w:rPr>
        <w:fldChar w:fldCharType="end"/>
      </w:r>
      <w:r w:rsidRPr="00D343CC">
        <w:rPr>
          <w:rFonts w:cs="Arial"/>
        </w:rPr>
        <w:br w:type="page"/>
      </w:r>
    </w:p>
    <w:p w14:paraId="6DD31CBF" w14:textId="673C6E6A" w:rsidR="00AD1754" w:rsidRPr="00D343CC" w:rsidRDefault="00AD1754" w:rsidP="000E65AF">
      <w:pPr>
        <w:pStyle w:val="Heading1"/>
        <w:rPr>
          <w:rFonts w:cs="Arial"/>
        </w:rPr>
      </w:pPr>
      <w:bookmarkStart w:id="0" w:name="_Toc217246559"/>
      <w:r w:rsidRPr="00D343CC">
        <w:rPr>
          <w:rFonts w:cs="Arial"/>
        </w:rPr>
        <w:lastRenderedPageBreak/>
        <w:t>Introduction</w:t>
      </w:r>
      <w:bookmarkEnd w:id="0"/>
      <w:r w:rsidRPr="00D343CC">
        <w:rPr>
          <w:rFonts w:cs="Arial"/>
        </w:rPr>
        <w:t xml:space="preserve"> </w:t>
      </w:r>
    </w:p>
    <w:p w14:paraId="21F5A9D8" w14:textId="77777777" w:rsidR="00AD1754" w:rsidRPr="00D343CC" w:rsidRDefault="00AD1754" w:rsidP="000E65AF">
      <w:pPr>
        <w:rPr>
          <w:rFonts w:cs="Arial"/>
        </w:rPr>
      </w:pPr>
    </w:p>
    <w:p w14:paraId="1A5CCD5E" w14:textId="18FA4F32" w:rsidR="000E65AF" w:rsidRPr="00D343CC" w:rsidRDefault="000E65AF" w:rsidP="000E65AF">
      <w:pPr>
        <w:rPr>
          <w:rFonts w:cs="Arial"/>
        </w:rPr>
      </w:pPr>
      <w:r w:rsidRPr="00D343CC">
        <w:rPr>
          <w:rFonts w:cs="Arial"/>
        </w:rPr>
        <w:t>Ratio analysis is an approach to the analysis of the balance sheet and income statement of a company in order to know about its liquidity, efficiency of work, and profitability (Damodaran, 2023). This report presents an in-depth strategic analysis of General Electronics, an international company that is still going through a phase of significant financial suffering. The analysis of consolidated financial data between 2020 and 2024 can be used to track how the firm evolved by becoming unstable regarding its operations.</w:t>
      </w:r>
      <w:r w:rsidR="00333745" w:rsidRPr="00D343CC">
        <w:rPr>
          <w:rFonts w:cs="Arial"/>
        </w:rPr>
        <w:t xml:space="preserve"> </w:t>
      </w:r>
      <w:r w:rsidRPr="00D343CC">
        <w:rPr>
          <w:rFonts w:cs="Arial"/>
        </w:rPr>
        <w:t>In addition to having systemic risks as measured by quantitative indicators such as the Altman Z-Score, strategizing working capital reforms, strategic restructuring alternatives, and the strict investment evaluation of three competing ventures with capital rationing conditions is included in the scope. In all, this report recommends a turnaround approach that can be successfully implemented to recover shareholder wealth and corporate sustainability.</w:t>
      </w:r>
    </w:p>
    <w:p w14:paraId="66F2BB90" w14:textId="6BAA52DE" w:rsidR="00990E6A" w:rsidRPr="00D343CC" w:rsidRDefault="00990E6A" w:rsidP="000E65AF">
      <w:pPr>
        <w:rPr>
          <w:rFonts w:cs="Arial"/>
        </w:rPr>
      </w:pPr>
      <w:r w:rsidRPr="00D343CC">
        <w:rPr>
          <w:rFonts w:cs="Arial"/>
        </w:rPr>
        <w:br w:type="page"/>
      </w:r>
    </w:p>
    <w:p w14:paraId="091264A6" w14:textId="77777777" w:rsidR="00990E6A" w:rsidRPr="00D343CC" w:rsidRDefault="00990E6A" w:rsidP="00861CFB">
      <w:pPr>
        <w:pStyle w:val="Heading1"/>
      </w:pPr>
      <w:bookmarkStart w:id="1" w:name="_Toc216755945"/>
      <w:bookmarkStart w:id="2" w:name="_Toc217246560"/>
      <w:r w:rsidRPr="00D343CC">
        <w:lastRenderedPageBreak/>
        <w:t xml:space="preserve">1.0 Financial Health </w:t>
      </w:r>
      <w:r w:rsidRPr="00861CFB">
        <w:t>Check</w:t>
      </w:r>
      <w:r w:rsidRPr="00D343CC">
        <w:t xml:space="preserve"> of General Electronics (2020–2024)</w:t>
      </w:r>
      <w:bookmarkEnd w:id="1"/>
      <w:bookmarkEnd w:id="2"/>
    </w:p>
    <w:p w14:paraId="63AE7984" w14:textId="77777777" w:rsidR="00861CFB" w:rsidRPr="00FA016F" w:rsidRDefault="00861CFB" w:rsidP="00861CFB">
      <w:pPr>
        <w:spacing w:line="276" w:lineRule="auto"/>
        <w:jc w:val="left"/>
        <w:rPr>
          <w:b/>
          <w:bCs/>
        </w:rPr>
      </w:pPr>
      <w:r w:rsidRPr="00FA016F">
        <w:rPr>
          <w:b/>
          <w:bCs/>
        </w:rPr>
        <w:t>1.1 Industry and Global Economic Overview</w:t>
      </w:r>
    </w:p>
    <w:p w14:paraId="377895D2" w14:textId="77777777" w:rsidR="00861CFB" w:rsidRDefault="00861CFB" w:rsidP="00861CFB">
      <w:r>
        <w:t>In order to show the fluctuating financial performance of General Electronics in 2020-2024, it is important to note that the company was not functioning in an empty space but in the world consumer electronic market that is worth about 815.16 billion as of 2024 (Figure 1). The course of the industry in this so-called Special Period was determined by a multiplicity of overlapping external shocks, the first of which was the Pandemic Rebound scenario of 2020-21. As the original COVID-19 shock has led to a 16% drop in the global trade (</w:t>
      </w:r>
      <w:proofErr w:type="spellStart"/>
      <w:r>
        <w:t>Attinasi</w:t>
      </w:r>
      <w:proofErr w:type="spellEnd"/>
      <w:r>
        <w:t xml:space="preserve"> et al., 2024), the market interacted with unprecedented demand as well because people shifted their focus towards stay-at-home products such as PCs and game consoles, and services became less important. This was then succeeded by the Global Semiconductor Crisis scenario of 2021-2023 with supply disruptions due to droughts in Taiwan, and factory shutdowns resulting in industry lead times more than a yearlong (Business Council, 2023).</w:t>
      </w:r>
    </w:p>
    <w:p w14:paraId="28185D1A" w14:textId="77777777" w:rsidR="00861CFB" w:rsidRDefault="00861CFB" w:rsidP="00861CFB">
      <w:r>
        <w:t>Entering into the Geopolitical and Inflationary Era scenario of 2022-2024, the Russian invasion of Ukraine aggravated the energy prices and presented a worldwide crisis of cost-of-living (Business Council, 2023). As the premium competition such as Apple used brand loyalty to sustain a 46% gross margin (Co, 2024), the reliance of General Electronics on the middle range of products, a segment that constituted 46% of the market share, left it extremely dependent on the increase in the cost of inputs as well as the declining buying power across the middle-income brackets. The internal health of the General Electronics, therefore, turned out to be highly interdependent with such macroeconomic alterations, finding it difficult to stabilise following the increase in the rates of material cost as inflation rates in the global market have reached the highest since the beginning of 2023.</w:t>
      </w:r>
    </w:p>
    <w:p w14:paraId="7F56F982" w14:textId="77777777" w:rsidR="00861CFB" w:rsidRPr="00D343CC" w:rsidRDefault="00861CFB" w:rsidP="00861CFB">
      <w:pPr>
        <w:pStyle w:val="Heading2"/>
        <w:rPr>
          <w:rFonts w:cs="Arial"/>
        </w:rPr>
      </w:pPr>
      <w:bookmarkStart w:id="3" w:name="_Toc217246561"/>
      <w:r w:rsidRPr="00D343CC">
        <w:rPr>
          <w:rFonts w:cs="Arial"/>
        </w:rPr>
        <w:t>1.2 Overall Financial Performance Trends</w:t>
      </w:r>
      <w:bookmarkEnd w:id="3"/>
      <w:r w:rsidRPr="00D343CC">
        <w:rPr>
          <w:rFonts w:cs="Arial"/>
        </w:rPr>
        <w:t xml:space="preserve"> </w:t>
      </w:r>
    </w:p>
    <w:p w14:paraId="535AFCE3" w14:textId="77777777" w:rsidR="00861CFB" w:rsidRDefault="00861CFB" w:rsidP="00861CFB">
      <w:r>
        <w:t xml:space="preserve">The overall trend of the general direction of General Electric within the next five years is that of a drastic operation contraction and reduced profitability. After the stable 2020, the company has experienced a catastrophic collapse to the colossal net losses in 2023 and 2024. Most importantly, this downturn resembles the "Marked Deceleration" observed in international trade in the second half of the year 2022. Though the company has managed to contain the cash flows to be in the positive, the </w:t>
      </w:r>
      <w:r>
        <w:lastRenderedPageBreak/>
        <w:t xml:space="preserve">organisational integrity of its profits declined. Although Apple and Samsung have recovered their market traction in 2024, General electronics is a victim of market sentiment via being a stretched organisation. Samsung was sold 60.1 million and Apple 50.1 million units (Co, 2024). </w:t>
      </w:r>
    </w:p>
    <w:p w14:paraId="3E6D532D" w14:textId="77777777" w:rsidR="00861CFB" w:rsidRPr="00D343CC" w:rsidRDefault="00861CFB" w:rsidP="00861CFB">
      <w:pPr>
        <w:pStyle w:val="Heading2"/>
        <w:rPr>
          <w:rFonts w:cs="Arial"/>
        </w:rPr>
      </w:pPr>
      <w:bookmarkStart w:id="4" w:name="_Toc217246562"/>
      <w:r w:rsidRPr="00D343CC">
        <w:rPr>
          <w:rFonts w:cs="Arial"/>
        </w:rPr>
        <w:t>1.3 Profitability Analysis</w:t>
      </w:r>
      <w:bookmarkEnd w:id="4"/>
    </w:p>
    <w:p w14:paraId="031CBF44" w14:textId="77777777" w:rsidR="00861CFB" w:rsidRPr="00D343CC" w:rsidRDefault="00861CFB" w:rsidP="00861CFB">
      <w:pPr>
        <w:rPr>
          <w:rFonts w:cs="Arial"/>
        </w:rPr>
      </w:pPr>
      <w:r w:rsidRPr="00D343CC">
        <w:rPr>
          <w:rFonts w:cs="Arial"/>
        </w:rPr>
        <w:t>The financial performance of General Electronics after and before 2020 by the figures of profitability ratios shows that the business has collapsed. The Gross Profit Margin had not risen as much as, but the Operating and Net Profit Margins went down with huge losses by 2024. This negative trend is especially concerning as it shows a drastic decline in 2023 to an unhealthy -23.36% Net Profit Margin that would severely affect the efficiency of the work of the firm and its overall survival.</w:t>
      </w:r>
    </w:p>
    <w:p w14:paraId="00E245FC" w14:textId="77777777" w:rsidR="00861CFB" w:rsidRPr="00D343CC" w:rsidRDefault="00861CFB" w:rsidP="00861CFB">
      <w:pPr>
        <w:rPr>
          <w:rFonts w:cs="Arial"/>
        </w:rPr>
      </w:pPr>
      <w:r w:rsidRPr="00D343CC">
        <w:rPr>
          <w:rFonts w:cs="Arial"/>
        </w:rPr>
        <w:t>Return on Assets (ROA) and Return on Equity (ROE) now had gone into the extreme negative realm. These results testify that the company is no longer profitable and is already unable to base any returns on the assets or investments by the shareholders. This level of constant losses signifies that there is a financial crisis and the company is on the threshold of bankruptcy.</w:t>
      </w:r>
    </w:p>
    <w:p w14:paraId="03A38375" w14:textId="77777777" w:rsidR="00861CFB" w:rsidRPr="00D343CC" w:rsidRDefault="00861CFB" w:rsidP="00861CFB">
      <w:pPr>
        <w:pStyle w:val="Heading2"/>
        <w:rPr>
          <w:rFonts w:cs="Arial"/>
        </w:rPr>
      </w:pPr>
      <w:bookmarkStart w:id="5" w:name="_Toc217246563"/>
      <w:r w:rsidRPr="00D343CC">
        <w:rPr>
          <w:rFonts w:cs="Arial"/>
        </w:rPr>
        <w:t>1.4 Liquidity analysis</w:t>
      </w:r>
      <w:bookmarkEnd w:id="5"/>
    </w:p>
    <w:p w14:paraId="32F6DEBD" w14:textId="6038D849" w:rsidR="00861CFB" w:rsidRPr="00861CFB" w:rsidRDefault="00861CFB" w:rsidP="00861CFB">
      <w:r w:rsidRPr="00D343CC">
        <w:rPr>
          <w:rFonts w:cs="Arial"/>
        </w:rPr>
        <w:t>Liquidity analysis assesses a company's ability to meet its short-term financial obligations (</w:t>
      </w:r>
      <w:proofErr w:type="spellStart"/>
      <w:r w:rsidRPr="00D343CC">
        <w:rPr>
          <w:rFonts w:cs="Arial"/>
        </w:rPr>
        <w:t>Atrill</w:t>
      </w:r>
      <w:proofErr w:type="spellEnd"/>
      <w:r w:rsidRPr="00D343CC">
        <w:rPr>
          <w:rFonts w:cs="Arial"/>
        </w:rPr>
        <w:t xml:space="preserve"> and McLaney, 2017). General Electronics liquidity ratios 2020-24 utilise are also a negative effect. </w:t>
      </w:r>
      <w:r>
        <w:t>General Electronics seems to be losing bargaining power with the distributors in an environment that is becoming tighter with Apple and Samsung ecosystems</w:t>
      </w:r>
      <w:r w:rsidRPr="00D343CC">
        <w:rPr>
          <w:rFonts w:cs="Arial"/>
        </w:rPr>
        <w:t xml:space="preserve"> (Freeman, Phillips and Sisodia, 2020). Regardless of the fact that the Current Ratio was greater than 1.0, it decreased in 2024 (1.53) compared to 2020 (1.82), which implies a narrowing of the current asset ratio against current liabilities (Appendix A). </w:t>
      </w:r>
    </w:p>
    <w:p w14:paraId="43CBCB10" w14:textId="77777777" w:rsidR="00861CFB" w:rsidRPr="00D343CC" w:rsidRDefault="00861CFB" w:rsidP="00861CFB">
      <w:pPr>
        <w:rPr>
          <w:rFonts w:cs="Arial"/>
        </w:rPr>
      </w:pPr>
      <w:r w:rsidRPr="00D343CC">
        <w:rPr>
          <w:rFonts w:cs="Arial"/>
        </w:rPr>
        <w:t>This result shows a high-risk profile, indicating that the company is growing more unique and depending on slow moving inventory to change into debts. This trend suggests the likelihood of a liquidity crisis in the near future, with the company not being able to finance its suppliers, short-term creditors in the near future, which confirms it is a troubled global firm.</w:t>
      </w:r>
    </w:p>
    <w:p w14:paraId="7C39FF06" w14:textId="77777777" w:rsidR="00861CFB" w:rsidRPr="00D343CC" w:rsidRDefault="00861CFB" w:rsidP="00861CFB">
      <w:pPr>
        <w:pStyle w:val="Heading2"/>
        <w:rPr>
          <w:rFonts w:cs="Arial"/>
        </w:rPr>
      </w:pPr>
      <w:bookmarkStart w:id="6" w:name="_Toc217246564"/>
      <w:r w:rsidRPr="00D343CC">
        <w:rPr>
          <w:rFonts w:cs="Arial"/>
        </w:rPr>
        <w:lastRenderedPageBreak/>
        <w:t>1.5 Efficient analysis and working capital</w:t>
      </w:r>
      <w:bookmarkEnd w:id="6"/>
    </w:p>
    <w:p w14:paraId="57F97DB1" w14:textId="77777777" w:rsidR="00861CFB" w:rsidRPr="00D343CC" w:rsidRDefault="00861CFB" w:rsidP="00861CFB">
      <w:pPr>
        <w:rPr>
          <w:rFonts w:cs="Arial"/>
        </w:rPr>
      </w:pPr>
      <w:r w:rsidRPr="00D343CC">
        <w:rPr>
          <w:rFonts w:cs="Arial"/>
        </w:rPr>
        <w:t>Efficiency ratios provide information of the company that faces problems with the lack of operational growth and waned cash flow management (Berk and DeMarzo, 2020). Although the Asset Turnover has maintained its level at 1.22, the Fixed Asset Turnover had soared in 2024 to 11.54, mostly, because the increase in property, plant and equipment assets have increased, as compared to the actual growth in sales</w:t>
      </w:r>
      <w:r>
        <w:rPr>
          <w:rFonts w:cs="Arial"/>
        </w:rPr>
        <w:t xml:space="preserve"> </w:t>
      </w:r>
      <w:r w:rsidRPr="00D343CC">
        <w:rPr>
          <w:rFonts w:cs="Arial"/>
        </w:rPr>
        <w:t>(Appendix A).</w:t>
      </w:r>
    </w:p>
    <w:p w14:paraId="1957DA87" w14:textId="77777777" w:rsidR="00861CFB" w:rsidRPr="00D343CC" w:rsidRDefault="00861CFB" w:rsidP="00861CFB">
      <w:pPr>
        <w:rPr>
          <w:rFonts w:cs="Arial"/>
        </w:rPr>
      </w:pPr>
      <w:r w:rsidRPr="00D343CC">
        <w:rPr>
          <w:rFonts w:cs="Arial"/>
        </w:rPr>
        <w:t>The most critical is that the Receivables Days radically increased by 76.86 to 105.54. This result in combination with the large Inventory Days (103.12) indicates that capital is becoming less liquidated by means of the operating cycle. This situation has a disruptions effect to the liquidity of the firm, as reflected by the decreasing trends as presented in Appendix A Table A3. Finally, its ineffective receivables and inventory suggest that it does not manage working capital efficiently and increases the chances of complete cash crisis.</w:t>
      </w:r>
    </w:p>
    <w:p w14:paraId="5A671DBF" w14:textId="77777777" w:rsidR="00861CFB" w:rsidRPr="00D343CC" w:rsidRDefault="00861CFB" w:rsidP="00861CFB">
      <w:pPr>
        <w:pStyle w:val="Heading2"/>
        <w:rPr>
          <w:rFonts w:cs="Arial"/>
        </w:rPr>
      </w:pPr>
      <w:bookmarkStart w:id="7" w:name="_Toc217246565"/>
      <w:r w:rsidRPr="00D343CC">
        <w:rPr>
          <w:rFonts w:cs="Arial"/>
        </w:rPr>
        <w:t>1.6 Gearing and Leverage Analysis</w:t>
      </w:r>
      <w:bookmarkEnd w:id="7"/>
    </w:p>
    <w:p w14:paraId="40ED04C6" w14:textId="77777777" w:rsidR="00861CFB" w:rsidRPr="00D343CC" w:rsidRDefault="00861CFB" w:rsidP="00861CFB">
      <w:pPr>
        <w:rPr>
          <w:rFonts w:cs="Arial"/>
        </w:rPr>
      </w:pPr>
      <w:r w:rsidRPr="00D343CC">
        <w:rPr>
          <w:rFonts w:cs="Arial"/>
        </w:rPr>
        <w:t>Gearing indicators reflect a definite change in the financial risk profile of the company over time (Keown, Martin and Petty, 2024). The firm was initially in a good position to cover its debt as indicated in Table A4 in Appendix A, and the level of interest coverage was very high in the year 2020 and 2021. This strength has worsened in the later years as the operating profits became negative in 2023 and 2024, that is, the earnings do not cover the interest payments anymore. This is a drastic shift in the financial vulnerability.</w:t>
      </w:r>
    </w:p>
    <w:p w14:paraId="5FDCF858" w14:textId="77777777" w:rsidR="00861CFB" w:rsidRPr="00D343CC" w:rsidRDefault="00861CFB" w:rsidP="00861CFB">
      <w:pPr>
        <w:rPr>
          <w:rFonts w:cs="Arial"/>
        </w:rPr>
      </w:pPr>
      <w:r w:rsidRPr="00D343CC">
        <w:rPr>
          <w:rFonts w:cs="Arial"/>
        </w:rPr>
        <w:t>Meanwhile, the leverage levels increased. The debt-to-equity ratio has increased to 1.11 in 2024 compared to 0.63 in 2020, mainly due to a shrink in equity of the shareholders, and not due to vigorous growth in debt. Equity multiplier had an identical upward trend as it increased its value to 2.11 and there is a play of increased dependency on debt financing and the taking of more risks by the equity holders. Although there was a slight decrease in overall liabilities following 2022, the deteriorating base of equity increased the overall gearing and leverage-taking.</w:t>
      </w:r>
    </w:p>
    <w:p w14:paraId="3B302EB2" w14:textId="77777777" w:rsidR="00861CFB" w:rsidRPr="00D343CC" w:rsidRDefault="00861CFB" w:rsidP="00861CFB">
      <w:pPr>
        <w:pStyle w:val="Heading2"/>
        <w:rPr>
          <w:rFonts w:cs="Arial"/>
        </w:rPr>
      </w:pPr>
      <w:bookmarkStart w:id="8" w:name="_Toc217246566"/>
      <w:r w:rsidRPr="00D343CC">
        <w:rPr>
          <w:rFonts w:cs="Arial"/>
        </w:rPr>
        <w:lastRenderedPageBreak/>
        <w:t>1.7 Investment and market-based Ratio Analysis</w:t>
      </w:r>
      <w:bookmarkEnd w:id="8"/>
    </w:p>
    <w:p w14:paraId="427C3DA1" w14:textId="77777777" w:rsidR="00861CFB" w:rsidRPr="00D343CC" w:rsidRDefault="00861CFB" w:rsidP="00861CFB">
      <w:pPr>
        <w:rPr>
          <w:rFonts w:cs="Arial"/>
        </w:rPr>
      </w:pPr>
      <w:r w:rsidRPr="00D343CC">
        <w:rPr>
          <w:rFonts w:cs="Arial"/>
        </w:rPr>
        <w:t>Investment ratio refers to a performance ratio that expresses profit as a percentage of the amount invested in the business, also known as return on capital employed or return on investment (Morris, McKay and Oates, 2009). As it can be observed in Appendix A, Table A5, the significant drop in the Earnings Per Share (EPS) between the figures of 2.78 to (1.85) then highlights an intrinsic collapse in profitability and therefore the P/E ratio is not applicable as investors lack confidence. The declining trends are also supported by the fact that Return on Equity (ROE) and Return on Assets (ROA) dropped to very negative values and reached their highest point at (54.91) ROE loss in 2023.</w:t>
      </w:r>
    </w:p>
    <w:p w14:paraId="33551099" w14:textId="77777777" w:rsidR="00861CFB" w:rsidRPr="00D343CC" w:rsidRDefault="00861CFB" w:rsidP="00861CFB">
      <w:pPr>
        <w:rPr>
          <w:rFonts w:cs="Arial"/>
        </w:rPr>
      </w:pPr>
      <w:r w:rsidRPr="00D343CC">
        <w:rPr>
          <w:rFonts w:cs="Arial"/>
        </w:rPr>
        <w:t>However, the final net worth ratios demonstrate that the company is at the suffering stage and is not increasingly working to create value out of its assets, or its shareholder capital. The reported net losses over the years indicate that it is not on a sustainable path hence posing high risks to the involved investors and that it is in dire need of structural transformation to regain its market sustainability.</w:t>
      </w:r>
    </w:p>
    <w:p w14:paraId="616A7F84" w14:textId="77777777" w:rsidR="00861CFB" w:rsidRPr="00D343CC" w:rsidRDefault="00861CFB" w:rsidP="00861CFB">
      <w:pPr>
        <w:pStyle w:val="Heading2"/>
        <w:rPr>
          <w:rFonts w:cs="Arial"/>
        </w:rPr>
      </w:pPr>
      <w:bookmarkStart w:id="9" w:name="_Toc217246567"/>
      <w:r w:rsidRPr="00D343CC">
        <w:rPr>
          <w:rFonts w:cs="Arial"/>
        </w:rPr>
        <w:t>1.8 Cash Flow Analysis</w:t>
      </w:r>
      <w:bookmarkEnd w:id="9"/>
    </w:p>
    <w:p w14:paraId="4DAAE529" w14:textId="77777777" w:rsidR="00861CFB" w:rsidRPr="00D343CC" w:rsidRDefault="00861CFB" w:rsidP="00861CFB">
      <w:pPr>
        <w:rPr>
          <w:rFonts w:cs="Arial"/>
        </w:rPr>
      </w:pPr>
      <w:r w:rsidRPr="00D343CC">
        <w:rPr>
          <w:rFonts w:cs="Arial"/>
        </w:rPr>
        <w:t>As can be seen in the analysis of Appendix A, Table A6, there is an alarming decline in the liquidity and solvency strength of 2020 to 2024. The operating cash flow ratio decreased to 0.09 compared to a 0.41 and the cash flow to debt ratio also followed suit and its result stood at a very weak 0.09. This trend reflects an extremely weakened ability to service overall obligations of core operations (Altman, 1968). Though the company still has good cash flows- preventing the firm at the moment of imminent bankruptcy the drastic decline in the cash flow margins of 11.94 percent to 3.75 percent reveal the failure in operational performance efficiency.</w:t>
      </w:r>
    </w:p>
    <w:p w14:paraId="3026398D" w14:textId="77777777" w:rsidR="00861CFB" w:rsidRPr="00D343CC" w:rsidRDefault="00861CFB" w:rsidP="00861CFB">
      <w:pPr>
        <w:rPr>
          <w:rFonts w:cs="Arial"/>
        </w:rPr>
      </w:pPr>
      <w:r w:rsidRPr="00D343CC">
        <w:rPr>
          <w:rFonts w:cs="Arial"/>
        </w:rPr>
        <w:t>In the end, the firm is in a risky situation as its cash generating potential is no longer enough to have a buffer against its debts, which indicates increased desperation.</w:t>
      </w:r>
    </w:p>
    <w:p w14:paraId="457AA007" w14:textId="77777777" w:rsidR="00861CFB" w:rsidRPr="00D343CC" w:rsidRDefault="00861CFB" w:rsidP="00861CFB">
      <w:pPr>
        <w:pStyle w:val="Heading2"/>
        <w:rPr>
          <w:rFonts w:cs="Arial"/>
        </w:rPr>
      </w:pPr>
      <w:bookmarkStart w:id="10" w:name="_Toc217246568"/>
      <w:r w:rsidRPr="00D343CC">
        <w:rPr>
          <w:rFonts w:cs="Arial"/>
        </w:rPr>
        <w:t>1.9 Corporate Failure Prediction</w:t>
      </w:r>
      <w:bookmarkEnd w:id="10"/>
    </w:p>
    <w:p w14:paraId="0C5A032A" w14:textId="016902A8" w:rsidR="00861CFB" w:rsidRPr="00861CFB" w:rsidRDefault="00861CFB" w:rsidP="00861CFB">
      <w:r w:rsidRPr="00D343CC">
        <w:rPr>
          <w:rFonts w:cs="Arial"/>
        </w:rPr>
        <w:t xml:space="preserve">The Altman Z-Score analysis is outlined in Table A7 of Appendix A and shows a paradoxical but critical analysis of the structural health of the company. </w:t>
      </w:r>
      <w:r>
        <w:t xml:space="preserve">General Electronics is growing to rely on debt, unlike Samsung, which employs its large market capital strength, domination of semiconductors to ensure a balanced risk profile. </w:t>
      </w:r>
      <w:r w:rsidRPr="00D343CC">
        <w:rPr>
          <w:rFonts w:cs="Arial"/>
        </w:rPr>
        <w:t xml:space="preserve">In the </w:t>
      </w:r>
      <w:r w:rsidRPr="00D343CC">
        <w:rPr>
          <w:rFonts w:cs="Arial"/>
        </w:rPr>
        <w:lastRenderedPageBreak/>
        <w:t xml:space="preserve">face of the tough operations losses and negative returns recorded in the foregoing segments, the business has a stable Z-Score of 6.0 or even higher (7.76 as of 2024), which is in the Safe Zone of 2 + (in other words, 2.99), where it belongs. X4 (Market Value to Total Liabilities) is the main contributor to this resilience with an indication that high market cap and low relative debt position absolves the firm of the risk of immediate bankruptcy. </w:t>
      </w:r>
    </w:p>
    <w:p w14:paraId="743814D5" w14:textId="77777777" w:rsidR="00861CFB" w:rsidRPr="00D343CC" w:rsidRDefault="00861CFB" w:rsidP="00861CFB">
      <w:pPr>
        <w:rPr>
          <w:rFonts w:cs="Arial"/>
        </w:rPr>
      </w:pPr>
      <w:r w:rsidRPr="00D343CC">
        <w:rPr>
          <w:rFonts w:cs="Arial"/>
        </w:rPr>
        <w:t>The negative X3 (EBIT/Total Assets) however indicates a hollowed core. This scenario can only indicate that the company itself is not facing the threat of falling into collapse, but it is surviving off market sentiment and not business competence.</w:t>
      </w:r>
    </w:p>
    <w:p w14:paraId="26842086" w14:textId="77777777" w:rsidR="00861CFB" w:rsidRPr="00D343CC" w:rsidRDefault="00861CFB" w:rsidP="00861CFB">
      <w:pPr>
        <w:pStyle w:val="Heading2"/>
        <w:rPr>
          <w:rFonts w:cs="Arial"/>
        </w:rPr>
      </w:pPr>
      <w:bookmarkStart w:id="11" w:name="_Toc217246569"/>
      <w:r w:rsidRPr="00D343CC">
        <w:rPr>
          <w:rFonts w:cs="Arial"/>
        </w:rPr>
        <w:t>1.10 Strengths, Weaknesses, and Risk Outlook</w:t>
      </w:r>
      <w:bookmarkEnd w:id="11"/>
    </w:p>
    <w:p w14:paraId="35E072F2" w14:textId="77777777" w:rsidR="00861CFB" w:rsidRPr="00D343CC" w:rsidRDefault="00861CFB" w:rsidP="00861CFB">
      <w:pPr>
        <w:rPr>
          <w:rFonts w:cs="Arial"/>
        </w:rPr>
      </w:pPr>
      <w:r w:rsidRPr="00D343CC">
        <w:rPr>
          <w:rFonts w:cs="Arial"/>
        </w:rPr>
        <w:t>The fact that the company has a strong level of market capitalization and a low relative debt is still its major strength as it keeps the company Altman Z- Score within the Safe Zone and eliminates immediate insolvency. These were however shadowed by serious weak points, negative earnings, dwindling liquidity and stagnant cash conversion cycle. The risk rating is much worse; the hollowed-out core indicates that in case of market wavering and a decline in the share price, the existing safety net will be eliminated and the company will be at risk of complete liquidity crunch.</w:t>
      </w:r>
    </w:p>
    <w:p w14:paraId="16245F51" w14:textId="727619A7" w:rsidR="00801567" w:rsidRDefault="00801567" w:rsidP="00801567">
      <w:pPr>
        <w:pStyle w:val="Heading2"/>
      </w:pPr>
      <w:bookmarkStart w:id="12" w:name="_Toc217246570"/>
      <w:r>
        <w:t xml:space="preserve">1.11 </w:t>
      </w:r>
      <w:r w:rsidRPr="00801567">
        <w:t>Interdependence of Internal Performance and External Dynamics</w:t>
      </w:r>
      <w:bookmarkEnd w:id="12"/>
    </w:p>
    <w:p w14:paraId="0C6974BB" w14:textId="77777777" w:rsidR="00801567" w:rsidRDefault="00801567" w:rsidP="00801567">
      <w:r>
        <w:t xml:space="preserve">General Electronics has a high level of factorial interdependence between its financial health and the global environment. The following cost-of-living crisis and high inflation have put its margins under pressure even though the pandemic gave it a temporary burst in demand. The rivals such as Xiaomi have competed with their' Affordable Premium models' and taken third place with sales of 40.8 million mobile gadgets </w:t>
      </w:r>
      <w:r w:rsidRPr="007176F8">
        <w:t>(Co, 2024)</w:t>
      </w:r>
      <w:r>
        <w:t>, but due to its internal inefficiencies as indicated by the -3.87% Operating Margin (Appendix A) General Electronics cannot compete based on price or innovation. The drop of the company is a Hollowed-Out Core situation as it managed to run through the supply chain crisis but lost the race in the sphere of innovations in 2024 with the integration of AI and 5G.</w:t>
      </w:r>
    </w:p>
    <w:p w14:paraId="2388A9B5" w14:textId="77777777" w:rsidR="00FB737A" w:rsidRDefault="00FB737A">
      <w:pPr>
        <w:spacing w:line="276" w:lineRule="auto"/>
        <w:jc w:val="left"/>
        <w:rPr>
          <w:rFonts w:eastAsia="Trebuchet MS" w:cs="Arial"/>
          <w:b/>
          <w:bCs/>
          <w:color w:val="1F497D" w:themeColor="text2"/>
          <w:kern w:val="2"/>
          <w:sz w:val="30"/>
          <w:szCs w:val="28"/>
          <w14:ligatures w14:val="standardContextual"/>
        </w:rPr>
      </w:pPr>
      <w:r>
        <w:rPr>
          <w:rFonts w:cs="Arial"/>
        </w:rPr>
        <w:br w:type="page"/>
      </w:r>
    </w:p>
    <w:p w14:paraId="192DAF57" w14:textId="0067A745" w:rsidR="009A1FE1" w:rsidRPr="00D343CC" w:rsidRDefault="009A1FE1" w:rsidP="000E65AF">
      <w:pPr>
        <w:pStyle w:val="Heading1"/>
        <w:rPr>
          <w:rFonts w:cs="Arial"/>
        </w:rPr>
      </w:pPr>
      <w:bookmarkStart w:id="13" w:name="_Toc217246571"/>
      <w:r w:rsidRPr="00D343CC">
        <w:rPr>
          <w:rFonts w:cs="Arial"/>
        </w:rPr>
        <w:lastRenderedPageBreak/>
        <w:t>2.0 Working Capital Management Analysis</w:t>
      </w:r>
      <w:bookmarkEnd w:id="13"/>
    </w:p>
    <w:p w14:paraId="2041659E" w14:textId="0822AC85" w:rsidR="00FB737A" w:rsidRPr="00D343CC" w:rsidRDefault="00FB737A" w:rsidP="00FB737A">
      <w:pPr>
        <w:rPr>
          <w:rFonts w:cs="Arial"/>
        </w:rPr>
      </w:pPr>
      <w:bookmarkStart w:id="14" w:name="_Toc216755964"/>
      <w:r w:rsidRPr="00D343CC">
        <w:rPr>
          <w:rFonts w:cs="Arial"/>
        </w:rPr>
        <w:t xml:space="preserve">The most important aspect of working capital management in the operational health of companies is the measure of current asset and liabilities that balance the supply and demand activities (Brigham and Ehrhardt, 2023). In this analysis, the performance of the company in terms of using its short-term resources effectively in addressing the obligations and operating daily will be evaluated (Grant, 2022). </w:t>
      </w:r>
      <w:r w:rsidR="00F743C4">
        <w:rPr>
          <w:rFonts w:cs="Arial"/>
        </w:rPr>
        <w:t xml:space="preserve"> </w:t>
      </w:r>
    </w:p>
    <w:p w14:paraId="07E422A9" w14:textId="77777777" w:rsidR="00FB737A" w:rsidRPr="00D343CC" w:rsidRDefault="00FB737A" w:rsidP="00FB737A">
      <w:pPr>
        <w:pStyle w:val="Heading2"/>
        <w:rPr>
          <w:rFonts w:cs="Arial"/>
        </w:rPr>
      </w:pPr>
      <w:bookmarkStart w:id="15" w:name="_Toc217246572"/>
      <w:r w:rsidRPr="00D343CC">
        <w:rPr>
          <w:rFonts w:cs="Arial"/>
        </w:rPr>
        <w:t>2.</w:t>
      </w:r>
      <w:r>
        <w:rPr>
          <w:rFonts w:cs="Arial"/>
        </w:rPr>
        <w:t>1</w:t>
      </w:r>
      <w:r w:rsidRPr="00D343CC">
        <w:rPr>
          <w:rFonts w:cs="Arial"/>
        </w:rPr>
        <w:t xml:space="preserve"> Assessment of the Cash Operating Cycle</w:t>
      </w:r>
      <w:bookmarkEnd w:id="15"/>
    </w:p>
    <w:p w14:paraId="56127314" w14:textId="77777777" w:rsidR="00FB737A" w:rsidRPr="00D343CC" w:rsidRDefault="00FB737A" w:rsidP="00FB737A">
      <w:pPr>
        <w:rPr>
          <w:rFonts w:cs="Arial"/>
        </w:rPr>
      </w:pPr>
      <w:r w:rsidRPr="00D343CC">
        <w:rPr>
          <w:rFonts w:cs="Arial"/>
        </w:rPr>
        <w:t>Table B1, Appendix B shows that Cash Operating Cycle has increased substantially since the 112.12 days in 2020 and is now at 138.66 days in 2024. This growth is largely motivated by the low days of Receivables which started growing sharply, increasing to 105.54 against 76.86. This implies that the company is having difficulty in raising cash off people and is really operating as a free interest lender yet its own liquidity is running dry. The highest inventory days were observed in 2022 when it reached 131.04 and then it remained steady between 103 days but the cycle is not efficient. Although the Payables Days have slightly been improved to 70, this small improvement of delay in paying suppliers is not enough to eliminate the huge delays in receiving cash inflows caused by sales and inventory turnover.</w:t>
      </w:r>
    </w:p>
    <w:p w14:paraId="1CD59D43" w14:textId="77777777" w:rsidR="00FB737A" w:rsidRPr="00D343CC" w:rsidRDefault="00FB737A" w:rsidP="00FB737A">
      <w:pPr>
        <w:pStyle w:val="Heading2"/>
        <w:rPr>
          <w:rFonts w:cs="Arial"/>
        </w:rPr>
      </w:pPr>
      <w:bookmarkStart w:id="16" w:name="_Toc217246573"/>
      <w:r w:rsidRPr="00D343CC">
        <w:rPr>
          <w:rFonts w:cs="Arial"/>
        </w:rPr>
        <w:t>2.</w:t>
      </w:r>
      <w:r>
        <w:rPr>
          <w:rFonts w:cs="Arial"/>
        </w:rPr>
        <w:t>2</w:t>
      </w:r>
      <w:r w:rsidRPr="00D343CC">
        <w:rPr>
          <w:rFonts w:cs="Arial"/>
        </w:rPr>
        <w:t xml:space="preserve"> Implications for Liquidity and Operational Risk</w:t>
      </w:r>
      <w:bookmarkEnd w:id="16"/>
    </w:p>
    <w:p w14:paraId="49FEC265" w14:textId="77777777" w:rsidR="00FB737A" w:rsidRPr="00D343CC" w:rsidRDefault="00FB737A" w:rsidP="00FB737A">
      <w:pPr>
        <w:rPr>
          <w:rFonts w:cs="Arial"/>
        </w:rPr>
      </w:pPr>
      <w:r w:rsidRPr="00D343CC">
        <w:rPr>
          <w:rFonts w:cs="Arial"/>
        </w:rPr>
        <w:t>Extending COC has a direct and negative impact on the liquidity of General Electric. The 138 days cycle implies that the cash of the company is tied up under almost 5 months before it can be reutilized in settling debts or remunerating investments. This was the root cause of the Cash Ratio dropping down to 0.17 (as identified in Section 1.4). This is operationally a high-risk scenario. The company is now too reliant upon short term credit and turning stock to chronic to survive. In case of a default of a large customer or redundant stock, the business will be forced into a kind of crunch referred to as a cash crunch in which it will be unable to satisfy its current payroll and supplier requirements.</w:t>
      </w:r>
    </w:p>
    <w:p w14:paraId="4D74793A" w14:textId="77777777" w:rsidR="00FB737A" w:rsidRPr="00D343CC" w:rsidRDefault="00FB737A" w:rsidP="00FB737A">
      <w:pPr>
        <w:pStyle w:val="Heading2"/>
        <w:rPr>
          <w:rFonts w:cs="Arial"/>
        </w:rPr>
      </w:pPr>
      <w:bookmarkStart w:id="17" w:name="_Toc217246574"/>
      <w:r w:rsidRPr="00D343CC">
        <w:rPr>
          <w:rFonts w:cs="Arial"/>
        </w:rPr>
        <w:t>2.</w:t>
      </w:r>
      <w:r>
        <w:rPr>
          <w:rFonts w:cs="Arial"/>
        </w:rPr>
        <w:t>3</w:t>
      </w:r>
      <w:r w:rsidRPr="00D343CC">
        <w:rPr>
          <w:rFonts w:cs="Arial"/>
        </w:rPr>
        <w:t xml:space="preserve"> Recommended Working Capital Reform Strategies</w:t>
      </w:r>
      <w:bookmarkEnd w:id="17"/>
      <w:r w:rsidRPr="00D343CC">
        <w:rPr>
          <w:rFonts w:cs="Arial"/>
        </w:rPr>
        <w:t xml:space="preserve"> </w:t>
      </w:r>
    </w:p>
    <w:p w14:paraId="085B8C6D" w14:textId="77777777" w:rsidR="00FB737A" w:rsidRPr="00D343CC" w:rsidRDefault="00FB737A" w:rsidP="00FB737A">
      <w:pPr>
        <w:rPr>
          <w:rFonts w:cs="Arial"/>
        </w:rPr>
      </w:pPr>
      <w:r w:rsidRPr="00D343CC">
        <w:rPr>
          <w:rFonts w:cs="Arial"/>
        </w:rPr>
        <w:t>To counter this downsizing, General Electric should establish vigorous restructuring that addresses the three key elements of the working capital:</w:t>
      </w:r>
    </w:p>
    <w:p w14:paraId="3B26E9B8" w14:textId="77777777" w:rsidR="00FB737A" w:rsidRPr="00D343CC" w:rsidRDefault="00FB737A" w:rsidP="00FB737A">
      <w:pPr>
        <w:pStyle w:val="ListParagraph"/>
        <w:numPr>
          <w:ilvl w:val="0"/>
          <w:numId w:val="1"/>
        </w:numPr>
        <w:rPr>
          <w:rFonts w:cs="Arial"/>
        </w:rPr>
      </w:pPr>
      <w:r w:rsidRPr="00D343CC">
        <w:rPr>
          <w:rFonts w:cs="Arial"/>
          <w:b/>
          <w:bCs/>
        </w:rPr>
        <w:t>Receivables Reform:</w:t>
      </w:r>
      <w:r w:rsidRPr="00D343CC">
        <w:rPr>
          <w:rFonts w:cs="Arial"/>
        </w:rPr>
        <w:t xml:space="preserve"> Enforce more stringent credit score on the customers </w:t>
      </w:r>
      <w:r w:rsidRPr="00D343CC">
        <w:rPr>
          <w:rFonts w:cs="Arial"/>
        </w:rPr>
        <w:lastRenderedPageBreak/>
        <w:t>and provide early payment discounts (2/10 net 30) to bring the Receivables Days back to the 75-day level.</w:t>
      </w:r>
    </w:p>
    <w:p w14:paraId="5EE1138E" w14:textId="77777777" w:rsidR="00FB737A" w:rsidRPr="00D343CC" w:rsidRDefault="00FB737A" w:rsidP="00FB737A">
      <w:pPr>
        <w:pStyle w:val="ListParagraph"/>
        <w:numPr>
          <w:ilvl w:val="0"/>
          <w:numId w:val="1"/>
        </w:numPr>
        <w:rPr>
          <w:rFonts w:cs="Arial"/>
        </w:rPr>
      </w:pPr>
      <w:r w:rsidRPr="00D343CC">
        <w:rPr>
          <w:rFonts w:cs="Arial"/>
          <w:b/>
          <w:bCs/>
        </w:rPr>
        <w:t>Inventory Optimization:</w:t>
      </w:r>
      <w:r w:rsidRPr="00D343CC">
        <w:rPr>
          <w:rFonts w:cs="Arial"/>
        </w:rPr>
        <w:t xml:space="preserve"> Integrate Just-in-Time (JIT) inventory strategy that will minimise carrying costs and minimise holding period 103 days.</w:t>
      </w:r>
    </w:p>
    <w:p w14:paraId="7BB81502" w14:textId="77777777" w:rsidR="00FB737A" w:rsidRPr="00D343CC" w:rsidRDefault="00FB737A" w:rsidP="00FB737A">
      <w:pPr>
        <w:pStyle w:val="ListParagraph"/>
        <w:numPr>
          <w:ilvl w:val="0"/>
          <w:numId w:val="1"/>
        </w:numPr>
        <w:rPr>
          <w:rFonts w:cs="Arial"/>
        </w:rPr>
      </w:pPr>
      <w:r w:rsidRPr="00D343CC">
        <w:rPr>
          <w:rFonts w:cs="Arial"/>
          <w:b/>
          <w:bCs/>
        </w:rPr>
        <w:t>Payables Management:</w:t>
      </w:r>
      <w:r w:rsidRPr="00D343CC">
        <w:rPr>
          <w:rFonts w:cs="Arial"/>
        </w:rPr>
        <w:t xml:space="preserve"> It should ensure to establish long-term credit terms with major suppliers although ensuring that the relationship between the firm and suppliers is ethical.</w:t>
      </w:r>
    </w:p>
    <w:p w14:paraId="600AF98B" w14:textId="77777777" w:rsidR="00FB737A" w:rsidRPr="00D343CC" w:rsidRDefault="00FB737A" w:rsidP="00FB737A">
      <w:pPr>
        <w:rPr>
          <w:rFonts w:cs="Arial"/>
          <w:b/>
          <w:bCs/>
        </w:rPr>
      </w:pPr>
      <w:r w:rsidRPr="00D343CC">
        <w:rPr>
          <w:rFonts w:cs="Arial"/>
          <w:b/>
          <w:bCs/>
        </w:rPr>
        <w:t>2.</w:t>
      </w:r>
      <w:r>
        <w:rPr>
          <w:rFonts w:cs="Arial"/>
          <w:b/>
          <w:bCs/>
        </w:rPr>
        <w:t>4</w:t>
      </w:r>
      <w:r w:rsidRPr="00D343CC">
        <w:rPr>
          <w:rFonts w:cs="Arial"/>
          <w:b/>
          <w:bCs/>
        </w:rPr>
        <w:t xml:space="preserve"> Comparison of Short-term versus Long-term Financing Options</w:t>
      </w:r>
    </w:p>
    <w:p w14:paraId="2014213D" w14:textId="77777777" w:rsidR="00FB737A" w:rsidRPr="00D343CC" w:rsidRDefault="00FB737A" w:rsidP="00FB737A">
      <w:pPr>
        <w:rPr>
          <w:rFonts w:cs="Arial"/>
        </w:rPr>
      </w:pPr>
      <w:r w:rsidRPr="00D343CC">
        <w:rPr>
          <w:rFonts w:cs="Arial"/>
        </w:rPr>
        <w:t>General Electric is in a dilemma on short term and long-term financing to finance its cash gaps:</w:t>
      </w:r>
    </w:p>
    <w:p w14:paraId="3F4BEF89" w14:textId="77777777" w:rsidR="00FB737A" w:rsidRPr="00D343CC" w:rsidRDefault="00FB737A" w:rsidP="00FB737A">
      <w:pPr>
        <w:rPr>
          <w:rFonts w:cs="Arial"/>
        </w:rPr>
      </w:pPr>
      <w:r w:rsidRPr="00D343CC">
        <w:rPr>
          <w:rFonts w:cs="Arial"/>
          <w:b/>
          <w:bCs/>
        </w:rPr>
        <w:t>Short-term Financing (Overdrafts, Factoring):</w:t>
      </w:r>
      <w:r w:rsidRPr="00D343CC">
        <w:rPr>
          <w:rFonts w:cs="Arial"/>
        </w:rPr>
        <w:t xml:space="preserve"> They are leaner and quicker to raise, and this is essential when it comes to quick liquidity. In particular, Receivables Factoring may be used to get an instant cash raising on 105 days of pending invoices. The interest rates of these instruments however are generally fluctuating and extremely high over the long run.</w:t>
      </w:r>
    </w:p>
    <w:p w14:paraId="5F313475" w14:textId="77777777" w:rsidR="00FB737A" w:rsidRPr="00D343CC" w:rsidRDefault="00FB737A" w:rsidP="00FB737A">
      <w:pPr>
        <w:rPr>
          <w:rFonts w:cs="Arial"/>
        </w:rPr>
      </w:pPr>
      <w:r w:rsidRPr="00D343CC">
        <w:rPr>
          <w:rFonts w:cs="Arial"/>
          <w:b/>
          <w:bCs/>
        </w:rPr>
        <w:t>Long term Financing (Bonds, Term Loans):</w:t>
      </w:r>
      <w:r w:rsidRPr="00D343CC">
        <w:rPr>
          <w:rFonts w:cs="Arial"/>
        </w:rPr>
        <w:t xml:space="preserve"> These are the most stable with reduced annual interest rates that enable the company to restructure its balance sheet. Nevertheless, with the recent net losses that the company is operating on, and the negative ROE, it can be a challenge or covenanted to raise long-term debt to allow the company operational freedom.</w:t>
      </w:r>
    </w:p>
    <w:p w14:paraId="0B1965E7" w14:textId="77777777" w:rsidR="009A1FE1" w:rsidRPr="00D343CC" w:rsidRDefault="009A1FE1" w:rsidP="000E65AF">
      <w:pPr>
        <w:pStyle w:val="Heading1"/>
        <w:rPr>
          <w:rFonts w:cs="Arial"/>
        </w:rPr>
      </w:pPr>
      <w:bookmarkStart w:id="18" w:name="_Toc217246575"/>
      <w:r w:rsidRPr="00D343CC">
        <w:rPr>
          <w:rFonts w:cs="Arial"/>
        </w:rPr>
        <w:t>3.0 Strategic Financial Restructuring Plan</w:t>
      </w:r>
      <w:bookmarkEnd w:id="14"/>
      <w:bookmarkEnd w:id="18"/>
    </w:p>
    <w:p w14:paraId="3308A3FC" w14:textId="77777777" w:rsidR="00FB737A" w:rsidRPr="00D343CC" w:rsidRDefault="00FB737A" w:rsidP="00FB737A">
      <w:pPr>
        <w:rPr>
          <w:rFonts w:cs="Arial"/>
        </w:rPr>
      </w:pPr>
      <w:bookmarkStart w:id="19" w:name="_Toc216755973"/>
      <w:r w:rsidRPr="00D343CC">
        <w:rPr>
          <w:rFonts w:cs="Arial"/>
        </w:rPr>
        <w:t>Corporate restructuring is a conclusive management philosophy that is a combination of business and financial approaches in a bid to enhance business and sustainability (</w:t>
      </w:r>
      <w:proofErr w:type="spellStart"/>
      <w:r w:rsidRPr="00D343CC">
        <w:rPr>
          <w:rFonts w:cs="Arial"/>
        </w:rPr>
        <w:t>Imhanzenobe</w:t>
      </w:r>
      <w:proofErr w:type="spellEnd"/>
      <w:r w:rsidRPr="00D343CC">
        <w:rPr>
          <w:rFonts w:cs="Arial"/>
        </w:rPr>
        <w:t>, 2021). In the case of General Electronics, restructuring is not a pre-emptive approach but a reactionary need to deal with a hollowed-in core where operational cash flows are not covering the financial costs. The Agency Theory insists that restructuring is a solution to poor internal control mechanisms where a substantial amount of value has been entrenched in terms of shareholding in inefficient departments (Lee, 2021).</w:t>
      </w:r>
    </w:p>
    <w:p w14:paraId="6D87C433" w14:textId="77777777" w:rsidR="00FB737A" w:rsidRPr="00D343CC" w:rsidRDefault="00FB737A" w:rsidP="00FB737A">
      <w:pPr>
        <w:pStyle w:val="Heading2"/>
        <w:rPr>
          <w:rFonts w:cs="Arial"/>
        </w:rPr>
      </w:pPr>
      <w:bookmarkStart w:id="20" w:name="_Toc217246576"/>
      <w:r w:rsidRPr="00D343CC">
        <w:rPr>
          <w:rFonts w:cs="Arial"/>
        </w:rPr>
        <w:lastRenderedPageBreak/>
        <w:t>3.</w:t>
      </w:r>
      <w:r>
        <w:rPr>
          <w:rFonts w:cs="Arial"/>
        </w:rPr>
        <w:t>1</w:t>
      </w:r>
      <w:r w:rsidRPr="00D343CC">
        <w:rPr>
          <w:rFonts w:cs="Arial"/>
        </w:rPr>
        <w:t xml:space="preserve"> Recommended Restructuring Options</w:t>
      </w:r>
      <w:bookmarkEnd w:id="20"/>
    </w:p>
    <w:p w14:paraId="0C7EC793" w14:textId="77777777" w:rsidR="00FB737A" w:rsidRPr="00D343CC" w:rsidRDefault="00FB737A" w:rsidP="00FB737A">
      <w:pPr>
        <w:pStyle w:val="Heading3"/>
        <w:rPr>
          <w:rFonts w:cs="Arial"/>
        </w:rPr>
      </w:pPr>
      <w:bookmarkStart w:id="21" w:name="_Toc217246577"/>
      <w:r w:rsidRPr="00D343CC">
        <w:rPr>
          <w:rFonts w:cs="Arial"/>
        </w:rPr>
        <w:t>3.2.1 Strategic Divestiture of Non-Core Assets</w:t>
      </w:r>
      <w:bookmarkEnd w:id="21"/>
    </w:p>
    <w:p w14:paraId="76BB0D5E" w14:textId="77777777" w:rsidR="00FB737A" w:rsidRPr="00D343CC" w:rsidRDefault="00FB737A" w:rsidP="00FB737A">
      <w:pPr>
        <w:rPr>
          <w:rFonts w:cs="Arial"/>
        </w:rPr>
      </w:pPr>
      <w:r w:rsidRPr="00D343CC">
        <w:rPr>
          <w:rFonts w:cs="Arial"/>
        </w:rPr>
        <w:t xml:space="preserve">The divestiture is a contracted programme in which the business units are sold in order to focus on the core competencies (McGrath and O’Neill, 2023). In the case of General Electronics, the negative current Net Sales figures (2020) of £614,680m has been dwindling to negative figure (2024) of £394,879m, and the liquidity crisis requires urgent solution, which is selling the non-profitable assets. </w:t>
      </w:r>
      <w:proofErr w:type="spellStart"/>
      <w:r w:rsidRPr="00D343CC">
        <w:rPr>
          <w:rFonts w:cs="Arial"/>
        </w:rPr>
        <w:t>Fahdil</w:t>
      </w:r>
      <w:proofErr w:type="spellEnd"/>
      <w:r w:rsidRPr="00D343CC">
        <w:rPr>
          <w:rFonts w:cs="Arial"/>
        </w:rPr>
        <w:t xml:space="preserve"> et al. (2024) highlight that divestment, as a business strategy, is suitable to bankruptcy in financial strained firms, because divestment provides assets that are inexpensive source of finance in circumstances where debt and equity are costly.</w:t>
      </w:r>
    </w:p>
    <w:p w14:paraId="00FCCD7B" w14:textId="77777777" w:rsidR="00FB737A" w:rsidRPr="00D343CC" w:rsidRDefault="00FB737A" w:rsidP="00FB737A">
      <w:pPr>
        <w:pStyle w:val="Heading3"/>
        <w:rPr>
          <w:rFonts w:cs="Arial"/>
        </w:rPr>
      </w:pPr>
      <w:bookmarkStart w:id="22" w:name="_Toc217246578"/>
      <w:r w:rsidRPr="00D343CC">
        <w:rPr>
          <w:rFonts w:cs="Arial"/>
        </w:rPr>
        <w:t>3.2.2 Equity Injection and Capital Base Re-engineering</w:t>
      </w:r>
      <w:bookmarkEnd w:id="22"/>
    </w:p>
    <w:p w14:paraId="7D63A4BF" w14:textId="77777777" w:rsidR="00FB737A" w:rsidRPr="00D343CC" w:rsidRDefault="00FB737A" w:rsidP="00FB737A">
      <w:pPr>
        <w:rPr>
          <w:rFonts w:cs="Arial"/>
        </w:rPr>
      </w:pPr>
      <w:r w:rsidRPr="00D343CC">
        <w:rPr>
          <w:rFonts w:cs="Arial"/>
        </w:rPr>
        <w:t>Equity injection includes the issuance of new shares that do not require payment (Burkart and Zhong, 2023). With net losses continuing to grow over the years of up to £98,238m, it is extremely essential to inject new capital to restore the balance in the capital structure. The strategy is consistent with the Pecking Order Theory which states that distressed firms have to thrust beyond internal reserves and firm debts in an attempt to stabilise the capital base (Myers and Majluf, 1984). The infusion of equity solution will address so-called debt overhang that is discouraging new investment today by burning labour cash on bail-out the submerged debt.</w:t>
      </w:r>
    </w:p>
    <w:p w14:paraId="72B43503" w14:textId="77777777" w:rsidR="00FB737A" w:rsidRPr="00D343CC" w:rsidRDefault="00FB737A" w:rsidP="00FB737A">
      <w:pPr>
        <w:pStyle w:val="Heading3"/>
        <w:rPr>
          <w:rFonts w:cs="Arial"/>
        </w:rPr>
      </w:pPr>
      <w:bookmarkStart w:id="23" w:name="_Toc217246579"/>
      <w:r w:rsidRPr="00D343CC">
        <w:rPr>
          <w:rFonts w:cs="Arial"/>
        </w:rPr>
        <w:t>3.2.3 Merger or Strategic Alliance</w:t>
      </w:r>
      <w:bookmarkEnd w:id="23"/>
    </w:p>
    <w:p w14:paraId="0662A29D" w14:textId="77777777" w:rsidR="00FB737A" w:rsidRPr="00D343CC" w:rsidRDefault="00FB737A" w:rsidP="00FB737A">
      <w:pPr>
        <w:rPr>
          <w:rFonts w:cs="Arial"/>
        </w:rPr>
      </w:pPr>
      <w:r w:rsidRPr="00D343CC">
        <w:rPr>
          <w:rFonts w:cs="Arial"/>
        </w:rPr>
        <w:t>Merger is an expansion plan that is meant to attain synergy a situation whereby a union is more valuable than the individual firms (Ray, 2022). Forming an alliance with a competitor with healthy financial position will give General Electronics a technological platform to turn around adverse trends in efficiency. A study has however warned that most mergers result in a considerable post-merger liquidity loss, and therefore a careful approach should be taken which would be concerned with integrating operations.</w:t>
      </w:r>
    </w:p>
    <w:p w14:paraId="11051184" w14:textId="77777777" w:rsidR="00FB737A" w:rsidRPr="00D343CC" w:rsidRDefault="00FB737A" w:rsidP="00FB737A">
      <w:pPr>
        <w:pStyle w:val="Heading2"/>
        <w:rPr>
          <w:rFonts w:cs="Arial"/>
        </w:rPr>
      </w:pPr>
      <w:bookmarkStart w:id="24" w:name="_Toc217246580"/>
      <w:r w:rsidRPr="00D343CC">
        <w:rPr>
          <w:rFonts w:cs="Arial"/>
        </w:rPr>
        <w:lastRenderedPageBreak/>
        <w:t>3.</w:t>
      </w:r>
      <w:r>
        <w:rPr>
          <w:rFonts w:cs="Arial"/>
        </w:rPr>
        <w:t>2</w:t>
      </w:r>
      <w:r w:rsidRPr="00D343CC">
        <w:rPr>
          <w:rFonts w:cs="Arial"/>
        </w:rPr>
        <w:t xml:space="preserve"> Evaluation of Restructuring Impact</w:t>
      </w:r>
      <w:bookmarkEnd w:id="24"/>
    </w:p>
    <w:p w14:paraId="0A7DBC70" w14:textId="77777777" w:rsidR="00FB737A" w:rsidRPr="00D343CC" w:rsidRDefault="00FB737A" w:rsidP="00FB737A">
      <w:pPr>
        <w:pStyle w:val="Heading3"/>
        <w:rPr>
          <w:rFonts w:cs="Arial"/>
        </w:rPr>
      </w:pPr>
      <w:bookmarkStart w:id="25" w:name="_Toc217246581"/>
      <w:r w:rsidRPr="00D343CC">
        <w:rPr>
          <w:rFonts w:cs="Arial"/>
        </w:rPr>
        <w:t>3.3.1 Impact on Shareholder Value</w:t>
      </w:r>
      <w:bookmarkEnd w:id="25"/>
    </w:p>
    <w:p w14:paraId="14B2D31B" w14:textId="77777777" w:rsidR="00FB737A" w:rsidRPr="00D343CC" w:rsidRDefault="00FB737A" w:rsidP="00FB737A">
      <w:pPr>
        <w:rPr>
          <w:rFonts w:cs="Arial"/>
        </w:rPr>
      </w:pPr>
      <w:r w:rsidRPr="00D343CC">
        <w:rPr>
          <w:rFonts w:cs="Arial"/>
        </w:rPr>
        <w:t>The reorganisation should tackle the dismal loss in shareholder wealth as indicated by decreasing Earnings Per Share (EPS) of 2020 to (Loss) of 2024. This is directly related to the Return on Equity (ROE), which had declined to 12.31% to its catastrophic -54.91% in 2023. More importantly, the negative ROE trajectory indicates that the management is literally obliterating the equity base, which has reduced by half as one can see that it is currently at 313,301m and reduced to 153,105m. Through the exercise of divestitures, General electronics will give up on the assets, which, as the company claims, are haemorrhaging the net income. This is likely to boost the Net Profit Margin that dropped to -23.36% in 2023 and thus herald a structural rebirth of the market. The only way to recover the P/E ratio, which is currently at N/A due to negative earnings, and revive investor confidence using a stabilised earnings core is to restore its profitability.</w:t>
      </w:r>
    </w:p>
    <w:p w14:paraId="2B59720D" w14:textId="77777777" w:rsidR="00FB737A" w:rsidRPr="00D343CC" w:rsidRDefault="00FB737A" w:rsidP="00FB737A">
      <w:pPr>
        <w:pStyle w:val="Heading3"/>
        <w:rPr>
          <w:rFonts w:cs="Arial"/>
        </w:rPr>
      </w:pPr>
      <w:bookmarkStart w:id="26" w:name="_Toc217246582"/>
      <w:r w:rsidRPr="00D343CC">
        <w:rPr>
          <w:rFonts w:cs="Arial"/>
        </w:rPr>
        <w:t>3.3.2 Impact on Debt Structure</w:t>
      </w:r>
      <w:bookmarkEnd w:id="26"/>
    </w:p>
    <w:p w14:paraId="21791BE4" w14:textId="77777777" w:rsidR="00FB737A" w:rsidRPr="00D343CC" w:rsidRDefault="00FB737A" w:rsidP="00FB737A">
      <w:pPr>
        <w:rPr>
          <w:rFonts w:cs="Arial"/>
        </w:rPr>
      </w:pPr>
      <w:r w:rsidRPr="00D343CC">
        <w:rPr>
          <w:rFonts w:cs="Arial"/>
        </w:rPr>
        <w:t xml:space="preserve">The debt structure determines that the level of financial risk is serious and is progressive, as the Debt-to-Equity ratio increased by 0.63 to 1.11 within the last five years. This shows that debt has taken over as the capital structure of the firm owing mainly to the extreme rate of utilisation of retained earnings as opposed to deliberate borrowing. The most frightening critical indicator is Interest Coverage Ratio that was transformed (between 26.21) to a negative (4.55). This adverse reporting is evidenced by the fact that this firm is in a debt trap, that is, it has to use short-term Lines of Credit, which were 36,960m in 2024, to through pending purposes. </w:t>
      </w:r>
    </w:p>
    <w:p w14:paraId="3E2FB206" w14:textId="77777777" w:rsidR="00FB737A" w:rsidRPr="00D343CC" w:rsidRDefault="00FB737A" w:rsidP="00FB737A">
      <w:pPr>
        <w:pStyle w:val="Heading3"/>
        <w:rPr>
          <w:rFonts w:cs="Arial"/>
        </w:rPr>
      </w:pPr>
      <w:bookmarkStart w:id="27" w:name="_Toc217246583"/>
      <w:r w:rsidRPr="00D343CC">
        <w:rPr>
          <w:rFonts w:cs="Arial"/>
        </w:rPr>
        <w:t>3.3.3 Impact on Operational Flexibility</w:t>
      </w:r>
      <w:bookmarkEnd w:id="27"/>
    </w:p>
    <w:p w14:paraId="46CD72DC" w14:textId="77777777" w:rsidR="00FB737A" w:rsidRPr="00D343CC" w:rsidRDefault="00FB737A" w:rsidP="00FB737A">
      <w:pPr>
        <w:rPr>
          <w:rFonts w:cs="Arial"/>
        </w:rPr>
      </w:pPr>
      <w:r w:rsidRPr="00D343CC">
        <w:rPr>
          <w:rFonts w:cs="Arial"/>
        </w:rPr>
        <w:t xml:space="preserve">Reduced flexibility in operating has been limited by diminishing cash balances, impairment charges and fixed cost obligations. It is already in the grip of stagnant Cash Operating Cycle which has gone up to 138.66 days in 2024. This wastefulness is predetermined by the influx of Receivables Days as high as 105.54, indicating that General Electronics is actually financing its clients and at the same time its own Cash Ratio is at an unsafe level of 0.17. Importantly, the cash parity is unavailable hence the firm is left with only 17p to each one pound of urgent debt with no margin to work with in operational pivots. The Just-in-Time (JIT) inventory reforms are expected to </w:t>
      </w:r>
      <w:r w:rsidRPr="00D343CC">
        <w:rPr>
          <w:rFonts w:cs="Arial"/>
        </w:rPr>
        <w:lastRenderedPageBreak/>
        <w:t>restructure to reduce inventory days by 103.12 releasing the trapped capital as seen in the working capital analysis.</w:t>
      </w:r>
    </w:p>
    <w:p w14:paraId="52BC443A" w14:textId="77777777" w:rsidR="00FB737A" w:rsidRPr="00D343CC" w:rsidRDefault="00FB737A" w:rsidP="00FB737A">
      <w:pPr>
        <w:pStyle w:val="Heading2"/>
        <w:rPr>
          <w:rFonts w:cs="Arial"/>
        </w:rPr>
      </w:pPr>
      <w:bookmarkStart w:id="28" w:name="_Toc217246584"/>
      <w:r w:rsidRPr="00D343CC">
        <w:rPr>
          <w:rFonts w:cs="Arial"/>
        </w:rPr>
        <w:t>3.</w:t>
      </w:r>
      <w:r>
        <w:rPr>
          <w:rFonts w:cs="Arial"/>
        </w:rPr>
        <w:t>3</w:t>
      </w:r>
      <w:r w:rsidRPr="00D343CC">
        <w:rPr>
          <w:rFonts w:cs="Arial"/>
        </w:rPr>
        <w:t xml:space="preserve"> International and Ethical Considerations</w:t>
      </w:r>
      <w:bookmarkEnd w:id="28"/>
    </w:p>
    <w:p w14:paraId="1B924AE7" w14:textId="77777777" w:rsidR="00FB737A" w:rsidRPr="004563FB" w:rsidRDefault="00FB737A" w:rsidP="00FB737A">
      <w:pPr>
        <w:jc w:val="center"/>
        <w:rPr>
          <w:rFonts w:cs="Arial"/>
          <w:b/>
          <w:bCs/>
        </w:rPr>
      </w:pPr>
      <w:r w:rsidRPr="004563FB">
        <w:rPr>
          <w:rFonts w:cs="Arial"/>
          <w:b/>
          <w:bCs/>
        </w:rPr>
        <w:t>Currency Risk Management</w:t>
      </w:r>
    </w:p>
    <w:p w14:paraId="56502DA0" w14:textId="77777777" w:rsidR="00FB737A" w:rsidRPr="00D343CC" w:rsidRDefault="00FB737A" w:rsidP="00FB737A">
      <w:pPr>
        <w:rPr>
          <w:rFonts w:cs="Arial"/>
        </w:rPr>
      </w:pPr>
      <w:r w:rsidRPr="00D343CC">
        <w:rPr>
          <w:rFonts w:cs="Arial"/>
        </w:rPr>
        <w:t>General Electronics is one of the global companies and thus is very vulnerable to exchange rate volatility, which has seen the company make a loss of 2598m in 2024 alone. This loss has an immediate effect on the Net Income and difficulty in the available cash flow to service debt. To restructure in a manner that guarantees a protection of the consolidated financial status of the company against any unexpected changes in GBP relative to key trading currencies, complex hedging tools should be employed, including forward contract or currency swap.</w:t>
      </w:r>
    </w:p>
    <w:p w14:paraId="5CF32552" w14:textId="77777777" w:rsidR="00FB737A" w:rsidRPr="004563FB" w:rsidRDefault="00FB737A" w:rsidP="00FB737A">
      <w:pPr>
        <w:jc w:val="center"/>
        <w:rPr>
          <w:rFonts w:cs="Arial"/>
          <w:b/>
          <w:bCs/>
        </w:rPr>
      </w:pPr>
      <w:r w:rsidRPr="004563FB">
        <w:rPr>
          <w:rFonts w:cs="Arial"/>
          <w:b/>
          <w:bCs/>
        </w:rPr>
        <w:t>International Taxation Strategies</w:t>
      </w:r>
    </w:p>
    <w:p w14:paraId="76EB9E97" w14:textId="77777777" w:rsidR="00FB737A" w:rsidRPr="00D343CC" w:rsidRDefault="00FB737A" w:rsidP="00FB737A">
      <w:pPr>
        <w:rPr>
          <w:rFonts w:cs="Arial"/>
        </w:rPr>
      </w:pPr>
      <w:r w:rsidRPr="00D343CC">
        <w:rPr>
          <w:rFonts w:cs="Arial"/>
        </w:rPr>
        <w:t>The company has to endure complicated cross-border tax environments particularly in consideration of the fact that it realised a tax provision of £5,431m in 2024 even after it incurred Income Loss before taxes of 18,598m. The importance of this discrepancy is that tax-efficient restructuring is absolutely necessary and divestitures (or subsidiary reorganisations) must be done in a manner so as not to cause huge amounts of capital gains tax that would further pillage the already small cash base of the firm.</w:t>
      </w:r>
    </w:p>
    <w:p w14:paraId="483004F6" w14:textId="77777777" w:rsidR="00FB737A" w:rsidRPr="004563FB" w:rsidRDefault="00FB737A" w:rsidP="00FB737A">
      <w:pPr>
        <w:jc w:val="center"/>
        <w:rPr>
          <w:rFonts w:cs="Arial"/>
          <w:b/>
          <w:bCs/>
        </w:rPr>
      </w:pPr>
      <w:r w:rsidRPr="004563FB">
        <w:rPr>
          <w:rFonts w:cs="Arial"/>
          <w:b/>
          <w:bCs/>
        </w:rPr>
        <w:t>Global Inflationary Pressures</w:t>
      </w:r>
    </w:p>
    <w:p w14:paraId="753B1FD0" w14:textId="77777777" w:rsidR="00FB737A" w:rsidRPr="00D343CC" w:rsidRDefault="00FB737A" w:rsidP="00FB737A">
      <w:pPr>
        <w:rPr>
          <w:rFonts w:cs="Arial"/>
        </w:rPr>
      </w:pPr>
      <w:r w:rsidRPr="00D343CC">
        <w:rPr>
          <w:rFonts w:cs="Arial"/>
        </w:rPr>
        <w:t>The Cost of Sales of the company was at a high level of 280,885m in 2024; however, it is at risk, as the global inflation increases in line with it. With inflationary forces pushing the price of raw materials and labour to be significantly higher, General Electronics will have to result into higher Fixed Asset Turnover, which has increased to 11.54, without depleting the assets, but rather through actual increase in sales volume. Creative cost- containment initiatives are necessary in order to ensure competitive advantage in a high-inflation world economy.</w:t>
      </w:r>
    </w:p>
    <w:p w14:paraId="78407595" w14:textId="77777777" w:rsidR="00FB737A" w:rsidRPr="004563FB" w:rsidRDefault="00FB737A" w:rsidP="00FB737A">
      <w:pPr>
        <w:jc w:val="center"/>
        <w:rPr>
          <w:rFonts w:cs="Arial"/>
          <w:b/>
          <w:bCs/>
        </w:rPr>
      </w:pPr>
      <w:r w:rsidRPr="004563FB">
        <w:rPr>
          <w:rFonts w:cs="Arial"/>
          <w:b/>
          <w:bCs/>
        </w:rPr>
        <w:t>Corporate Social Responsibility (CSR) and Ethics</w:t>
      </w:r>
    </w:p>
    <w:p w14:paraId="5BEBBB41" w14:textId="77777777" w:rsidR="00FB737A" w:rsidRPr="00D343CC" w:rsidRDefault="00FB737A" w:rsidP="00FB737A">
      <w:pPr>
        <w:rPr>
          <w:rFonts w:cs="Arial"/>
        </w:rPr>
      </w:pPr>
      <w:r w:rsidRPr="00D343CC">
        <w:rPr>
          <w:rFonts w:cs="Arial"/>
        </w:rPr>
        <w:t xml:space="preserve">The process of ethical restructuring needs a balanced sentiment towards Corporate Social Responsibility (CSR), especially where workforce is reduced through </w:t>
      </w:r>
      <w:r w:rsidRPr="00D343CC">
        <w:rPr>
          <w:rFonts w:cs="Arial"/>
        </w:rPr>
        <w:lastRenderedPageBreak/>
        <w:t>undertaking a divestiture. This creates an ethical challenge on the side of management to offer good severance and retraining since a non-compliance will forever affect the image of the brand and the value of the brand on the market. Moreover, the Governance should be transparent to avoid infringing on the rights of the minority shareholders and creditors restructuring process should be carried out to its utmost ethical standards to restore the confidence of the organisation.</w:t>
      </w:r>
    </w:p>
    <w:p w14:paraId="4EDBB82C" w14:textId="341A51D5" w:rsidR="009A1FE1" w:rsidRPr="00D343CC" w:rsidRDefault="009A1FE1" w:rsidP="000E65AF">
      <w:pPr>
        <w:pStyle w:val="Heading1"/>
        <w:rPr>
          <w:rFonts w:cs="Arial"/>
        </w:rPr>
      </w:pPr>
      <w:bookmarkStart w:id="29" w:name="_Toc217246585"/>
      <w:r w:rsidRPr="00D343CC">
        <w:rPr>
          <w:rFonts w:cs="Arial"/>
        </w:rPr>
        <w:t>4.0 Investment Appraisal and Capital Budgeting of General Electronics</w:t>
      </w:r>
      <w:bookmarkEnd w:id="19"/>
      <w:bookmarkEnd w:id="29"/>
    </w:p>
    <w:p w14:paraId="5E9F448B" w14:textId="449BD746" w:rsidR="00FB737A" w:rsidRPr="00D343CC" w:rsidRDefault="00FB737A" w:rsidP="00FB737A">
      <w:pPr>
        <w:rPr>
          <w:rFonts w:cs="Arial"/>
        </w:rPr>
      </w:pPr>
      <w:r w:rsidRPr="00D343CC">
        <w:rPr>
          <w:rFonts w:cs="Arial"/>
        </w:rPr>
        <w:t xml:space="preserve">Effective capital budgeting is that strategic road map on the growth of the company because it ensures that the limited financial resources it has are directed to the projects that generate maximum shareholder value in the long-term (Hillier et al., 2022). </w:t>
      </w:r>
    </w:p>
    <w:p w14:paraId="1F1579DD" w14:textId="77777777" w:rsidR="00FB737A" w:rsidRPr="00D343CC" w:rsidRDefault="00FB737A" w:rsidP="00FB737A">
      <w:pPr>
        <w:pStyle w:val="Heading2"/>
        <w:rPr>
          <w:rFonts w:cs="Arial"/>
        </w:rPr>
      </w:pPr>
      <w:bookmarkStart w:id="30" w:name="_Toc217246586"/>
      <w:r w:rsidRPr="00D343CC">
        <w:rPr>
          <w:rFonts w:cs="Arial"/>
        </w:rPr>
        <w:t>4.</w:t>
      </w:r>
      <w:r>
        <w:rPr>
          <w:rFonts w:cs="Arial"/>
        </w:rPr>
        <w:t xml:space="preserve">1 </w:t>
      </w:r>
      <w:r w:rsidRPr="00D343CC">
        <w:rPr>
          <w:rFonts w:cs="Arial"/>
        </w:rPr>
        <w:t>Project Details and Assumptions</w:t>
      </w:r>
      <w:bookmarkEnd w:id="30"/>
    </w:p>
    <w:p w14:paraId="15F0E64F" w14:textId="77777777" w:rsidR="00FB737A" w:rsidRPr="00D343CC" w:rsidRDefault="00FB737A" w:rsidP="00FB737A">
      <w:pPr>
        <w:rPr>
          <w:rFonts w:cs="Arial"/>
        </w:rPr>
      </w:pPr>
      <w:r w:rsidRPr="00D343CC">
        <w:rPr>
          <w:rFonts w:cs="Arial"/>
        </w:rPr>
        <w:t>There are three independent projects that are parameter of different outlay studied with the appraisal being Project A (£40m), Project B (£30m) and Project C (£50m). The analysis is based on the assumption of 5 years economic life of all the assets at discount rate of 10 percent, which is the weighted average cost of capital of the company. The cash inflow is considered in terms of net operating returns as well as straight-line depreciation up to a zero residual figure is taken.</w:t>
      </w:r>
    </w:p>
    <w:p w14:paraId="55C02211" w14:textId="77777777" w:rsidR="00FB737A" w:rsidRPr="00D343CC" w:rsidRDefault="00FB737A" w:rsidP="00FB737A">
      <w:pPr>
        <w:pStyle w:val="Heading2"/>
        <w:rPr>
          <w:rFonts w:cs="Arial"/>
        </w:rPr>
      </w:pPr>
      <w:bookmarkStart w:id="31" w:name="_Toc217246587"/>
      <w:r w:rsidRPr="00D343CC">
        <w:rPr>
          <w:rFonts w:cs="Arial"/>
        </w:rPr>
        <w:t>4.</w:t>
      </w:r>
      <w:r>
        <w:rPr>
          <w:rFonts w:cs="Arial"/>
        </w:rPr>
        <w:t>2</w:t>
      </w:r>
      <w:r w:rsidRPr="00D343CC">
        <w:rPr>
          <w:rFonts w:cs="Arial"/>
        </w:rPr>
        <w:t xml:space="preserve"> Payback Period (PBP) Analysis</w:t>
      </w:r>
      <w:bookmarkEnd w:id="31"/>
    </w:p>
    <w:p w14:paraId="46E7B6F3" w14:textId="77777777" w:rsidR="00FB737A" w:rsidRPr="00D343CC" w:rsidRDefault="00FB737A" w:rsidP="00FB737A">
      <w:pPr>
        <w:rPr>
          <w:rFonts w:cs="Arial"/>
        </w:rPr>
      </w:pPr>
      <w:r w:rsidRPr="00D343CC">
        <w:rPr>
          <w:rFonts w:cs="Arial"/>
        </w:rPr>
        <w:t>Payback Period (PBP) is a non-discounted capital budgeting method, which measures or determines the specific time an investment takes to be able to inflow cash that will recover its initial cost (</w:t>
      </w:r>
      <w:proofErr w:type="spellStart"/>
      <w:r w:rsidRPr="00D343CC">
        <w:rPr>
          <w:rFonts w:cs="Arial"/>
        </w:rPr>
        <w:t>Sheibani</w:t>
      </w:r>
      <w:proofErr w:type="spellEnd"/>
      <w:r w:rsidRPr="00D343CC">
        <w:rPr>
          <w:rFonts w:cs="Arial"/>
        </w:rPr>
        <w:t xml:space="preserve"> et al., 2024). It has acted as a crucial indicator of liquidity and investment risk in that the shorter the payback period, the less time a business has to spend its capital on market risk (</w:t>
      </w:r>
      <w:proofErr w:type="spellStart"/>
      <w:r w:rsidRPr="00D343CC">
        <w:rPr>
          <w:rFonts w:cs="Arial"/>
        </w:rPr>
        <w:t>Sheibani</w:t>
      </w:r>
      <w:proofErr w:type="spellEnd"/>
      <w:r w:rsidRPr="00D343CC">
        <w:rPr>
          <w:rFonts w:cs="Arial"/>
        </w:rPr>
        <w:t xml:space="preserve"> et al., 2024).</w:t>
      </w:r>
    </w:p>
    <w:p w14:paraId="42625AC6" w14:textId="77777777" w:rsidR="00FB737A" w:rsidRPr="00D343CC" w:rsidRDefault="00FB737A" w:rsidP="00FB737A">
      <w:pPr>
        <w:rPr>
          <w:rFonts w:cs="Arial"/>
        </w:rPr>
      </w:pPr>
      <w:r w:rsidRPr="00D343CC">
        <w:rPr>
          <w:rFonts w:cs="Arial"/>
        </w:rPr>
        <w:t xml:space="preserve">Project A according to the analysis in Appendix C, Table C1, offers the most desirable in terms of liquidity as it recovers its outlay of £40 million of money in 3.40 years only. On the contrary, Project C will take 3.60 years to complete, compared to Project B that will be a longtime back winner of 5.00 years. Since the company is facing a liquidity crisis that is at present manifested in a declining cash ratio, implementing Project A would give the quickest cash infusion. Nevertheless, in the short term PBP makes Project A to be the safest in the context of recovery, still it does not consider the total </w:t>
      </w:r>
      <w:r w:rsidRPr="00D343CC">
        <w:rPr>
          <w:rFonts w:cs="Arial"/>
        </w:rPr>
        <w:lastRenderedPageBreak/>
        <w:t>profitability or time value of money and has to be compared with NPV and IRR to final decision.</w:t>
      </w:r>
    </w:p>
    <w:p w14:paraId="5241373E" w14:textId="77777777" w:rsidR="00FB737A" w:rsidRPr="00D343CC" w:rsidRDefault="00FB737A" w:rsidP="00FB737A">
      <w:pPr>
        <w:pStyle w:val="Heading2"/>
        <w:rPr>
          <w:rFonts w:cs="Arial"/>
        </w:rPr>
      </w:pPr>
      <w:bookmarkStart w:id="32" w:name="_Toc217246588"/>
      <w:r w:rsidRPr="00D343CC">
        <w:rPr>
          <w:rFonts w:cs="Arial"/>
        </w:rPr>
        <w:t>4.</w:t>
      </w:r>
      <w:r>
        <w:rPr>
          <w:rFonts w:cs="Arial"/>
        </w:rPr>
        <w:t>3</w:t>
      </w:r>
      <w:r w:rsidRPr="00D343CC">
        <w:rPr>
          <w:rFonts w:cs="Arial"/>
        </w:rPr>
        <w:t xml:space="preserve"> Annual Percentage Rate (APR) Analysis</w:t>
      </w:r>
      <w:bookmarkEnd w:id="32"/>
    </w:p>
    <w:p w14:paraId="2AF13325" w14:textId="77777777" w:rsidR="00FB737A" w:rsidRPr="00D343CC" w:rsidRDefault="00FB737A" w:rsidP="00FB737A">
      <w:pPr>
        <w:rPr>
          <w:rFonts w:cs="Arial"/>
        </w:rPr>
      </w:pPr>
      <w:r w:rsidRPr="00D343CC">
        <w:rPr>
          <w:rFonts w:cs="Arial"/>
        </w:rPr>
        <w:t>Annual Percentage Rate (APR) is a standardised value that is used to represent the annual cost of lending or the amount of income that is earned on an investment (Stokes and Cox, 2021).</w:t>
      </w:r>
    </w:p>
    <w:p w14:paraId="0243E252" w14:textId="77777777" w:rsidR="00FB737A" w:rsidRPr="00D343CC" w:rsidRDefault="00FB737A" w:rsidP="00FB737A">
      <w:pPr>
        <w:rPr>
          <w:rFonts w:cs="Arial"/>
        </w:rPr>
      </w:pPr>
      <w:r w:rsidRPr="00D343CC">
        <w:rPr>
          <w:rFonts w:cs="Arial"/>
        </w:rPr>
        <w:t>Based on the findings of the Appendix C, Table C2, project C shows the best earning potential of the highest APR at 10.00 due to the high 25M profit within the project term. Project A has an average APR of 7.00, and project B has 0.00 that is not generating any profit at the point of initiating the project. This measure reveals that Project C is effective in earning revenue per year with the highest profitability and this is one of the reasons why it is chosen as the major investment to turn the company around negative trend of registering negative profitability and loss of wealth.</w:t>
      </w:r>
    </w:p>
    <w:p w14:paraId="014E0908" w14:textId="77777777" w:rsidR="00FB737A" w:rsidRPr="00D343CC" w:rsidRDefault="00FB737A" w:rsidP="00FB737A">
      <w:pPr>
        <w:pStyle w:val="Heading2"/>
        <w:rPr>
          <w:rFonts w:cs="Arial"/>
        </w:rPr>
      </w:pPr>
      <w:bookmarkStart w:id="33" w:name="_Toc217246589"/>
      <w:r w:rsidRPr="00D343CC">
        <w:rPr>
          <w:rFonts w:cs="Arial"/>
        </w:rPr>
        <w:t>4.</w:t>
      </w:r>
      <w:r>
        <w:rPr>
          <w:rFonts w:cs="Arial"/>
        </w:rPr>
        <w:t>4</w:t>
      </w:r>
      <w:r w:rsidRPr="00D343CC">
        <w:rPr>
          <w:rFonts w:cs="Arial"/>
        </w:rPr>
        <w:t xml:space="preserve"> Net Present Value (NPV) Analysis</w:t>
      </w:r>
      <w:bookmarkEnd w:id="33"/>
    </w:p>
    <w:p w14:paraId="29BD35F3" w14:textId="77777777" w:rsidR="00FB737A" w:rsidRPr="00D343CC" w:rsidRDefault="00FB737A" w:rsidP="00FB737A">
      <w:pPr>
        <w:rPr>
          <w:rFonts w:cs="Arial"/>
        </w:rPr>
      </w:pPr>
      <w:r w:rsidRPr="00D343CC">
        <w:rPr>
          <w:rFonts w:cs="Arial"/>
        </w:rPr>
        <w:t>The Net Present Value (NPV) is an advanced capital budgeting measure that determines the variation between the present value of cash of a particular period and the present value of cash of a particular period (Stokes and Cox, 2021). A large NPV value shows that an investment will be value-adding to the company and enhances the wealth of shareholders.</w:t>
      </w:r>
    </w:p>
    <w:p w14:paraId="5ACB8509" w14:textId="77777777" w:rsidR="00FB737A" w:rsidRPr="00D343CC" w:rsidRDefault="00FB737A" w:rsidP="00FB737A">
      <w:pPr>
        <w:rPr>
          <w:rFonts w:cs="Arial"/>
        </w:rPr>
      </w:pPr>
      <w:r w:rsidRPr="00D343CC">
        <w:rPr>
          <w:rFonts w:cs="Arial"/>
        </w:rPr>
        <w:t>The results acquired after the analysis as presented in Table C3 in Appendix C indicate that the three proposals have different results. Project C will be the most profitable with a large positive NPV of £4.23 million and then Project A with a costing low of £1.32 million. On the other hand, Project B generates negative NPV of (£7.25 million), which indicates that it would be like a destruction of company value. In the case of a company such as General electronics where they are already suffering massive net losses and negative ROE, it is important to consider project C because it has the best mathematical justification of recovering in the long term and recovering wealth.</w:t>
      </w:r>
    </w:p>
    <w:p w14:paraId="4CBB8831" w14:textId="77777777" w:rsidR="00FB737A" w:rsidRPr="00D343CC" w:rsidRDefault="00FB737A" w:rsidP="00FB737A">
      <w:pPr>
        <w:pStyle w:val="Heading2"/>
        <w:rPr>
          <w:rFonts w:cs="Arial"/>
        </w:rPr>
      </w:pPr>
      <w:bookmarkStart w:id="34" w:name="_Toc217246590"/>
      <w:r w:rsidRPr="00D343CC">
        <w:rPr>
          <w:rFonts w:cs="Arial"/>
        </w:rPr>
        <w:t>4.</w:t>
      </w:r>
      <w:r>
        <w:rPr>
          <w:rFonts w:cs="Arial"/>
        </w:rPr>
        <w:t>5</w:t>
      </w:r>
      <w:r w:rsidRPr="00D343CC">
        <w:rPr>
          <w:rFonts w:cs="Arial"/>
        </w:rPr>
        <w:t xml:space="preserve"> Internal Rate of Return (IRR) Analysis</w:t>
      </w:r>
      <w:bookmarkEnd w:id="34"/>
    </w:p>
    <w:p w14:paraId="5164A0C2" w14:textId="77777777" w:rsidR="00FB737A" w:rsidRPr="00D343CC" w:rsidRDefault="00FB737A" w:rsidP="00FB737A">
      <w:pPr>
        <w:rPr>
          <w:rFonts w:cs="Arial"/>
        </w:rPr>
      </w:pPr>
      <w:r w:rsidRPr="00D343CC">
        <w:rPr>
          <w:rFonts w:cs="Arial"/>
        </w:rPr>
        <w:t xml:space="preserve">Internal rate return (IRR) is a discounted cash flow measure applicable to determine the feasibility of a prospective investment (Hazen and Magni, 2021). It is actually the rate of discount at which the Net Present Value (NPV) of a project takes the value of </w:t>
      </w:r>
      <w:r w:rsidRPr="00D343CC">
        <w:rPr>
          <w:rFonts w:cs="Arial"/>
        </w:rPr>
        <w:lastRenderedPageBreak/>
        <w:t>zero. It is essentially an indication of the projected yearly rate of an investment (</w:t>
      </w:r>
      <w:proofErr w:type="spellStart"/>
      <w:r w:rsidRPr="00D343CC">
        <w:rPr>
          <w:rFonts w:cs="Arial"/>
        </w:rPr>
        <w:t>Roenganan</w:t>
      </w:r>
      <w:proofErr w:type="spellEnd"/>
      <w:r w:rsidRPr="00D343CC">
        <w:rPr>
          <w:rFonts w:cs="Arial"/>
        </w:rPr>
        <w:t xml:space="preserve">, Misran and </w:t>
      </w:r>
      <w:proofErr w:type="spellStart"/>
      <w:r w:rsidRPr="00D343CC">
        <w:rPr>
          <w:rFonts w:cs="Arial"/>
        </w:rPr>
        <w:t>Phewchean</w:t>
      </w:r>
      <w:proofErr w:type="spellEnd"/>
      <w:r w:rsidRPr="00D343CC">
        <w:rPr>
          <w:rFonts w:cs="Arial"/>
        </w:rPr>
        <w:t xml:space="preserve">, 2021). </w:t>
      </w:r>
    </w:p>
    <w:p w14:paraId="1C780DF7" w14:textId="77777777" w:rsidR="00FB737A" w:rsidRPr="00D343CC" w:rsidRDefault="00FB737A" w:rsidP="00FB737A">
      <w:pPr>
        <w:rPr>
          <w:rFonts w:cs="Arial"/>
        </w:rPr>
      </w:pPr>
      <w:r w:rsidRPr="00D343CC">
        <w:rPr>
          <w:rFonts w:cs="Arial"/>
        </w:rPr>
        <w:t>According to the calculations in Appendix C, Table C4, Project C becomes the soundest project with IRR of 13.41 which is well above the hurdle rate of 10%. Project A has IRR of 11.48 that is also feasible, but with a lower margin of safety. The entire Project B is rejected, however, and its IRR is not bigger than 0, which proves that it will not even be able to cover the initial cost, taking into consideration the time value of money. In the case of General Electronics, the IRR of Project C is high which is necessary cushioning against the current volatility and operational risks that the firm is experiencing.</w:t>
      </w:r>
    </w:p>
    <w:p w14:paraId="44BC8E41" w14:textId="77777777" w:rsidR="00FB737A" w:rsidRPr="00D343CC" w:rsidRDefault="00FB737A" w:rsidP="00FB737A">
      <w:pPr>
        <w:pStyle w:val="Heading2"/>
        <w:rPr>
          <w:rFonts w:cs="Arial"/>
        </w:rPr>
      </w:pPr>
      <w:bookmarkStart w:id="35" w:name="_Toc217246591"/>
      <w:r w:rsidRPr="00D343CC">
        <w:rPr>
          <w:rFonts w:cs="Arial"/>
        </w:rPr>
        <w:t>4.</w:t>
      </w:r>
      <w:r>
        <w:rPr>
          <w:rFonts w:cs="Arial"/>
        </w:rPr>
        <w:t>6</w:t>
      </w:r>
      <w:r w:rsidRPr="00D343CC">
        <w:rPr>
          <w:rFonts w:cs="Arial"/>
        </w:rPr>
        <w:t xml:space="preserve"> Profitability Index (PI) Analysis</w:t>
      </w:r>
      <w:bookmarkEnd w:id="35"/>
    </w:p>
    <w:p w14:paraId="10AA1F12" w14:textId="77777777" w:rsidR="00FB737A" w:rsidRPr="00D343CC" w:rsidRDefault="00FB737A" w:rsidP="00FB737A">
      <w:pPr>
        <w:rPr>
          <w:rFonts w:cs="Arial"/>
        </w:rPr>
      </w:pPr>
      <w:r w:rsidRPr="00D343CC">
        <w:rPr>
          <w:rFonts w:cs="Arial"/>
        </w:rPr>
        <w:t>The value investment ratio or the Profitability Index (PI) is a ratio that is used to identify the relative profitability of an investment by evaluating the current worth of the cash flows that an investment will generate against the original capital outlay (Al-</w:t>
      </w:r>
      <w:proofErr w:type="spellStart"/>
      <w:r w:rsidRPr="00D343CC">
        <w:rPr>
          <w:rFonts w:cs="Arial"/>
        </w:rPr>
        <w:t>Rikabi</w:t>
      </w:r>
      <w:proofErr w:type="spellEnd"/>
      <w:r w:rsidRPr="00D343CC">
        <w:rPr>
          <w:rFonts w:cs="Arial"/>
        </w:rPr>
        <w:t>, 2021). It gives a figure of the value generated on each pound of investment.</w:t>
      </w:r>
    </w:p>
    <w:p w14:paraId="6976A5A4" w14:textId="77777777" w:rsidR="00FB737A" w:rsidRPr="00D343CC" w:rsidRDefault="00FB737A" w:rsidP="00FB737A">
      <w:pPr>
        <w:rPr>
          <w:rFonts w:cs="Arial"/>
        </w:rPr>
      </w:pPr>
      <w:r w:rsidRPr="00D343CC">
        <w:rPr>
          <w:rFonts w:cs="Arial"/>
        </w:rPr>
        <w:t>Based on the analysis in Appendix C, Table C5, Project C is the most efficient with PI of 1.085 which means that Project C creates about 1.09 of value of each pound incurred. Project A with PI of 1.033 comes next and Project B is inefficient with PI of 0.758. The PI is the most important measure in case of General Electronics where the capital rationing constraint is a limiting factor at the level of 60 million pounds. It reaffirms that Project C is the most mathematical sound decision to bring stability in the dwindling equity of the firm and re-establish its financial standing.</w:t>
      </w:r>
    </w:p>
    <w:p w14:paraId="07BD75F3" w14:textId="77777777" w:rsidR="00FB737A" w:rsidRPr="00D343CC" w:rsidRDefault="00FB737A" w:rsidP="00FB737A">
      <w:pPr>
        <w:pStyle w:val="Heading2"/>
        <w:rPr>
          <w:rFonts w:cs="Arial"/>
        </w:rPr>
      </w:pPr>
      <w:bookmarkStart w:id="36" w:name="_Toc217246592"/>
      <w:r w:rsidRPr="00D343CC">
        <w:rPr>
          <w:rFonts w:cs="Arial"/>
        </w:rPr>
        <w:t>4.</w:t>
      </w:r>
      <w:r>
        <w:rPr>
          <w:rFonts w:cs="Arial"/>
        </w:rPr>
        <w:t>7</w:t>
      </w:r>
      <w:r w:rsidRPr="00D343CC">
        <w:rPr>
          <w:rFonts w:cs="Arial"/>
        </w:rPr>
        <w:t xml:space="preserve"> Capital Rationing and Project Selection</w:t>
      </w:r>
      <w:bookmarkEnd w:id="36"/>
    </w:p>
    <w:p w14:paraId="0A6297F0" w14:textId="77777777" w:rsidR="00FB737A" w:rsidRPr="00D343CC" w:rsidRDefault="00FB737A" w:rsidP="00FB737A">
      <w:pPr>
        <w:rPr>
          <w:rFonts w:cs="Arial"/>
        </w:rPr>
      </w:pPr>
      <w:r w:rsidRPr="00D343CC">
        <w:rPr>
          <w:rFonts w:cs="Arial"/>
        </w:rPr>
        <w:t>There is a present constrained capital rationing limit, where GE has a limit of investment of up to 60 million. Both Projects A and C are technically feasible with positive NPVs but their total cost of £90 million is more than the budget. Project C (£50m) is the best planned strategy to adopt, because it will have the best absolute NPV(£4.23m) and the best Profitability Index (1.085). Despite the fact that Project A offers a quicker payback period, Project C offers a better wealth creation per pound that has been spent.</w:t>
      </w:r>
    </w:p>
    <w:p w14:paraId="036B8F8F" w14:textId="77777777" w:rsidR="00FB737A" w:rsidRPr="00D343CC" w:rsidRDefault="00FB737A" w:rsidP="00FB737A">
      <w:pPr>
        <w:rPr>
          <w:rFonts w:cs="Arial"/>
        </w:rPr>
      </w:pPr>
      <w:r w:rsidRPr="00D343CC">
        <w:rPr>
          <w:rFonts w:cs="Arial"/>
        </w:rPr>
        <w:lastRenderedPageBreak/>
        <w:t>Project B kills value (negative NPV), and therefore the remaining pound 10 million should be kept in liquid reserves. The decision will be in line with the fact that the firm intends to stabilise its deteriorated long-term profitability by balancing both long run and short run profitability objectives.</w:t>
      </w:r>
    </w:p>
    <w:p w14:paraId="506F0B5C" w14:textId="77777777" w:rsidR="00FB737A" w:rsidRPr="00D343CC" w:rsidRDefault="00FB737A" w:rsidP="00FB737A">
      <w:pPr>
        <w:pStyle w:val="Heading2"/>
        <w:rPr>
          <w:rFonts w:cs="Arial"/>
        </w:rPr>
      </w:pPr>
      <w:bookmarkStart w:id="37" w:name="_Toc217246593"/>
      <w:r w:rsidRPr="00D343CC">
        <w:rPr>
          <w:rFonts w:cs="Arial"/>
        </w:rPr>
        <w:t>4.</w:t>
      </w:r>
      <w:r>
        <w:rPr>
          <w:rFonts w:cs="Arial"/>
        </w:rPr>
        <w:t>8</w:t>
      </w:r>
      <w:r w:rsidRPr="00D343CC">
        <w:rPr>
          <w:rFonts w:cs="Arial"/>
        </w:rPr>
        <w:t xml:space="preserve"> Justification Based on Financial Performance and Project Risk Characteristics</w:t>
      </w:r>
      <w:bookmarkEnd w:id="37"/>
    </w:p>
    <w:p w14:paraId="4F139AEB" w14:textId="77777777" w:rsidR="00FB737A" w:rsidRPr="00D343CC" w:rsidRDefault="00FB737A" w:rsidP="00FB737A">
      <w:pPr>
        <w:rPr>
          <w:rFonts w:cs="Arial"/>
        </w:rPr>
      </w:pPr>
      <w:r w:rsidRPr="00D343CC">
        <w:rPr>
          <w:rFonts w:cs="Arial"/>
        </w:rPr>
        <w:t>The piece of advice to go ahead with Project C is strongly based on a strategic fit with the financial profile of the project and the distressed nature of General Electronics at present. The most severe issue of the firm is the devastating plummeting of profitability as the ROE stood at -54.91 and the net losses have not disappeared. Project C focuses on this fundamental weakness, as it presents the best NPV (£4.23m) and the best IRR (13.41) which gives a strong safety margin on top of the 10 per cent cost of capital. Although Project A has a marginally faster Payback Period, the high Profitability Index of Project C (1.085) guarantees that all pound spent of the limited resources in the one of the available capitals, the £60 million, will be put to the maximum use to reclaim shareholder value.</w:t>
      </w:r>
    </w:p>
    <w:p w14:paraId="3E2B02B0" w14:textId="77777777" w:rsidR="00FB737A" w:rsidRPr="00D343CC" w:rsidRDefault="00FB737A" w:rsidP="00FB737A">
      <w:pPr>
        <w:rPr>
          <w:rFonts w:cs="Arial"/>
        </w:rPr>
      </w:pPr>
      <w:r w:rsidRPr="00D343CC">
        <w:rPr>
          <w:rFonts w:cs="Arial"/>
        </w:rPr>
        <w:t>The project attributes should be pegged against the weak liquidity of the company as regards around future risks orientation. Project C has bulkier cash flows revealing that it is increased in the beginning of the project than project A. Nevertheless, terminal value is significantly greater which is critical to long-term solvency (Al-</w:t>
      </w:r>
      <w:proofErr w:type="spellStart"/>
      <w:r w:rsidRPr="00D343CC">
        <w:rPr>
          <w:rFonts w:cs="Arial"/>
        </w:rPr>
        <w:t>Rikabi</w:t>
      </w:r>
      <w:proofErr w:type="spellEnd"/>
      <w:r w:rsidRPr="00D343CC">
        <w:rPr>
          <w:rFonts w:cs="Arial"/>
        </w:rPr>
        <w:t>, 2021). Project B is not selected based on the fact that it has negative NPV but it has zero growth stimulus which would not help the company bring down its current decline.</w:t>
      </w:r>
    </w:p>
    <w:p w14:paraId="1312E133" w14:textId="77777777" w:rsidR="00FB737A" w:rsidRPr="00D343CC" w:rsidRDefault="00FB737A" w:rsidP="00FB737A">
      <w:pPr>
        <w:rPr>
          <w:rFonts w:cs="Arial"/>
        </w:rPr>
      </w:pPr>
      <w:r w:rsidRPr="00D343CC">
        <w:rPr>
          <w:rFonts w:cs="Arial"/>
        </w:rPr>
        <w:t>Finally, choosing Project C is the solution that will give the required structural turnaround. After purchasing a high-yield asset and keeping the liquid reserves at the level of capital rationing of £10 million, the management finds the necessary balance between the desire of the business to get on its feet and the cautious subsistence provided by the insolvency risks revealed by the Altman Z-Score and cash flow analysis.</w:t>
      </w:r>
    </w:p>
    <w:p w14:paraId="4A90AED2" w14:textId="038F3FDC" w:rsidR="008B141B" w:rsidRPr="00D343CC" w:rsidRDefault="00690583" w:rsidP="000E65AF">
      <w:pPr>
        <w:pStyle w:val="Heading1"/>
        <w:rPr>
          <w:rFonts w:cs="Arial"/>
        </w:rPr>
      </w:pPr>
      <w:bookmarkStart w:id="38" w:name="_Toc217246594"/>
      <w:r w:rsidRPr="00D343CC">
        <w:rPr>
          <w:rFonts w:cs="Arial"/>
        </w:rPr>
        <w:t xml:space="preserve">5.0 </w:t>
      </w:r>
      <w:r w:rsidR="008B141B" w:rsidRPr="00D343CC">
        <w:rPr>
          <w:rFonts w:cs="Arial"/>
        </w:rPr>
        <w:t>Conclusion</w:t>
      </w:r>
      <w:bookmarkEnd w:id="38"/>
    </w:p>
    <w:p w14:paraId="551B2A28" w14:textId="329EB93D" w:rsidR="000E65AF" w:rsidRPr="00D343CC" w:rsidRDefault="000E65AF" w:rsidP="000E65AF">
      <w:pPr>
        <w:rPr>
          <w:rFonts w:cs="Arial"/>
        </w:rPr>
      </w:pPr>
      <w:r w:rsidRPr="00D343CC">
        <w:rPr>
          <w:rFonts w:cs="Arial"/>
        </w:rPr>
        <w:t xml:space="preserve">The overall financial evaluation of the General Electronics shows that the company is at total crossroad with the industrial stability that existed certain decades ago being </w:t>
      </w:r>
      <w:r w:rsidRPr="00D343CC">
        <w:rPr>
          <w:rFonts w:cs="Arial"/>
        </w:rPr>
        <w:lastRenderedPageBreak/>
        <w:t>overshadowed by operating suffering. To prevent eminent bankruptcy, the company needs to shift off of reactive management to a strategic turn around.</w:t>
      </w:r>
    </w:p>
    <w:p w14:paraId="3FF36CF5" w14:textId="0E2D369F" w:rsidR="000E65AF" w:rsidRPr="00D343CC" w:rsidRDefault="000E65AF" w:rsidP="000E65AF">
      <w:pPr>
        <w:rPr>
          <w:rFonts w:cs="Arial"/>
        </w:rPr>
      </w:pPr>
      <w:r w:rsidRPr="00D343CC">
        <w:rPr>
          <w:rFonts w:cs="Arial"/>
        </w:rPr>
        <w:t>The success depends upon the instant implementation of the suggested restructuring scheme, that is, the sale of assets that do not contribute any value and the targeted investment into assets with a strong profit potential such as Project C. Moreover, workplace violent working capital policies are needed to clear the cash operating cycle and regain the needed liquidity cushions. Finally, through re-engineering the capital base and matching global activities with the ethical and inflationary realities, General Electronics will be able to stabilise its equity base and move out of a preservation state to a sustainable creation of wealth.</w:t>
      </w:r>
    </w:p>
    <w:p w14:paraId="4678DA68" w14:textId="77777777" w:rsidR="006866FE" w:rsidRPr="00D343CC" w:rsidRDefault="006866FE" w:rsidP="000E65AF">
      <w:pPr>
        <w:rPr>
          <w:rFonts w:cs="Arial"/>
        </w:rPr>
      </w:pPr>
    </w:p>
    <w:p w14:paraId="61691B31" w14:textId="1844FF98" w:rsidR="006866FE" w:rsidRPr="00D343CC" w:rsidRDefault="006866FE" w:rsidP="000E65AF">
      <w:pPr>
        <w:rPr>
          <w:rFonts w:cs="Arial"/>
        </w:rPr>
      </w:pPr>
      <w:r w:rsidRPr="00D343CC">
        <w:rPr>
          <w:rFonts w:cs="Arial"/>
        </w:rPr>
        <w:br w:type="page"/>
      </w:r>
    </w:p>
    <w:p w14:paraId="78798DB6" w14:textId="616ADE36" w:rsidR="006E24FD" w:rsidRPr="00D343CC" w:rsidRDefault="00690583" w:rsidP="000E65AF">
      <w:pPr>
        <w:pStyle w:val="Heading1"/>
        <w:rPr>
          <w:rFonts w:cs="Arial"/>
        </w:rPr>
      </w:pPr>
      <w:bookmarkStart w:id="39" w:name="_Toc217246595"/>
      <w:r w:rsidRPr="00D343CC">
        <w:rPr>
          <w:rFonts w:cs="Arial"/>
        </w:rPr>
        <w:lastRenderedPageBreak/>
        <w:t xml:space="preserve">6.0 </w:t>
      </w:r>
      <w:r w:rsidR="006866FE" w:rsidRPr="00D343CC">
        <w:rPr>
          <w:rFonts w:cs="Arial"/>
        </w:rPr>
        <w:t>References</w:t>
      </w:r>
      <w:bookmarkEnd w:id="39"/>
      <w:r w:rsidR="006866FE" w:rsidRPr="00D343CC">
        <w:rPr>
          <w:rFonts w:cs="Arial"/>
        </w:rPr>
        <w:t xml:space="preserve"> </w:t>
      </w:r>
    </w:p>
    <w:p w14:paraId="2DD80A2F" w14:textId="77777777" w:rsidR="00C460E5" w:rsidRDefault="00C460E5" w:rsidP="00D343CC">
      <w:r w:rsidRPr="00066F07">
        <w:t>Al-</w:t>
      </w:r>
      <w:proofErr w:type="spellStart"/>
      <w:r w:rsidRPr="00066F07">
        <w:t>Rikabi</w:t>
      </w:r>
      <w:proofErr w:type="spellEnd"/>
      <w:r w:rsidRPr="00066F07">
        <w:t>, N.S., 2021. Profitability index and its impact on short and long-term decisions. </w:t>
      </w:r>
      <w:r w:rsidRPr="00066F07">
        <w:rPr>
          <w:i/>
          <w:iCs/>
        </w:rPr>
        <w:t xml:space="preserve">Pt. 2 J. Legal Ethical &amp; </w:t>
      </w:r>
      <w:proofErr w:type="spellStart"/>
      <w:r w:rsidRPr="00066F07">
        <w:rPr>
          <w:i/>
          <w:iCs/>
        </w:rPr>
        <w:t>Regul</w:t>
      </w:r>
      <w:proofErr w:type="spellEnd"/>
      <w:r w:rsidRPr="00066F07">
        <w:rPr>
          <w:i/>
          <w:iCs/>
        </w:rPr>
        <w:t>. Isses</w:t>
      </w:r>
      <w:r w:rsidRPr="00066F07">
        <w:t>, </w:t>
      </w:r>
      <w:r w:rsidRPr="00066F07">
        <w:rPr>
          <w:i/>
          <w:iCs/>
        </w:rPr>
        <w:t>24</w:t>
      </w:r>
      <w:r w:rsidRPr="00066F07">
        <w:t>, p.1.</w:t>
      </w:r>
    </w:p>
    <w:p w14:paraId="540B81BE" w14:textId="77777777" w:rsidR="00C460E5" w:rsidRPr="00D343CC" w:rsidRDefault="00C460E5" w:rsidP="00D343CC">
      <w:pPr>
        <w:pStyle w:val="NormalWeb"/>
        <w:spacing w:line="360" w:lineRule="auto"/>
        <w:jc w:val="both"/>
        <w:rPr>
          <w:rFonts w:ascii="Arial" w:hAnsi="Arial" w:cs="Arial"/>
        </w:rPr>
      </w:pPr>
      <w:r w:rsidRPr="00D343CC">
        <w:rPr>
          <w:rFonts w:ascii="Arial" w:hAnsi="Arial" w:cs="Arial"/>
        </w:rPr>
        <w:t xml:space="preserve">Altman, E. I. (1968). Financial ratios, discriminant analysis and the prediction of corporate bankruptcy. </w:t>
      </w:r>
      <w:r w:rsidRPr="00D343CC">
        <w:rPr>
          <w:rStyle w:val="Emphasis"/>
          <w:rFonts w:ascii="Arial" w:eastAsiaTheme="majorEastAsia" w:hAnsi="Arial" w:cs="Arial"/>
        </w:rPr>
        <w:t>The Journal of Finance, 23</w:t>
      </w:r>
      <w:r w:rsidRPr="00D343CC">
        <w:rPr>
          <w:rFonts w:ascii="Arial" w:hAnsi="Arial" w:cs="Arial"/>
        </w:rPr>
        <w:t>(4), 589–609.</w:t>
      </w:r>
    </w:p>
    <w:p w14:paraId="587D399A" w14:textId="77777777" w:rsidR="00C460E5" w:rsidRPr="00D343CC" w:rsidRDefault="00C460E5" w:rsidP="00D343CC">
      <w:pPr>
        <w:widowControl w:val="0"/>
        <w:spacing w:after="160"/>
        <w:rPr>
          <w:rFonts w:cs="Arial"/>
        </w:rPr>
      </w:pPr>
      <w:proofErr w:type="spellStart"/>
      <w:r w:rsidRPr="00D343CC">
        <w:rPr>
          <w:rFonts w:cs="Arial"/>
        </w:rPr>
        <w:t>Atrill</w:t>
      </w:r>
      <w:proofErr w:type="spellEnd"/>
      <w:r w:rsidRPr="00D343CC">
        <w:rPr>
          <w:rFonts w:cs="Arial"/>
        </w:rPr>
        <w:t>, P., &amp; McLaney, E. (2017). Chapter 3. Accounting and Finance for Non-Specialists (10th Edition, pp. 72-112). Pearson Education. ISBN: 9781292135601.</w:t>
      </w:r>
    </w:p>
    <w:p w14:paraId="5717B225" w14:textId="77777777" w:rsidR="00C460E5" w:rsidRPr="00C460E5" w:rsidRDefault="00C460E5" w:rsidP="00C460E5">
      <w:pPr>
        <w:rPr>
          <w:rFonts w:cs="Arial"/>
        </w:rPr>
      </w:pPr>
      <w:proofErr w:type="spellStart"/>
      <w:r w:rsidRPr="00C460E5">
        <w:rPr>
          <w:rFonts w:cs="Arial"/>
        </w:rPr>
        <w:t>Attinasi</w:t>
      </w:r>
      <w:proofErr w:type="spellEnd"/>
      <w:r w:rsidRPr="00C460E5">
        <w:rPr>
          <w:rFonts w:cs="Arial"/>
        </w:rPr>
        <w:t xml:space="preserve">, M.G., Boeckelmann, L., </w:t>
      </w:r>
      <w:proofErr w:type="spellStart"/>
      <w:r w:rsidRPr="00C460E5">
        <w:rPr>
          <w:rFonts w:cs="Arial"/>
        </w:rPr>
        <w:t>Hespert</w:t>
      </w:r>
      <w:proofErr w:type="spellEnd"/>
      <w:r w:rsidRPr="00C460E5">
        <w:rPr>
          <w:rFonts w:cs="Arial"/>
        </w:rPr>
        <w:t xml:space="preserve">, L., </w:t>
      </w:r>
      <w:proofErr w:type="spellStart"/>
      <w:r w:rsidRPr="00C460E5">
        <w:rPr>
          <w:rFonts w:cs="Arial"/>
        </w:rPr>
        <w:t>Linzenich</w:t>
      </w:r>
      <w:proofErr w:type="spellEnd"/>
      <w:r w:rsidRPr="00C460E5">
        <w:rPr>
          <w:rFonts w:cs="Arial"/>
        </w:rPr>
        <w:t xml:space="preserve">, J. and Meunier, B. (2024). Global trade in the post-pandemic environment. </w:t>
      </w:r>
      <w:r w:rsidRPr="00C460E5">
        <w:rPr>
          <w:rFonts w:cs="Arial"/>
          <w:i/>
          <w:iCs/>
        </w:rPr>
        <w:t>www.ecb.europa.eu</w:t>
      </w:r>
      <w:r w:rsidRPr="00C460E5">
        <w:rPr>
          <w:rFonts w:cs="Arial"/>
        </w:rPr>
        <w:t xml:space="preserve">, [online] (1). Available at: </w:t>
      </w:r>
      <w:hyperlink r:id="rId9" w:history="1">
        <w:r w:rsidRPr="00C460E5">
          <w:rPr>
            <w:rStyle w:val="Hyperlink"/>
            <w:rFonts w:cs="Arial"/>
          </w:rPr>
          <w:t>https://www.ecb.europa.eu/press/economic-bulletin/focus/2024/html/ecb.ebbox202401_01~d1c3b1b0a5.en.html</w:t>
        </w:r>
      </w:hyperlink>
      <w:r w:rsidRPr="00C460E5">
        <w:rPr>
          <w:rFonts w:cs="Arial"/>
        </w:rPr>
        <w:t>.</w:t>
      </w:r>
      <w:r>
        <w:rPr>
          <w:rFonts w:cs="Arial"/>
        </w:rPr>
        <w:t xml:space="preserve"> </w:t>
      </w:r>
    </w:p>
    <w:p w14:paraId="431A102E" w14:textId="77777777" w:rsidR="00C460E5" w:rsidRPr="00D343CC" w:rsidRDefault="00C460E5" w:rsidP="00D343CC">
      <w:pPr>
        <w:widowControl w:val="0"/>
        <w:spacing w:after="160"/>
        <w:rPr>
          <w:rFonts w:cs="Arial"/>
        </w:rPr>
      </w:pPr>
      <w:r w:rsidRPr="00D343CC">
        <w:rPr>
          <w:rFonts w:cs="Arial"/>
        </w:rPr>
        <w:t>Berk, J. and DeMarzo, P. (2020). Corporate Finance (5th Global Edition). Pearson Education, ISBN: 9781292304151.</w:t>
      </w:r>
      <w:r>
        <w:rPr>
          <w:rFonts w:cs="Arial"/>
        </w:rPr>
        <w:t xml:space="preserve"> </w:t>
      </w:r>
    </w:p>
    <w:p w14:paraId="59EB8D46" w14:textId="77777777" w:rsidR="00C460E5" w:rsidRPr="00D343CC" w:rsidRDefault="00C460E5" w:rsidP="00D343CC">
      <w:pPr>
        <w:pStyle w:val="NormalWeb"/>
        <w:spacing w:line="360" w:lineRule="auto"/>
        <w:jc w:val="both"/>
        <w:rPr>
          <w:rFonts w:ascii="Arial" w:hAnsi="Arial" w:cs="Arial"/>
        </w:rPr>
      </w:pPr>
      <w:r w:rsidRPr="00D343CC">
        <w:rPr>
          <w:rFonts w:ascii="Arial" w:hAnsi="Arial" w:cs="Arial"/>
        </w:rPr>
        <w:t xml:space="preserve">Brigham, E. F., &amp; Ehrhardt, M. C. (2023). </w:t>
      </w:r>
      <w:r w:rsidRPr="00D343CC">
        <w:rPr>
          <w:rStyle w:val="Emphasis"/>
          <w:rFonts w:ascii="Arial" w:eastAsiaTheme="majorEastAsia" w:hAnsi="Arial" w:cs="Arial"/>
        </w:rPr>
        <w:t>Financial management: Theory and practice</w:t>
      </w:r>
      <w:r w:rsidRPr="00D343CC">
        <w:rPr>
          <w:rFonts w:ascii="Arial" w:hAnsi="Arial" w:cs="Arial"/>
        </w:rPr>
        <w:t xml:space="preserve"> (16th ed.). Cengage Learning.</w:t>
      </w:r>
    </w:p>
    <w:p w14:paraId="3C97AB18" w14:textId="77777777" w:rsidR="00C460E5" w:rsidRDefault="00C460E5" w:rsidP="00D343CC">
      <w:r w:rsidRPr="00066F07">
        <w:t>Burkart, M. and Zhong, H., 2023. Equity issuance methods and dilution. </w:t>
      </w:r>
      <w:r w:rsidRPr="00066F07">
        <w:rPr>
          <w:i/>
          <w:iCs/>
        </w:rPr>
        <w:t>The Review of Corporate Finance Studies</w:t>
      </w:r>
      <w:r w:rsidRPr="00066F07">
        <w:t>, </w:t>
      </w:r>
      <w:r w:rsidRPr="00066F07">
        <w:rPr>
          <w:i/>
          <w:iCs/>
        </w:rPr>
        <w:t>12</w:t>
      </w:r>
      <w:r w:rsidRPr="00066F07">
        <w:t>(1), pp.78-130.</w:t>
      </w:r>
    </w:p>
    <w:p w14:paraId="218B8A71" w14:textId="77777777" w:rsidR="00C460E5" w:rsidRPr="00C460E5" w:rsidRDefault="00C460E5" w:rsidP="00C460E5">
      <w:pPr>
        <w:rPr>
          <w:rFonts w:cs="Arial"/>
        </w:rPr>
      </w:pPr>
      <w:r w:rsidRPr="00C460E5">
        <w:rPr>
          <w:rFonts w:cs="Arial"/>
        </w:rPr>
        <w:t xml:space="preserve">Business Council (2023). </w:t>
      </w:r>
      <w:r w:rsidRPr="00C460E5">
        <w:rPr>
          <w:rFonts w:cs="Arial"/>
          <w:i/>
          <w:iCs/>
        </w:rPr>
        <w:t>United States, Taiwan, and Semiconductors: A Critical Supply Chain Partnership</w:t>
      </w:r>
      <w:r w:rsidRPr="00C460E5">
        <w:rPr>
          <w:rFonts w:cs="Arial"/>
        </w:rPr>
        <w:t xml:space="preserve">. [online] Available at: </w:t>
      </w:r>
      <w:hyperlink r:id="rId10" w:history="1">
        <w:r w:rsidRPr="00C460E5">
          <w:rPr>
            <w:rStyle w:val="Hyperlink"/>
            <w:rFonts w:cs="Arial"/>
          </w:rPr>
          <w:t>https://www.us-taiwan.org/wp-content/uploads/2023/06/2023.06.21-Final-Semiconductor-Report.pdf</w:t>
        </w:r>
      </w:hyperlink>
      <w:r w:rsidRPr="00C460E5">
        <w:rPr>
          <w:rFonts w:cs="Arial"/>
        </w:rPr>
        <w:t>.</w:t>
      </w:r>
      <w:r>
        <w:rPr>
          <w:rFonts w:cs="Arial"/>
        </w:rPr>
        <w:t xml:space="preserve"> </w:t>
      </w:r>
    </w:p>
    <w:p w14:paraId="014AD8E9" w14:textId="77777777" w:rsidR="00C460E5" w:rsidRPr="00C460E5" w:rsidRDefault="00C460E5" w:rsidP="00C460E5">
      <w:pPr>
        <w:rPr>
          <w:rFonts w:cs="Arial"/>
        </w:rPr>
      </w:pPr>
      <w:r w:rsidRPr="00C460E5">
        <w:rPr>
          <w:rFonts w:cs="Arial"/>
        </w:rPr>
        <w:t xml:space="preserve">Co, S. (2024). </w:t>
      </w:r>
      <w:r w:rsidRPr="00C460E5">
        <w:rPr>
          <w:rFonts w:cs="Arial"/>
          <w:i/>
          <w:iCs/>
        </w:rPr>
        <w:t>Samsung overtakes Apple</w:t>
      </w:r>
      <w:r w:rsidRPr="00C460E5">
        <w:rPr>
          <w:rFonts w:cs="Arial"/>
        </w:rPr>
        <w:t xml:space="preserve">. [online] Voronoiapp.com. Available at: </w:t>
      </w:r>
      <w:hyperlink r:id="rId11" w:history="1">
        <w:r w:rsidRPr="00C460E5">
          <w:rPr>
            <w:rStyle w:val="Hyperlink"/>
            <w:rFonts w:cs="Arial"/>
          </w:rPr>
          <w:t>https://www.voronoiapp.com/business/Samsung-overtakesApple-1064</w:t>
        </w:r>
      </w:hyperlink>
      <w:r w:rsidRPr="00C460E5">
        <w:rPr>
          <w:rFonts w:cs="Arial"/>
        </w:rPr>
        <w:t>.</w:t>
      </w:r>
      <w:r>
        <w:rPr>
          <w:rFonts w:cs="Arial"/>
        </w:rPr>
        <w:t xml:space="preserve">  </w:t>
      </w:r>
    </w:p>
    <w:p w14:paraId="2F701D8A" w14:textId="77777777" w:rsidR="00C460E5" w:rsidRPr="00D343CC" w:rsidRDefault="00C460E5" w:rsidP="00D343CC">
      <w:pPr>
        <w:pStyle w:val="NormalWeb"/>
        <w:spacing w:line="360" w:lineRule="auto"/>
        <w:jc w:val="both"/>
        <w:rPr>
          <w:rFonts w:ascii="Arial" w:hAnsi="Arial" w:cs="Arial"/>
        </w:rPr>
      </w:pPr>
      <w:r w:rsidRPr="00D343CC">
        <w:rPr>
          <w:rFonts w:ascii="Arial" w:hAnsi="Arial" w:cs="Arial"/>
        </w:rPr>
        <w:t xml:space="preserve">Damodaran, A. (2023) </w:t>
      </w:r>
      <w:r w:rsidRPr="00D343CC">
        <w:rPr>
          <w:rStyle w:val="Emphasis"/>
          <w:rFonts w:ascii="Arial" w:eastAsiaTheme="majorEastAsia" w:hAnsi="Arial" w:cs="Arial"/>
        </w:rPr>
        <w:t>Strategic Risk Taking: A Framework for Risk Management</w:t>
      </w:r>
      <w:r w:rsidRPr="00D343CC">
        <w:rPr>
          <w:rFonts w:ascii="Arial" w:hAnsi="Arial" w:cs="Arial"/>
        </w:rPr>
        <w:t>. Upper Saddle River: Pearson.</w:t>
      </w:r>
    </w:p>
    <w:p w14:paraId="7B2A0821" w14:textId="77777777" w:rsidR="00C460E5" w:rsidRDefault="00C460E5" w:rsidP="00D343CC">
      <w:proofErr w:type="spellStart"/>
      <w:r w:rsidRPr="00066F07">
        <w:t>Fahdil</w:t>
      </w:r>
      <w:proofErr w:type="spellEnd"/>
      <w:r w:rsidRPr="00066F07">
        <w:t>, H.N., Abdulkarim, M.A., Mohamed, J. and Allah, E.A.M.M., 2024. Corporate bankruptcy and financial restructuring. </w:t>
      </w:r>
      <w:r w:rsidRPr="00066F07">
        <w:rPr>
          <w:i/>
          <w:iCs/>
        </w:rPr>
        <w:t xml:space="preserve">Journal of </w:t>
      </w:r>
      <w:proofErr w:type="spellStart"/>
      <w:r w:rsidRPr="00066F07">
        <w:rPr>
          <w:i/>
          <w:iCs/>
        </w:rPr>
        <w:t>Ecohumanism</w:t>
      </w:r>
      <w:proofErr w:type="spellEnd"/>
      <w:r w:rsidRPr="00066F07">
        <w:t>, </w:t>
      </w:r>
      <w:r w:rsidRPr="00066F07">
        <w:rPr>
          <w:i/>
          <w:iCs/>
        </w:rPr>
        <w:t>3</w:t>
      </w:r>
      <w:r w:rsidRPr="00066F07">
        <w:t>(5), pp.234-248.</w:t>
      </w:r>
    </w:p>
    <w:p w14:paraId="1686CCE5" w14:textId="77777777" w:rsidR="00C460E5" w:rsidRPr="00C460E5" w:rsidRDefault="00C460E5" w:rsidP="00C460E5">
      <w:pPr>
        <w:rPr>
          <w:rFonts w:cs="Arial"/>
        </w:rPr>
      </w:pPr>
      <w:r w:rsidRPr="00C460E5">
        <w:rPr>
          <w:rFonts w:cs="Arial"/>
        </w:rPr>
        <w:lastRenderedPageBreak/>
        <w:t xml:space="preserve">Fortune Business Insights (2021). </w:t>
      </w:r>
      <w:r w:rsidRPr="00C460E5">
        <w:rPr>
          <w:rFonts w:cs="Arial"/>
          <w:i/>
          <w:iCs/>
        </w:rPr>
        <w:t>Consumer Electronics Market Size, Share, Growth | Trends [2027]</w:t>
      </w:r>
      <w:r w:rsidRPr="00C460E5">
        <w:rPr>
          <w:rFonts w:cs="Arial"/>
        </w:rPr>
        <w:t xml:space="preserve">. [online] www.fortunebusinessinsights.com. Available at: </w:t>
      </w:r>
      <w:hyperlink r:id="rId12" w:history="1">
        <w:r w:rsidRPr="00C460E5">
          <w:rPr>
            <w:rStyle w:val="Hyperlink"/>
            <w:rFonts w:cs="Arial"/>
          </w:rPr>
          <w:t>https://www.fortunebusinessinsights.com/consumer-electronics-market-104693</w:t>
        </w:r>
      </w:hyperlink>
      <w:r w:rsidRPr="00C460E5">
        <w:rPr>
          <w:rFonts w:cs="Arial"/>
        </w:rPr>
        <w:t>.</w:t>
      </w:r>
      <w:r>
        <w:rPr>
          <w:rFonts w:cs="Arial"/>
        </w:rPr>
        <w:t xml:space="preserve"> </w:t>
      </w:r>
    </w:p>
    <w:p w14:paraId="4C6F2277" w14:textId="77777777" w:rsidR="00C460E5" w:rsidRPr="00D343CC" w:rsidRDefault="00C460E5" w:rsidP="00D343CC">
      <w:pPr>
        <w:pStyle w:val="NormalWeb"/>
        <w:spacing w:line="360" w:lineRule="auto"/>
        <w:jc w:val="both"/>
        <w:rPr>
          <w:rFonts w:ascii="Arial" w:hAnsi="Arial" w:cs="Arial"/>
        </w:rPr>
      </w:pPr>
      <w:r w:rsidRPr="00D343CC">
        <w:rPr>
          <w:rFonts w:ascii="Arial" w:hAnsi="Arial" w:cs="Arial"/>
        </w:rPr>
        <w:t xml:space="preserve">Freeman, R.E., Phillips, R. and Sisodia, R. (2020) ‘Tensions in stakeholder theory’, </w:t>
      </w:r>
      <w:r w:rsidRPr="00D343CC">
        <w:rPr>
          <w:rStyle w:val="Emphasis"/>
          <w:rFonts w:ascii="Arial" w:eastAsiaTheme="majorEastAsia" w:hAnsi="Arial" w:cs="Arial"/>
        </w:rPr>
        <w:t>Business &amp; Society</w:t>
      </w:r>
      <w:r w:rsidRPr="00D343CC">
        <w:rPr>
          <w:rFonts w:ascii="Arial" w:hAnsi="Arial" w:cs="Arial"/>
        </w:rPr>
        <w:t>, 59(2), pp. 213–231.</w:t>
      </w:r>
    </w:p>
    <w:p w14:paraId="5E8A0EB0" w14:textId="77777777" w:rsidR="00C460E5" w:rsidRPr="00D343CC" w:rsidRDefault="00C460E5" w:rsidP="00D343CC">
      <w:pPr>
        <w:pStyle w:val="NormalWeb"/>
        <w:spacing w:line="360" w:lineRule="auto"/>
        <w:jc w:val="both"/>
        <w:rPr>
          <w:rFonts w:ascii="Arial" w:hAnsi="Arial" w:cs="Arial"/>
        </w:rPr>
      </w:pPr>
      <w:r w:rsidRPr="00D343CC">
        <w:rPr>
          <w:rFonts w:ascii="Arial" w:hAnsi="Arial" w:cs="Arial"/>
        </w:rPr>
        <w:t xml:space="preserve">Grant, R.M. (2022) </w:t>
      </w:r>
      <w:r w:rsidRPr="00D343CC">
        <w:rPr>
          <w:rStyle w:val="Emphasis"/>
          <w:rFonts w:ascii="Arial" w:eastAsiaTheme="majorEastAsia" w:hAnsi="Arial" w:cs="Arial"/>
        </w:rPr>
        <w:t>Contemporary Strategy Analysis</w:t>
      </w:r>
      <w:r w:rsidRPr="00D343CC">
        <w:rPr>
          <w:rFonts w:ascii="Arial" w:hAnsi="Arial" w:cs="Arial"/>
        </w:rPr>
        <w:t xml:space="preserve">. 11th </w:t>
      </w:r>
      <w:proofErr w:type="spellStart"/>
      <w:r w:rsidRPr="00D343CC">
        <w:rPr>
          <w:rFonts w:ascii="Arial" w:hAnsi="Arial" w:cs="Arial"/>
        </w:rPr>
        <w:t>edn</w:t>
      </w:r>
      <w:proofErr w:type="spellEnd"/>
      <w:r w:rsidRPr="00D343CC">
        <w:rPr>
          <w:rFonts w:ascii="Arial" w:hAnsi="Arial" w:cs="Arial"/>
        </w:rPr>
        <w:t>. Chichester: Wiley.</w:t>
      </w:r>
    </w:p>
    <w:p w14:paraId="71625F82" w14:textId="77777777" w:rsidR="00C460E5" w:rsidRPr="00D343CC" w:rsidRDefault="00C460E5" w:rsidP="00D343CC">
      <w:pPr>
        <w:rPr>
          <w:rFonts w:cs="Arial"/>
        </w:rPr>
      </w:pPr>
      <w:r w:rsidRPr="00D343CC">
        <w:rPr>
          <w:rFonts w:cs="Arial"/>
        </w:rPr>
        <w:t xml:space="preserve">Hazen, G. and Magni, C.A. (2021). Average internal rate of return for risky projects. </w:t>
      </w:r>
      <w:r w:rsidRPr="00D343CC">
        <w:rPr>
          <w:rFonts w:cs="Arial"/>
          <w:i/>
          <w:iCs/>
        </w:rPr>
        <w:t>The Engineering Economist</w:t>
      </w:r>
      <w:r w:rsidRPr="00D343CC">
        <w:rPr>
          <w:rFonts w:cs="Arial"/>
        </w:rPr>
        <w:t xml:space="preserve">, [online] 66(2), pp.90–120. Available at: </w:t>
      </w:r>
      <w:hyperlink r:id="rId13" w:history="1">
        <w:r w:rsidRPr="00D343CC">
          <w:rPr>
            <w:rStyle w:val="Hyperlink"/>
            <w:rFonts w:cs="Arial"/>
          </w:rPr>
          <w:t>https://www.tandfonline.com/doi/abs/10.1080/0013791X.2021.1894284</w:t>
        </w:r>
      </w:hyperlink>
      <w:r w:rsidRPr="00D343CC">
        <w:rPr>
          <w:rFonts w:cs="Arial"/>
        </w:rPr>
        <w:t>.</w:t>
      </w:r>
      <w:r>
        <w:rPr>
          <w:rFonts w:cs="Arial"/>
        </w:rPr>
        <w:t xml:space="preserve"> </w:t>
      </w:r>
    </w:p>
    <w:p w14:paraId="65F6FBCE" w14:textId="77777777" w:rsidR="00C460E5" w:rsidRPr="00D343CC" w:rsidRDefault="00C460E5" w:rsidP="00D343CC">
      <w:pPr>
        <w:pStyle w:val="NormalWeb"/>
        <w:spacing w:line="360" w:lineRule="auto"/>
        <w:jc w:val="both"/>
        <w:rPr>
          <w:rFonts w:ascii="Arial" w:hAnsi="Arial" w:cs="Arial"/>
        </w:rPr>
      </w:pPr>
      <w:r w:rsidRPr="00D343CC">
        <w:rPr>
          <w:rFonts w:ascii="Arial" w:hAnsi="Arial" w:cs="Arial"/>
        </w:rPr>
        <w:t xml:space="preserve">Hillier, D., Ross, S., </w:t>
      </w:r>
      <w:proofErr w:type="spellStart"/>
      <w:r w:rsidRPr="00D343CC">
        <w:rPr>
          <w:rFonts w:ascii="Arial" w:hAnsi="Arial" w:cs="Arial"/>
        </w:rPr>
        <w:t>Westerfield</w:t>
      </w:r>
      <w:proofErr w:type="spellEnd"/>
      <w:r w:rsidRPr="00D343CC">
        <w:rPr>
          <w:rFonts w:ascii="Arial" w:hAnsi="Arial" w:cs="Arial"/>
        </w:rPr>
        <w:t xml:space="preserve">, R. and Jordan, B. (2022) </w:t>
      </w:r>
      <w:r w:rsidRPr="00D343CC">
        <w:rPr>
          <w:rStyle w:val="Emphasis"/>
          <w:rFonts w:ascii="Arial" w:eastAsiaTheme="majorEastAsia" w:hAnsi="Arial" w:cs="Arial"/>
        </w:rPr>
        <w:t>Corporate Finance</w:t>
      </w:r>
      <w:r w:rsidRPr="00D343CC">
        <w:rPr>
          <w:rFonts w:ascii="Arial" w:hAnsi="Arial" w:cs="Arial"/>
        </w:rPr>
        <w:t xml:space="preserve">. 4th European </w:t>
      </w:r>
      <w:proofErr w:type="spellStart"/>
      <w:r w:rsidRPr="00D343CC">
        <w:rPr>
          <w:rFonts w:ascii="Arial" w:hAnsi="Arial" w:cs="Arial"/>
        </w:rPr>
        <w:t>edn</w:t>
      </w:r>
      <w:proofErr w:type="spellEnd"/>
      <w:r w:rsidRPr="00D343CC">
        <w:rPr>
          <w:rFonts w:ascii="Arial" w:hAnsi="Arial" w:cs="Arial"/>
        </w:rPr>
        <w:t>. London: McGraw-Hill Education.</w:t>
      </w:r>
    </w:p>
    <w:p w14:paraId="4F26F829" w14:textId="77777777" w:rsidR="00C460E5" w:rsidRDefault="00C460E5" w:rsidP="00D343CC">
      <w:bookmarkStart w:id="40" w:name="_Hlk217131869"/>
      <w:proofErr w:type="spellStart"/>
      <w:r w:rsidRPr="00066F07">
        <w:t>Imhanzenobe</w:t>
      </w:r>
      <w:proofErr w:type="spellEnd"/>
      <w:r w:rsidRPr="00066F07">
        <w:t xml:space="preserve">, </w:t>
      </w:r>
      <w:bookmarkEnd w:id="40"/>
      <w:r w:rsidRPr="00066F07">
        <w:t>J., 2021. Achieving competitive advantage and financial sustainability through acquisition and restructuring strategies. </w:t>
      </w:r>
      <w:r w:rsidRPr="00066F07">
        <w:rPr>
          <w:i/>
          <w:iCs/>
        </w:rPr>
        <w:t>Journal of Accounting and Taxation</w:t>
      </w:r>
      <w:r w:rsidRPr="00066F07">
        <w:t>, </w:t>
      </w:r>
      <w:r w:rsidRPr="00066F07">
        <w:rPr>
          <w:i/>
          <w:iCs/>
        </w:rPr>
        <w:t>13</w:t>
      </w:r>
      <w:r w:rsidRPr="00066F07">
        <w:t>(3), pp.217-225.</w:t>
      </w:r>
    </w:p>
    <w:p w14:paraId="250B0D12" w14:textId="77777777" w:rsidR="00C460E5" w:rsidRPr="00D343CC" w:rsidRDefault="00C460E5" w:rsidP="00D343CC">
      <w:pPr>
        <w:widowControl w:val="0"/>
        <w:spacing w:after="160"/>
        <w:rPr>
          <w:rFonts w:cs="Arial"/>
        </w:rPr>
      </w:pPr>
      <w:r w:rsidRPr="00D343CC">
        <w:rPr>
          <w:rFonts w:cs="Arial"/>
        </w:rPr>
        <w:t>Keown, A.J., Martin, J.D., and Petty, J.W. (2024). Foundation of Finance (10th Global Edition). Pearson Education. ISBN: 9781292742168.</w:t>
      </w:r>
    </w:p>
    <w:p w14:paraId="34012CA7" w14:textId="77777777" w:rsidR="00C460E5" w:rsidRDefault="00C460E5" w:rsidP="00D343CC">
      <w:bookmarkStart w:id="41" w:name="_Hlk217131939"/>
      <w:r w:rsidRPr="00066F07">
        <w:t xml:space="preserve">Lee, </w:t>
      </w:r>
      <w:bookmarkEnd w:id="41"/>
      <w:r w:rsidRPr="00066F07">
        <w:t>V. Y. (2021) </w:t>
      </w:r>
      <w:r w:rsidRPr="00066F07">
        <w:rPr>
          <w:i/>
          <w:iCs/>
        </w:rPr>
        <w:t>Corporate asset restructuring through mergers and acquisitions and divestitures.</w:t>
      </w:r>
      <w:r w:rsidRPr="00066F07">
        <w:t xml:space="preserve"> PhD thesis, University of Reading. </w:t>
      </w:r>
      <w:proofErr w:type="spellStart"/>
      <w:r w:rsidRPr="00066F07">
        <w:t>doi</w:t>
      </w:r>
      <w:proofErr w:type="spellEnd"/>
      <w:r w:rsidRPr="00066F07">
        <w:t>: </w:t>
      </w:r>
      <w:hyperlink r:id="rId14" w:tgtFrame="_blank" w:history="1">
        <w:r w:rsidRPr="00066F07">
          <w:rPr>
            <w:rStyle w:val="Hyperlink"/>
          </w:rPr>
          <w:t>10.48683/1926.00101461</w:t>
        </w:r>
      </w:hyperlink>
    </w:p>
    <w:p w14:paraId="2C1AD697" w14:textId="77777777" w:rsidR="00C460E5" w:rsidRDefault="00C460E5" w:rsidP="00D343CC">
      <w:r w:rsidRPr="00066F07">
        <w:t>McGrath, P.J. and O’Neill, H.M., 2023. Acquisitions of divested business units: A typology and strategies for success. </w:t>
      </w:r>
      <w:r w:rsidRPr="00066F07">
        <w:rPr>
          <w:i/>
          <w:iCs/>
        </w:rPr>
        <w:t>Business Horizons</w:t>
      </w:r>
      <w:r w:rsidRPr="00066F07">
        <w:t>, </w:t>
      </w:r>
      <w:r w:rsidRPr="00066F07">
        <w:rPr>
          <w:i/>
          <w:iCs/>
        </w:rPr>
        <w:t>66</w:t>
      </w:r>
      <w:r w:rsidRPr="00066F07">
        <w:t>(5), pp.691-706.</w:t>
      </w:r>
    </w:p>
    <w:p w14:paraId="1CA7231E" w14:textId="77777777" w:rsidR="00C460E5" w:rsidRPr="00D343CC" w:rsidRDefault="00C460E5" w:rsidP="00D343CC">
      <w:pPr>
        <w:rPr>
          <w:rFonts w:cs="Arial"/>
        </w:rPr>
      </w:pPr>
      <w:r w:rsidRPr="00D343CC">
        <w:rPr>
          <w:rFonts w:cs="Arial"/>
        </w:rPr>
        <w:t xml:space="preserve">Morris, G.D., McKay, S. and Oates, A. (2009). </w:t>
      </w:r>
      <w:r w:rsidRPr="00D343CC">
        <w:rPr>
          <w:rFonts w:cs="Arial"/>
          <w:i/>
          <w:iCs/>
        </w:rPr>
        <w:t>Chapter 19 - Management Accounting</w:t>
      </w:r>
      <w:r w:rsidRPr="00D343CC">
        <w:rPr>
          <w:rFonts w:cs="Arial"/>
        </w:rPr>
        <w:t xml:space="preserve">. [online] ScienceDirect. Available at: </w:t>
      </w:r>
      <w:hyperlink r:id="rId15" w:history="1">
        <w:r w:rsidRPr="00D343CC">
          <w:rPr>
            <w:rStyle w:val="Hyperlink"/>
            <w:rFonts w:cs="Arial"/>
          </w:rPr>
          <w:t>https://www.sciencedirect.com/science/article/pii/B9780750687010000199</w:t>
        </w:r>
      </w:hyperlink>
      <w:r w:rsidRPr="00D343CC">
        <w:rPr>
          <w:rFonts w:cs="Arial"/>
        </w:rPr>
        <w:t>.</w:t>
      </w:r>
      <w:r>
        <w:rPr>
          <w:rFonts w:cs="Arial"/>
        </w:rPr>
        <w:t xml:space="preserve"> </w:t>
      </w:r>
    </w:p>
    <w:p w14:paraId="52FAFB95" w14:textId="77777777" w:rsidR="00C460E5" w:rsidRDefault="00C460E5" w:rsidP="00D343CC">
      <w:r w:rsidRPr="00066F07">
        <w:t>Myers, S. C., &amp; Majluf, N. S. (1984). "Corporate Financing and Investment Decisions When Firms Have Information That Investors Do Not Have," </w:t>
      </w:r>
      <w:r w:rsidRPr="00066F07">
        <w:rPr>
          <w:i/>
          <w:iCs/>
        </w:rPr>
        <w:t>Journal of Financial Economics</w:t>
      </w:r>
      <w:r w:rsidRPr="00066F07">
        <w:t xml:space="preserve">, 13(2), 187-221.  </w:t>
      </w:r>
    </w:p>
    <w:p w14:paraId="01925A20" w14:textId="77777777" w:rsidR="00C460E5" w:rsidRDefault="00C460E5" w:rsidP="00D343CC">
      <w:r w:rsidRPr="00066F07">
        <w:lastRenderedPageBreak/>
        <w:t>Ray, K.G., 2022. </w:t>
      </w:r>
      <w:r w:rsidRPr="00066F07">
        <w:rPr>
          <w:i/>
          <w:iCs/>
        </w:rPr>
        <w:t>Mergers and acquisitions: Strategy, valuation and integration</w:t>
      </w:r>
      <w:r w:rsidRPr="00066F07">
        <w:t xml:space="preserve">. PHI Learning </w:t>
      </w:r>
      <w:proofErr w:type="spellStart"/>
      <w:r w:rsidRPr="00066F07">
        <w:t>Pvt.</w:t>
      </w:r>
      <w:proofErr w:type="spellEnd"/>
      <w:r w:rsidRPr="00066F07">
        <w:t xml:space="preserve"> Ltd.</w:t>
      </w:r>
    </w:p>
    <w:p w14:paraId="66982CAE" w14:textId="77777777" w:rsidR="00C460E5" w:rsidRPr="00D343CC" w:rsidRDefault="00C460E5" w:rsidP="00D343CC">
      <w:pPr>
        <w:rPr>
          <w:rFonts w:cs="Arial"/>
        </w:rPr>
      </w:pPr>
      <w:r w:rsidRPr="00D343CC">
        <w:rPr>
          <w:rFonts w:cs="Arial"/>
        </w:rPr>
        <w:t xml:space="preserve">Roenganan, S., Misran, M. and </w:t>
      </w:r>
      <w:proofErr w:type="spellStart"/>
      <w:r w:rsidRPr="00D343CC">
        <w:rPr>
          <w:rFonts w:cs="Arial"/>
        </w:rPr>
        <w:t>Phewchean</w:t>
      </w:r>
      <w:proofErr w:type="spellEnd"/>
      <w:r w:rsidRPr="00D343CC">
        <w:rPr>
          <w:rFonts w:cs="Arial"/>
        </w:rPr>
        <w:t xml:space="preserve">, N. (2021). A study of Life Internal Rate of Return - UUM Repository. </w:t>
      </w:r>
      <w:r w:rsidRPr="00D343CC">
        <w:rPr>
          <w:rFonts w:cs="Arial"/>
          <w:i/>
          <w:iCs/>
        </w:rPr>
        <w:t>Uum.edu.my</w:t>
      </w:r>
      <w:r w:rsidRPr="00D343CC">
        <w:rPr>
          <w:rFonts w:cs="Arial"/>
        </w:rPr>
        <w:t xml:space="preserve">. [online] </w:t>
      </w:r>
      <w:proofErr w:type="spellStart"/>
      <w:r w:rsidRPr="00D343CC">
        <w:rPr>
          <w:rFonts w:cs="Arial"/>
        </w:rPr>
        <w:t>doi</w:t>
      </w:r>
      <w:proofErr w:type="spellEnd"/>
      <w:r w:rsidRPr="00D343CC">
        <w:rPr>
          <w:rFonts w:cs="Arial"/>
        </w:rPr>
        <w:t>:</w:t>
      </w:r>
      <w:r>
        <w:rPr>
          <w:rFonts w:cs="Arial"/>
        </w:rPr>
        <w:t xml:space="preserve"> </w:t>
      </w:r>
      <w:hyperlink r:id="rId16" w:history="1">
        <w:r w:rsidRPr="00D343CC">
          <w:rPr>
            <w:rStyle w:val="Hyperlink"/>
            <w:rFonts w:cs="Arial"/>
          </w:rPr>
          <w:t>https://repo.uum.edu.my/id/eprint/30826/1/WTM%2020%202021%20122-133.pdf</w:t>
        </w:r>
      </w:hyperlink>
      <w:r w:rsidRPr="00D343CC">
        <w:rPr>
          <w:rFonts w:cs="Arial"/>
        </w:rPr>
        <w:t>.</w:t>
      </w:r>
      <w:r>
        <w:rPr>
          <w:rFonts w:cs="Arial"/>
        </w:rPr>
        <w:t xml:space="preserve">   </w:t>
      </w:r>
    </w:p>
    <w:p w14:paraId="76F6EBBF" w14:textId="77777777" w:rsidR="00C460E5" w:rsidRDefault="00C460E5" w:rsidP="00D343CC">
      <w:proofErr w:type="spellStart"/>
      <w:r w:rsidRPr="00066F07">
        <w:t>Sheibani</w:t>
      </w:r>
      <w:proofErr w:type="spellEnd"/>
      <w:r w:rsidRPr="00066F07">
        <w:t>, M., Moslemi, N., Alizadeh, B. and Marini, A., 2024, February. Payback cycles: A new concept to decide for energy storage expansion planning. In </w:t>
      </w:r>
      <w:r w:rsidRPr="00066F07">
        <w:rPr>
          <w:i/>
          <w:iCs/>
        </w:rPr>
        <w:t>2024 9th International Conference on Technology and Energy Management (ICTEM)</w:t>
      </w:r>
      <w:r w:rsidRPr="00066F07">
        <w:t xml:space="preserve"> (pp. 1-5). IEEE. </w:t>
      </w:r>
    </w:p>
    <w:p w14:paraId="79BEF033" w14:textId="77777777" w:rsidR="00C460E5" w:rsidRPr="00D343CC" w:rsidRDefault="00C460E5" w:rsidP="00D343CC">
      <w:pPr>
        <w:rPr>
          <w:rFonts w:cs="Arial"/>
        </w:rPr>
      </w:pPr>
      <w:r w:rsidRPr="00D343CC">
        <w:rPr>
          <w:rFonts w:cs="Arial"/>
        </w:rPr>
        <w:t xml:space="preserve">Stokes, J. and Cox, A. (2021). Commercial real estate finance and the lending cap rate. </w:t>
      </w:r>
      <w:r w:rsidRPr="00D343CC">
        <w:rPr>
          <w:rFonts w:cs="Arial"/>
          <w:i/>
          <w:iCs/>
        </w:rPr>
        <w:t>Journal of Property Investment &amp; Finance</w:t>
      </w:r>
      <w:r w:rsidRPr="00D343CC">
        <w:rPr>
          <w:rFonts w:cs="Arial"/>
        </w:rPr>
        <w:t xml:space="preserve">. </w:t>
      </w:r>
      <w:proofErr w:type="spellStart"/>
      <w:r w:rsidRPr="00D343CC">
        <w:rPr>
          <w:rFonts w:cs="Arial"/>
        </w:rPr>
        <w:t>doi</w:t>
      </w:r>
      <w:proofErr w:type="spellEnd"/>
      <w:r w:rsidRPr="00D343CC">
        <w:rPr>
          <w:rFonts w:cs="Arial"/>
        </w:rPr>
        <w:t>:</w:t>
      </w:r>
      <w:r>
        <w:rPr>
          <w:rFonts w:cs="Arial"/>
        </w:rPr>
        <w:t xml:space="preserve"> </w:t>
      </w:r>
      <w:hyperlink r:id="rId17" w:history="1">
        <w:r w:rsidRPr="00D343CC">
          <w:rPr>
            <w:rStyle w:val="Hyperlink"/>
            <w:rFonts w:cs="Arial"/>
          </w:rPr>
          <w:t>https://doi.org/10.1108/jpif-10-2021-0081</w:t>
        </w:r>
      </w:hyperlink>
      <w:r w:rsidRPr="00D343CC">
        <w:rPr>
          <w:rFonts w:cs="Arial"/>
        </w:rPr>
        <w:t>.</w:t>
      </w:r>
      <w:r>
        <w:rPr>
          <w:rFonts w:cs="Arial"/>
        </w:rPr>
        <w:t xml:space="preserve"> </w:t>
      </w:r>
    </w:p>
    <w:p w14:paraId="498C7280" w14:textId="6BF52AEF" w:rsidR="00D343CC" w:rsidRPr="00D343CC" w:rsidRDefault="00C460E5" w:rsidP="00D343CC">
      <w:pPr>
        <w:rPr>
          <w:rFonts w:cs="Arial"/>
        </w:rPr>
      </w:pPr>
      <w:r>
        <w:rPr>
          <w:rFonts w:cs="Arial"/>
        </w:rPr>
        <w:t xml:space="preserve"> </w:t>
      </w:r>
    </w:p>
    <w:p w14:paraId="1F9C615F" w14:textId="77777777" w:rsidR="00C460E5" w:rsidRDefault="00C460E5">
      <w:pPr>
        <w:spacing w:line="276" w:lineRule="auto"/>
        <w:jc w:val="left"/>
        <w:rPr>
          <w:rFonts w:eastAsia="Trebuchet MS" w:cs="Trebuchet MS"/>
          <w:b/>
          <w:bCs/>
          <w:color w:val="1F497D" w:themeColor="text2"/>
          <w:kern w:val="2"/>
          <w:sz w:val="30"/>
          <w:szCs w:val="28"/>
          <w14:ligatures w14:val="standardContextual"/>
        </w:rPr>
      </w:pPr>
      <w:r>
        <w:br w:type="page"/>
      </w:r>
    </w:p>
    <w:p w14:paraId="1C505009" w14:textId="2D11D16F" w:rsidR="00E9277F" w:rsidRPr="00D343CC" w:rsidRDefault="00E9277F" w:rsidP="00D343CC">
      <w:pPr>
        <w:pStyle w:val="Heading1"/>
      </w:pPr>
      <w:bookmarkStart w:id="42" w:name="_Toc217246596"/>
      <w:r w:rsidRPr="00D343CC">
        <w:lastRenderedPageBreak/>
        <w:t>7.0 Appendices</w:t>
      </w:r>
      <w:bookmarkEnd w:id="42"/>
    </w:p>
    <w:p w14:paraId="501B194C" w14:textId="77777777" w:rsidR="00E9277F" w:rsidRDefault="00E9277F" w:rsidP="000E65AF">
      <w:pPr>
        <w:pStyle w:val="Heading2"/>
        <w:rPr>
          <w:rFonts w:cs="Arial"/>
        </w:rPr>
      </w:pPr>
      <w:bookmarkStart w:id="43" w:name="_Toc217246597"/>
      <w:r w:rsidRPr="00D343CC">
        <w:rPr>
          <w:rFonts w:cs="Arial"/>
        </w:rPr>
        <w:t>Appendix A: Detailed Ratio Calculations</w:t>
      </w:r>
      <w:bookmarkEnd w:id="43"/>
    </w:p>
    <w:p w14:paraId="78079DA8" w14:textId="77777777" w:rsidR="00861CFB" w:rsidRDefault="00861CFB" w:rsidP="00861CFB"/>
    <w:p w14:paraId="20ED3FE9" w14:textId="4F455F21" w:rsidR="00861CFB" w:rsidRPr="00861CFB" w:rsidRDefault="00861CFB" w:rsidP="00861CFB">
      <w:pPr>
        <w:jc w:val="center"/>
        <w:rPr>
          <w:sz w:val="28"/>
          <w:szCs w:val="24"/>
        </w:rPr>
      </w:pPr>
      <w:r w:rsidRPr="00861CFB">
        <w:rPr>
          <w:noProof/>
          <w:sz w:val="28"/>
          <w:szCs w:val="24"/>
        </w:rPr>
        <w:drawing>
          <wp:inline distT="0" distB="0" distL="0" distR="0" wp14:anchorId="24DF69C6" wp14:editId="07164B49">
            <wp:extent cx="5695950" cy="3437211"/>
            <wp:effectExtent l="0" t="0" r="0" b="0"/>
            <wp:docPr id="998366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8321" cy="3444676"/>
                    </a:xfrm>
                    <a:prstGeom prst="rect">
                      <a:avLst/>
                    </a:prstGeom>
                    <a:noFill/>
                  </pic:spPr>
                </pic:pic>
              </a:graphicData>
            </a:graphic>
          </wp:inline>
        </w:drawing>
      </w:r>
    </w:p>
    <w:p w14:paraId="42DB36E5" w14:textId="77777777" w:rsidR="00861CFB" w:rsidRPr="00861CFB" w:rsidRDefault="00861CFB" w:rsidP="00861CFB">
      <w:pPr>
        <w:pStyle w:val="Caption"/>
        <w:jc w:val="center"/>
        <w:rPr>
          <w:i w:val="0"/>
          <w:iCs w:val="0"/>
          <w:color w:val="auto"/>
          <w:sz w:val="20"/>
          <w:szCs w:val="20"/>
        </w:rPr>
      </w:pPr>
      <w:bookmarkStart w:id="44" w:name="_Toc217246620"/>
      <w:r w:rsidRPr="00861CFB">
        <w:rPr>
          <w:i w:val="0"/>
          <w:iCs w:val="0"/>
          <w:color w:val="auto"/>
          <w:sz w:val="20"/>
          <w:szCs w:val="20"/>
        </w:rPr>
        <w:t xml:space="preserve">Figure </w:t>
      </w:r>
      <w:r w:rsidRPr="00861CFB">
        <w:rPr>
          <w:i w:val="0"/>
          <w:iCs w:val="0"/>
          <w:color w:val="auto"/>
          <w:sz w:val="20"/>
          <w:szCs w:val="20"/>
        </w:rPr>
        <w:fldChar w:fldCharType="begin"/>
      </w:r>
      <w:r w:rsidRPr="00861CFB">
        <w:rPr>
          <w:i w:val="0"/>
          <w:iCs w:val="0"/>
          <w:color w:val="auto"/>
          <w:sz w:val="20"/>
          <w:szCs w:val="20"/>
        </w:rPr>
        <w:instrText xml:space="preserve"> SEQ Figure \* ARABIC </w:instrText>
      </w:r>
      <w:r w:rsidRPr="00861CFB">
        <w:rPr>
          <w:i w:val="0"/>
          <w:iCs w:val="0"/>
          <w:color w:val="auto"/>
          <w:sz w:val="20"/>
          <w:szCs w:val="20"/>
        </w:rPr>
        <w:fldChar w:fldCharType="separate"/>
      </w:r>
      <w:r w:rsidRPr="00861CFB">
        <w:rPr>
          <w:i w:val="0"/>
          <w:iCs w:val="0"/>
          <w:noProof/>
          <w:color w:val="auto"/>
          <w:sz w:val="20"/>
          <w:szCs w:val="20"/>
        </w:rPr>
        <w:t>1</w:t>
      </w:r>
      <w:r w:rsidRPr="00861CFB">
        <w:rPr>
          <w:i w:val="0"/>
          <w:iCs w:val="0"/>
          <w:color w:val="auto"/>
          <w:sz w:val="20"/>
          <w:szCs w:val="20"/>
        </w:rPr>
        <w:fldChar w:fldCharType="end"/>
      </w:r>
      <w:r w:rsidRPr="00861CFB">
        <w:rPr>
          <w:i w:val="0"/>
          <w:iCs w:val="0"/>
          <w:color w:val="auto"/>
          <w:sz w:val="20"/>
          <w:szCs w:val="20"/>
        </w:rPr>
        <w:t xml:space="preserve"> Global Consumer Electronics Market Size; Source: (Fortune Business Insights, 2021)</w:t>
      </w:r>
      <w:bookmarkEnd w:id="44"/>
    </w:p>
    <w:p w14:paraId="5925EAA2" w14:textId="77777777" w:rsidR="00861CFB" w:rsidRDefault="00861CFB" w:rsidP="00861CFB">
      <w:pPr>
        <w:pStyle w:val="Caption"/>
      </w:pPr>
    </w:p>
    <w:p w14:paraId="3AA66302" w14:textId="77777777" w:rsidR="00E9277F" w:rsidRPr="00D343CC" w:rsidRDefault="00E9277F" w:rsidP="000E65AF">
      <w:pPr>
        <w:pStyle w:val="Heading3"/>
        <w:rPr>
          <w:rFonts w:cs="Arial"/>
        </w:rPr>
      </w:pPr>
      <w:bookmarkStart w:id="45" w:name="_Toc217246598"/>
      <w:r w:rsidRPr="00D343CC">
        <w:rPr>
          <w:rFonts w:cs="Arial"/>
        </w:rPr>
        <w:t>Table A1: Profitability Ratios (2020–2024)</w:t>
      </w:r>
      <w:bookmarkEnd w:id="45"/>
    </w:p>
    <w:p w14:paraId="1C311ADF" w14:textId="77777777" w:rsidR="00E9277F" w:rsidRPr="00D343CC" w:rsidRDefault="00E9277F" w:rsidP="000E65AF">
      <w:pPr>
        <w:rPr>
          <w:rFonts w:cs="Arial"/>
        </w:rPr>
      </w:pPr>
      <w:r w:rsidRPr="00D343CC">
        <w:rPr>
          <w:rFonts w:cs="Arial"/>
        </w:rPr>
        <w:t>Gross profit margin = Gross profit / Net sales</w:t>
      </w:r>
    </w:p>
    <w:p w14:paraId="22E09A01" w14:textId="77777777" w:rsidR="00E9277F" w:rsidRPr="00D343CC" w:rsidRDefault="00E9277F" w:rsidP="000E65AF">
      <w:pPr>
        <w:rPr>
          <w:rFonts w:cs="Arial"/>
        </w:rPr>
      </w:pPr>
      <w:r w:rsidRPr="00D343CC">
        <w:rPr>
          <w:rFonts w:cs="Arial"/>
        </w:rPr>
        <w:t>Operating profit margin = Operating income / Net sales</w:t>
      </w:r>
    </w:p>
    <w:p w14:paraId="1D80ECA9" w14:textId="77777777" w:rsidR="00E9277F" w:rsidRPr="00D343CC" w:rsidRDefault="00E9277F" w:rsidP="000E65AF">
      <w:pPr>
        <w:rPr>
          <w:rFonts w:cs="Arial"/>
        </w:rPr>
      </w:pPr>
      <w:r w:rsidRPr="00D343CC">
        <w:rPr>
          <w:rFonts w:cs="Arial"/>
        </w:rPr>
        <w:t>Net profit margin = Net income / Net sales</w:t>
      </w:r>
    </w:p>
    <w:p w14:paraId="49EEC7B3" w14:textId="77777777" w:rsidR="00E9277F" w:rsidRPr="00D343CC" w:rsidRDefault="00E9277F" w:rsidP="000E65AF">
      <w:pPr>
        <w:rPr>
          <w:rFonts w:cs="Arial"/>
        </w:rPr>
      </w:pPr>
      <w:r w:rsidRPr="00D343CC">
        <w:rPr>
          <w:rFonts w:cs="Arial"/>
        </w:rPr>
        <w:t>Return on Assets (ROA)= Net Income / Total Assets</w:t>
      </w:r>
    </w:p>
    <w:p w14:paraId="686FFAC9" w14:textId="77777777" w:rsidR="00E9277F" w:rsidRPr="00D343CC" w:rsidRDefault="00E9277F" w:rsidP="000E65AF">
      <w:pPr>
        <w:rPr>
          <w:rFonts w:cs="Arial"/>
        </w:rPr>
      </w:pPr>
      <w:r w:rsidRPr="00D343CC">
        <w:rPr>
          <w:rFonts w:cs="Arial"/>
        </w:rPr>
        <w:t>Return on Equity (ROE)= Net Income / Shareholders’ Equity</w:t>
      </w:r>
    </w:p>
    <w:p w14:paraId="2542F63F" w14:textId="0B547FCC" w:rsidR="00E9277F" w:rsidRPr="00D343CC" w:rsidRDefault="00E9277F" w:rsidP="000E65AF">
      <w:pPr>
        <w:rPr>
          <w:rFonts w:cs="Arial"/>
        </w:rPr>
      </w:pPr>
      <w:r w:rsidRPr="00D343CC">
        <w:rPr>
          <w:rFonts w:cs="Arial"/>
        </w:rPr>
        <w:t>Five-year numerical calculations presented below for each ratio:</w:t>
      </w:r>
    </w:p>
    <w:p w14:paraId="7E3A8BF9" w14:textId="77777777" w:rsidR="00C460E5" w:rsidRDefault="00C460E5">
      <w:pPr>
        <w:spacing w:line="276" w:lineRule="auto"/>
        <w:jc w:val="left"/>
        <w:rPr>
          <w:rFonts w:cs="Arial"/>
          <w:b/>
          <w:bCs/>
        </w:rPr>
      </w:pPr>
      <w:r>
        <w:rPr>
          <w:rFonts w:cs="Arial"/>
          <w:b/>
          <w:bCs/>
        </w:rPr>
        <w:br w:type="page"/>
      </w:r>
    </w:p>
    <w:p w14:paraId="0C3FE3FD" w14:textId="14A7A390" w:rsidR="00E9277F" w:rsidRPr="00D343CC" w:rsidRDefault="00E9277F" w:rsidP="00DE6EFB">
      <w:pPr>
        <w:jc w:val="center"/>
        <w:rPr>
          <w:rFonts w:cs="Arial"/>
          <w:b/>
          <w:bCs/>
        </w:rPr>
      </w:pPr>
      <w:r w:rsidRPr="00D343CC">
        <w:rPr>
          <w:rFonts w:cs="Arial"/>
          <w:b/>
          <w:bCs/>
        </w:rPr>
        <w:lastRenderedPageBreak/>
        <w:t>Profitability Ratio Calculations (2020–2024)</w:t>
      </w:r>
    </w:p>
    <w:tbl>
      <w:tblPr>
        <w:tblStyle w:val="TableGrid"/>
        <w:tblW w:w="0" w:type="auto"/>
        <w:tblLook w:val="04A0" w:firstRow="1" w:lastRow="0" w:firstColumn="1" w:lastColumn="0" w:noHBand="0" w:noVBand="1"/>
      </w:tblPr>
      <w:tblGrid>
        <w:gridCol w:w="1445"/>
        <w:gridCol w:w="1397"/>
        <w:gridCol w:w="1216"/>
        <w:gridCol w:w="1216"/>
        <w:gridCol w:w="1242"/>
        <w:gridCol w:w="1250"/>
        <w:gridCol w:w="1250"/>
      </w:tblGrid>
      <w:tr w:rsidR="00E9277F" w:rsidRPr="00D343CC" w14:paraId="6E60FF24" w14:textId="77777777" w:rsidTr="00AD1754">
        <w:tc>
          <w:tcPr>
            <w:tcW w:w="0" w:type="auto"/>
            <w:vAlign w:val="center"/>
            <w:hideMark/>
          </w:tcPr>
          <w:p w14:paraId="0A1A13CA" w14:textId="77777777" w:rsidR="00E9277F" w:rsidRPr="00D343CC" w:rsidRDefault="00E9277F" w:rsidP="000E65AF">
            <w:pPr>
              <w:spacing w:after="200"/>
              <w:rPr>
                <w:rFonts w:cs="Arial"/>
                <w:b/>
                <w:bCs/>
              </w:rPr>
            </w:pPr>
            <w:r w:rsidRPr="00D343CC">
              <w:rPr>
                <w:rFonts w:cs="Arial"/>
                <w:b/>
                <w:bCs/>
              </w:rPr>
              <w:t>Ratio</w:t>
            </w:r>
          </w:p>
        </w:tc>
        <w:tc>
          <w:tcPr>
            <w:tcW w:w="0" w:type="auto"/>
            <w:vAlign w:val="center"/>
            <w:hideMark/>
          </w:tcPr>
          <w:p w14:paraId="2575ECAC" w14:textId="77777777" w:rsidR="00E9277F" w:rsidRPr="00D343CC" w:rsidRDefault="00E9277F" w:rsidP="000E65AF">
            <w:pPr>
              <w:spacing w:after="200"/>
              <w:rPr>
                <w:rFonts w:cs="Arial"/>
                <w:b/>
                <w:bCs/>
              </w:rPr>
            </w:pPr>
            <w:r w:rsidRPr="00D343CC">
              <w:rPr>
                <w:rFonts w:cs="Arial"/>
                <w:b/>
                <w:bCs/>
              </w:rPr>
              <w:t>Formula</w:t>
            </w:r>
          </w:p>
        </w:tc>
        <w:tc>
          <w:tcPr>
            <w:tcW w:w="0" w:type="auto"/>
            <w:vAlign w:val="center"/>
            <w:hideMark/>
          </w:tcPr>
          <w:p w14:paraId="3805567B" w14:textId="77777777" w:rsidR="00E9277F" w:rsidRPr="00D343CC" w:rsidRDefault="00E9277F" w:rsidP="000E65AF">
            <w:pPr>
              <w:spacing w:after="200"/>
              <w:rPr>
                <w:rFonts w:cs="Arial"/>
                <w:b/>
                <w:bCs/>
              </w:rPr>
            </w:pPr>
            <w:r w:rsidRPr="00D343CC">
              <w:rPr>
                <w:rFonts w:cs="Arial"/>
                <w:b/>
                <w:bCs/>
              </w:rPr>
              <w:t>2020</w:t>
            </w:r>
          </w:p>
        </w:tc>
        <w:tc>
          <w:tcPr>
            <w:tcW w:w="0" w:type="auto"/>
            <w:vAlign w:val="center"/>
            <w:hideMark/>
          </w:tcPr>
          <w:p w14:paraId="3FD377E9" w14:textId="77777777" w:rsidR="00E9277F" w:rsidRPr="00D343CC" w:rsidRDefault="00E9277F" w:rsidP="000E65AF">
            <w:pPr>
              <w:spacing w:after="200"/>
              <w:rPr>
                <w:rFonts w:cs="Arial"/>
                <w:b/>
                <w:bCs/>
              </w:rPr>
            </w:pPr>
            <w:r w:rsidRPr="00D343CC">
              <w:rPr>
                <w:rFonts w:cs="Arial"/>
                <w:b/>
                <w:bCs/>
              </w:rPr>
              <w:t>2021</w:t>
            </w:r>
          </w:p>
        </w:tc>
        <w:tc>
          <w:tcPr>
            <w:tcW w:w="0" w:type="auto"/>
            <w:vAlign w:val="center"/>
            <w:hideMark/>
          </w:tcPr>
          <w:p w14:paraId="2EAC0D92" w14:textId="77777777" w:rsidR="00E9277F" w:rsidRPr="00D343CC" w:rsidRDefault="00E9277F" w:rsidP="000E65AF">
            <w:pPr>
              <w:spacing w:after="200"/>
              <w:rPr>
                <w:rFonts w:cs="Arial"/>
                <w:b/>
                <w:bCs/>
              </w:rPr>
            </w:pPr>
            <w:r w:rsidRPr="00D343CC">
              <w:rPr>
                <w:rFonts w:cs="Arial"/>
                <w:b/>
                <w:bCs/>
              </w:rPr>
              <w:t>2022</w:t>
            </w:r>
          </w:p>
        </w:tc>
        <w:tc>
          <w:tcPr>
            <w:tcW w:w="0" w:type="auto"/>
            <w:vAlign w:val="center"/>
            <w:hideMark/>
          </w:tcPr>
          <w:p w14:paraId="19917168" w14:textId="77777777" w:rsidR="00E9277F" w:rsidRPr="00D343CC" w:rsidRDefault="00E9277F" w:rsidP="000E65AF">
            <w:pPr>
              <w:spacing w:after="200"/>
              <w:rPr>
                <w:rFonts w:cs="Arial"/>
                <w:b/>
                <w:bCs/>
              </w:rPr>
            </w:pPr>
            <w:r w:rsidRPr="00D343CC">
              <w:rPr>
                <w:rFonts w:cs="Arial"/>
                <w:b/>
                <w:bCs/>
              </w:rPr>
              <w:t>2023</w:t>
            </w:r>
          </w:p>
        </w:tc>
        <w:tc>
          <w:tcPr>
            <w:tcW w:w="0" w:type="auto"/>
            <w:vAlign w:val="center"/>
            <w:hideMark/>
          </w:tcPr>
          <w:p w14:paraId="7BB874AD" w14:textId="77777777" w:rsidR="00E9277F" w:rsidRPr="00D343CC" w:rsidRDefault="00E9277F" w:rsidP="000E65AF">
            <w:pPr>
              <w:spacing w:after="200"/>
              <w:rPr>
                <w:rFonts w:cs="Arial"/>
                <w:b/>
                <w:bCs/>
              </w:rPr>
            </w:pPr>
            <w:r w:rsidRPr="00D343CC">
              <w:rPr>
                <w:rFonts w:cs="Arial"/>
                <w:b/>
                <w:bCs/>
              </w:rPr>
              <w:t>2024</w:t>
            </w:r>
          </w:p>
        </w:tc>
      </w:tr>
      <w:tr w:rsidR="00E9277F" w:rsidRPr="00D343CC" w14:paraId="7C58AC12" w14:textId="77777777" w:rsidTr="00E9277F">
        <w:tc>
          <w:tcPr>
            <w:tcW w:w="0" w:type="auto"/>
            <w:hideMark/>
          </w:tcPr>
          <w:p w14:paraId="1A28F04E" w14:textId="77777777" w:rsidR="00E9277F" w:rsidRPr="00D343CC" w:rsidRDefault="00E9277F" w:rsidP="000E65AF">
            <w:pPr>
              <w:spacing w:after="200"/>
              <w:rPr>
                <w:rFonts w:cs="Arial"/>
              </w:rPr>
            </w:pPr>
            <w:r w:rsidRPr="00D343CC">
              <w:rPr>
                <w:rFonts w:cs="Arial"/>
                <w:b/>
                <w:bCs/>
              </w:rPr>
              <w:t>Gross Profit Margin</w:t>
            </w:r>
          </w:p>
        </w:tc>
        <w:tc>
          <w:tcPr>
            <w:tcW w:w="0" w:type="auto"/>
            <w:hideMark/>
          </w:tcPr>
          <w:p w14:paraId="2F97AD4A" w14:textId="77777777" w:rsidR="00E9277F" w:rsidRPr="00D343CC" w:rsidRDefault="00E9277F" w:rsidP="000E65AF">
            <w:pPr>
              <w:spacing w:after="200"/>
              <w:rPr>
                <w:rFonts w:cs="Arial"/>
              </w:rPr>
            </w:pPr>
            <w:r w:rsidRPr="00D343CC">
              <w:rPr>
                <w:rFonts w:cs="Arial"/>
              </w:rPr>
              <w:t>Gross Profit ÷ Net Sales</w:t>
            </w:r>
          </w:p>
        </w:tc>
        <w:tc>
          <w:tcPr>
            <w:tcW w:w="0" w:type="auto"/>
            <w:hideMark/>
          </w:tcPr>
          <w:p w14:paraId="68DFB843" w14:textId="77777777" w:rsidR="00E9277F" w:rsidRPr="00D343CC" w:rsidRDefault="00E9277F" w:rsidP="000E65AF">
            <w:pPr>
              <w:spacing w:after="200"/>
              <w:rPr>
                <w:rFonts w:cs="Arial"/>
              </w:rPr>
            </w:pPr>
            <w:r w:rsidRPr="00D343CC">
              <w:rPr>
                <w:rFonts w:cs="Arial"/>
              </w:rPr>
              <w:t xml:space="preserve">176,256 ÷ 614,680 = </w:t>
            </w:r>
            <w:r w:rsidRPr="00D343CC">
              <w:rPr>
                <w:rFonts w:cs="Arial"/>
                <w:b/>
                <w:bCs/>
              </w:rPr>
              <w:t>28.67%</w:t>
            </w:r>
          </w:p>
        </w:tc>
        <w:tc>
          <w:tcPr>
            <w:tcW w:w="0" w:type="auto"/>
            <w:hideMark/>
          </w:tcPr>
          <w:p w14:paraId="69ACCE02" w14:textId="77777777" w:rsidR="00E9277F" w:rsidRPr="00D343CC" w:rsidRDefault="00E9277F" w:rsidP="000E65AF">
            <w:pPr>
              <w:spacing w:after="200"/>
              <w:rPr>
                <w:rFonts w:cs="Arial"/>
              </w:rPr>
            </w:pPr>
            <w:r w:rsidRPr="00D343CC">
              <w:rPr>
                <w:rFonts w:cs="Arial"/>
              </w:rPr>
              <w:t xml:space="preserve">173,016 ÷ 601,602 = </w:t>
            </w:r>
            <w:r w:rsidRPr="00D343CC">
              <w:rPr>
                <w:rFonts w:cs="Arial"/>
                <w:b/>
                <w:bCs/>
              </w:rPr>
              <w:t>28.76%</w:t>
            </w:r>
          </w:p>
        </w:tc>
        <w:tc>
          <w:tcPr>
            <w:tcW w:w="0" w:type="auto"/>
            <w:hideMark/>
          </w:tcPr>
          <w:p w14:paraId="2568239B" w14:textId="77777777" w:rsidR="00E9277F" w:rsidRPr="00D343CC" w:rsidRDefault="00E9277F" w:rsidP="000E65AF">
            <w:pPr>
              <w:spacing w:after="200"/>
              <w:rPr>
                <w:rFonts w:cs="Arial"/>
              </w:rPr>
            </w:pPr>
            <w:r w:rsidRPr="00D343CC">
              <w:rPr>
                <w:rFonts w:cs="Arial"/>
              </w:rPr>
              <w:t xml:space="preserve">152,292 ÷ 542,751 = </w:t>
            </w:r>
            <w:r w:rsidRPr="00D343CC">
              <w:rPr>
                <w:rFonts w:cs="Arial"/>
                <w:b/>
                <w:bCs/>
              </w:rPr>
              <w:t>28.06%</w:t>
            </w:r>
          </w:p>
        </w:tc>
        <w:tc>
          <w:tcPr>
            <w:tcW w:w="0" w:type="auto"/>
            <w:hideMark/>
          </w:tcPr>
          <w:p w14:paraId="272AB4F8" w14:textId="77777777" w:rsidR="00E9277F" w:rsidRPr="00D343CC" w:rsidRDefault="00E9277F" w:rsidP="000E65AF">
            <w:pPr>
              <w:spacing w:after="200"/>
              <w:rPr>
                <w:rFonts w:cs="Arial"/>
              </w:rPr>
            </w:pPr>
            <w:r w:rsidRPr="00D343CC">
              <w:rPr>
                <w:rFonts w:cs="Arial"/>
              </w:rPr>
              <w:t xml:space="preserve">97,560 ÷ 420,457 = </w:t>
            </w:r>
            <w:r w:rsidRPr="00D343CC">
              <w:rPr>
                <w:rFonts w:cs="Arial"/>
                <w:b/>
                <w:bCs/>
              </w:rPr>
              <w:t>23.20%</w:t>
            </w:r>
          </w:p>
        </w:tc>
        <w:tc>
          <w:tcPr>
            <w:tcW w:w="0" w:type="auto"/>
            <w:hideMark/>
          </w:tcPr>
          <w:p w14:paraId="2C6D68C2" w14:textId="77777777" w:rsidR="00E9277F" w:rsidRPr="00D343CC" w:rsidRDefault="00E9277F" w:rsidP="000E65AF">
            <w:pPr>
              <w:spacing w:after="200"/>
              <w:rPr>
                <w:rFonts w:cs="Arial"/>
              </w:rPr>
            </w:pPr>
            <w:r w:rsidRPr="00D343CC">
              <w:rPr>
                <w:rFonts w:cs="Arial"/>
              </w:rPr>
              <w:t xml:space="preserve">113,994 ÷ 394,879 = </w:t>
            </w:r>
            <w:r w:rsidRPr="00D343CC">
              <w:rPr>
                <w:rFonts w:cs="Arial"/>
                <w:b/>
                <w:bCs/>
              </w:rPr>
              <w:t>28.87%</w:t>
            </w:r>
          </w:p>
        </w:tc>
      </w:tr>
      <w:tr w:rsidR="00E9277F" w:rsidRPr="00D343CC" w14:paraId="499D0883" w14:textId="77777777" w:rsidTr="00E9277F">
        <w:tc>
          <w:tcPr>
            <w:tcW w:w="0" w:type="auto"/>
            <w:hideMark/>
          </w:tcPr>
          <w:p w14:paraId="70CE2752" w14:textId="77777777" w:rsidR="00E9277F" w:rsidRPr="00D343CC" w:rsidRDefault="00E9277F" w:rsidP="000E65AF">
            <w:pPr>
              <w:spacing w:after="200"/>
              <w:rPr>
                <w:rFonts w:cs="Arial"/>
              </w:rPr>
            </w:pPr>
            <w:r w:rsidRPr="00D343CC">
              <w:rPr>
                <w:rFonts w:cs="Arial"/>
                <w:b/>
                <w:bCs/>
              </w:rPr>
              <w:t>Operating Profit Margin</w:t>
            </w:r>
          </w:p>
        </w:tc>
        <w:tc>
          <w:tcPr>
            <w:tcW w:w="0" w:type="auto"/>
            <w:hideMark/>
          </w:tcPr>
          <w:p w14:paraId="2FC76D80" w14:textId="77777777" w:rsidR="00E9277F" w:rsidRPr="00D343CC" w:rsidRDefault="00E9277F" w:rsidP="000E65AF">
            <w:pPr>
              <w:spacing w:after="200"/>
              <w:rPr>
                <w:rFonts w:cs="Arial"/>
              </w:rPr>
            </w:pPr>
            <w:r w:rsidRPr="00D343CC">
              <w:rPr>
                <w:rFonts w:cs="Arial"/>
              </w:rPr>
              <w:t>Operating Income ÷ Net Sales</w:t>
            </w:r>
          </w:p>
        </w:tc>
        <w:tc>
          <w:tcPr>
            <w:tcW w:w="0" w:type="auto"/>
            <w:hideMark/>
          </w:tcPr>
          <w:p w14:paraId="10C092F5" w14:textId="77777777" w:rsidR="00E9277F" w:rsidRPr="00D343CC" w:rsidRDefault="00E9277F" w:rsidP="000E65AF">
            <w:pPr>
              <w:spacing w:after="200"/>
              <w:rPr>
                <w:rFonts w:cs="Arial"/>
              </w:rPr>
            </w:pPr>
            <w:r w:rsidRPr="00D343CC">
              <w:rPr>
                <w:rFonts w:cs="Arial"/>
              </w:rPr>
              <w:t xml:space="preserve">37,267 ÷ 614,680 = </w:t>
            </w:r>
            <w:r w:rsidRPr="00D343CC">
              <w:rPr>
                <w:rFonts w:cs="Arial"/>
                <w:b/>
                <w:bCs/>
              </w:rPr>
              <w:t>6.06%</w:t>
            </w:r>
          </w:p>
        </w:tc>
        <w:tc>
          <w:tcPr>
            <w:tcW w:w="0" w:type="auto"/>
            <w:hideMark/>
          </w:tcPr>
          <w:p w14:paraId="46D2711C" w14:textId="77777777" w:rsidR="00E9277F" w:rsidRPr="00D343CC" w:rsidRDefault="00E9277F" w:rsidP="000E65AF">
            <w:pPr>
              <w:spacing w:after="200"/>
              <w:rPr>
                <w:rFonts w:cs="Arial"/>
              </w:rPr>
            </w:pPr>
            <w:r w:rsidRPr="00D343CC">
              <w:rPr>
                <w:rFonts w:cs="Arial"/>
              </w:rPr>
              <w:t xml:space="preserve">23,253 ÷ 601,602 = </w:t>
            </w:r>
            <w:r w:rsidRPr="00D343CC">
              <w:rPr>
                <w:rFonts w:cs="Arial"/>
                <w:b/>
                <w:bCs/>
              </w:rPr>
              <w:t>3.87%</w:t>
            </w:r>
          </w:p>
        </w:tc>
        <w:tc>
          <w:tcPr>
            <w:tcW w:w="0" w:type="auto"/>
            <w:hideMark/>
          </w:tcPr>
          <w:p w14:paraId="124A0A2E" w14:textId="77777777" w:rsidR="00E9277F" w:rsidRPr="00D343CC" w:rsidRDefault="00E9277F" w:rsidP="000E65AF">
            <w:pPr>
              <w:spacing w:after="200"/>
              <w:rPr>
                <w:rFonts w:cs="Arial"/>
              </w:rPr>
            </w:pPr>
            <w:r w:rsidRPr="00D343CC">
              <w:rPr>
                <w:rFonts w:cs="Arial"/>
              </w:rPr>
              <w:t xml:space="preserve">(10,986) ÷ 542,751 = </w:t>
            </w:r>
            <w:r w:rsidRPr="00D343CC">
              <w:rPr>
                <w:rFonts w:cs="Arial"/>
                <w:b/>
                <w:bCs/>
              </w:rPr>
              <w:t>–2.02%</w:t>
            </w:r>
          </w:p>
        </w:tc>
        <w:tc>
          <w:tcPr>
            <w:tcW w:w="0" w:type="auto"/>
            <w:hideMark/>
          </w:tcPr>
          <w:p w14:paraId="3D75335E" w14:textId="77777777" w:rsidR="00E9277F" w:rsidRPr="00D343CC" w:rsidRDefault="00E9277F" w:rsidP="000E65AF">
            <w:pPr>
              <w:spacing w:after="200"/>
              <w:rPr>
                <w:rFonts w:cs="Arial"/>
              </w:rPr>
            </w:pPr>
            <w:r w:rsidRPr="00D343CC">
              <w:rPr>
                <w:rFonts w:cs="Arial"/>
              </w:rPr>
              <w:t xml:space="preserve">(85,301) ÷ 420,457 = </w:t>
            </w:r>
            <w:r w:rsidRPr="00D343CC">
              <w:rPr>
                <w:rFonts w:cs="Arial"/>
                <w:b/>
                <w:bCs/>
              </w:rPr>
              <w:t>–20.29%</w:t>
            </w:r>
          </w:p>
        </w:tc>
        <w:tc>
          <w:tcPr>
            <w:tcW w:w="0" w:type="auto"/>
            <w:hideMark/>
          </w:tcPr>
          <w:p w14:paraId="544080E1" w14:textId="77777777" w:rsidR="00E9277F" w:rsidRPr="00D343CC" w:rsidRDefault="00E9277F" w:rsidP="000E65AF">
            <w:pPr>
              <w:spacing w:after="200"/>
              <w:rPr>
                <w:rFonts w:cs="Arial"/>
              </w:rPr>
            </w:pPr>
            <w:r w:rsidRPr="00D343CC">
              <w:rPr>
                <w:rFonts w:cs="Arial"/>
              </w:rPr>
              <w:t xml:space="preserve">(15,297) ÷ 394,879 = </w:t>
            </w:r>
            <w:r w:rsidRPr="00D343CC">
              <w:rPr>
                <w:rFonts w:cs="Arial"/>
                <w:b/>
                <w:bCs/>
              </w:rPr>
              <w:t>–3.87%</w:t>
            </w:r>
          </w:p>
        </w:tc>
      </w:tr>
      <w:tr w:rsidR="00E9277F" w:rsidRPr="00D343CC" w14:paraId="4BD3EC55" w14:textId="77777777" w:rsidTr="00E9277F">
        <w:tc>
          <w:tcPr>
            <w:tcW w:w="0" w:type="auto"/>
            <w:hideMark/>
          </w:tcPr>
          <w:p w14:paraId="285C5C16" w14:textId="77777777" w:rsidR="00E9277F" w:rsidRPr="00D343CC" w:rsidRDefault="00E9277F" w:rsidP="000E65AF">
            <w:pPr>
              <w:spacing w:after="200"/>
              <w:rPr>
                <w:rFonts w:cs="Arial"/>
              </w:rPr>
            </w:pPr>
            <w:r w:rsidRPr="00D343CC">
              <w:rPr>
                <w:rFonts w:cs="Arial"/>
                <w:b/>
                <w:bCs/>
              </w:rPr>
              <w:t>Net Profit Margin</w:t>
            </w:r>
          </w:p>
        </w:tc>
        <w:tc>
          <w:tcPr>
            <w:tcW w:w="0" w:type="auto"/>
            <w:hideMark/>
          </w:tcPr>
          <w:p w14:paraId="7A45914E" w14:textId="77777777" w:rsidR="00E9277F" w:rsidRPr="00D343CC" w:rsidRDefault="00E9277F" w:rsidP="000E65AF">
            <w:pPr>
              <w:spacing w:after="200"/>
              <w:rPr>
                <w:rFonts w:cs="Arial"/>
              </w:rPr>
            </w:pPr>
            <w:r w:rsidRPr="00D343CC">
              <w:rPr>
                <w:rFonts w:cs="Arial"/>
              </w:rPr>
              <w:t>Net Income ÷ Net Sales</w:t>
            </w:r>
          </w:p>
        </w:tc>
        <w:tc>
          <w:tcPr>
            <w:tcW w:w="0" w:type="auto"/>
            <w:hideMark/>
          </w:tcPr>
          <w:p w14:paraId="59E44AF4" w14:textId="77777777" w:rsidR="00E9277F" w:rsidRPr="00D343CC" w:rsidRDefault="00E9277F" w:rsidP="000E65AF">
            <w:pPr>
              <w:spacing w:after="200"/>
              <w:rPr>
                <w:rFonts w:cs="Arial"/>
              </w:rPr>
            </w:pPr>
            <w:r w:rsidRPr="00D343CC">
              <w:rPr>
                <w:rFonts w:cs="Arial"/>
              </w:rPr>
              <w:t xml:space="preserve">38,572 ÷ 614,680 = </w:t>
            </w:r>
            <w:r w:rsidRPr="00D343CC">
              <w:rPr>
                <w:rFonts w:cs="Arial"/>
                <w:b/>
                <w:bCs/>
              </w:rPr>
              <w:t>6.28%</w:t>
            </w:r>
          </w:p>
        </w:tc>
        <w:tc>
          <w:tcPr>
            <w:tcW w:w="0" w:type="auto"/>
            <w:hideMark/>
          </w:tcPr>
          <w:p w14:paraId="261C68F4" w14:textId="77777777" w:rsidR="00E9277F" w:rsidRPr="00D343CC" w:rsidRDefault="00E9277F" w:rsidP="000E65AF">
            <w:pPr>
              <w:spacing w:after="200"/>
              <w:rPr>
                <w:rFonts w:cs="Arial"/>
              </w:rPr>
            </w:pPr>
            <w:r w:rsidRPr="00D343CC">
              <w:rPr>
                <w:rFonts w:cs="Arial"/>
              </w:rPr>
              <w:t xml:space="preserve">5,301 ÷ 601,602 = </w:t>
            </w:r>
            <w:r w:rsidRPr="00D343CC">
              <w:rPr>
                <w:rFonts w:cs="Arial"/>
                <w:b/>
                <w:bCs/>
              </w:rPr>
              <w:t>0.88%</w:t>
            </w:r>
          </w:p>
        </w:tc>
        <w:tc>
          <w:tcPr>
            <w:tcW w:w="0" w:type="auto"/>
            <w:hideMark/>
          </w:tcPr>
          <w:p w14:paraId="2AF32B37" w14:textId="77777777" w:rsidR="00E9277F" w:rsidRPr="00D343CC" w:rsidRDefault="00E9277F" w:rsidP="000E65AF">
            <w:pPr>
              <w:spacing w:after="200"/>
              <w:rPr>
                <w:rFonts w:cs="Arial"/>
              </w:rPr>
            </w:pPr>
            <w:r w:rsidRPr="00D343CC">
              <w:rPr>
                <w:rFonts w:cs="Arial"/>
              </w:rPr>
              <w:t xml:space="preserve">407 ÷ 542,751 = </w:t>
            </w:r>
            <w:r w:rsidRPr="00D343CC">
              <w:rPr>
                <w:rFonts w:cs="Arial"/>
                <w:b/>
                <w:bCs/>
              </w:rPr>
              <w:t>0.07%</w:t>
            </w:r>
          </w:p>
        </w:tc>
        <w:tc>
          <w:tcPr>
            <w:tcW w:w="0" w:type="auto"/>
            <w:hideMark/>
          </w:tcPr>
          <w:p w14:paraId="4DCD96E6" w14:textId="77777777" w:rsidR="00E9277F" w:rsidRPr="00D343CC" w:rsidRDefault="00E9277F" w:rsidP="000E65AF">
            <w:pPr>
              <w:spacing w:after="200"/>
              <w:rPr>
                <w:rFonts w:cs="Arial"/>
              </w:rPr>
            </w:pPr>
            <w:r w:rsidRPr="00D343CC">
              <w:rPr>
                <w:rFonts w:cs="Arial"/>
              </w:rPr>
              <w:t xml:space="preserve">(98,238) ÷ 420,457 = </w:t>
            </w:r>
            <w:r w:rsidRPr="00D343CC">
              <w:rPr>
                <w:rFonts w:cs="Arial"/>
                <w:b/>
                <w:bCs/>
              </w:rPr>
              <w:t>–23.36%</w:t>
            </w:r>
          </w:p>
        </w:tc>
        <w:tc>
          <w:tcPr>
            <w:tcW w:w="0" w:type="auto"/>
            <w:hideMark/>
          </w:tcPr>
          <w:p w14:paraId="6322DF0D" w14:textId="77777777" w:rsidR="00E9277F" w:rsidRPr="00D343CC" w:rsidRDefault="00E9277F" w:rsidP="000E65AF">
            <w:pPr>
              <w:spacing w:after="200"/>
              <w:rPr>
                <w:rFonts w:cs="Arial"/>
              </w:rPr>
            </w:pPr>
            <w:r w:rsidRPr="00D343CC">
              <w:rPr>
                <w:rFonts w:cs="Arial"/>
              </w:rPr>
              <w:t xml:space="preserve">(24,029) ÷ 394,879 = </w:t>
            </w:r>
            <w:r w:rsidRPr="00D343CC">
              <w:rPr>
                <w:rFonts w:cs="Arial"/>
                <w:b/>
                <w:bCs/>
              </w:rPr>
              <w:t>–6.09%</w:t>
            </w:r>
          </w:p>
        </w:tc>
      </w:tr>
      <w:tr w:rsidR="00E9277F" w:rsidRPr="00D343CC" w14:paraId="56575422" w14:textId="77777777" w:rsidTr="00E9277F">
        <w:tc>
          <w:tcPr>
            <w:tcW w:w="0" w:type="auto"/>
            <w:hideMark/>
          </w:tcPr>
          <w:p w14:paraId="1C1E6753" w14:textId="77777777" w:rsidR="00E9277F" w:rsidRPr="00D343CC" w:rsidRDefault="00E9277F" w:rsidP="000E65AF">
            <w:pPr>
              <w:spacing w:after="200"/>
              <w:rPr>
                <w:rFonts w:cs="Arial"/>
              </w:rPr>
            </w:pPr>
            <w:r w:rsidRPr="00D343CC">
              <w:rPr>
                <w:rFonts w:cs="Arial"/>
                <w:b/>
                <w:bCs/>
              </w:rPr>
              <w:t>Return on Assets (ROA)</w:t>
            </w:r>
          </w:p>
        </w:tc>
        <w:tc>
          <w:tcPr>
            <w:tcW w:w="0" w:type="auto"/>
            <w:hideMark/>
          </w:tcPr>
          <w:p w14:paraId="556EAAF3" w14:textId="77777777" w:rsidR="00E9277F" w:rsidRPr="00D343CC" w:rsidRDefault="00E9277F" w:rsidP="000E65AF">
            <w:pPr>
              <w:spacing w:after="200"/>
              <w:rPr>
                <w:rFonts w:cs="Arial"/>
              </w:rPr>
            </w:pPr>
            <w:r w:rsidRPr="00D343CC">
              <w:rPr>
                <w:rFonts w:cs="Arial"/>
              </w:rPr>
              <w:t>Net Income ÷ Total Assets</w:t>
            </w:r>
          </w:p>
        </w:tc>
        <w:tc>
          <w:tcPr>
            <w:tcW w:w="0" w:type="auto"/>
            <w:hideMark/>
          </w:tcPr>
          <w:p w14:paraId="11A11747" w14:textId="77777777" w:rsidR="00E9277F" w:rsidRPr="00D343CC" w:rsidRDefault="00E9277F" w:rsidP="000E65AF">
            <w:pPr>
              <w:spacing w:after="200"/>
              <w:rPr>
                <w:rFonts w:cs="Arial"/>
              </w:rPr>
            </w:pPr>
            <w:r w:rsidRPr="00D343CC">
              <w:rPr>
                <w:rFonts w:cs="Arial"/>
              </w:rPr>
              <w:t xml:space="preserve">38,572 ÷ 510,290 = </w:t>
            </w:r>
            <w:r w:rsidRPr="00D343CC">
              <w:rPr>
                <w:rFonts w:cs="Arial"/>
                <w:b/>
                <w:bCs/>
              </w:rPr>
              <w:t>7.56%</w:t>
            </w:r>
          </w:p>
        </w:tc>
        <w:tc>
          <w:tcPr>
            <w:tcW w:w="0" w:type="auto"/>
            <w:hideMark/>
          </w:tcPr>
          <w:p w14:paraId="6C06C0F4" w14:textId="77777777" w:rsidR="00E9277F" w:rsidRPr="00D343CC" w:rsidRDefault="00E9277F" w:rsidP="000E65AF">
            <w:pPr>
              <w:spacing w:after="200"/>
              <w:rPr>
                <w:rFonts w:cs="Arial"/>
              </w:rPr>
            </w:pPr>
            <w:r w:rsidRPr="00D343CC">
              <w:rPr>
                <w:rFonts w:cs="Arial"/>
              </w:rPr>
              <w:t xml:space="preserve">5,301 ÷ 510,348 = </w:t>
            </w:r>
            <w:r w:rsidRPr="00D343CC">
              <w:rPr>
                <w:rFonts w:cs="Arial"/>
                <w:b/>
                <w:bCs/>
              </w:rPr>
              <w:t>1.04%</w:t>
            </w:r>
          </w:p>
        </w:tc>
        <w:tc>
          <w:tcPr>
            <w:tcW w:w="0" w:type="auto"/>
            <w:hideMark/>
          </w:tcPr>
          <w:p w14:paraId="5A253964" w14:textId="77777777" w:rsidR="00E9277F" w:rsidRPr="00D343CC" w:rsidRDefault="00E9277F" w:rsidP="000E65AF">
            <w:pPr>
              <w:spacing w:after="200"/>
              <w:rPr>
                <w:rFonts w:cs="Arial"/>
              </w:rPr>
            </w:pPr>
            <w:r w:rsidRPr="00D343CC">
              <w:rPr>
                <w:rFonts w:cs="Arial"/>
              </w:rPr>
              <w:t xml:space="preserve">407 ÷ 504,163 = </w:t>
            </w:r>
            <w:r w:rsidRPr="00D343CC">
              <w:rPr>
                <w:rFonts w:cs="Arial"/>
                <w:b/>
                <w:bCs/>
              </w:rPr>
              <w:t>0.08%</w:t>
            </w:r>
          </w:p>
        </w:tc>
        <w:tc>
          <w:tcPr>
            <w:tcW w:w="0" w:type="auto"/>
            <w:hideMark/>
          </w:tcPr>
          <w:p w14:paraId="611788C5" w14:textId="77777777" w:rsidR="00E9277F" w:rsidRPr="00D343CC" w:rsidRDefault="00E9277F" w:rsidP="000E65AF">
            <w:pPr>
              <w:spacing w:after="200"/>
              <w:rPr>
                <w:rFonts w:cs="Arial"/>
              </w:rPr>
            </w:pPr>
            <w:r w:rsidRPr="00D343CC">
              <w:rPr>
                <w:rFonts w:cs="Arial"/>
              </w:rPr>
              <w:t xml:space="preserve">(98,238) ÷ 355,872 = </w:t>
            </w:r>
            <w:r w:rsidRPr="00D343CC">
              <w:rPr>
                <w:rFonts w:cs="Arial"/>
                <w:b/>
                <w:bCs/>
              </w:rPr>
              <w:t>–27.61%</w:t>
            </w:r>
          </w:p>
        </w:tc>
        <w:tc>
          <w:tcPr>
            <w:tcW w:w="0" w:type="auto"/>
            <w:hideMark/>
          </w:tcPr>
          <w:p w14:paraId="5EE6C66E" w14:textId="77777777" w:rsidR="00E9277F" w:rsidRPr="00D343CC" w:rsidRDefault="00E9277F" w:rsidP="000E65AF">
            <w:pPr>
              <w:spacing w:after="200"/>
              <w:rPr>
                <w:rFonts w:cs="Arial"/>
              </w:rPr>
            </w:pPr>
            <w:r w:rsidRPr="00D343CC">
              <w:rPr>
                <w:rFonts w:cs="Arial"/>
              </w:rPr>
              <w:t xml:space="preserve">(24,029) ÷ 323,354 = </w:t>
            </w:r>
            <w:r w:rsidRPr="00D343CC">
              <w:rPr>
                <w:rFonts w:cs="Arial"/>
                <w:b/>
                <w:bCs/>
              </w:rPr>
              <w:t>–7.43%</w:t>
            </w:r>
          </w:p>
        </w:tc>
      </w:tr>
      <w:tr w:rsidR="00E9277F" w:rsidRPr="00D343CC" w14:paraId="3DC75D7B" w14:textId="77777777" w:rsidTr="00E9277F">
        <w:tc>
          <w:tcPr>
            <w:tcW w:w="0" w:type="auto"/>
            <w:hideMark/>
          </w:tcPr>
          <w:p w14:paraId="6F4384F3" w14:textId="77777777" w:rsidR="00E9277F" w:rsidRPr="00D343CC" w:rsidRDefault="00E9277F" w:rsidP="000E65AF">
            <w:pPr>
              <w:spacing w:after="200"/>
              <w:rPr>
                <w:rFonts w:cs="Arial"/>
              </w:rPr>
            </w:pPr>
            <w:r w:rsidRPr="00D343CC">
              <w:rPr>
                <w:rFonts w:cs="Arial"/>
                <w:b/>
                <w:bCs/>
              </w:rPr>
              <w:t>Return on Equity (ROE)</w:t>
            </w:r>
          </w:p>
        </w:tc>
        <w:tc>
          <w:tcPr>
            <w:tcW w:w="0" w:type="auto"/>
            <w:hideMark/>
          </w:tcPr>
          <w:p w14:paraId="0C504E00" w14:textId="77777777" w:rsidR="00E9277F" w:rsidRPr="00D343CC" w:rsidRDefault="00E9277F" w:rsidP="000E65AF">
            <w:pPr>
              <w:spacing w:after="200"/>
              <w:rPr>
                <w:rFonts w:cs="Arial"/>
              </w:rPr>
            </w:pPr>
            <w:r w:rsidRPr="00D343CC">
              <w:rPr>
                <w:rFonts w:cs="Arial"/>
              </w:rPr>
              <w:t>Net Income ÷ Total Equity</w:t>
            </w:r>
          </w:p>
        </w:tc>
        <w:tc>
          <w:tcPr>
            <w:tcW w:w="0" w:type="auto"/>
            <w:hideMark/>
          </w:tcPr>
          <w:p w14:paraId="7FCD02E1" w14:textId="77777777" w:rsidR="00E9277F" w:rsidRPr="00D343CC" w:rsidRDefault="00E9277F" w:rsidP="000E65AF">
            <w:pPr>
              <w:spacing w:after="200"/>
              <w:rPr>
                <w:rFonts w:cs="Arial"/>
              </w:rPr>
            </w:pPr>
            <w:r w:rsidRPr="00D343CC">
              <w:rPr>
                <w:rFonts w:cs="Arial"/>
              </w:rPr>
              <w:t xml:space="preserve">38,572 ÷ 313,301 = </w:t>
            </w:r>
            <w:r w:rsidRPr="00D343CC">
              <w:rPr>
                <w:rFonts w:cs="Arial"/>
                <w:b/>
                <w:bCs/>
              </w:rPr>
              <w:t>12.31%</w:t>
            </w:r>
          </w:p>
        </w:tc>
        <w:tc>
          <w:tcPr>
            <w:tcW w:w="0" w:type="auto"/>
            <w:hideMark/>
          </w:tcPr>
          <w:p w14:paraId="76F46A5F" w14:textId="77777777" w:rsidR="00E9277F" w:rsidRPr="00D343CC" w:rsidRDefault="00E9277F" w:rsidP="000E65AF">
            <w:pPr>
              <w:spacing w:after="200"/>
              <w:rPr>
                <w:rFonts w:cs="Arial"/>
              </w:rPr>
            </w:pPr>
            <w:r w:rsidRPr="00D343CC">
              <w:rPr>
                <w:rFonts w:cs="Arial"/>
              </w:rPr>
              <w:t xml:space="preserve">5,301 ÷ 275,949 = </w:t>
            </w:r>
            <w:r w:rsidRPr="00D343CC">
              <w:rPr>
                <w:rFonts w:cs="Arial"/>
                <w:b/>
                <w:bCs/>
              </w:rPr>
              <w:t>1.92%</w:t>
            </w:r>
          </w:p>
        </w:tc>
        <w:tc>
          <w:tcPr>
            <w:tcW w:w="0" w:type="auto"/>
            <w:hideMark/>
          </w:tcPr>
          <w:p w14:paraId="19A1A970" w14:textId="77777777" w:rsidR="00E9277F" w:rsidRPr="00D343CC" w:rsidRDefault="00E9277F" w:rsidP="000E65AF">
            <w:pPr>
              <w:spacing w:after="200"/>
              <w:rPr>
                <w:rFonts w:cs="Arial"/>
              </w:rPr>
            </w:pPr>
            <w:r w:rsidRPr="00D343CC">
              <w:rPr>
                <w:rFonts w:cs="Arial"/>
              </w:rPr>
              <w:t xml:space="preserve">407 ÷ 268,406 = </w:t>
            </w:r>
            <w:r w:rsidRPr="00D343CC">
              <w:rPr>
                <w:rFonts w:cs="Arial"/>
                <w:b/>
                <w:bCs/>
              </w:rPr>
              <w:t>0.15%</w:t>
            </w:r>
          </w:p>
        </w:tc>
        <w:tc>
          <w:tcPr>
            <w:tcW w:w="0" w:type="auto"/>
            <w:hideMark/>
          </w:tcPr>
          <w:p w14:paraId="69EDE8F4" w14:textId="77777777" w:rsidR="00E9277F" w:rsidRPr="00D343CC" w:rsidRDefault="00E9277F" w:rsidP="000E65AF">
            <w:pPr>
              <w:spacing w:after="200"/>
              <w:rPr>
                <w:rFonts w:cs="Arial"/>
              </w:rPr>
            </w:pPr>
            <w:r w:rsidRPr="00D343CC">
              <w:rPr>
                <w:rFonts w:cs="Arial"/>
              </w:rPr>
              <w:t xml:space="preserve">(98,238) ÷ 178,920 = </w:t>
            </w:r>
            <w:r w:rsidRPr="00D343CC">
              <w:rPr>
                <w:rFonts w:cs="Arial"/>
                <w:b/>
                <w:bCs/>
              </w:rPr>
              <w:t>–54.91%</w:t>
            </w:r>
          </w:p>
        </w:tc>
        <w:tc>
          <w:tcPr>
            <w:tcW w:w="0" w:type="auto"/>
            <w:hideMark/>
          </w:tcPr>
          <w:p w14:paraId="670ECC7A" w14:textId="77777777" w:rsidR="00E9277F" w:rsidRPr="00D343CC" w:rsidRDefault="00E9277F" w:rsidP="000E65AF">
            <w:pPr>
              <w:spacing w:after="200"/>
              <w:rPr>
                <w:rFonts w:cs="Arial"/>
              </w:rPr>
            </w:pPr>
            <w:r w:rsidRPr="00D343CC">
              <w:rPr>
                <w:rFonts w:cs="Arial"/>
              </w:rPr>
              <w:t xml:space="preserve">(24,029) ÷ 153,105 = </w:t>
            </w:r>
            <w:r w:rsidRPr="00D343CC">
              <w:rPr>
                <w:rFonts w:cs="Arial"/>
                <w:b/>
                <w:bCs/>
              </w:rPr>
              <w:t>–15.69%</w:t>
            </w:r>
          </w:p>
        </w:tc>
      </w:tr>
    </w:tbl>
    <w:p w14:paraId="7BAD1B7E" w14:textId="4F8B76E4" w:rsidR="00990E6A" w:rsidRPr="00D343CC" w:rsidRDefault="0086063E" w:rsidP="000E65AF">
      <w:pPr>
        <w:pStyle w:val="Caption"/>
        <w:spacing w:line="360" w:lineRule="auto"/>
        <w:rPr>
          <w:rFonts w:eastAsia="Times New Roman" w:cs="Arial"/>
          <w:i w:val="0"/>
          <w:iCs w:val="0"/>
          <w:color w:val="000000" w:themeColor="text1"/>
          <w:sz w:val="22"/>
          <w:szCs w:val="22"/>
        </w:rPr>
      </w:pPr>
      <w:bookmarkStart w:id="46" w:name="_Toc217130598"/>
      <w:bookmarkStart w:id="47" w:name="_Toc217131027"/>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1</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990E6A" w:rsidRPr="00D343CC">
        <w:rPr>
          <w:rFonts w:eastAsia="Times New Roman" w:cs="Arial"/>
          <w:i w:val="0"/>
          <w:iCs w:val="0"/>
          <w:color w:val="000000" w:themeColor="text1"/>
          <w:sz w:val="22"/>
          <w:szCs w:val="22"/>
        </w:rPr>
        <w:t>Profitability Ratio (Self-Prepared)</w:t>
      </w:r>
      <w:bookmarkEnd w:id="46"/>
      <w:bookmarkEnd w:id="47"/>
    </w:p>
    <w:p w14:paraId="3A0AF14C" w14:textId="77777777" w:rsidR="00E9277F" w:rsidRPr="00D343CC" w:rsidRDefault="00E9277F" w:rsidP="000E65AF">
      <w:pPr>
        <w:rPr>
          <w:rFonts w:cs="Arial"/>
        </w:rPr>
      </w:pPr>
    </w:p>
    <w:p w14:paraId="6C4D761C" w14:textId="6EFA57F5" w:rsidR="00E9277F" w:rsidRPr="00D343CC" w:rsidRDefault="00E9277F" w:rsidP="00690583">
      <w:pPr>
        <w:pStyle w:val="Caption"/>
        <w:spacing w:line="360" w:lineRule="auto"/>
        <w:jc w:val="center"/>
        <w:rPr>
          <w:rFonts w:cs="Arial"/>
          <w:i w:val="0"/>
          <w:iCs w:val="0"/>
          <w:color w:val="000000" w:themeColor="text1"/>
          <w:sz w:val="20"/>
          <w:szCs w:val="20"/>
        </w:rPr>
      </w:pPr>
      <w:bookmarkStart w:id="48" w:name="_Toc217130592"/>
      <w:bookmarkStart w:id="49" w:name="_Toc217246621"/>
      <w:r w:rsidRPr="00D343CC">
        <w:rPr>
          <w:rFonts w:cs="Arial"/>
          <w:i w:val="0"/>
          <w:iCs w:val="0"/>
          <w:noProof/>
          <w:color w:val="000000" w:themeColor="text1"/>
          <w:sz w:val="20"/>
          <w:szCs w:val="20"/>
          <w14:ligatures w14:val="standardContextual"/>
        </w:rPr>
        <w:lastRenderedPageBreak/>
        <w:drawing>
          <wp:inline distT="0" distB="0" distL="0" distR="0" wp14:anchorId="7ED28843" wp14:editId="6DC25F22">
            <wp:extent cx="5394325" cy="2508250"/>
            <wp:effectExtent l="0" t="0" r="15875" b="6350"/>
            <wp:docPr id="1271132644" name="Chart 1">
              <a:extLst xmlns:a="http://schemas.openxmlformats.org/drawingml/2006/main">
                <a:ext uri="{FF2B5EF4-FFF2-40B4-BE49-F238E27FC236}">
                  <a16:creationId xmlns:a16="http://schemas.microsoft.com/office/drawing/2014/main" id="{5697AAA0-E76B-4074-8ECF-DE3864346A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86063E" w:rsidRPr="00D343CC">
        <w:rPr>
          <w:rFonts w:cs="Arial"/>
          <w:i w:val="0"/>
          <w:iCs w:val="0"/>
          <w:color w:val="000000" w:themeColor="text1"/>
          <w:sz w:val="20"/>
          <w:szCs w:val="20"/>
        </w:rPr>
        <w:t xml:space="preserve">Figure </w:t>
      </w:r>
      <w:r w:rsidR="0086063E" w:rsidRPr="00D343CC">
        <w:rPr>
          <w:rFonts w:cs="Arial"/>
          <w:i w:val="0"/>
          <w:iCs w:val="0"/>
          <w:color w:val="000000" w:themeColor="text1"/>
          <w:sz w:val="20"/>
          <w:szCs w:val="20"/>
        </w:rPr>
        <w:fldChar w:fldCharType="begin"/>
      </w:r>
      <w:r w:rsidR="0086063E" w:rsidRPr="00D343CC">
        <w:rPr>
          <w:rFonts w:cs="Arial"/>
          <w:i w:val="0"/>
          <w:iCs w:val="0"/>
          <w:color w:val="000000" w:themeColor="text1"/>
          <w:sz w:val="20"/>
          <w:szCs w:val="20"/>
        </w:rPr>
        <w:instrText xml:space="preserve"> SEQ Figure \* ARABIC </w:instrText>
      </w:r>
      <w:r w:rsidR="0086063E" w:rsidRPr="00D343CC">
        <w:rPr>
          <w:rFonts w:cs="Arial"/>
          <w:i w:val="0"/>
          <w:iCs w:val="0"/>
          <w:color w:val="000000" w:themeColor="text1"/>
          <w:sz w:val="20"/>
          <w:szCs w:val="20"/>
        </w:rPr>
        <w:fldChar w:fldCharType="separate"/>
      </w:r>
      <w:r w:rsidR="00861CFB">
        <w:rPr>
          <w:rFonts w:cs="Arial"/>
          <w:i w:val="0"/>
          <w:iCs w:val="0"/>
          <w:noProof/>
          <w:color w:val="000000" w:themeColor="text1"/>
          <w:sz w:val="20"/>
          <w:szCs w:val="20"/>
        </w:rPr>
        <w:t>2</w:t>
      </w:r>
      <w:r w:rsidR="0086063E" w:rsidRPr="00D343CC">
        <w:rPr>
          <w:rFonts w:cs="Arial"/>
          <w:i w:val="0"/>
          <w:iCs w:val="0"/>
          <w:color w:val="000000" w:themeColor="text1"/>
          <w:sz w:val="20"/>
          <w:szCs w:val="20"/>
        </w:rPr>
        <w:fldChar w:fldCharType="end"/>
      </w:r>
      <w:r w:rsidR="0086063E" w:rsidRPr="00D343CC">
        <w:rPr>
          <w:rFonts w:cs="Arial"/>
          <w:i w:val="0"/>
          <w:iCs w:val="0"/>
          <w:color w:val="000000" w:themeColor="text1"/>
          <w:sz w:val="20"/>
          <w:szCs w:val="20"/>
        </w:rPr>
        <w:t xml:space="preserve"> </w:t>
      </w:r>
      <w:r w:rsidRPr="00D343CC">
        <w:rPr>
          <w:rFonts w:cs="Arial"/>
          <w:i w:val="0"/>
          <w:iCs w:val="0"/>
          <w:color w:val="000000" w:themeColor="text1"/>
          <w:sz w:val="20"/>
          <w:szCs w:val="20"/>
          <w:lang w:val="en-US"/>
        </w:rPr>
        <w:t>Profitability Ratio Comparison (Self-Prepared)</w:t>
      </w:r>
      <w:bookmarkEnd w:id="48"/>
      <w:bookmarkEnd w:id="49"/>
    </w:p>
    <w:p w14:paraId="1E51F048" w14:textId="7725C3C0" w:rsidR="00E9277F" w:rsidRPr="00D343CC" w:rsidRDefault="00E9277F" w:rsidP="000E65AF">
      <w:pPr>
        <w:pStyle w:val="Heading3"/>
        <w:rPr>
          <w:rFonts w:cs="Arial"/>
        </w:rPr>
      </w:pPr>
      <w:bookmarkStart w:id="50" w:name="_Toc217246599"/>
      <w:r w:rsidRPr="00D343CC">
        <w:rPr>
          <w:rFonts w:cs="Arial"/>
        </w:rPr>
        <w:t>Table A2: Liquidity Ratios (2020–2024)</w:t>
      </w:r>
      <w:bookmarkEnd w:id="50"/>
    </w:p>
    <w:p w14:paraId="487BC5D5" w14:textId="77777777" w:rsidR="00E9277F" w:rsidRPr="00D343CC" w:rsidRDefault="00E9277F" w:rsidP="000E65AF">
      <w:pPr>
        <w:rPr>
          <w:rFonts w:cs="Arial"/>
        </w:rPr>
      </w:pPr>
      <w:r w:rsidRPr="00D343CC">
        <w:rPr>
          <w:rFonts w:cs="Arial"/>
        </w:rPr>
        <w:t>Current ratio = Current assets / Current liabilities</w:t>
      </w:r>
    </w:p>
    <w:p w14:paraId="4F6167C0" w14:textId="77777777" w:rsidR="00E9277F" w:rsidRPr="00D343CC" w:rsidRDefault="00E9277F" w:rsidP="000E65AF">
      <w:pPr>
        <w:rPr>
          <w:rFonts w:cs="Arial"/>
        </w:rPr>
      </w:pPr>
      <w:r w:rsidRPr="00D343CC">
        <w:rPr>
          <w:rFonts w:cs="Arial"/>
        </w:rPr>
        <w:t>Quick ratio = (Current assets – Inventories) / Current liabilities</w:t>
      </w:r>
    </w:p>
    <w:p w14:paraId="66D615C0" w14:textId="77777777" w:rsidR="00E9277F" w:rsidRPr="00D343CC" w:rsidRDefault="00E9277F" w:rsidP="000E65AF">
      <w:pPr>
        <w:rPr>
          <w:rFonts w:cs="Arial"/>
        </w:rPr>
      </w:pPr>
      <w:r w:rsidRPr="00D343CC">
        <w:rPr>
          <w:rFonts w:cs="Arial"/>
        </w:rPr>
        <w:t>Cash ratio = Cash and cash equivalents / Current liabilities</w:t>
      </w:r>
    </w:p>
    <w:p w14:paraId="6B2E0350" w14:textId="3E0D6142" w:rsidR="00E9277F" w:rsidRPr="00D343CC" w:rsidRDefault="00E9277F" w:rsidP="000E65AF">
      <w:pPr>
        <w:rPr>
          <w:rFonts w:cs="Arial"/>
        </w:rPr>
      </w:pPr>
      <w:r w:rsidRPr="00D343CC">
        <w:rPr>
          <w:rFonts w:cs="Arial"/>
        </w:rPr>
        <w:t>Five-year numerical calculations presented below:</w:t>
      </w:r>
    </w:p>
    <w:p w14:paraId="7E919FB1" w14:textId="373E22B7" w:rsidR="00E9277F" w:rsidRPr="00D343CC" w:rsidRDefault="00E9277F" w:rsidP="00DE6EFB">
      <w:pPr>
        <w:jc w:val="center"/>
        <w:rPr>
          <w:rFonts w:cs="Arial"/>
          <w:b/>
          <w:bCs/>
        </w:rPr>
      </w:pPr>
      <w:r w:rsidRPr="00D343CC">
        <w:rPr>
          <w:rFonts w:cs="Arial"/>
          <w:b/>
          <w:bCs/>
        </w:rPr>
        <w:t>Liquidity Ratios Calculation Table (2020–2024)</w:t>
      </w:r>
    </w:p>
    <w:tbl>
      <w:tblPr>
        <w:tblStyle w:val="TableGrid"/>
        <w:tblW w:w="0" w:type="auto"/>
        <w:tblLook w:val="04A0" w:firstRow="1" w:lastRow="0" w:firstColumn="1" w:lastColumn="0" w:noHBand="0" w:noVBand="1"/>
      </w:tblPr>
      <w:tblGrid>
        <w:gridCol w:w="1104"/>
        <w:gridCol w:w="1600"/>
        <w:gridCol w:w="1264"/>
        <w:gridCol w:w="1264"/>
        <w:gridCol w:w="1264"/>
        <w:gridCol w:w="1260"/>
        <w:gridCol w:w="1260"/>
      </w:tblGrid>
      <w:tr w:rsidR="00E9277F" w:rsidRPr="00D343CC" w14:paraId="47F0292C" w14:textId="77777777" w:rsidTr="00E9277F">
        <w:tc>
          <w:tcPr>
            <w:tcW w:w="0" w:type="auto"/>
            <w:hideMark/>
          </w:tcPr>
          <w:p w14:paraId="5C940291" w14:textId="77777777" w:rsidR="00E9277F" w:rsidRPr="00D343CC" w:rsidRDefault="00E9277F" w:rsidP="000E65AF">
            <w:pPr>
              <w:spacing w:after="200"/>
              <w:rPr>
                <w:rFonts w:cs="Arial"/>
                <w:b/>
                <w:bCs/>
              </w:rPr>
            </w:pPr>
            <w:r w:rsidRPr="00D343CC">
              <w:rPr>
                <w:rFonts w:cs="Arial"/>
                <w:b/>
                <w:bCs/>
              </w:rPr>
              <w:t>Ratio</w:t>
            </w:r>
          </w:p>
        </w:tc>
        <w:tc>
          <w:tcPr>
            <w:tcW w:w="0" w:type="auto"/>
            <w:hideMark/>
          </w:tcPr>
          <w:p w14:paraId="353349A5" w14:textId="77777777" w:rsidR="00E9277F" w:rsidRPr="00D343CC" w:rsidRDefault="00E9277F" w:rsidP="000E65AF">
            <w:pPr>
              <w:spacing w:after="200"/>
              <w:rPr>
                <w:rFonts w:cs="Arial"/>
                <w:b/>
                <w:bCs/>
              </w:rPr>
            </w:pPr>
            <w:r w:rsidRPr="00D343CC">
              <w:rPr>
                <w:rFonts w:cs="Arial"/>
                <w:b/>
                <w:bCs/>
              </w:rPr>
              <w:t>Formula</w:t>
            </w:r>
          </w:p>
        </w:tc>
        <w:tc>
          <w:tcPr>
            <w:tcW w:w="0" w:type="auto"/>
            <w:hideMark/>
          </w:tcPr>
          <w:p w14:paraId="0B9D1809" w14:textId="77777777" w:rsidR="00E9277F" w:rsidRPr="00D343CC" w:rsidRDefault="00E9277F" w:rsidP="000E65AF">
            <w:pPr>
              <w:spacing w:after="200"/>
              <w:rPr>
                <w:rFonts w:cs="Arial"/>
                <w:b/>
                <w:bCs/>
              </w:rPr>
            </w:pPr>
            <w:r w:rsidRPr="00D343CC">
              <w:rPr>
                <w:rFonts w:cs="Arial"/>
                <w:b/>
                <w:bCs/>
              </w:rPr>
              <w:t>2020</w:t>
            </w:r>
          </w:p>
        </w:tc>
        <w:tc>
          <w:tcPr>
            <w:tcW w:w="0" w:type="auto"/>
            <w:hideMark/>
          </w:tcPr>
          <w:p w14:paraId="24AFC3A0" w14:textId="77777777" w:rsidR="00E9277F" w:rsidRPr="00D343CC" w:rsidRDefault="00E9277F" w:rsidP="000E65AF">
            <w:pPr>
              <w:spacing w:after="200"/>
              <w:rPr>
                <w:rFonts w:cs="Arial"/>
                <w:b/>
                <w:bCs/>
              </w:rPr>
            </w:pPr>
            <w:r w:rsidRPr="00D343CC">
              <w:rPr>
                <w:rFonts w:cs="Arial"/>
                <w:b/>
                <w:bCs/>
              </w:rPr>
              <w:t>2021</w:t>
            </w:r>
          </w:p>
        </w:tc>
        <w:tc>
          <w:tcPr>
            <w:tcW w:w="0" w:type="auto"/>
            <w:hideMark/>
          </w:tcPr>
          <w:p w14:paraId="05F08701" w14:textId="77777777" w:rsidR="00E9277F" w:rsidRPr="00D343CC" w:rsidRDefault="00E9277F" w:rsidP="000E65AF">
            <w:pPr>
              <w:spacing w:after="200"/>
              <w:rPr>
                <w:rFonts w:cs="Arial"/>
                <w:b/>
                <w:bCs/>
              </w:rPr>
            </w:pPr>
            <w:r w:rsidRPr="00D343CC">
              <w:rPr>
                <w:rFonts w:cs="Arial"/>
                <w:b/>
                <w:bCs/>
              </w:rPr>
              <w:t>2022</w:t>
            </w:r>
          </w:p>
        </w:tc>
        <w:tc>
          <w:tcPr>
            <w:tcW w:w="0" w:type="auto"/>
            <w:hideMark/>
          </w:tcPr>
          <w:p w14:paraId="7777D57A" w14:textId="77777777" w:rsidR="00E9277F" w:rsidRPr="00D343CC" w:rsidRDefault="00E9277F" w:rsidP="000E65AF">
            <w:pPr>
              <w:spacing w:after="200"/>
              <w:rPr>
                <w:rFonts w:cs="Arial"/>
                <w:b/>
                <w:bCs/>
              </w:rPr>
            </w:pPr>
            <w:r w:rsidRPr="00D343CC">
              <w:rPr>
                <w:rFonts w:cs="Arial"/>
                <w:b/>
                <w:bCs/>
              </w:rPr>
              <w:t>2023</w:t>
            </w:r>
          </w:p>
        </w:tc>
        <w:tc>
          <w:tcPr>
            <w:tcW w:w="0" w:type="auto"/>
            <w:hideMark/>
          </w:tcPr>
          <w:p w14:paraId="4B45984A" w14:textId="77777777" w:rsidR="00E9277F" w:rsidRPr="00D343CC" w:rsidRDefault="00E9277F" w:rsidP="000E65AF">
            <w:pPr>
              <w:spacing w:after="200"/>
              <w:rPr>
                <w:rFonts w:cs="Arial"/>
                <w:b/>
                <w:bCs/>
              </w:rPr>
            </w:pPr>
            <w:r w:rsidRPr="00D343CC">
              <w:rPr>
                <w:rFonts w:cs="Arial"/>
                <w:b/>
                <w:bCs/>
              </w:rPr>
              <w:t>2024</w:t>
            </w:r>
          </w:p>
        </w:tc>
      </w:tr>
      <w:tr w:rsidR="00E9277F" w:rsidRPr="00D343CC" w14:paraId="6FEEDB8E" w14:textId="77777777" w:rsidTr="00E9277F">
        <w:tc>
          <w:tcPr>
            <w:tcW w:w="0" w:type="auto"/>
            <w:hideMark/>
          </w:tcPr>
          <w:p w14:paraId="6368521A" w14:textId="77777777" w:rsidR="00E9277F" w:rsidRPr="00D343CC" w:rsidRDefault="00E9277F" w:rsidP="000E65AF">
            <w:pPr>
              <w:spacing w:after="200"/>
              <w:rPr>
                <w:rFonts w:cs="Arial"/>
              </w:rPr>
            </w:pPr>
            <w:r w:rsidRPr="00D343CC">
              <w:rPr>
                <w:rFonts w:cs="Arial"/>
                <w:b/>
                <w:bCs/>
              </w:rPr>
              <w:t>Current Ratio</w:t>
            </w:r>
          </w:p>
        </w:tc>
        <w:tc>
          <w:tcPr>
            <w:tcW w:w="0" w:type="auto"/>
            <w:hideMark/>
          </w:tcPr>
          <w:p w14:paraId="34229679" w14:textId="77777777" w:rsidR="00E9277F" w:rsidRPr="00D343CC" w:rsidRDefault="00E9277F" w:rsidP="000E65AF">
            <w:pPr>
              <w:spacing w:after="200"/>
              <w:rPr>
                <w:rFonts w:cs="Arial"/>
              </w:rPr>
            </w:pPr>
            <w:r w:rsidRPr="00D343CC">
              <w:rPr>
                <w:rFonts w:cs="Arial"/>
              </w:rPr>
              <w:t>Current Assets ÷ Current Liabilities</w:t>
            </w:r>
          </w:p>
        </w:tc>
        <w:tc>
          <w:tcPr>
            <w:tcW w:w="0" w:type="auto"/>
            <w:hideMark/>
          </w:tcPr>
          <w:p w14:paraId="2DF3706E" w14:textId="77777777" w:rsidR="00E9277F" w:rsidRPr="00D343CC" w:rsidRDefault="00E9277F" w:rsidP="000E65AF">
            <w:pPr>
              <w:spacing w:after="200"/>
              <w:rPr>
                <w:rFonts w:cs="Arial"/>
              </w:rPr>
            </w:pPr>
            <w:r w:rsidRPr="00D343CC">
              <w:rPr>
                <w:rFonts w:cs="Arial"/>
              </w:rPr>
              <w:t xml:space="preserve">326,843 ÷ 179,510 = </w:t>
            </w:r>
            <w:r w:rsidRPr="00D343CC">
              <w:rPr>
                <w:rFonts w:cs="Arial"/>
                <w:b/>
                <w:bCs/>
              </w:rPr>
              <w:t>1.82</w:t>
            </w:r>
          </w:p>
        </w:tc>
        <w:tc>
          <w:tcPr>
            <w:tcW w:w="0" w:type="auto"/>
            <w:hideMark/>
          </w:tcPr>
          <w:p w14:paraId="6F2D08F2" w14:textId="77777777" w:rsidR="00E9277F" w:rsidRPr="00D343CC" w:rsidRDefault="00E9277F" w:rsidP="000E65AF">
            <w:pPr>
              <w:spacing w:after="200"/>
              <w:rPr>
                <w:rFonts w:cs="Arial"/>
              </w:rPr>
            </w:pPr>
            <w:r w:rsidRPr="00D343CC">
              <w:rPr>
                <w:rFonts w:cs="Arial"/>
              </w:rPr>
              <w:t xml:space="preserve">337,146 ÷ 216,787 = </w:t>
            </w:r>
            <w:r w:rsidRPr="00D343CC">
              <w:rPr>
                <w:rFonts w:cs="Arial"/>
                <w:b/>
                <w:bCs/>
              </w:rPr>
              <w:t>1.56</w:t>
            </w:r>
          </w:p>
        </w:tc>
        <w:tc>
          <w:tcPr>
            <w:tcW w:w="0" w:type="auto"/>
            <w:hideMark/>
          </w:tcPr>
          <w:p w14:paraId="2DBD15B7" w14:textId="77777777" w:rsidR="00E9277F" w:rsidRPr="00D343CC" w:rsidRDefault="00E9277F" w:rsidP="000E65AF">
            <w:pPr>
              <w:spacing w:after="200"/>
              <w:rPr>
                <w:rFonts w:cs="Arial"/>
              </w:rPr>
            </w:pPr>
            <w:r w:rsidRPr="00D343CC">
              <w:rPr>
                <w:rFonts w:cs="Arial"/>
              </w:rPr>
              <w:t xml:space="preserve">338,040 ÷ 216,473 = </w:t>
            </w:r>
            <w:r w:rsidRPr="00D343CC">
              <w:rPr>
                <w:rFonts w:cs="Arial"/>
                <w:b/>
                <w:bCs/>
              </w:rPr>
              <w:t>1.56</w:t>
            </w:r>
          </w:p>
        </w:tc>
        <w:tc>
          <w:tcPr>
            <w:tcW w:w="0" w:type="auto"/>
            <w:hideMark/>
          </w:tcPr>
          <w:p w14:paraId="49F6D33D" w14:textId="77777777" w:rsidR="00E9277F" w:rsidRPr="00D343CC" w:rsidRDefault="00E9277F" w:rsidP="000E65AF">
            <w:pPr>
              <w:spacing w:after="200"/>
              <w:rPr>
                <w:rFonts w:cs="Arial"/>
              </w:rPr>
            </w:pPr>
            <w:r w:rsidRPr="00D343CC">
              <w:rPr>
                <w:rFonts w:cs="Arial"/>
              </w:rPr>
              <w:t xml:space="preserve">258,851 ÷ 161,148 = </w:t>
            </w:r>
            <w:r w:rsidRPr="00D343CC">
              <w:rPr>
                <w:rFonts w:cs="Arial"/>
                <w:b/>
                <w:bCs/>
              </w:rPr>
              <w:t>1.61</w:t>
            </w:r>
          </w:p>
        </w:tc>
        <w:tc>
          <w:tcPr>
            <w:tcW w:w="0" w:type="auto"/>
            <w:hideMark/>
          </w:tcPr>
          <w:p w14:paraId="1D12A91F" w14:textId="77777777" w:rsidR="00E9277F" w:rsidRPr="00D343CC" w:rsidRDefault="00E9277F" w:rsidP="000E65AF">
            <w:pPr>
              <w:spacing w:after="200"/>
              <w:rPr>
                <w:rFonts w:cs="Arial"/>
              </w:rPr>
            </w:pPr>
            <w:r w:rsidRPr="00D343CC">
              <w:rPr>
                <w:rFonts w:cs="Arial"/>
              </w:rPr>
              <w:t xml:space="preserve">242,494 ÷ 158,291 = </w:t>
            </w:r>
            <w:r w:rsidRPr="00D343CC">
              <w:rPr>
                <w:rFonts w:cs="Arial"/>
                <w:b/>
                <w:bCs/>
              </w:rPr>
              <w:t>1.53</w:t>
            </w:r>
          </w:p>
        </w:tc>
      </w:tr>
      <w:tr w:rsidR="00E9277F" w:rsidRPr="00D343CC" w14:paraId="7D69D3D2" w14:textId="77777777" w:rsidTr="00E9277F">
        <w:tc>
          <w:tcPr>
            <w:tcW w:w="0" w:type="auto"/>
            <w:hideMark/>
          </w:tcPr>
          <w:p w14:paraId="3969D9DC" w14:textId="77777777" w:rsidR="00E9277F" w:rsidRPr="00D343CC" w:rsidRDefault="00E9277F" w:rsidP="000E65AF">
            <w:pPr>
              <w:spacing w:after="200"/>
              <w:rPr>
                <w:rFonts w:cs="Arial"/>
              </w:rPr>
            </w:pPr>
            <w:r w:rsidRPr="00D343CC">
              <w:rPr>
                <w:rFonts w:cs="Arial"/>
                <w:b/>
                <w:bCs/>
              </w:rPr>
              <w:t>Quick Ratio</w:t>
            </w:r>
          </w:p>
        </w:tc>
        <w:tc>
          <w:tcPr>
            <w:tcW w:w="0" w:type="auto"/>
            <w:hideMark/>
          </w:tcPr>
          <w:p w14:paraId="2CD7AFC1" w14:textId="77777777" w:rsidR="00E9277F" w:rsidRPr="00D343CC" w:rsidRDefault="00E9277F" w:rsidP="000E65AF">
            <w:pPr>
              <w:spacing w:after="200"/>
              <w:rPr>
                <w:rFonts w:cs="Arial"/>
              </w:rPr>
            </w:pPr>
            <w:r w:rsidRPr="00D343CC">
              <w:rPr>
                <w:rFonts w:cs="Arial"/>
              </w:rPr>
              <w:t>(Current Assets − Inventories) ÷ Current Liabilities</w:t>
            </w:r>
          </w:p>
        </w:tc>
        <w:tc>
          <w:tcPr>
            <w:tcW w:w="0" w:type="auto"/>
            <w:hideMark/>
          </w:tcPr>
          <w:p w14:paraId="697E48FE" w14:textId="77777777" w:rsidR="00E9277F" w:rsidRPr="00D343CC" w:rsidRDefault="00E9277F" w:rsidP="000E65AF">
            <w:pPr>
              <w:spacing w:after="200"/>
              <w:rPr>
                <w:rFonts w:cs="Arial"/>
              </w:rPr>
            </w:pPr>
            <w:r w:rsidRPr="00D343CC">
              <w:rPr>
                <w:rFonts w:cs="Arial"/>
              </w:rPr>
              <w:t xml:space="preserve">(326,843 − 120,430) ÷ 179,510 = </w:t>
            </w:r>
            <w:r w:rsidRPr="00D343CC">
              <w:rPr>
                <w:rFonts w:cs="Arial"/>
                <w:b/>
                <w:bCs/>
              </w:rPr>
              <w:t>1.15</w:t>
            </w:r>
          </w:p>
        </w:tc>
        <w:tc>
          <w:tcPr>
            <w:tcW w:w="0" w:type="auto"/>
            <w:hideMark/>
          </w:tcPr>
          <w:p w14:paraId="2CC315DC" w14:textId="77777777" w:rsidR="00E9277F" w:rsidRPr="00D343CC" w:rsidRDefault="00E9277F" w:rsidP="000E65AF">
            <w:pPr>
              <w:spacing w:after="200"/>
              <w:rPr>
                <w:rFonts w:cs="Arial"/>
              </w:rPr>
            </w:pPr>
            <w:r w:rsidRPr="00D343CC">
              <w:rPr>
                <w:rFonts w:cs="Arial"/>
              </w:rPr>
              <w:t xml:space="preserve">(337,146 − 134,469) ÷ 216,787 = </w:t>
            </w:r>
            <w:r w:rsidRPr="00D343CC">
              <w:rPr>
                <w:rFonts w:cs="Arial"/>
                <w:b/>
                <w:bCs/>
              </w:rPr>
              <w:t>0.93</w:t>
            </w:r>
          </w:p>
        </w:tc>
        <w:tc>
          <w:tcPr>
            <w:tcW w:w="0" w:type="auto"/>
            <w:hideMark/>
          </w:tcPr>
          <w:p w14:paraId="532A6DBD" w14:textId="77777777" w:rsidR="00E9277F" w:rsidRPr="00D343CC" w:rsidRDefault="00E9277F" w:rsidP="000E65AF">
            <w:pPr>
              <w:spacing w:after="200"/>
              <w:rPr>
                <w:rFonts w:cs="Arial"/>
              </w:rPr>
            </w:pPr>
            <w:r w:rsidRPr="00D343CC">
              <w:rPr>
                <w:rFonts w:cs="Arial"/>
              </w:rPr>
              <w:t xml:space="preserve">(338,040 − 140,181) ÷ 216,473 = </w:t>
            </w:r>
            <w:r w:rsidRPr="00D343CC">
              <w:rPr>
                <w:rFonts w:cs="Arial"/>
                <w:b/>
                <w:bCs/>
              </w:rPr>
              <w:t>0.91</w:t>
            </w:r>
          </w:p>
        </w:tc>
        <w:tc>
          <w:tcPr>
            <w:tcW w:w="0" w:type="auto"/>
            <w:hideMark/>
          </w:tcPr>
          <w:p w14:paraId="1DC0DD2E" w14:textId="77777777" w:rsidR="00E9277F" w:rsidRPr="00D343CC" w:rsidRDefault="00E9277F" w:rsidP="000E65AF">
            <w:pPr>
              <w:spacing w:after="200"/>
              <w:rPr>
                <w:rFonts w:cs="Arial"/>
              </w:rPr>
            </w:pPr>
            <w:r w:rsidRPr="00D343CC">
              <w:rPr>
                <w:rFonts w:cs="Arial"/>
              </w:rPr>
              <w:t xml:space="preserve">(258,851 − 88,273) ÷ 161,148 = </w:t>
            </w:r>
            <w:r w:rsidRPr="00D343CC">
              <w:rPr>
                <w:rFonts w:cs="Arial"/>
                <w:b/>
                <w:bCs/>
              </w:rPr>
              <w:t>1.06</w:t>
            </w:r>
          </w:p>
        </w:tc>
        <w:tc>
          <w:tcPr>
            <w:tcW w:w="0" w:type="auto"/>
            <w:hideMark/>
          </w:tcPr>
          <w:p w14:paraId="0AF1E84F" w14:textId="77777777" w:rsidR="00E9277F" w:rsidRPr="00D343CC" w:rsidRDefault="00E9277F" w:rsidP="000E65AF">
            <w:pPr>
              <w:spacing w:after="200"/>
              <w:rPr>
                <w:rFonts w:cs="Arial"/>
              </w:rPr>
            </w:pPr>
            <w:r w:rsidRPr="00D343CC">
              <w:rPr>
                <w:rFonts w:cs="Arial"/>
              </w:rPr>
              <w:t xml:space="preserve">(242,494 − 79,355) ÷ 158,291 = </w:t>
            </w:r>
            <w:r w:rsidRPr="00D343CC">
              <w:rPr>
                <w:rFonts w:cs="Arial"/>
                <w:b/>
                <w:bCs/>
              </w:rPr>
              <w:t>1.03</w:t>
            </w:r>
          </w:p>
        </w:tc>
      </w:tr>
      <w:tr w:rsidR="00E9277F" w:rsidRPr="00D343CC" w14:paraId="338EAA47" w14:textId="77777777" w:rsidTr="00E9277F">
        <w:tc>
          <w:tcPr>
            <w:tcW w:w="0" w:type="auto"/>
            <w:hideMark/>
          </w:tcPr>
          <w:p w14:paraId="5FF0172C" w14:textId="77777777" w:rsidR="00E9277F" w:rsidRPr="00D343CC" w:rsidRDefault="00E9277F" w:rsidP="000E65AF">
            <w:pPr>
              <w:spacing w:after="200"/>
              <w:rPr>
                <w:rFonts w:cs="Arial"/>
              </w:rPr>
            </w:pPr>
            <w:r w:rsidRPr="00D343CC">
              <w:rPr>
                <w:rFonts w:cs="Arial"/>
                <w:b/>
                <w:bCs/>
              </w:rPr>
              <w:lastRenderedPageBreak/>
              <w:t>Cash Ratio</w:t>
            </w:r>
          </w:p>
        </w:tc>
        <w:tc>
          <w:tcPr>
            <w:tcW w:w="0" w:type="auto"/>
            <w:hideMark/>
          </w:tcPr>
          <w:p w14:paraId="18B5E4CE" w14:textId="77777777" w:rsidR="00E9277F" w:rsidRPr="00D343CC" w:rsidRDefault="00E9277F" w:rsidP="000E65AF">
            <w:pPr>
              <w:spacing w:after="200"/>
              <w:rPr>
                <w:rFonts w:cs="Arial"/>
              </w:rPr>
            </w:pPr>
            <w:r w:rsidRPr="00D343CC">
              <w:rPr>
                <w:rFonts w:cs="Arial"/>
              </w:rPr>
              <w:t>Cash &amp; Equivalents ÷ Current Liabilities</w:t>
            </w:r>
          </w:p>
        </w:tc>
        <w:tc>
          <w:tcPr>
            <w:tcW w:w="0" w:type="auto"/>
            <w:hideMark/>
          </w:tcPr>
          <w:p w14:paraId="151762F1" w14:textId="77777777" w:rsidR="00E9277F" w:rsidRPr="00D343CC" w:rsidRDefault="00E9277F" w:rsidP="000E65AF">
            <w:pPr>
              <w:spacing w:after="200"/>
              <w:rPr>
                <w:rFonts w:cs="Arial"/>
              </w:rPr>
            </w:pPr>
            <w:r w:rsidRPr="00D343CC">
              <w:rPr>
                <w:rFonts w:cs="Arial"/>
              </w:rPr>
              <w:t xml:space="preserve">57,153 ÷ 179,510 = </w:t>
            </w:r>
            <w:r w:rsidRPr="00D343CC">
              <w:rPr>
                <w:rFonts w:cs="Arial"/>
                <w:b/>
                <w:bCs/>
              </w:rPr>
              <w:t>0.32</w:t>
            </w:r>
          </w:p>
        </w:tc>
        <w:tc>
          <w:tcPr>
            <w:tcW w:w="0" w:type="auto"/>
            <w:hideMark/>
          </w:tcPr>
          <w:p w14:paraId="3D3B828E" w14:textId="77777777" w:rsidR="00E9277F" w:rsidRPr="00D343CC" w:rsidRDefault="00E9277F" w:rsidP="000E65AF">
            <w:pPr>
              <w:spacing w:after="200"/>
              <w:rPr>
                <w:rFonts w:cs="Arial"/>
              </w:rPr>
            </w:pPr>
            <w:r w:rsidRPr="00D343CC">
              <w:rPr>
                <w:rFonts w:cs="Arial"/>
              </w:rPr>
              <w:t xml:space="preserve">60,813 ÷ 216,787 = </w:t>
            </w:r>
            <w:r w:rsidRPr="00D343CC">
              <w:rPr>
                <w:rFonts w:cs="Arial"/>
                <w:b/>
                <w:bCs/>
              </w:rPr>
              <w:t>0.28</w:t>
            </w:r>
          </w:p>
        </w:tc>
        <w:tc>
          <w:tcPr>
            <w:tcW w:w="0" w:type="auto"/>
            <w:hideMark/>
          </w:tcPr>
          <w:p w14:paraId="2F0C549C" w14:textId="77777777" w:rsidR="00E9277F" w:rsidRPr="00D343CC" w:rsidRDefault="00E9277F" w:rsidP="000E65AF">
            <w:pPr>
              <w:spacing w:after="200"/>
              <w:rPr>
                <w:rFonts w:cs="Arial"/>
              </w:rPr>
            </w:pPr>
            <w:r w:rsidRPr="00D343CC">
              <w:rPr>
                <w:rFonts w:cs="Arial"/>
              </w:rPr>
              <w:t xml:space="preserve">66,740 ÷ 216,473 = </w:t>
            </w:r>
            <w:r w:rsidRPr="00D343CC">
              <w:rPr>
                <w:rFonts w:cs="Arial"/>
                <w:b/>
                <w:bCs/>
              </w:rPr>
              <w:t>0.31</w:t>
            </w:r>
          </w:p>
        </w:tc>
        <w:tc>
          <w:tcPr>
            <w:tcW w:w="0" w:type="auto"/>
            <w:hideMark/>
          </w:tcPr>
          <w:p w14:paraId="0716A20B" w14:textId="77777777" w:rsidR="00E9277F" w:rsidRPr="00D343CC" w:rsidRDefault="00E9277F" w:rsidP="000E65AF">
            <w:pPr>
              <w:spacing w:after="200"/>
              <w:rPr>
                <w:rFonts w:cs="Arial"/>
              </w:rPr>
            </w:pPr>
            <w:r w:rsidRPr="00D343CC">
              <w:rPr>
                <w:rFonts w:cs="Arial"/>
              </w:rPr>
              <w:t xml:space="preserve">42,751 ÷ 161,148 = </w:t>
            </w:r>
            <w:r w:rsidRPr="00D343CC">
              <w:rPr>
                <w:rFonts w:cs="Arial"/>
                <w:b/>
                <w:bCs/>
              </w:rPr>
              <w:t>0.27</w:t>
            </w:r>
          </w:p>
        </w:tc>
        <w:tc>
          <w:tcPr>
            <w:tcW w:w="0" w:type="auto"/>
            <w:hideMark/>
          </w:tcPr>
          <w:p w14:paraId="0A532A69" w14:textId="77777777" w:rsidR="00E9277F" w:rsidRPr="00D343CC" w:rsidRDefault="00E9277F" w:rsidP="000E65AF">
            <w:pPr>
              <w:spacing w:after="200"/>
              <w:rPr>
                <w:rFonts w:cs="Arial"/>
              </w:rPr>
            </w:pPr>
            <w:r w:rsidRPr="00D343CC">
              <w:rPr>
                <w:rFonts w:cs="Arial"/>
              </w:rPr>
              <w:t xml:space="preserve">26,783 ÷ 158,291 = </w:t>
            </w:r>
            <w:r w:rsidRPr="00D343CC">
              <w:rPr>
                <w:rFonts w:cs="Arial"/>
                <w:b/>
                <w:bCs/>
              </w:rPr>
              <w:t>0.17</w:t>
            </w:r>
          </w:p>
        </w:tc>
      </w:tr>
    </w:tbl>
    <w:p w14:paraId="01634A7D" w14:textId="7732631D" w:rsidR="00E9277F" w:rsidRPr="00D343CC" w:rsidRDefault="0086063E" w:rsidP="000E65AF">
      <w:pPr>
        <w:pStyle w:val="Caption"/>
        <w:spacing w:line="360" w:lineRule="auto"/>
        <w:rPr>
          <w:rFonts w:cs="Arial"/>
          <w:i w:val="0"/>
          <w:iCs w:val="0"/>
          <w:color w:val="000000" w:themeColor="text1"/>
          <w:sz w:val="20"/>
          <w:szCs w:val="20"/>
        </w:rPr>
      </w:pPr>
      <w:bookmarkStart w:id="51" w:name="_Toc217130599"/>
      <w:bookmarkStart w:id="52" w:name="_Toc217131028"/>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2</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Liquidity Ratio (Self-Prepared)</w:t>
      </w:r>
      <w:bookmarkEnd w:id="51"/>
      <w:bookmarkEnd w:id="52"/>
    </w:p>
    <w:p w14:paraId="09C6044B" w14:textId="5380991B" w:rsidR="00E9277F" w:rsidRPr="00D343CC" w:rsidRDefault="00E9277F" w:rsidP="00690583">
      <w:pPr>
        <w:jc w:val="center"/>
        <w:rPr>
          <w:rFonts w:cs="Arial"/>
          <w:color w:val="000000" w:themeColor="text1"/>
          <w:sz w:val="28"/>
          <w:szCs w:val="24"/>
        </w:rPr>
      </w:pPr>
      <w:r w:rsidRPr="00D343CC">
        <w:rPr>
          <w:rFonts w:cs="Arial"/>
          <w:noProof/>
          <w:color w:val="000000" w:themeColor="text1"/>
          <w:sz w:val="28"/>
          <w:szCs w:val="24"/>
          <w14:ligatures w14:val="standardContextual"/>
        </w:rPr>
        <w:drawing>
          <wp:inline distT="0" distB="0" distL="0" distR="0" wp14:anchorId="077E7615" wp14:editId="1984ABDE">
            <wp:extent cx="4286250" cy="2832099"/>
            <wp:effectExtent l="0" t="0" r="0" b="6985"/>
            <wp:docPr id="1873139898" name="Chart 1">
              <a:extLst xmlns:a="http://schemas.openxmlformats.org/drawingml/2006/main">
                <a:ext uri="{FF2B5EF4-FFF2-40B4-BE49-F238E27FC236}">
                  <a16:creationId xmlns:a16="http://schemas.microsoft.com/office/drawing/2014/main" id="{10CD6EE9-F001-4383-A83A-373ED77315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C5594EE" w14:textId="05B7937B" w:rsidR="00E9277F" w:rsidRPr="00D343CC" w:rsidRDefault="0086063E" w:rsidP="00690583">
      <w:pPr>
        <w:pStyle w:val="Caption"/>
        <w:spacing w:line="360" w:lineRule="auto"/>
        <w:jc w:val="center"/>
        <w:rPr>
          <w:rFonts w:cs="Arial"/>
          <w:i w:val="0"/>
          <w:iCs w:val="0"/>
          <w:color w:val="000000" w:themeColor="text1"/>
          <w:sz w:val="20"/>
          <w:szCs w:val="20"/>
          <w:lang w:val="en-US"/>
        </w:rPr>
      </w:pPr>
      <w:bookmarkStart w:id="53" w:name="_Toc217130593"/>
      <w:bookmarkStart w:id="54" w:name="_Toc217246622"/>
      <w:r w:rsidRPr="00D343CC">
        <w:rPr>
          <w:rFonts w:cs="Arial"/>
          <w:i w:val="0"/>
          <w:iCs w:val="0"/>
          <w:color w:val="000000" w:themeColor="text1"/>
          <w:sz w:val="20"/>
          <w:szCs w:val="20"/>
        </w:rPr>
        <w:t xml:space="preserve">Figure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Figure \* ARABIC </w:instrText>
      </w:r>
      <w:r w:rsidRPr="00D343CC">
        <w:rPr>
          <w:rFonts w:cs="Arial"/>
          <w:i w:val="0"/>
          <w:iCs w:val="0"/>
          <w:color w:val="000000" w:themeColor="text1"/>
          <w:sz w:val="20"/>
          <w:szCs w:val="20"/>
        </w:rPr>
        <w:fldChar w:fldCharType="separate"/>
      </w:r>
      <w:r w:rsidR="00861CFB">
        <w:rPr>
          <w:rFonts w:cs="Arial"/>
          <w:i w:val="0"/>
          <w:iCs w:val="0"/>
          <w:noProof/>
          <w:color w:val="000000" w:themeColor="text1"/>
          <w:sz w:val="20"/>
          <w:szCs w:val="20"/>
        </w:rPr>
        <w:t>3</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cs="Arial"/>
          <w:i w:val="0"/>
          <w:iCs w:val="0"/>
          <w:color w:val="000000" w:themeColor="text1"/>
          <w:sz w:val="20"/>
          <w:szCs w:val="20"/>
          <w:lang w:val="en-US"/>
        </w:rPr>
        <w:t>Liquidity Ratio Comparison (Self-Prepared)</w:t>
      </w:r>
      <w:bookmarkEnd w:id="53"/>
      <w:bookmarkEnd w:id="54"/>
    </w:p>
    <w:p w14:paraId="056D42B8" w14:textId="77777777" w:rsidR="00E9277F" w:rsidRPr="00D343CC" w:rsidRDefault="00E9277F" w:rsidP="000E65AF">
      <w:pPr>
        <w:rPr>
          <w:rFonts w:cs="Arial"/>
        </w:rPr>
      </w:pPr>
    </w:p>
    <w:p w14:paraId="77FF0EB1" w14:textId="77777777" w:rsidR="00E9277F" w:rsidRPr="00D343CC" w:rsidRDefault="00E9277F" w:rsidP="000E65AF">
      <w:pPr>
        <w:pStyle w:val="Heading3"/>
        <w:rPr>
          <w:rFonts w:cs="Arial"/>
        </w:rPr>
      </w:pPr>
      <w:bookmarkStart w:id="55" w:name="_Toc217246600"/>
      <w:bookmarkStart w:id="56" w:name="_Hlk217064889"/>
      <w:r w:rsidRPr="00D343CC">
        <w:rPr>
          <w:rFonts w:cs="Arial"/>
        </w:rPr>
        <w:t>Table A3: Efficiency Ratios (2020–2024)</w:t>
      </w:r>
      <w:bookmarkEnd w:id="55"/>
    </w:p>
    <w:bookmarkEnd w:id="56"/>
    <w:p w14:paraId="0EE39B02" w14:textId="77777777" w:rsidR="00E9277F" w:rsidRPr="00D343CC" w:rsidRDefault="00E9277F" w:rsidP="000E65AF">
      <w:pPr>
        <w:rPr>
          <w:rFonts w:cs="Arial"/>
        </w:rPr>
      </w:pPr>
      <w:r w:rsidRPr="00D343CC">
        <w:rPr>
          <w:rFonts w:cs="Arial"/>
        </w:rPr>
        <w:t>Asset turnover = Net sales ÷Total assets</w:t>
      </w:r>
    </w:p>
    <w:p w14:paraId="4CBE5532" w14:textId="77777777" w:rsidR="00E9277F" w:rsidRPr="00D343CC" w:rsidRDefault="00E9277F" w:rsidP="000E65AF">
      <w:pPr>
        <w:rPr>
          <w:rFonts w:cs="Arial"/>
        </w:rPr>
      </w:pPr>
      <w:r w:rsidRPr="00D343CC">
        <w:rPr>
          <w:rFonts w:cs="Arial"/>
        </w:rPr>
        <w:t>Fixed asset turnover = Net sales ÷Property, plant and equipment</w:t>
      </w:r>
    </w:p>
    <w:p w14:paraId="3CD74538" w14:textId="77777777" w:rsidR="00E9277F" w:rsidRPr="00D343CC" w:rsidRDefault="00E9277F" w:rsidP="000E65AF">
      <w:pPr>
        <w:rPr>
          <w:rFonts w:cs="Arial"/>
        </w:rPr>
      </w:pPr>
      <w:r w:rsidRPr="00D343CC">
        <w:rPr>
          <w:rFonts w:cs="Arial"/>
        </w:rPr>
        <w:t>Receivable’s days = (Accounts receivable ÷Net sales) × 365</w:t>
      </w:r>
    </w:p>
    <w:p w14:paraId="298737F5" w14:textId="77777777" w:rsidR="00E9277F" w:rsidRPr="00D343CC" w:rsidRDefault="00E9277F" w:rsidP="000E65AF">
      <w:pPr>
        <w:rPr>
          <w:rFonts w:cs="Arial"/>
        </w:rPr>
      </w:pPr>
      <w:r w:rsidRPr="00D343CC">
        <w:rPr>
          <w:rFonts w:cs="Arial"/>
        </w:rPr>
        <w:t>Inventory days = (Inventories ÷Cost of sales) × 365</w:t>
      </w:r>
    </w:p>
    <w:p w14:paraId="2934FE80" w14:textId="0659A20D" w:rsidR="00E9277F" w:rsidRPr="00D343CC" w:rsidRDefault="00AD1754" w:rsidP="00DE6EFB">
      <w:pPr>
        <w:jc w:val="center"/>
        <w:rPr>
          <w:rFonts w:cs="Arial"/>
        </w:rPr>
      </w:pPr>
      <w:r w:rsidRPr="00D343CC">
        <w:rPr>
          <w:rFonts w:cs="Arial"/>
          <w:b/>
          <w:bCs/>
        </w:rPr>
        <w:t>Efficiency Ratios Calculation Table (2020–2024)</w:t>
      </w:r>
    </w:p>
    <w:tbl>
      <w:tblPr>
        <w:tblStyle w:val="TableGrid"/>
        <w:tblW w:w="0" w:type="auto"/>
        <w:tblLook w:val="04A0" w:firstRow="1" w:lastRow="0" w:firstColumn="1" w:lastColumn="0" w:noHBand="0" w:noVBand="1"/>
      </w:tblPr>
      <w:tblGrid>
        <w:gridCol w:w="1838"/>
        <w:gridCol w:w="2557"/>
        <w:gridCol w:w="951"/>
        <w:gridCol w:w="951"/>
        <w:gridCol w:w="951"/>
        <w:gridCol w:w="817"/>
        <w:gridCol w:w="951"/>
      </w:tblGrid>
      <w:tr w:rsidR="00E9277F" w:rsidRPr="00D343CC" w14:paraId="3B2353DD" w14:textId="77777777" w:rsidTr="00942642">
        <w:tc>
          <w:tcPr>
            <w:tcW w:w="0" w:type="auto"/>
            <w:hideMark/>
          </w:tcPr>
          <w:p w14:paraId="1BD19503" w14:textId="77777777" w:rsidR="00E9277F" w:rsidRPr="00D343CC" w:rsidRDefault="00E9277F" w:rsidP="000E65AF">
            <w:pPr>
              <w:rPr>
                <w:rFonts w:eastAsia="Times New Roman" w:cs="Arial"/>
                <w:b/>
                <w:bCs/>
                <w:szCs w:val="24"/>
              </w:rPr>
            </w:pPr>
            <w:r w:rsidRPr="00D343CC">
              <w:rPr>
                <w:rFonts w:eastAsia="Times New Roman" w:cs="Arial"/>
                <w:b/>
                <w:bCs/>
                <w:szCs w:val="24"/>
              </w:rPr>
              <w:t>Ratio</w:t>
            </w:r>
          </w:p>
        </w:tc>
        <w:tc>
          <w:tcPr>
            <w:tcW w:w="0" w:type="auto"/>
            <w:hideMark/>
          </w:tcPr>
          <w:p w14:paraId="524E46D1" w14:textId="77777777" w:rsidR="00E9277F" w:rsidRPr="00D343CC" w:rsidRDefault="00E9277F" w:rsidP="000E65AF">
            <w:pPr>
              <w:rPr>
                <w:rFonts w:eastAsia="Times New Roman" w:cs="Arial"/>
                <w:b/>
                <w:bCs/>
                <w:szCs w:val="24"/>
              </w:rPr>
            </w:pPr>
            <w:r w:rsidRPr="00D343CC">
              <w:rPr>
                <w:rFonts w:eastAsia="Times New Roman" w:cs="Arial"/>
                <w:b/>
                <w:bCs/>
                <w:szCs w:val="24"/>
              </w:rPr>
              <w:t>Formula</w:t>
            </w:r>
          </w:p>
        </w:tc>
        <w:tc>
          <w:tcPr>
            <w:tcW w:w="0" w:type="auto"/>
            <w:hideMark/>
          </w:tcPr>
          <w:p w14:paraId="1FFF98A5" w14:textId="77777777" w:rsidR="00E9277F" w:rsidRPr="00D343CC" w:rsidRDefault="00E9277F" w:rsidP="000E65AF">
            <w:pPr>
              <w:rPr>
                <w:rFonts w:eastAsia="Times New Roman" w:cs="Arial"/>
                <w:b/>
                <w:bCs/>
                <w:szCs w:val="24"/>
              </w:rPr>
            </w:pPr>
            <w:r w:rsidRPr="00D343CC">
              <w:rPr>
                <w:rFonts w:eastAsia="Times New Roman" w:cs="Arial"/>
                <w:b/>
                <w:bCs/>
                <w:szCs w:val="24"/>
              </w:rPr>
              <w:t>2020</w:t>
            </w:r>
          </w:p>
        </w:tc>
        <w:tc>
          <w:tcPr>
            <w:tcW w:w="0" w:type="auto"/>
            <w:hideMark/>
          </w:tcPr>
          <w:p w14:paraId="2B8FA7D1" w14:textId="77777777" w:rsidR="00E9277F" w:rsidRPr="00D343CC" w:rsidRDefault="00E9277F" w:rsidP="000E65AF">
            <w:pPr>
              <w:rPr>
                <w:rFonts w:eastAsia="Times New Roman" w:cs="Arial"/>
                <w:b/>
                <w:bCs/>
                <w:szCs w:val="24"/>
              </w:rPr>
            </w:pPr>
            <w:r w:rsidRPr="00D343CC">
              <w:rPr>
                <w:rFonts w:eastAsia="Times New Roman" w:cs="Arial"/>
                <w:b/>
                <w:bCs/>
                <w:szCs w:val="24"/>
              </w:rPr>
              <w:t>2021</w:t>
            </w:r>
          </w:p>
        </w:tc>
        <w:tc>
          <w:tcPr>
            <w:tcW w:w="0" w:type="auto"/>
            <w:hideMark/>
          </w:tcPr>
          <w:p w14:paraId="4125C768" w14:textId="77777777" w:rsidR="00E9277F" w:rsidRPr="00D343CC" w:rsidRDefault="00E9277F" w:rsidP="000E65AF">
            <w:pPr>
              <w:rPr>
                <w:rFonts w:eastAsia="Times New Roman" w:cs="Arial"/>
                <w:b/>
                <w:bCs/>
                <w:szCs w:val="24"/>
              </w:rPr>
            </w:pPr>
            <w:r w:rsidRPr="00D343CC">
              <w:rPr>
                <w:rFonts w:eastAsia="Times New Roman" w:cs="Arial"/>
                <w:b/>
                <w:bCs/>
                <w:szCs w:val="24"/>
              </w:rPr>
              <w:t>2022</w:t>
            </w:r>
          </w:p>
        </w:tc>
        <w:tc>
          <w:tcPr>
            <w:tcW w:w="0" w:type="auto"/>
            <w:hideMark/>
          </w:tcPr>
          <w:p w14:paraId="615FA963" w14:textId="77777777" w:rsidR="00E9277F" w:rsidRPr="00D343CC" w:rsidRDefault="00E9277F" w:rsidP="000E65AF">
            <w:pPr>
              <w:rPr>
                <w:rFonts w:eastAsia="Times New Roman" w:cs="Arial"/>
                <w:b/>
                <w:bCs/>
                <w:szCs w:val="24"/>
              </w:rPr>
            </w:pPr>
            <w:r w:rsidRPr="00D343CC">
              <w:rPr>
                <w:rFonts w:eastAsia="Times New Roman" w:cs="Arial"/>
                <w:b/>
                <w:bCs/>
                <w:szCs w:val="24"/>
              </w:rPr>
              <w:t>2023</w:t>
            </w:r>
          </w:p>
        </w:tc>
        <w:tc>
          <w:tcPr>
            <w:tcW w:w="0" w:type="auto"/>
            <w:hideMark/>
          </w:tcPr>
          <w:p w14:paraId="2DF2152E" w14:textId="77777777" w:rsidR="00E9277F" w:rsidRPr="00D343CC" w:rsidRDefault="00E9277F" w:rsidP="000E65AF">
            <w:pPr>
              <w:rPr>
                <w:rFonts w:eastAsia="Times New Roman" w:cs="Arial"/>
                <w:b/>
                <w:bCs/>
                <w:szCs w:val="24"/>
              </w:rPr>
            </w:pPr>
            <w:r w:rsidRPr="00D343CC">
              <w:rPr>
                <w:rFonts w:eastAsia="Times New Roman" w:cs="Arial"/>
                <w:b/>
                <w:bCs/>
                <w:szCs w:val="24"/>
              </w:rPr>
              <w:t>2024</w:t>
            </w:r>
          </w:p>
        </w:tc>
      </w:tr>
      <w:tr w:rsidR="00E9277F" w:rsidRPr="00D343CC" w14:paraId="6D9E1BD7" w14:textId="77777777" w:rsidTr="00942642">
        <w:tc>
          <w:tcPr>
            <w:tcW w:w="0" w:type="auto"/>
            <w:hideMark/>
          </w:tcPr>
          <w:p w14:paraId="55550A11" w14:textId="77777777" w:rsidR="00E9277F" w:rsidRPr="00D343CC" w:rsidRDefault="00E9277F" w:rsidP="000E65AF">
            <w:pPr>
              <w:rPr>
                <w:rFonts w:eastAsia="Times New Roman" w:cs="Arial"/>
                <w:szCs w:val="24"/>
              </w:rPr>
            </w:pPr>
            <w:r w:rsidRPr="00D343CC">
              <w:rPr>
                <w:rFonts w:eastAsia="Times New Roman" w:cs="Arial"/>
                <w:szCs w:val="24"/>
              </w:rPr>
              <w:t>Asset Turnover</w:t>
            </w:r>
          </w:p>
        </w:tc>
        <w:tc>
          <w:tcPr>
            <w:tcW w:w="0" w:type="auto"/>
            <w:hideMark/>
          </w:tcPr>
          <w:p w14:paraId="3A7024A3" w14:textId="77777777" w:rsidR="00E9277F" w:rsidRPr="00D343CC" w:rsidRDefault="00E9277F" w:rsidP="000E65AF">
            <w:pPr>
              <w:rPr>
                <w:rFonts w:eastAsia="Times New Roman" w:cs="Arial"/>
                <w:szCs w:val="24"/>
              </w:rPr>
            </w:pPr>
            <w:r w:rsidRPr="00D343CC">
              <w:rPr>
                <w:rFonts w:eastAsia="Times New Roman" w:cs="Arial"/>
                <w:szCs w:val="24"/>
              </w:rPr>
              <w:t>Net Sales / Total Assets</w:t>
            </w:r>
          </w:p>
        </w:tc>
        <w:tc>
          <w:tcPr>
            <w:tcW w:w="0" w:type="auto"/>
            <w:hideMark/>
          </w:tcPr>
          <w:p w14:paraId="7B3A61B8" w14:textId="77777777" w:rsidR="00E9277F" w:rsidRPr="00D343CC" w:rsidRDefault="00E9277F" w:rsidP="000E65AF">
            <w:pPr>
              <w:rPr>
                <w:rFonts w:eastAsia="Times New Roman" w:cs="Arial"/>
                <w:szCs w:val="24"/>
              </w:rPr>
            </w:pPr>
            <w:r w:rsidRPr="00D343CC">
              <w:rPr>
                <w:rFonts w:eastAsia="Times New Roman" w:cs="Arial"/>
                <w:szCs w:val="24"/>
              </w:rPr>
              <w:t>1.20</w:t>
            </w:r>
          </w:p>
        </w:tc>
        <w:tc>
          <w:tcPr>
            <w:tcW w:w="0" w:type="auto"/>
            <w:hideMark/>
          </w:tcPr>
          <w:p w14:paraId="09C3CE40" w14:textId="77777777" w:rsidR="00E9277F" w:rsidRPr="00D343CC" w:rsidRDefault="00E9277F" w:rsidP="000E65AF">
            <w:pPr>
              <w:rPr>
                <w:rFonts w:eastAsia="Times New Roman" w:cs="Arial"/>
                <w:szCs w:val="24"/>
              </w:rPr>
            </w:pPr>
            <w:r w:rsidRPr="00D343CC">
              <w:rPr>
                <w:rFonts w:eastAsia="Times New Roman" w:cs="Arial"/>
                <w:szCs w:val="24"/>
              </w:rPr>
              <w:t>1.18</w:t>
            </w:r>
          </w:p>
        </w:tc>
        <w:tc>
          <w:tcPr>
            <w:tcW w:w="0" w:type="auto"/>
            <w:hideMark/>
          </w:tcPr>
          <w:p w14:paraId="37CC3136" w14:textId="77777777" w:rsidR="00E9277F" w:rsidRPr="00D343CC" w:rsidRDefault="00E9277F" w:rsidP="000E65AF">
            <w:pPr>
              <w:rPr>
                <w:rFonts w:eastAsia="Times New Roman" w:cs="Arial"/>
                <w:szCs w:val="24"/>
              </w:rPr>
            </w:pPr>
            <w:r w:rsidRPr="00D343CC">
              <w:rPr>
                <w:rFonts w:eastAsia="Times New Roman" w:cs="Arial"/>
                <w:szCs w:val="24"/>
              </w:rPr>
              <w:t>1.08</w:t>
            </w:r>
          </w:p>
        </w:tc>
        <w:tc>
          <w:tcPr>
            <w:tcW w:w="0" w:type="auto"/>
            <w:hideMark/>
          </w:tcPr>
          <w:p w14:paraId="2F88B4CB" w14:textId="77777777" w:rsidR="00E9277F" w:rsidRPr="00D343CC" w:rsidRDefault="00E9277F" w:rsidP="000E65AF">
            <w:pPr>
              <w:rPr>
                <w:rFonts w:eastAsia="Times New Roman" w:cs="Arial"/>
                <w:szCs w:val="24"/>
              </w:rPr>
            </w:pPr>
            <w:r w:rsidRPr="00D343CC">
              <w:rPr>
                <w:rFonts w:eastAsia="Times New Roman" w:cs="Arial"/>
                <w:szCs w:val="24"/>
              </w:rPr>
              <w:t>1.18</w:t>
            </w:r>
          </w:p>
        </w:tc>
        <w:tc>
          <w:tcPr>
            <w:tcW w:w="0" w:type="auto"/>
            <w:hideMark/>
          </w:tcPr>
          <w:p w14:paraId="2A8C90DC" w14:textId="77777777" w:rsidR="00E9277F" w:rsidRPr="00D343CC" w:rsidRDefault="00E9277F" w:rsidP="000E65AF">
            <w:pPr>
              <w:rPr>
                <w:rFonts w:eastAsia="Times New Roman" w:cs="Arial"/>
                <w:szCs w:val="24"/>
              </w:rPr>
            </w:pPr>
            <w:r w:rsidRPr="00D343CC">
              <w:rPr>
                <w:rFonts w:eastAsia="Times New Roman" w:cs="Arial"/>
                <w:szCs w:val="24"/>
              </w:rPr>
              <w:t>1.22</w:t>
            </w:r>
          </w:p>
        </w:tc>
      </w:tr>
      <w:tr w:rsidR="00E9277F" w:rsidRPr="00D343CC" w14:paraId="21EE26B0" w14:textId="77777777" w:rsidTr="00942642">
        <w:tc>
          <w:tcPr>
            <w:tcW w:w="0" w:type="auto"/>
            <w:hideMark/>
          </w:tcPr>
          <w:p w14:paraId="659EF1BA" w14:textId="77777777" w:rsidR="00E9277F" w:rsidRPr="00D343CC" w:rsidRDefault="00E9277F" w:rsidP="000E65AF">
            <w:pPr>
              <w:rPr>
                <w:rFonts w:eastAsia="Times New Roman" w:cs="Arial"/>
                <w:szCs w:val="24"/>
              </w:rPr>
            </w:pPr>
            <w:r w:rsidRPr="00D343CC">
              <w:rPr>
                <w:rFonts w:eastAsia="Times New Roman" w:cs="Arial"/>
                <w:szCs w:val="24"/>
              </w:rPr>
              <w:lastRenderedPageBreak/>
              <w:t>Fixed Asset Turnover</w:t>
            </w:r>
          </w:p>
        </w:tc>
        <w:tc>
          <w:tcPr>
            <w:tcW w:w="0" w:type="auto"/>
            <w:hideMark/>
          </w:tcPr>
          <w:p w14:paraId="1DAC58B2" w14:textId="77777777" w:rsidR="00E9277F" w:rsidRPr="00D343CC" w:rsidRDefault="00E9277F" w:rsidP="000E65AF">
            <w:pPr>
              <w:rPr>
                <w:rFonts w:eastAsia="Times New Roman" w:cs="Arial"/>
                <w:szCs w:val="24"/>
              </w:rPr>
            </w:pPr>
            <w:r w:rsidRPr="00D343CC">
              <w:rPr>
                <w:rFonts w:eastAsia="Times New Roman" w:cs="Arial"/>
                <w:szCs w:val="24"/>
              </w:rPr>
              <w:t>Net Sales / Property, Plant and Equipment</w:t>
            </w:r>
          </w:p>
        </w:tc>
        <w:tc>
          <w:tcPr>
            <w:tcW w:w="0" w:type="auto"/>
            <w:hideMark/>
          </w:tcPr>
          <w:p w14:paraId="77D35C42" w14:textId="77777777" w:rsidR="00E9277F" w:rsidRPr="00D343CC" w:rsidRDefault="00E9277F" w:rsidP="000E65AF">
            <w:pPr>
              <w:rPr>
                <w:rFonts w:eastAsia="Times New Roman" w:cs="Arial"/>
                <w:szCs w:val="24"/>
              </w:rPr>
            </w:pPr>
            <w:r w:rsidRPr="00D343CC">
              <w:rPr>
                <w:rFonts w:eastAsia="Times New Roman" w:cs="Arial"/>
                <w:szCs w:val="24"/>
              </w:rPr>
              <w:t>7.04</w:t>
            </w:r>
          </w:p>
        </w:tc>
        <w:tc>
          <w:tcPr>
            <w:tcW w:w="0" w:type="auto"/>
            <w:hideMark/>
          </w:tcPr>
          <w:p w14:paraId="028747A4" w14:textId="77777777" w:rsidR="00E9277F" w:rsidRPr="00D343CC" w:rsidRDefault="00E9277F" w:rsidP="000E65AF">
            <w:pPr>
              <w:rPr>
                <w:rFonts w:eastAsia="Times New Roman" w:cs="Arial"/>
                <w:szCs w:val="24"/>
              </w:rPr>
            </w:pPr>
            <w:r w:rsidRPr="00D343CC">
              <w:rPr>
                <w:rFonts w:eastAsia="Times New Roman" w:cs="Arial"/>
                <w:szCs w:val="24"/>
              </w:rPr>
              <w:t>8.06</w:t>
            </w:r>
          </w:p>
        </w:tc>
        <w:tc>
          <w:tcPr>
            <w:tcW w:w="0" w:type="auto"/>
            <w:hideMark/>
          </w:tcPr>
          <w:p w14:paraId="1AD41534" w14:textId="77777777" w:rsidR="00E9277F" w:rsidRPr="00D343CC" w:rsidRDefault="00E9277F" w:rsidP="000E65AF">
            <w:pPr>
              <w:rPr>
                <w:rFonts w:eastAsia="Times New Roman" w:cs="Arial"/>
                <w:szCs w:val="24"/>
              </w:rPr>
            </w:pPr>
            <w:r w:rsidRPr="00D343CC">
              <w:rPr>
                <w:rFonts w:eastAsia="Times New Roman" w:cs="Arial"/>
                <w:szCs w:val="24"/>
              </w:rPr>
              <w:t>8.64</w:t>
            </w:r>
          </w:p>
        </w:tc>
        <w:tc>
          <w:tcPr>
            <w:tcW w:w="0" w:type="auto"/>
            <w:hideMark/>
          </w:tcPr>
          <w:p w14:paraId="553E2F54" w14:textId="77777777" w:rsidR="00E9277F" w:rsidRPr="00D343CC" w:rsidRDefault="00E9277F" w:rsidP="000E65AF">
            <w:pPr>
              <w:rPr>
                <w:rFonts w:eastAsia="Times New Roman" w:cs="Arial"/>
                <w:szCs w:val="24"/>
              </w:rPr>
            </w:pPr>
            <w:r w:rsidRPr="00D343CC">
              <w:rPr>
                <w:rFonts w:eastAsia="Times New Roman" w:cs="Arial"/>
                <w:szCs w:val="24"/>
              </w:rPr>
              <w:t>9.42</w:t>
            </w:r>
          </w:p>
        </w:tc>
        <w:tc>
          <w:tcPr>
            <w:tcW w:w="0" w:type="auto"/>
            <w:hideMark/>
          </w:tcPr>
          <w:p w14:paraId="4DAA8647" w14:textId="77777777" w:rsidR="00E9277F" w:rsidRPr="00D343CC" w:rsidRDefault="00E9277F" w:rsidP="000E65AF">
            <w:pPr>
              <w:rPr>
                <w:rFonts w:eastAsia="Times New Roman" w:cs="Arial"/>
                <w:szCs w:val="24"/>
              </w:rPr>
            </w:pPr>
            <w:r w:rsidRPr="00D343CC">
              <w:rPr>
                <w:rFonts w:eastAsia="Times New Roman" w:cs="Arial"/>
                <w:szCs w:val="24"/>
              </w:rPr>
              <w:t>11.54</w:t>
            </w:r>
          </w:p>
        </w:tc>
      </w:tr>
      <w:tr w:rsidR="00E9277F" w:rsidRPr="00D343CC" w14:paraId="3B03A6A7" w14:textId="77777777" w:rsidTr="00942642">
        <w:tc>
          <w:tcPr>
            <w:tcW w:w="0" w:type="auto"/>
            <w:hideMark/>
          </w:tcPr>
          <w:p w14:paraId="484F000F" w14:textId="77777777" w:rsidR="00E9277F" w:rsidRPr="00D343CC" w:rsidRDefault="00E9277F" w:rsidP="000E65AF">
            <w:pPr>
              <w:rPr>
                <w:rFonts w:eastAsia="Times New Roman" w:cs="Arial"/>
                <w:szCs w:val="24"/>
              </w:rPr>
            </w:pPr>
            <w:r w:rsidRPr="00D343CC">
              <w:rPr>
                <w:rFonts w:eastAsia="Times New Roman" w:cs="Arial"/>
                <w:szCs w:val="24"/>
              </w:rPr>
              <w:t>Receivables Days</w:t>
            </w:r>
          </w:p>
        </w:tc>
        <w:tc>
          <w:tcPr>
            <w:tcW w:w="0" w:type="auto"/>
            <w:hideMark/>
          </w:tcPr>
          <w:p w14:paraId="19C21C4A" w14:textId="77777777" w:rsidR="00E9277F" w:rsidRPr="00D343CC" w:rsidRDefault="00E9277F" w:rsidP="000E65AF">
            <w:pPr>
              <w:rPr>
                <w:rFonts w:eastAsia="Times New Roman" w:cs="Arial"/>
                <w:szCs w:val="24"/>
              </w:rPr>
            </w:pPr>
            <w:r w:rsidRPr="00D343CC">
              <w:rPr>
                <w:rFonts w:eastAsia="Times New Roman" w:cs="Arial"/>
                <w:szCs w:val="24"/>
              </w:rPr>
              <w:t>(Trade Receivables / Net Sales) × 365</w:t>
            </w:r>
          </w:p>
        </w:tc>
        <w:tc>
          <w:tcPr>
            <w:tcW w:w="0" w:type="auto"/>
            <w:hideMark/>
          </w:tcPr>
          <w:p w14:paraId="46C3F862" w14:textId="77777777" w:rsidR="00E9277F" w:rsidRPr="00D343CC" w:rsidRDefault="00E9277F" w:rsidP="000E65AF">
            <w:pPr>
              <w:rPr>
                <w:rFonts w:eastAsia="Times New Roman" w:cs="Arial"/>
                <w:szCs w:val="24"/>
              </w:rPr>
            </w:pPr>
            <w:r w:rsidRPr="00D343CC">
              <w:rPr>
                <w:rFonts w:eastAsia="Times New Roman" w:cs="Arial"/>
                <w:szCs w:val="24"/>
              </w:rPr>
              <w:t>76.86</w:t>
            </w:r>
          </w:p>
        </w:tc>
        <w:tc>
          <w:tcPr>
            <w:tcW w:w="0" w:type="auto"/>
            <w:hideMark/>
          </w:tcPr>
          <w:p w14:paraId="671C959A" w14:textId="77777777" w:rsidR="00E9277F" w:rsidRPr="00D343CC" w:rsidRDefault="00E9277F" w:rsidP="000E65AF">
            <w:pPr>
              <w:rPr>
                <w:rFonts w:eastAsia="Times New Roman" w:cs="Arial"/>
                <w:szCs w:val="24"/>
              </w:rPr>
            </w:pPr>
            <w:r w:rsidRPr="00D343CC">
              <w:rPr>
                <w:rFonts w:eastAsia="Times New Roman" w:cs="Arial"/>
                <w:szCs w:val="24"/>
              </w:rPr>
              <w:t>78.40</w:t>
            </w:r>
          </w:p>
        </w:tc>
        <w:tc>
          <w:tcPr>
            <w:tcW w:w="0" w:type="auto"/>
            <w:hideMark/>
          </w:tcPr>
          <w:p w14:paraId="4EA41228" w14:textId="77777777" w:rsidR="00E9277F" w:rsidRPr="00D343CC" w:rsidRDefault="00E9277F" w:rsidP="000E65AF">
            <w:pPr>
              <w:rPr>
                <w:rFonts w:eastAsia="Times New Roman" w:cs="Arial"/>
                <w:szCs w:val="24"/>
              </w:rPr>
            </w:pPr>
            <w:r w:rsidRPr="00D343CC">
              <w:rPr>
                <w:rFonts w:eastAsia="Times New Roman" w:cs="Arial"/>
                <w:szCs w:val="24"/>
              </w:rPr>
              <w:t>75.55</w:t>
            </w:r>
          </w:p>
        </w:tc>
        <w:tc>
          <w:tcPr>
            <w:tcW w:w="0" w:type="auto"/>
            <w:hideMark/>
          </w:tcPr>
          <w:p w14:paraId="075960E0" w14:textId="77777777" w:rsidR="00E9277F" w:rsidRPr="00D343CC" w:rsidRDefault="00E9277F" w:rsidP="000E65AF">
            <w:pPr>
              <w:rPr>
                <w:rFonts w:eastAsia="Times New Roman" w:cs="Arial"/>
                <w:szCs w:val="24"/>
              </w:rPr>
            </w:pPr>
            <w:r w:rsidRPr="00D343CC">
              <w:rPr>
                <w:rFonts w:eastAsia="Times New Roman" w:cs="Arial"/>
                <w:szCs w:val="24"/>
              </w:rPr>
              <w:t>97.74</w:t>
            </w:r>
          </w:p>
        </w:tc>
        <w:tc>
          <w:tcPr>
            <w:tcW w:w="0" w:type="auto"/>
            <w:hideMark/>
          </w:tcPr>
          <w:p w14:paraId="0AE62AC6" w14:textId="77777777" w:rsidR="00E9277F" w:rsidRPr="00D343CC" w:rsidRDefault="00E9277F" w:rsidP="000E65AF">
            <w:pPr>
              <w:rPr>
                <w:rFonts w:eastAsia="Times New Roman" w:cs="Arial"/>
                <w:szCs w:val="24"/>
              </w:rPr>
            </w:pPr>
            <w:r w:rsidRPr="00D343CC">
              <w:rPr>
                <w:rFonts w:eastAsia="Times New Roman" w:cs="Arial"/>
                <w:szCs w:val="24"/>
              </w:rPr>
              <w:t>105.54</w:t>
            </w:r>
          </w:p>
        </w:tc>
      </w:tr>
      <w:tr w:rsidR="00E9277F" w:rsidRPr="00D343CC" w14:paraId="07538B6C" w14:textId="77777777" w:rsidTr="00942642">
        <w:tc>
          <w:tcPr>
            <w:tcW w:w="0" w:type="auto"/>
            <w:hideMark/>
          </w:tcPr>
          <w:p w14:paraId="161D1B67" w14:textId="77777777" w:rsidR="00E9277F" w:rsidRPr="00D343CC" w:rsidRDefault="00E9277F" w:rsidP="000E65AF">
            <w:pPr>
              <w:rPr>
                <w:rFonts w:eastAsia="Times New Roman" w:cs="Arial"/>
                <w:szCs w:val="24"/>
              </w:rPr>
            </w:pPr>
            <w:r w:rsidRPr="00D343CC">
              <w:rPr>
                <w:rFonts w:eastAsia="Times New Roman" w:cs="Arial"/>
                <w:szCs w:val="24"/>
              </w:rPr>
              <w:t>Inventory Days</w:t>
            </w:r>
          </w:p>
        </w:tc>
        <w:tc>
          <w:tcPr>
            <w:tcW w:w="0" w:type="auto"/>
            <w:hideMark/>
          </w:tcPr>
          <w:p w14:paraId="75B103E0" w14:textId="77777777" w:rsidR="00E9277F" w:rsidRPr="00D343CC" w:rsidRDefault="00E9277F" w:rsidP="000E65AF">
            <w:pPr>
              <w:rPr>
                <w:rFonts w:eastAsia="Times New Roman" w:cs="Arial"/>
                <w:szCs w:val="24"/>
              </w:rPr>
            </w:pPr>
            <w:r w:rsidRPr="00D343CC">
              <w:rPr>
                <w:rFonts w:eastAsia="Times New Roman" w:cs="Arial"/>
                <w:szCs w:val="24"/>
              </w:rPr>
              <w:t>(Inventory / Cost of Sales) × 365</w:t>
            </w:r>
          </w:p>
        </w:tc>
        <w:tc>
          <w:tcPr>
            <w:tcW w:w="0" w:type="auto"/>
            <w:hideMark/>
          </w:tcPr>
          <w:p w14:paraId="22EE90D4" w14:textId="77777777" w:rsidR="00E9277F" w:rsidRPr="00D343CC" w:rsidRDefault="00E9277F" w:rsidP="000E65AF">
            <w:pPr>
              <w:rPr>
                <w:rFonts w:eastAsia="Times New Roman" w:cs="Arial"/>
                <w:szCs w:val="24"/>
              </w:rPr>
            </w:pPr>
            <w:r w:rsidRPr="00D343CC">
              <w:rPr>
                <w:rFonts w:eastAsia="Times New Roman" w:cs="Arial"/>
                <w:szCs w:val="24"/>
              </w:rPr>
              <w:t>100.26</w:t>
            </w:r>
          </w:p>
        </w:tc>
        <w:tc>
          <w:tcPr>
            <w:tcW w:w="0" w:type="auto"/>
            <w:hideMark/>
          </w:tcPr>
          <w:p w14:paraId="3536D096" w14:textId="77777777" w:rsidR="00E9277F" w:rsidRPr="00D343CC" w:rsidRDefault="00E9277F" w:rsidP="000E65AF">
            <w:pPr>
              <w:rPr>
                <w:rFonts w:eastAsia="Times New Roman" w:cs="Arial"/>
                <w:szCs w:val="24"/>
              </w:rPr>
            </w:pPr>
            <w:r w:rsidRPr="00D343CC">
              <w:rPr>
                <w:rFonts w:eastAsia="Times New Roman" w:cs="Arial"/>
                <w:szCs w:val="24"/>
              </w:rPr>
              <w:t>114.52</w:t>
            </w:r>
          </w:p>
        </w:tc>
        <w:tc>
          <w:tcPr>
            <w:tcW w:w="0" w:type="auto"/>
            <w:hideMark/>
          </w:tcPr>
          <w:p w14:paraId="12ECCD7B" w14:textId="77777777" w:rsidR="00E9277F" w:rsidRPr="00D343CC" w:rsidRDefault="00E9277F" w:rsidP="000E65AF">
            <w:pPr>
              <w:rPr>
                <w:rFonts w:eastAsia="Times New Roman" w:cs="Arial"/>
                <w:szCs w:val="24"/>
              </w:rPr>
            </w:pPr>
            <w:r w:rsidRPr="00D343CC">
              <w:rPr>
                <w:rFonts w:eastAsia="Times New Roman" w:cs="Arial"/>
                <w:szCs w:val="24"/>
              </w:rPr>
              <w:t>131.04</w:t>
            </w:r>
          </w:p>
        </w:tc>
        <w:tc>
          <w:tcPr>
            <w:tcW w:w="0" w:type="auto"/>
            <w:hideMark/>
          </w:tcPr>
          <w:p w14:paraId="2193A9FF" w14:textId="77777777" w:rsidR="00E9277F" w:rsidRPr="00D343CC" w:rsidRDefault="00E9277F" w:rsidP="000E65AF">
            <w:pPr>
              <w:rPr>
                <w:rFonts w:eastAsia="Times New Roman" w:cs="Arial"/>
                <w:szCs w:val="24"/>
              </w:rPr>
            </w:pPr>
            <w:r w:rsidRPr="00D343CC">
              <w:rPr>
                <w:rFonts w:eastAsia="Times New Roman" w:cs="Arial"/>
                <w:szCs w:val="24"/>
              </w:rPr>
              <w:t>99.78</w:t>
            </w:r>
          </w:p>
        </w:tc>
        <w:tc>
          <w:tcPr>
            <w:tcW w:w="0" w:type="auto"/>
            <w:hideMark/>
          </w:tcPr>
          <w:p w14:paraId="38ED6BF6" w14:textId="77777777" w:rsidR="00E9277F" w:rsidRPr="00D343CC" w:rsidRDefault="00E9277F" w:rsidP="000E65AF">
            <w:pPr>
              <w:rPr>
                <w:rFonts w:eastAsia="Times New Roman" w:cs="Arial"/>
                <w:szCs w:val="24"/>
              </w:rPr>
            </w:pPr>
            <w:r w:rsidRPr="00D343CC">
              <w:rPr>
                <w:rFonts w:eastAsia="Times New Roman" w:cs="Arial"/>
                <w:szCs w:val="24"/>
              </w:rPr>
              <w:t>103.12</w:t>
            </w:r>
          </w:p>
        </w:tc>
      </w:tr>
    </w:tbl>
    <w:p w14:paraId="2B18538D" w14:textId="01256A85" w:rsidR="00E9277F" w:rsidRPr="00D343CC" w:rsidRDefault="00BB5575" w:rsidP="000E65AF">
      <w:pPr>
        <w:pStyle w:val="Caption"/>
        <w:spacing w:line="360" w:lineRule="auto"/>
        <w:rPr>
          <w:rFonts w:eastAsia="Times New Roman" w:cs="Arial"/>
          <w:i w:val="0"/>
          <w:iCs w:val="0"/>
          <w:color w:val="000000" w:themeColor="text1"/>
          <w:sz w:val="22"/>
          <w:szCs w:val="22"/>
        </w:rPr>
      </w:pPr>
      <w:bookmarkStart w:id="57" w:name="_Toc217130600"/>
      <w:bookmarkStart w:id="58" w:name="_Toc217131029"/>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3</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2"/>
          <w:szCs w:val="22"/>
        </w:rPr>
        <w:t>Efficiency Ratio (Self-Prepared)</w:t>
      </w:r>
      <w:bookmarkEnd w:id="57"/>
      <w:bookmarkEnd w:id="58"/>
    </w:p>
    <w:p w14:paraId="3CFDC71A" w14:textId="0439492E" w:rsidR="00E9277F" w:rsidRPr="00D343CC" w:rsidRDefault="00E9277F" w:rsidP="00690583">
      <w:pPr>
        <w:jc w:val="center"/>
        <w:rPr>
          <w:rFonts w:cs="Arial"/>
          <w:color w:val="000000" w:themeColor="text1"/>
          <w:sz w:val="28"/>
          <w:szCs w:val="24"/>
        </w:rPr>
      </w:pPr>
      <w:r w:rsidRPr="00D343CC">
        <w:rPr>
          <w:rFonts w:cs="Arial"/>
          <w:noProof/>
          <w:color w:val="000000" w:themeColor="text1"/>
          <w:sz w:val="28"/>
          <w:szCs w:val="24"/>
          <w14:ligatures w14:val="standardContextual"/>
        </w:rPr>
        <w:drawing>
          <wp:inline distT="0" distB="0" distL="0" distR="0" wp14:anchorId="24B91F49" wp14:editId="6CF2087C">
            <wp:extent cx="4248150" cy="2976562"/>
            <wp:effectExtent l="0" t="0" r="0" b="14605"/>
            <wp:docPr id="617388682" name="Chart 1">
              <a:extLst xmlns:a="http://schemas.openxmlformats.org/drawingml/2006/main">
                <a:ext uri="{FF2B5EF4-FFF2-40B4-BE49-F238E27FC236}">
                  <a16:creationId xmlns:a16="http://schemas.microsoft.com/office/drawing/2014/main" id="{4875193F-C7EA-4539-84A5-5D8872A6DD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4D1DF42" w14:textId="184C60A1" w:rsidR="00E9277F" w:rsidRPr="00D343CC" w:rsidRDefault="0086063E" w:rsidP="00690583">
      <w:pPr>
        <w:pStyle w:val="Caption"/>
        <w:spacing w:line="360" w:lineRule="auto"/>
        <w:jc w:val="center"/>
        <w:rPr>
          <w:rFonts w:eastAsia="Times New Roman" w:cs="Arial"/>
          <w:i w:val="0"/>
          <w:iCs w:val="0"/>
          <w:color w:val="000000" w:themeColor="text1"/>
          <w:sz w:val="20"/>
          <w:szCs w:val="20"/>
        </w:rPr>
      </w:pPr>
      <w:bookmarkStart w:id="59" w:name="_Toc217130594"/>
      <w:bookmarkStart w:id="60" w:name="_Toc217246623"/>
      <w:r w:rsidRPr="00D343CC">
        <w:rPr>
          <w:rFonts w:cs="Arial"/>
          <w:i w:val="0"/>
          <w:iCs w:val="0"/>
          <w:color w:val="000000" w:themeColor="text1"/>
          <w:sz w:val="20"/>
          <w:szCs w:val="20"/>
        </w:rPr>
        <w:t xml:space="preserve">Figure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Figure \* ARABIC </w:instrText>
      </w:r>
      <w:r w:rsidRPr="00D343CC">
        <w:rPr>
          <w:rFonts w:cs="Arial"/>
          <w:i w:val="0"/>
          <w:iCs w:val="0"/>
          <w:color w:val="000000" w:themeColor="text1"/>
          <w:sz w:val="20"/>
          <w:szCs w:val="20"/>
        </w:rPr>
        <w:fldChar w:fldCharType="separate"/>
      </w:r>
      <w:r w:rsidR="00861CFB">
        <w:rPr>
          <w:rFonts w:cs="Arial"/>
          <w:i w:val="0"/>
          <w:iCs w:val="0"/>
          <w:noProof/>
          <w:color w:val="000000" w:themeColor="text1"/>
          <w:sz w:val="20"/>
          <w:szCs w:val="20"/>
        </w:rPr>
        <w:t>4</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0"/>
          <w:szCs w:val="20"/>
        </w:rPr>
        <w:t>Efficiency Ratio Comparison (Self-Prepared)</w:t>
      </w:r>
      <w:bookmarkEnd w:id="59"/>
      <w:bookmarkEnd w:id="60"/>
    </w:p>
    <w:p w14:paraId="560B190F" w14:textId="77777777" w:rsidR="00E9277F" w:rsidRPr="00D343CC" w:rsidRDefault="00E9277F" w:rsidP="000E65AF">
      <w:pPr>
        <w:pStyle w:val="Heading3"/>
        <w:rPr>
          <w:rFonts w:cs="Arial"/>
        </w:rPr>
      </w:pPr>
      <w:bookmarkStart w:id="61" w:name="_Toc217246601"/>
      <w:r w:rsidRPr="00D343CC">
        <w:rPr>
          <w:rFonts w:cs="Arial"/>
        </w:rPr>
        <w:t>Table A4: Gearing Ratios (2020–2024)</w:t>
      </w:r>
      <w:bookmarkEnd w:id="61"/>
    </w:p>
    <w:p w14:paraId="02CD43CC" w14:textId="77777777" w:rsidR="00E9277F" w:rsidRPr="00D343CC" w:rsidRDefault="00E9277F" w:rsidP="000E65AF">
      <w:pPr>
        <w:rPr>
          <w:rFonts w:cs="Arial"/>
        </w:rPr>
      </w:pPr>
      <w:r w:rsidRPr="00D343CC">
        <w:rPr>
          <w:rFonts w:cs="Arial"/>
        </w:rPr>
        <w:t>Interest coverage ratio = EBIT / Interest expense</w:t>
      </w:r>
    </w:p>
    <w:p w14:paraId="17AE9971" w14:textId="77777777" w:rsidR="00E9277F" w:rsidRPr="00D343CC" w:rsidRDefault="00E9277F" w:rsidP="000E65AF">
      <w:pPr>
        <w:rPr>
          <w:rFonts w:cs="Arial"/>
        </w:rPr>
      </w:pPr>
      <w:r w:rsidRPr="00D343CC">
        <w:rPr>
          <w:rFonts w:cs="Arial"/>
        </w:rPr>
        <w:t>Debt to equity ratio = Total liabilities / Shareholders’ equity</w:t>
      </w:r>
    </w:p>
    <w:p w14:paraId="20413D9A" w14:textId="77777777" w:rsidR="00E9277F" w:rsidRPr="00D343CC" w:rsidRDefault="00E9277F" w:rsidP="000E65AF">
      <w:pPr>
        <w:rPr>
          <w:rFonts w:cs="Arial"/>
        </w:rPr>
      </w:pPr>
      <w:r w:rsidRPr="00D343CC">
        <w:rPr>
          <w:rFonts w:cs="Arial"/>
        </w:rPr>
        <w:t>Debt to capital ratio = Total liabilities / (Total liabilities + Shareholders’ equity)</w:t>
      </w:r>
    </w:p>
    <w:p w14:paraId="01E4F43F" w14:textId="77777777" w:rsidR="00E9277F" w:rsidRPr="00D343CC" w:rsidRDefault="00E9277F" w:rsidP="000E65AF">
      <w:pPr>
        <w:rPr>
          <w:rFonts w:cs="Arial"/>
        </w:rPr>
      </w:pPr>
      <w:r w:rsidRPr="00D343CC">
        <w:rPr>
          <w:rFonts w:cs="Arial"/>
        </w:rPr>
        <w:t>Equity multiplier = Total assets / Shareholders’ equity</w:t>
      </w:r>
    </w:p>
    <w:p w14:paraId="01792390" w14:textId="6C0CD7F7" w:rsidR="00E9277F" w:rsidRPr="00D343CC" w:rsidRDefault="00AD1754" w:rsidP="00DE6EFB">
      <w:pPr>
        <w:jc w:val="center"/>
        <w:rPr>
          <w:rFonts w:cs="Arial"/>
        </w:rPr>
      </w:pPr>
      <w:r w:rsidRPr="00D343CC">
        <w:rPr>
          <w:rFonts w:cs="Arial"/>
          <w:b/>
          <w:bCs/>
        </w:rPr>
        <w:t>Gearing Ratios Calculation Table (2020–2024)</w:t>
      </w:r>
    </w:p>
    <w:tbl>
      <w:tblPr>
        <w:tblStyle w:val="TableGrid"/>
        <w:tblW w:w="0" w:type="auto"/>
        <w:tblLook w:val="04A0" w:firstRow="1" w:lastRow="0" w:firstColumn="1" w:lastColumn="0" w:noHBand="0" w:noVBand="1"/>
      </w:tblPr>
      <w:tblGrid>
        <w:gridCol w:w="1374"/>
        <w:gridCol w:w="1800"/>
        <w:gridCol w:w="1158"/>
        <w:gridCol w:w="1158"/>
        <w:gridCol w:w="1158"/>
        <w:gridCol w:w="1185"/>
        <w:gridCol w:w="1183"/>
      </w:tblGrid>
      <w:tr w:rsidR="00990E6A" w:rsidRPr="00D343CC" w14:paraId="3256663C" w14:textId="77777777" w:rsidTr="00990E6A">
        <w:tc>
          <w:tcPr>
            <w:tcW w:w="0" w:type="auto"/>
            <w:hideMark/>
          </w:tcPr>
          <w:p w14:paraId="6BCA2370" w14:textId="77777777" w:rsidR="00990E6A" w:rsidRPr="00D343CC" w:rsidRDefault="00990E6A" w:rsidP="000E65AF">
            <w:pPr>
              <w:spacing w:after="200"/>
              <w:rPr>
                <w:rFonts w:cs="Arial"/>
                <w:b/>
                <w:bCs/>
              </w:rPr>
            </w:pPr>
            <w:r w:rsidRPr="00D343CC">
              <w:rPr>
                <w:rFonts w:cs="Arial"/>
                <w:b/>
                <w:bCs/>
              </w:rPr>
              <w:t>Ratio</w:t>
            </w:r>
          </w:p>
        </w:tc>
        <w:tc>
          <w:tcPr>
            <w:tcW w:w="0" w:type="auto"/>
            <w:hideMark/>
          </w:tcPr>
          <w:p w14:paraId="44BE70AE" w14:textId="77777777" w:rsidR="00990E6A" w:rsidRPr="00D343CC" w:rsidRDefault="00990E6A" w:rsidP="000E65AF">
            <w:pPr>
              <w:spacing w:after="200"/>
              <w:rPr>
                <w:rFonts w:cs="Arial"/>
                <w:b/>
                <w:bCs/>
              </w:rPr>
            </w:pPr>
            <w:r w:rsidRPr="00D343CC">
              <w:rPr>
                <w:rFonts w:cs="Arial"/>
                <w:b/>
                <w:bCs/>
              </w:rPr>
              <w:t>Formula</w:t>
            </w:r>
          </w:p>
        </w:tc>
        <w:tc>
          <w:tcPr>
            <w:tcW w:w="0" w:type="auto"/>
            <w:hideMark/>
          </w:tcPr>
          <w:p w14:paraId="58F599C0" w14:textId="77777777" w:rsidR="00990E6A" w:rsidRPr="00D343CC" w:rsidRDefault="00990E6A" w:rsidP="000E65AF">
            <w:pPr>
              <w:spacing w:after="200"/>
              <w:rPr>
                <w:rFonts w:cs="Arial"/>
                <w:b/>
                <w:bCs/>
              </w:rPr>
            </w:pPr>
            <w:r w:rsidRPr="00D343CC">
              <w:rPr>
                <w:rFonts w:cs="Arial"/>
                <w:b/>
                <w:bCs/>
              </w:rPr>
              <w:t>2020</w:t>
            </w:r>
          </w:p>
        </w:tc>
        <w:tc>
          <w:tcPr>
            <w:tcW w:w="0" w:type="auto"/>
            <w:hideMark/>
          </w:tcPr>
          <w:p w14:paraId="61185315" w14:textId="77777777" w:rsidR="00990E6A" w:rsidRPr="00D343CC" w:rsidRDefault="00990E6A" w:rsidP="000E65AF">
            <w:pPr>
              <w:spacing w:after="200"/>
              <w:rPr>
                <w:rFonts w:cs="Arial"/>
                <w:b/>
                <w:bCs/>
              </w:rPr>
            </w:pPr>
            <w:r w:rsidRPr="00D343CC">
              <w:rPr>
                <w:rFonts w:cs="Arial"/>
                <w:b/>
                <w:bCs/>
              </w:rPr>
              <w:t>2021</w:t>
            </w:r>
          </w:p>
        </w:tc>
        <w:tc>
          <w:tcPr>
            <w:tcW w:w="0" w:type="auto"/>
            <w:hideMark/>
          </w:tcPr>
          <w:p w14:paraId="7D3841E3" w14:textId="77777777" w:rsidR="00990E6A" w:rsidRPr="00D343CC" w:rsidRDefault="00990E6A" w:rsidP="000E65AF">
            <w:pPr>
              <w:spacing w:after="200"/>
              <w:rPr>
                <w:rFonts w:cs="Arial"/>
                <w:b/>
                <w:bCs/>
              </w:rPr>
            </w:pPr>
            <w:r w:rsidRPr="00D343CC">
              <w:rPr>
                <w:rFonts w:cs="Arial"/>
                <w:b/>
                <w:bCs/>
              </w:rPr>
              <w:t>2022</w:t>
            </w:r>
          </w:p>
        </w:tc>
        <w:tc>
          <w:tcPr>
            <w:tcW w:w="0" w:type="auto"/>
            <w:hideMark/>
          </w:tcPr>
          <w:p w14:paraId="7244ABEE" w14:textId="77777777" w:rsidR="00990E6A" w:rsidRPr="00D343CC" w:rsidRDefault="00990E6A" w:rsidP="000E65AF">
            <w:pPr>
              <w:spacing w:after="200"/>
              <w:rPr>
                <w:rFonts w:cs="Arial"/>
                <w:b/>
                <w:bCs/>
              </w:rPr>
            </w:pPr>
            <w:r w:rsidRPr="00D343CC">
              <w:rPr>
                <w:rFonts w:cs="Arial"/>
                <w:b/>
                <w:bCs/>
              </w:rPr>
              <w:t>2023</w:t>
            </w:r>
          </w:p>
        </w:tc>
        <w:tc>
          <w:tcPr>
            <w:tcW w:w="0" w:type="auto"/>
            <w:hideMark/>
          </w:tcPr>
          <w:p w14:paraId="4F84BD13" w14:textId="77777777" w:rsidR="00990E6A" w:rsidRPr="00D343CC" w:rsidRDefault="00990E6A" w:rsidP="000E65AF">
            <w:pPr>
              <w:spacing w:after="200"/>
              <w:rPr>
                <w:rFonts w:cs="Arial"/>
                <w:b/>
                <w:bCs/>
              </w:rPr>
            </w:pPr>
            <w:r w:rsidRPr="00D343CC">
              <w:rPr>
                <w:rFonts w:cs="Arial"/>
                <w:b/>
                <w:bCs/>
              </w:rPr>
              <w:t>2024</w:t>
            </w:r>
          </w:p>
        </w:tc>
      </w:tr>
      <w:tr w:rsidR="00990E6A" w:rsidRPr="00D343CC" w14:paraId="2D9E729D" w14:textId="77777777" w:rsidTr="00990E6A">
        <w:tc>
          <w:tcPr>
            <w:tcW w:w="0" w:type="auto"/>
            <w:hideMark/>
          </w:tcPr>
          <w:p w14:paraId="379CC797" w14:textId="77777777" w:rsidR="00990E6A" w:rsidRPr="00D343CC" w:rsidRDefault="00990E6A" w:rsidP="000E65AF">
            <w:pPr>
              <w:spacing w:after="200"/>
              <w:rPr>
                <w:rFonts w:cs="Arial"/>
              </w:rPr>
            </w:pPr>
            <w:r w:rsidRPr="00D343CC">
              <w:rPr>
                <w:rFonts w:cs="Arial"/>
                <w:b/>
                <w:bCs/>
              </w:rPr>
              <w:lastRenderedPageBreak/>
              <w:t>Interest Coverage Ratio</w:t>
            </w:r>
          </w:p>
        </w:tc>
        <w:tc>
          <w:tcPr>
            <w:tcW w:w="0" w:type="auto"/>
            <w:hideMark/>
          </w:tcPr>
          <w:p w14:paraId="14A1C3C0" w14:textId="77777777" w:rsidR="00990E6A" w:rsidRPr="00D343CC" w:rsidRDefault="00990E6A" w:rsidP="000E65AF">
            <w:pPr>
              <w:spacing w:after="200"/>
              <w:rPr>
                <w:rFonts w:cs="Arial"/>
              </w:rPr>
            </w:pPr>
            <w:r w:rsidRPr="00D343CC">
              <w:rPr>
                <w:rFonts w:cs="Arial"/>
              </w:rPr>
              <w:t>EBIT ÷ Interest Expense</w:t>
            </w:r>
          </w:p>
        </w:tc>
        <w:tc>
          <w:tcPr>
            <w:tcW w:w="0" w:type="auto"/>
            <w:hideMark/>
          </w:tcPr>
          <w:p w14:paraId="1CDF52B3" w14:textId="77777777" w:rsidR="00990E6A" w:rsidRPr="00D343CC" w:rsidRDefault="00990E6A" w:rsidP="000E65AF">
            <w:pPr>
              <w:spacing w:after="200"/>
              <w:rPr>
                <w:rFonts w:cs="Arial"/>
              </w:rPr>
            </w:pPr>
            <w:r w:rsidRPr="00D343CC">
              <w:rPr>
                <w:rFonts w:cs="Arial"/>
              </w:rPr>
              <w:t xml:space="preserve">37,267 ÷ 1,422 = </w:t>
            </w:r>
            <w:r w:rsidRPr="00D343CC">
              <w:rPr>
                <w:rFonts w:cs="Arial"/>
                <w:b/>
                <w:bCs/>
              </w:rPr>
              <w:t>26.21</w:t>
            </w:r>
          </w:p>
        </w:tc>
        <w:tc>
          <w:tcPr>
            <w:tcW w:w="0" w:type="auto"/>
            <w:hideMark/>
          </w:tcPr>
          <w:p w14:paraId="3E746E7A" w14:textId="77777777" w:rsidR="00990E6A" w:rsidRPr="00D343CC" w:rsidRDefault="00990E6A" w:rsidP="000E65AF">
            <w:pPr>
              <w:spacing w:after="200"/>
              <w:rPr>
                <w:rFonts w:cs="Arial"/>
              </w:rPr>
            </w:pPr>
            <w:r w:rsidRPr="00D343CC">
              <w:rPr>
                <w:rFonts w:cs="Arial"/>
              </w:rPr>
              <w:t xml:space="preserve">23,253 ÷ 566 = </w:t>
            </w:r>
            <w:r w:rsidRPr="00D343CC">
              <w:rPr>
                <w:rFonts w:cs="Arial"/>
                <w:b/>
                <w:bCs/>
              </w:rPr>
              <w:t>41.08</w:t>
            </w:r>
          </w:p>
        </w:tc>
        <w:tc>
          <w:tcPr>
            <w:tcW w:w="0" w:type="auto"/>
            <w:hideMark/>
          </w:tcPr>
          <w:p w14:paraId="13BF02CF" w14:textId="77777777" w:rsidR="00990E6A" w:rsidRPr="00D343CC" w:rsidRDefault="00990E6A" w:rsidP="000E65AF">
            <w:pPr>
              <w:spacing w:after="200"/>
              <w:rPr>
                <w:rFonts w:cs="Arial"/>
              </w:rPr>
            </w:pPr>
            <w:r w:rsidRPr="00D343CC">
              <w:rPr>
                <w:rFonts w:cs="Arial"/>
              </w:rPr>
              <w:t xml:space="preserve">(2,200) ÷ 955 = </w:t>
            </w:r>
            <w:r w:rsidRPr="00D343CC">
              <w:rPr>
                <w:rFonts w:cs="Arial"/>
                <w:b/>
                <w:bCs/>
              </w:rPr>
              <w:t>(2.30)</w:t>
            </w:r>
          </w:p>
        </w:tc>
        <w:tc>
          <w:tcPr>
            <w:tcW w:w="0" w:type="auto"/>
            <w:hideMark/>
          </w:tcPr>
          <w:p w14:paraId="21DB736D" w14:textId="77777777" w:rsidR="00990E6A" w:rsidRPr="00D343CC" w:rsidRDefault="00990E6A" w:rsidP="000E65AF">
            <w:pPr>
              <w:spacing w:after="200"/>
              <w:rPr>
                <w:rFonts w:cs="Arial"/>
              </w:rPr>
            </w:pPr>
            <w:r w:rsidRPr="00D343CC">
              <w:rPr>
                <w:rFonts w:cs="Arial"/>
              </w:rPr>
              <w:t xml:space="preserve">(85,301) ÷ 4,332 = </w:t>
            </w:r>
            <w:r w:rsidRPr="00D343CC">
              <w:rPr>
                <w:rFonts w:cs="Arial"/>
                <w:b/>
                <w:bCs/>
              </w:rPr>
              <w:t>(19.69)</w:t>
            </w:r>
          </w:p>
        </w:tc>
        <w:tc>
          <w:tcPr>
            <w:tcW w:w="0" w:type="auto"/>
            <w:hideMark/>
          </w:tcPr>
          <w:p w14:paraId="7AE7E739" w14:textId="77777777" w:rsidR="00990E6A" w:rsidRPr="00D343CC" w:rsidRDefault="00990E6A" w:rsidP="000E65AF">
            <w:pPr>
              <w:spacing w:after="200"/>
              <w:rPr>
                <w:rFonts w:cs="Arial"/>
              </w:rPr>
            </w:pPr>
            <w:r w:rsidRPr="00D343CC">
              <w:rPr>
                <w:rFonts w:cs="Arial"/>
              </w:rPr>
              <w:t xml:space="preserve">(15,297) ÷ 3,361 = </w:t>
            </w:r>
            <w:r w:rsidRPr="00D343CC">
              <w:rPr>
                <w:rFonts w:cs="Arial"/>
                <w:b/>
                <w:bCs/>
              </w:rPr>
              <w:t>(4.55)</w:t>
            </w:r>
          </w:p>
        </w:tc>
      </w:tr>
      <w:tr w:rsidR="00990E6A" w:rsidRPr="00D343CC" w14:paraId="2248B1DB" w14:textId="77777777" w:rsidTr="00990E6A">
        <w:tc>
          <w:tcPr>
            <w:tcW w:w="0" w:type="auto"/>
            <w:hideMark/>
          </w:tcPr>
          <w:p w14:paraId="329FC315" w14:textId="77777777" w:rsidR="00990E6A" w:rsidRPr="00D343CC" w:rsidRDefault="00990E6A" w:rsidP="000E65AF">
            <w:pPr>
              <w:spacing w:after="200"/>
              <w:rPr>
                <w:rFonts w:cs="Arial"/>
              </w:rPr>
            </w:pPr>
            <w:r w:rsidRPr="00D343CC">
              <w:rPr>
                <w:rFonts w:cs="Arial"/>
                <w:b/>
                <w:bCs/>
              </w:rPr>
              <w:t>Debt to Equity Ratio</w:t>
            </w:r>
          </w:p>
        </w:tc>
        <w:tc>
          <w:tcPr>
            <w:tcW w:w="0" w:type="auto"/>
            <w:hideMark/>
          </w:tcPr>
          <w:p w14:paraId="360BD27F" w14:textId="77777777" w:rsidR="00990E6A" w:rsidRPr="00D343CC" w:rsidRDefault="00990E6A" w:rsidP="000E65AF">
            <w:pPr>
              <w:spacing w:after="200"/>
              <w:rPr>
                <w:rFonts w:cs="Arial"/>
              </w:rPr>
            </w:pPr>
            <w:r w:rsidRPr="00D343CC">
              <w:rPr>
                <w:rFonts w:cs="Arial"/>
              </w:rPr>
              <w:t>Total Liabilities ÷ Shareholders’ Equity</w:t>
            </w:r>
          </w:p>
        </w:tc>
        <w:tc>
          <w:tcPr>
            <w:tcW w:w="0" w:type="auto"/>
            <w:hideMark/>
          </w:tcPr>
          <w:p w14:paraId="7E97321E" w14:textId="77777777" w:rsidR="00990E6A" w:rsidRPr="00D343CC" w:rsidRDefault="00990E6A" w:rsidP="000E65AF">
            <w:pPr>
              <w:spacing w:after="200"/>
              <w:rPr>
                <w:rFonts w:cs="Arial"/>
              </w:rPr>
            </w:pPr>
            <w:r w:rsidRPr="00D343CC">
              <w:rPr>
                <w:rFonts w:cs="Arial"/>
              </w:rPr>
              <w:t xml:space="preserve">196,989 ÷ 313,301 = </w:t>
            </w:r>
            <w:r w:rsidRPr="00D343CC">
              <w:rPr>
                <w:rFonts w:cs="Arial"/>
                <w:b/>
                <w:bCs/>
              </w:rPr>
              <w:t>0.63</w:t>
            </w:r>
          </w:p>
        </w:tc>
        <w:tc>
          <w:tcPr>
            <w:tcW w:w="0" w:type="auto"/>
            <w:hideMark/>
          </w:tcPr>
          <w:p w14:paraId="096A9CE4" w14:textId="77777777" w:rsidR="00990E6A" w:rsidRPr="00D343CC" w:rsidRDefault="00990E6A" w:rsidP="000E65AF">
            <w:pPr>
              <w:spacing w:after="200"/>
              <w:rPr>
                <w:rFonts w:cs="Arial"/>
              </w:rPr>
            </w:pPr>
            <w:r w:rsidRPr="00D343CC">
              <w:rPr>
                <w:rFonts w:cs="Arial"/>
              </w:rPr>
              <w:t xml:space="preserve">234,399 ÷ 275,949 = </w:t>
            </w:r>
            <w:r w:rsidRPr="00D343CC">
              <w:rPr>
                <w:rFonts w:cs="Arial"/>
                <w:b/>
                <w:bCs/>
              </w:rPr>
              <w:t>0.85</w:t>
            </w:r>
          </w:p>
        </w:tc>
        <w:tc>
          <w:tcPr>
            <w:tcW w:w="0" w:type="auto"/>
            <w:hideMark/>
          </w:tcPr>
          <w:p w14:paraId="5A119132" w14:textId="77777777" w:rsidR="00990E6A" w:rsidRPr="00D343CC" w:rsidRDefault="00990E6A" w:rsidP="000E65AF">
            <w:pPr>
              <w:spacing w:after="200"/>
              <w:rPr>
                <w:rFonts w:cs="Arial"/>
              </w:rPr>
            </w:pPr>
            <w:r w:rsidRPr="00D343CC">
              <w:rPr>
                <w:rFonts w:cs="Arial"/>
              </w:rPr>
              <w:t xml:space="preserve">235,757 ÷ 268,406 = </w:t>
            </w:r>
            <w:r w:rsidRPr="00D343CC">
              <w:rPr>
                <w:rFonts w:cs="Arial"/>
                <w:b/>
                <w:bCs/>
              </w:rPr>
              <w:t>0.88</w:t>
            </w:r>
          </w:p>
        </w:tc>
        <w:tc>
          <w:tcPr>
            <w:tcW w:w="0" w:type="auto"/>
            <w:hideMark/>
          </w:tcPr>
          <w:p w14:paraId="6EFC181B" w14:textId="77777777" w:rsidR="00990E6A" w:rsidRPr="00D343CC" w:rsidRDefault="00990E6A" w:rsidP="000E65AF">
            <w:pPr>
              <w:spacing w:after="200"/>
              <w:rPr>
                <w:rFonts w:cs="Arial"/>
              </w:rPr>
            </w:pPr>
            <w:r w:rsidRPr="00D343CC">
              <w:rPr>
                <w:rFonts w:cs="Arial"/>
              </w:rPr>
              <w:t xml:space="preserve">176,952 ÷ 178,920 = </w:t>
            </w:r>
            <w:r w:rsidRPr="00D343CC">
              <w:rPr>
                <w:rFonts w:cs="Arial"/>
                <w:b/>
                <w:bCs/>
              </w:rPr>
              <w:t>0.99</w:t>
            </w:r>
          </w:p>
        </w:tc>
        <w:tc>
          <w:tcPr>
            <w:tcW w:w="0" w:type="auto"/>
            <w:hideMark/>
          </w:tcPr>
          <w:p w14:paraId="5835C80E" w14:textId="77777777" w:rsidR="00990E6A" w:rsidRPr="00D343CC" w:rsidRDefault="00990E6A" w:rsidP="000E65AF">
            <w:pPr>
              <w:spacing w:after="200"/>
              <w:rPr>
                <w:rFonts w:cs="Arial"/>
              </w:rPr>
            </w:pPr>
            <w:r w:rsidRPr="00D343CC">
              <w:rPr>
                <w:rFonts w:cs="Arial"/>
              </w:rPr>
              <w:t xml:space="preserve">170,249 ÷ 153,105 = </w:t>
            </w:r>
            <w:r w:rsidRPr="00D343CC">
              <w:rPr>
                <w:rFonts w:cs="Arial"/>
                <w:b/>
                <w:bCs/>
              </w:rPr>
              <w:t>1.11</w:t>
            </w:r>
          </w:p>
        </w:tc>
      </w:tr>
      <w:tr w:rsidR="00990E6A" w:rsidRPr="00D343CC" w14:paraId="722829E3" w14:textId="77777777" w:rsidTr="00990E6A">
        <w:tc>
          <w:tcPr>
            <w:tcW w:w="0" w:type="auto"/>
            <w:hideMark/>
          </w:tcPr>
          <w:p w14:paraId="59DBE032" w14:textId="77777777" w:rsidR="00990E6A" w:rsidRPr="00D343CC" w:rsidRDefault="00990E6A" w:rsidP="000E65AF">
            <w:pPr>
              <w:spacing w:after="200"/>
              <w:rPr>
                <w:rFonts w:cs="Arial"/>
              </w:rPr>
            </w:pPr>
            <w:r w:rsidRPr="00D343CC">
              <w:rPr>
                <w:rFonts w:cs="Arial"/>
                <w:b/>
                <w:bCs/>
              </w:rPr>
              <w:t>Debt to Capital Ratio</w:t>
            </w:r>
          </w:p>
        </w:tc>
        <w:tc>
          <w:tcPr>
            <w:tcW w:w="0" w:type="auto"/>
            <w:hideMark/>
          </w:tcPr>
          <w:p w14:paraId="6334BC7F" w14:textId="77777777" w:rsidR="00990E6A" w:rsidRPr="00D343CC" w:rsidRDefault="00990E6A" w:rsidP="000E65AF">
            <w:pPr>
              <w:spacing w:after="200"/>
              <w:rPr>
                <w:rFonts w:cs="Arial"/>
              </w:rPr>
            </w:pPr>
            <w:r w:rsidRPr="00D343CC">
              <w:rPr>
                <w:rFonts w:cs="Arial"/>
              </w:rPr>
              <w:t>Total Liabilities ÷ (Total Assets)</w:t>
            </w:r>
          </w:p>
        </w:tc>
        <w:tc>
          <w:tcPr>
            <w:tcW w:w="0" w:type="auto"/>
            <w:hideMark/>
          </w:tcPr>
          <w:p w14:paraId="79304846" w14:textId="77777777" w:rsidR="00990E6A" w:rsidRPr="00D343CC" w:rsidRDefault="00990E6A" w:rsidP="000E65AF">
            <w:pPr>
              <w:spacing w:after="200"/>
              <w:rPr>
                <w:rFonts w:cs="Arial"/>
              </w:rPr>
            </w:pPr>
            <w:r w:rsidRPr="00D343CC">
              <w:rPr>
                <w:rFonts w:cs="Arial"/>
              </w:rPr>
              <w:t xml:space="preserve">196,989 ÷ 510,290 = </w:t>
            </w:r>
            <w:r w:rsidRPr="00D343CC">
              <w:rPr>
                <w:rFonts w:cs="Arial"/>
                <w:b/>
                <w:bCs/>
              </w:rPr>
              <w:t>0.39</w:t>
            </w:r>
          </w:p>
        </w:tc>
        <w:tc>
          <w:tcPr>
            <w:tcW w:w="0" w:type="auto"/>
            <w:hideMark/>
          </w:tcPr>
          <w:p w14:paraId="4C519419" w14:textId="77777777" w:rsidR="00990E6A" w:rsidRPr="00D343CC" w:rsidRDefault="00990E6A" w:rsidP="000E65AF">
            <w:pPr>
              <w:spacing w:after="200"/>
              <w:rPr>
                <w:rFonts w:cs="Arial"/>
              </w:rPr>
            </w:pPr>
            <w:r w:rsidRPr="00D343CC">
              <w:rPr>
                <w:rFonts w:cs="Arial"/>
              </w:rPr>
              <w:t xml:space="preserve">234,399 ÷ 510,348 = </w:t>
            </w:r>
            <w:r w:rsidRPr="00D343CC">
              <w:rPr>
                <w:rFonts w:cs="Arial"/>
                <w:b/>
                <w:bCs/>
              </w:rPr>
              <w:t>0.46</w:t>
            </w:r>
          </w:p>
        </w:tc>
        <w:tc>
          <w:tcPr>
            <w:tcW w:w="0" w:type="auto"/>
            <w:hideMark/>
          </w:tcPr>
          <w:p w14:paraId="70AB67DC" w14:textId="77777777" w:rsidR="00990E6A" w:rsidRPr="00D343CC" w:rsidRDefault="00990E6A" w:rsidP="000E65AF">
            <w:pPr>
              <w:spacing w:after="200"/>
              <w:rPr>
                <w:rFonts w:cs="Arial"/>
              </w:rPr>
            </w:pPr>
            <w:r w:rsidRPr="00D343CC">
              <w:rPr>
                <w:rFonts w:cs="Arial"/>
              </w:rPr>
              <w:t xml:space="preserve">235,757 ÷ 504,163 = </w:t>
            </w:r>
            <w:r w:rsidRPr="00D343CC">
              <w:rPr>
                <w:rFonts w:cs="Arial"/>
                <w:b/>
                <w:bCs/>
              </w:rPr>
              <w:t>0.47</w:t>
            </w:r>
          </w:p>
        </w:tc>
        <w:tc>
          <w:tcPr>
            <w:tcW w:w="0" w:type="auto"/>
            <w:hideMark/>
          </w:tcPr>
          <w:p w14:paraId="7ABC4885" w14:textId="77777777" w:rsidR="00990E6A" w:rsidRPr="00D343CC" w:rsidRDefault="00990E6A" w:rsidP="000E65AF">
            <w:pPr>
              <w:spacing w:after="200"/>
              <w:rPr>
                <w:rFonts w:cs="Arial"/>
              </w:rPr>
            </w:pPr>
            <w:r w:rsidRPr="00D343CC">
              <w:rPr>
                <w:rFonts w:cs="Arial"/>
              </w:rPr>
              <w:t xml:space="preserve">176,952 ÷ 355,872 = </w:t>
            </w:r>
            <w:r w:rsidRPr="00D343CC">
              <w:rPr>
                <w:rFonts w:cs="Arial"/>
                <w:b/>
                <w:bCs/>
              </w:rPr>
              <w:t>0.50</w:t>
            </w:r>
          </w:p>
        </w:tc>
        <w:tc>
          <w:tcPr>
            <w:tcW w:w="0" w:type="auto"/>
            <w:hideMark/>
          </w:tcPr>
          <w:p w14:paraId="24372236" w14:textId="77777777" w:rsidR="00990E6A" w:rsidRPr="00D343CC" w:rsidRDefault="00990E6A" w:rsidP="000E65AF">
            <w:pPr>
              <w:spacing w:after="200"/>
              <w:rPr>
                <w:rFonts w:cs="Arial"/>
              </w:rPr>
            </w:pPr>
            <w:r w:rsidRPr="00D343CC">
              <w:rPr>
                <w:rFonts w:cs="Arial"/>
              </w:rPr>
              <w:t xml:space="preserve">170,249 ÷ 323,354 = </w:t>
            </w:r>
            <w:r w:rsidRPr="00D343CC">
              <w:rPr>
                <w:rFonts w:cs="Arial"/>
                <w:b/>
                <w:bCs/>
              </w:rPr>
              <w:t>0.53</w:t>
            </w:r>
          </w:p>
        </w:tc>
      </w:tr>
      <w:tr w:rsidR="00990E6A" w:rsidRPr="00D343CC" w14:paraId="64E6E5DA" w14:textId="77777777" w:rsidTr="00990E6A">
        <w:tc>
          <w:tcPr>
            <w:tcW w:w="0" w:type="auto"/>
            <w:hideMark/>
          </w:tcPr>
          <w:p w14:paraId="09DBD31E" w14:textId="77777777" w:rsidR="00990E6A" w:rsidRPr="00D343CC" w:rsidRDefault="00990E6A" w:rsidP="000E65AF">
            <w:pPr>
              <w:spacing w:after="200"/>
              <w:rPr>
                <w:rFonts w:cs="Arial"/>
              </w:rPr>
            </w:pPr>
            <w:r w:rsidRPr="00D343CC">
              <w:rPr>
                <w:rFonts w:cs="Arial"/>
                <w:b/>
                <w:bCs/>
              </w:rPr>
              <w:t>Equity Multiplier</w:t>
            </w:r>
          </w:p>
        </w:tc>
        <w:tc>
          <w:tcPr>
            <w:tcW w:w="0" w:type="auto"/>
            <w:hideMark/>
          </w:tcPr>
          <w:p w14:paraId="513EDDDF" w14:textId="77777777" w:rsidR="00990E6A" w:rsidRPr="00D343CC" w:rsidRDefault="00990E6A" w:rsidP="000E65AF">
            <w:pPr>
              <w:spacing w:after="200"/>
              <w:rPr>
                <w:rFonts w:cs="Arial"/>
              </w:rPr>
            </w:pPr>
            <w:r w:rsidRPr="00D343CC">
              <w:rPr>
                <w:rFonts w:cs="Arial"/>
              </w:rPr>
              <w:t>Total Assets ÷ Shareholders’ Equity</w:t>
            </w:r>
          </w:p>
        </w:tc>
        <w:tc>
          <w:tcPr>
            <w:tcW w:w="0" w:type="auto"/>
            <w:hideMark/>
          </w:tcPr>
          <w:p w14:paraId="73D281C9" w14:textId="77777777" w:rsidR="00990E6A" w:rsidRPr="00D343CC" w:rsidRDefault="00990E6A" w:rsidP="000E65AF">
            <w:pPr>
              <w:spacing w:after="200"/>
              <w:rPr>
                <w:rFonts w:cs="Arial"/>
              </w:rPr>
            </w:pPr>
            <w:r w:rsidRPr="00D343CC">
              <w:rPr>
                <w:rFonts w:cs="Arial"/>
              </w:rPr>
              <w:t xml:space="preserve">510,290 ÷ 313,301 = </w:t>
            </w:r>
            <w:r w:rsidRPr="00D343CC">
              <w:rPr>
                <w:rFonts w:cs="Arial"/>
                <w:b/>
                <w:bCs/>
              </w:rPr>
              <w:t>1.63</w:t>
            </w:r>
          </w:p>
        </w:tc>
        <w:tc>
          <w:tcPr>
            <w:tcW w:w="0" w:type="auto"/>
            <w:hideMark/>
          </w:tcPr>
          <w:p w14:paraId="6DC9EAB0" w14:textId="77777777" w:rsidR="00990E6A" w:rsidRPr="00D343CC" w:rsidRDefault="00990E6A" w:rsidP="000E65AF">
            <w:pPr>
              <w:spacing w:after="200"/>
              <w:rPr>
                <w:rFonts w:cs="Arial"/>
              </w:rPr>
            </w:pPr>
            <w:r w:rsidRPr="00D343CC">
              <w:rPr>
                <w:rFonts w:cs="Arial"/>
              </w:rPr>
              <w:t xml:space="preserve">510,348 ÷ 275,949 = </w:t>
            </w:r>
            <w:r w:rsidRPr="00D343CC">
              <w:rPr>
                <w:rFonts w:cs="Arial"/>
                <w:b/>
                <w:bCs/>
              </w:rPr>
              <w:t>1.85</w:t>
            </w:r>
          </w:p>
        </w:tc>
        <w:tc>
          <w:tcPr>
            <w:tcW w:w="0" w:type="auto"/>
            <w:hideMark/>
          </w:tcPr>
          <w:p w14:paraId="763D46B7" w14:textId="77777777" w:rsidR="00990E6A" w:rsidRPr="00D343CC" w:rsidRDefault="00990E6A" w:rsidP="000E65AF">
            <w:pPr>
              <w:spacing w:after="200"/>
              <w:rPr>
                <w:rFonts w:cs="Arial"/>
              </w:rPr>
            </w:pPr>
            <w:r w:rsidRPr="00D343CC">
              <w:rPr>
                <w:rFonts w:cs="Arial"/>
              </w:rPr>
              <w:t xml:space="preserve">504,163 ÷ 268,406 = </w:t>
            </w:r>
            <w:r w:rsidRPr="00D343CC">
              <w:rPr>
                <w:rFonts w:cs="Arial"/>
                <w:b/>
                <w:bCs/>
              </w:rPr>
              <w:t>1.88</w:t>
            </w:r>
          </w:p>
        </w:tc>
        <w:tc>
          <w:tcPr>
            <w:tcW w:w="0" w:type="auto"/>
            <w:hideMark/>
          </w:tcPr>
          <w:p w14:paraId="27CEC029" w14:textId="77777777" w:rsidR="00990E6A" w:rsidRPr="00D343CC" w:rsidRDefault="00990E6A" w:rsidP="000E65AF">
            <w:pPr>
              <w:spacing w:after="200"/>
              <w:rPr>
                <w:rFonts w:cs="Arial"/>
              </w:rPr>
            </w:pPr>
            <w:r w:rsidRPr="00D343CC">
              <w:rPr>
                <w:rFonts w:cs="Arial"/>
              </w:rPr>
              <w:t xml:space="preserve">355,872 ÷ 178,920 = </w:t>
            </w:r>
            <w:r w:rsidRPr="00D343CC">
              <w:rPr>
                <w:rFonts w:cs="Arial"/>
                <w:b/>
                <w:bCs/>
              </w:rPr>
              <w:t>1.99</w:t>
            </w:r>
          </w:p>
        </w:tc>
        <w:tc>
          <w:tcPr>
            <w:tcW w:w="0" w:type="auto"/>
            <w:hideMark/>
          </w:tcPr>
          <w:p w14:paraId="41AEAB1A" w14:textId="77777777" w:rsidR="00990E6A" w:rsidRPr="00D343CC" w:rsidRDefault="00990E6A" w:rsidP="000E65AF">
            <w:pPr>
              <w:spacing w:after="200"/>
              <w:rPr>
                <w:rFonts w:cs="Arial"/>
              </w:rPr>
            </w:pPr>
            <w:r w:rsidRPr="00D343CC">
              <w:rPr>
                <w:rFonts w:cs="Arial"/>
              </w:rPr>
              <w:t xml:space="preserve">323,354 ÷ 153,105 = </w:t>
            </w:r>
            <w:r w:rsidRPr="00D343CC">
              <w:rPr>
                <w:rFonts w:cs="Arial"/>
                <w:b/>
                <w:bCs/>
              </w:rPr>
              <w:t>2.11</w:t>
            </w:r>
          </w:p>
        </w:tc>
      </w:tr>
    </w:tbl>
    <w:p w14:paraId="28C4537C" w14:textId="36DC46B7" w:rsidR="00E9277F" w:rsidRPr="00D343CC" w:rsidRDefault="00BB5575" w:rsidP="000E65AF">
      <w:pPr>
        <w:pStyle w:val="Caption"/>
        <w:spacing w:line="360" w:lineRule="auto"/>
        <w:rPr>
          <w:rFonts w:eastAsia="Times New Roman" w:cs="Arial"/>
          <w:i w:val="0"/>
          <w:iCs w:val="0"/>
          <w:color w:val="000000" w:themeColor="text1"/>
          <w:sz w:val="22"/>
          <w:szCs w:val="22"/>
        </w:rPr>
      </w:pPr>
      <w:bookmarkStart w:id="62" w:name="_Toc217130601"/>
      <w:bookmarkStart w:id="63" w:name="_Toc217131030"/>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4</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2"/>
          <w:szCs w:val="22"/>
        </w:rPr>
        <w:t>Gearing Ratios (Self-Prepared)</w:t>
      </w:r>
      <w:bookmarkEnd w:id="62"/>
      <w:bookmarkEnd w:id="63"/>
    </w:p>
    <w:p w14:paraId="730D940C" w14:textId="6704C3C6" w:rsidR="00E9277F" w:rsidRPr="00D343CC" w:rsidRDefault="00E9277F" w:rsidP="00690583">
      <w:pPr>
        <w:jc w:val="center"/>
        <w:rPr>
          <w:rFonts w:cs="Arial"/>
          <w:color w:val="000000" w:themeColor="text1"/>
          <w:sz w:val="28"/>
          <w:szCs w:val="24"/>
        </w:rPr>
      </w:pPr>
      <w:r w:rsidRPr="00D343CC">
        <w:rPr>
          <w:rFonts w:cs="Arial"/>
          <w:noProof/>
          <w:color w:val="000000" w:themeColor="text1"/>
          <w:sz w:val="28"/>
          <w:szCs w:val="24"/>
          <w14:ligatures w14:val="standardContextual"/>
        </w:rPr>
        <w:drawing>
          <wp:inline distT="0" distB="0" distL="0" distR="0" wp14:anchorId="3CD77D83" wp14:editId="31F6EAB9">
            <wp:extent cx="5162550" cy="3033712"/>
            <wp:effectExtent l="0" t="0" r="0" b="14605"/>
            <wp:docPr id="1053302136" name="Chart 1">
              <a:extLst xmlns:a="http://schemas.openxmlformats.org/drawingml/2006/main">
                <a:ext uri="{FF2B5EF4-FFF2-40B4-BE49-F238E27FC236}">
                  <a16:creationId xmlns:a16="http://schemas.microsoft.com/office/drawing/2014/main" id="{0CDE735F-C3D3-4062-B7E8-202267F8B7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6D984BC" w14:textId="7F8E970D" w:rsidR="00E9277F" w:rsidRPr="00D343CC" w:rsidRDefault="0086063E" w:rsidP="00690583">
      <w:pPr>
        <w:pStyle w:val="Caption"/>
        <w:spacing w:line="360" w:lineRule="auto"/>
        <w:jc w:val="center"/>
        <w:rPr>
          <w:rFonts w:eastAsia="Times New Roman" w:cs="Arial"/>
          <w:i w:val="0"/>
          <w:iCs w:val="0"/>
          <w:color w:val="000000" w:themeColor="text1"/>
          <w:sz w:val="20"/>
          <w:szCs w:val="20"/>
        </w:rPr>
      </w:pPr>
      <w:bookmarkStart w:id="64" w:name="_Toc217130595"/>
      <w:bookmarkStart w:id="65" w:name="_Toc217246624"/>
      <w:r w:rsidRPr="00D343CC">
        <w:rPr>
          <w:rFonts w:cs="Arial"/>
          <w:i w:val="0"/>
          <w:iCs w:val="0"/>
          <w:color w:val="000000" w:themeColor="text1"/>
          <w:sz w:val="20"/>
          <w:szCs w:val="20"/>
        </w:rPr>
        <w:t xml:space="preserve">Figure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Figure \* ARABIC </w:instrText>
      </w:r>
      <w:r w:rsidRPr="00D343CC">
        <w:rPr>
          <w:rFonts w:cs="Arial"/>
          <w:i w:val="0"/>
          <w:iCs w:val="0"/>
          <w:color w:val="000000" w:themeColor="text1"/>
          <w:sz w:val="20"/>
          <w:szCs w:val="20"/>
        </w:rPr>
        <w:fldChar w:fldCharType="separate"/>
      </w:r>
      <w:r w:rsidR="00861CFB">
        <w:rPr>
          <w:rFonts w:cs="Arial"/>
          <w:i w:val="0"/>
          <w:iCs w:val="0"/>
          <w:noProof/>
          <w:color w:val="000000" w:themeColor="text1"/>
          <w:sz w:val="20"/>
          <w:szCs w:val="20"/>
        </w:rPr>
        <w:t>5</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0"/>
          <w:szCs w:val="20"/>
        </w:rPr>
        <w:t>Gearing Ratios Comparison (Self-Prepared)</w:t>
      </w:r>
      <w:bookmarkEnd w:id="64"/>
      <w:bookmarkEnd w:id="65"/>
    </w:p>
    <w:p w14:paraId="34B85B91" w14:textId="77777777" w:rsidR="00AD1754" w:rsidRPr="00D343CC" w:rsidRDefault="00AD1754" w:rsidP="000E65AF">
      <w:pPr>
        <w:rPr>
          <w:rFonts w:eastAsiaTheme="majorEastAsia" w:cs="Arial"/>
          <w:b/>
          <w:i/>
          <w:color w:val="244061" w:themeColor="accent1" w:themeShade="80"/>
          <w:szCs w:val="28"/>
        </w:rPr>
      </w:pPr>
      <w:r w:rsidRPr="00D343CC">
        <w:rPr>
          <w:rFonts w:cs="Arial"/>
        </w:rPr>
        <w:br w:type="page"/>
      </w:r>
    </w:p>
    <w:p w14:paraId="23B37B1D" w14:textId="4F70C813" w:rsidR="00E9277F" w:rsidRPr="00D343CC" w:rsidRDefault="00E9277F" w:rsidP="000E65AF">
      <w:pPr>
        <w:pStyle w:val="Heading3"/>
        <w:rPr>
          <w:rFonts w:cs="Arial"/>
        </w:rPr>
      </w:pPr>
      <w:bookmarkStart w:id="66" w:name="_Toc217246602"/>
      <w:r w:rsidRPr="00D343CC">
        <w:rPr>
          <w:rFonts w:cs="Arial"/>
        </w:rPr>
        <w:lastRenderedPageBreak/>
        <w:t>Table A5: Investment Ratios (2020–2024)</w:t>
      </w:r>
      <w:bookmarkEnd w:id="66"/>
    </w:p>
    <w:p w14:paraId="3786C0A2" w14:textId="77777777" w:rsidR="00E9277F" w:rsidRPr="00D343CC" w:rsidRDefault="00E9277F" w:rsidP="000E65AF">
      <w:pPr>
        <w:rPr>
          <w:rFonts w:cs="Arial"/>
        </w:rPr>
      </w:pPr>
      <w:r w:rsidRPr="00D343CC">
        <w:rPr>
          <w:rFonts w:cs="Arial"/>
        </w:rPr>
        <w:t>Earnings per share = Net income / Shares outstanding</w:t>
      </w:r>
    </w:p>
    <w:p w14:paraId="4798CA10" w14:textId="77777777" w:rsidR="00E9277F" w:rsidRPr="00D343CC" w:rsidRDefault="00E9277F" w:rsidP="000E65AF">
      <w:pPr>
        <w:rPr>
          <w:rFonts w:cs="Arial"/>
        </w:rPr>
      </w:pPr>
      <w:r w:rsidRPr="00D343CC">
        <w:rPr>
          <w:rFonts w:cs="Arial"/>
        </w:rPr>
        <w:t>Price to earnings ratio = Market price per share / Earnings per share</w:t>
      </w:r>
    </w:p>
    <w:p w14:paraId="4B8C9F07" w14:textId="77777777" w:rsidR="00E9277F" w:rsidRPr="00D343CC" w:rsidRDefault="00E9277F" w:rsidP="000E65AF">
      <w:pPr>
        <w:rPr>
          <w:rFonts w:cs="Arial"/>
        </w:rPr>
      </w:pPr>
      <w:r w:rsidRPr="00D343CC">
        <w:rPr>
          <w:rFonts w:cs="Arial"/>
        </w:rPr>
        <w:t>Return on equity = Net income / Shareholders’ equity</w:t>
      </w:r>
    </w:p>
    <w:p w14:paraId="6CBDB9DD" w14:textId="77777777" w:rsidR="00E9277F" w:rsidRPr="00D343CC" w:rsidRDefault="00E9277F" w:rsidP="000E65AF">
      <w:pPr>
        <w:rPr>
          <w:rFonts w:cs="Arial"/>
        </w:rPr>
      </w:pPr>
      <w:r w:rsidRPr="00D343CC">
        <w:rPr>
          <w:rFonts w:cs="Arial"/>
        </w:rPr>
        <w:t>Return on assets = Net income / Total assets</w:t>
      </w:r>
    </w:p>
    <w:p w14:paraId="1EB1CA34" w14:textId="5D20F885" w:rsidR="00E9277F" w:rsidRPr="00D343CC" w:rsidRDefault="00AD1754" w:rsidP="00DE6EFB">
      <w:pPr>
        <w:jc w:val="center"/>
        <w:rPr>
          <w:rFonts w:cs="Arial"/>
        </w:rPr>
      </w:pPr>
      <w:r w:rsidRPr="00D343CC">
        <w:rPr>
          <w:rFonts w:cs="Arial"/>
          <w:b/>
          <w:bCs/>
        </w:rPr>
        <w:t>Investment Ratios Calculation Table (2020–2024)</w:t>
      </w:r>
    </w:p>
    <w:tbl>
      <w:tblPr>
        <w:tblStyle w:val="TableGrid"/>
        <w:tblW w:w="0" w:type="auto"/>
        <w:tblLook w:val="04A0" w:firstRow="1" w:lastRow="0" w:firstColumn="1" w:lastColumn="0" w:noHBand="0" w:noVBand="1"/>
      </w:tblPr>
      <w:tblGrid>
        <w:gridCol w:w="1318"/>
        <w:gridCol w:w="1602"/>
        <w:gridCol w:w="1166"/>
        <w:gridCol w:w="1156"/>
        <w:gridCol w:w="1212"/>
        <w:gridCol w:w="1281"/>
        <w:gridCol w:w="1281"/>
      </w:tblGrid>
      <w:tr w:rsidR="00E9277F" w:rsidRPr="00D343CC" w14:paraId="6101259A" w14:textId="77777777" w:rsidTr="00E9277F">
        <w:tc>
          <w:tcPr>
            <w:tcW w:w="0" w:type="auto"/>
            <w:hideMark/>
          </w:tcPr>
          <w:p w14:paraId="15177A51" w14:textId="77777777" w:rsidR="00E9277F" w:rsidRPr="00D343CC" w:rsidRDefault="00E9277F" w:rsidP="000E65AF">
            <w:pPr>
              <w:spacing w:after="200"/>
              <w:rPr>
                <w:rFonts w:cs="Arial"/>
                <w:b/>
                <w:bCs/>
              </w:rPr>
            </w:pPr>
            <w:r w:rsidRPr="00D343CC">
              <w:rPr>
                <w:rFonts w:cs="Arial"/>
                <w:b/>
                <w:bCs/>
              </w:rPr>
              <w:t>Ratio</w:t>
            </w:r>
          </w:p>
        </w:tc>
        <w:tc>
          <w:tcPr>
            <w:tcW w:w="0" w:type="auto"/>
            <w:hideMark/>
          </w:tcPr>
          <w:p w14:paraId="40BC3F9B" w14:textId="77777777" w:rsidR="00E9277F" w:rsidRPr="00D343CC" w:rsidRDefault="00E9277F" w:rsidP="000E65AF">
            <w:pPr>
              <w:spacing w:after="200"/>
              <w:rPr>
                <w:rFonts w:cs="Arial"/>
                <w:b/>
                <w:bCs/>
              </w:rPr>
            </w:pPr>
            <w:r w:rsidRPr="00D343CC">
              <w:rPr>
                <w:rFonts w:cs="Arial"/>
                <w:b/>
                <w:bCs/>
              </w:rPr>
              <w:t>Formula</w:t>
            </w:r>
          </w:p>
        </w:tc>
        <w:tc>
          <w:tcPr>
            <w:tcW w:w="0" w:type="auto"/>
            <w:hideMark/>
          </w:tcPr>
          <w:p w14:paraId="10E0F068" w14:textId="77777777" w:rsidR="00E9277F" w:rsidRPr="00D343CC" w:rsidRDefault="00E9277F" w:rsidP="000E65AF">
            <w:pPr>
              <w:spacing w:after="200"/>
              <w:rPr>
                <w:rFonts w:cs="Arial"/>
                <w:b/>
                <w:bCs/>
              </w:rPr>
            </w:pPr>
            <w:r w:rsidRPr="00D343CC">
              <w:rPr>
                <w:rFonts w:cs="Arial"/>
                <w:b/>
                <w:bCs/>
              </w:rPr>
              <w:t>2020</w:t>
            </w:r>
          </w:p>
        </w:tc>
        <w:tc>
          <w:tcPr>
            <w:tcW w:w="0" w:type="auto"/>
            <w:hideMark/>
          </w:tcPr>
          <w:p w14:paraId="20738A1E" w14:textId="77777777" w:rsidR="00E9277F" w:rsidRPr="00D343CC" w:rsidRDefault="00E9277F" w:rsidP="000E65AF">
            <w:pPr>
              <w:spacing w:after="200"/>
              <w:rPr>
                <w:rFonts w:cs="Arial"/>
                <w:b/>
                <w:bCs/>
              </w:rPr>
            </w:pPr>
            <w:r w:rsidRPr="00D343CC">
              <w:rPr>
                <w:rFonts w:cs="Arial"/>
                <w:b/>
                <w:bCs/>
              </w:rPr>
              <w:t>2021</w:t>
            </w:r>
          </w:p>
        </w:tc>
        <w:tc>
          <w:tcPr>
            <w:tcW w:w="0" w:type="auto"/>
            <w:hideMark/>
          </w:tcPr>
          <w:p w14:paraId="0B866D8E" w14:textId="77777777" w:rsidR="00E9277F" w:rsidRPr="00D343CC" w:rsidRDefault="00E9277F" w:rsidP="000E65AF">
            <w:pPr>
              <w:spacing w:after="200"/>
              <w:rPr>
                <w:rFonts w:cs="Arial"/>
                <w:b/>
                <w:bCs/>
              </w:rPr>
            </w:pPr>
            <w:r w:rsidRPr="00D343CC">
              <w:rPr>
                <w:rFonts w:cs="Arial"/>
                <w:b/>
                <w:bCs/>
              </w:rPr>
              <w:t>2022</w:t>
            </w:r>
          </w:p>
        </w:tc>
        <w:tc>
          <w:tcPr>
            <w:tcW w:w="0" w:type="auto"/>
            <w:hideMark/>
          </w:tcPr>
          <w:p w14:paraId="3F258D18" w14:textId="77777777" w:rsidR="00E9277F" w:rsidRPr="00D343CC" w:rsidRDefault="00E9277F" w:rsidP="000E65AF">
            <w:pPr>
              <w:spacing w:after="200"/>
              <w:rPr>
                <w:rFonts w:cs="Arial"/>
                <w:b/>
                <w:bCs/>
              </w:rPr>
            </w:pPr>
            <w:r w:rsidRPr="00D343CC">
              <w:rPr>
                <w:rFonts w:cs="Arial"/>
                <w:b/>
                <w:bCs/>
              </w:rPr>
              <w:t>2023</w:t>
            </w:r>
          </w:p>
        </w:tc>
        <w:tc>
          <w:tcPr>
            <w:tcW w:w="0" w:type="auto"/>
            <w:hideMark/>
          </w:tcPr>
          <w:p w14:paraId="1EA2A784" w14:textId="77777777" w:rsidR="00E9277F" w:rsidRPr="00D343CC" w:rsidRDefault="00E9277F" w:rsidP="000E65AF">
            <w:pPr>
              <w:spacing w:after="200"/>
              <w:rPr>
                <w:rFonts w:cs="Arial"/>
                <w:b/>
                <w:bCs/>
              </w:rPr>
            </w:pPr>
            <w:r w:rsidRPr="00D343CC">
              <w:rPr>
                <w:rFonts w:cs="Arial"/>
                <w:b/>
                <w:bCs/>
              </w:rPr>
              <w:t>2024</w:t>
            </w:r>
          </w:p>
        </w:tc>
      </w:tr>
      <w:tr w:rsidR="00E9277F" w:rsidRPr="00D343CC" w14:paraId="11149712" w14:textId="77777777" w:rsidTr="00E9277F">
        <w:tc>
          <w:tcPr>
            <w:tcW w:w="0" w:type="auto"/>
            <w:hideMark/>
          </w:tcPr>
          <w:p w14:paraId="040C7D0F" w14:textId="77777777" w:rsidR="00E9277F" w:rsidRPr="00D343CC" w:rsidRDefault="00E9277F" w:rsidP="000E65AF">
            <w:pPr>
              <w:spacing w:after="200"/>
              <w:rPr>
                <w:rFonts w:cs="Arial"/>
              </w:rPr>
            </w:pPr>
            <w:r w:rsidRPr="00D343CC">
              <w:rPr>
                <w:rFonts w:cs="Arial"/>
                <w:b/>
                <w:bCs/>
              </w:rPr>
              <w:t>Earnings Per Share (EPS)</w:t>
            </w:r>
          </w:p>
        </w:tc>
        <w:tc>
          <w:tcPr>
            <w:tcW w:w="0" w:type="auto"/>
            <w:hideMark/>
          </w:tcPr>
          <w:p w14:paraId="6E266271" w14:textId="77777777" w:rsidR="00E9277F" w:rsidRPr="00D343CC" w:rsidRDefault="00E9277F" w:rsidP="000E65AF">
            <w:pPr>
              <w:spacing w:after="200"/>
              <w:rPr>
                <w:rFonts w:cs="Arial"/>
              </w:rPr>
            </w:pPr>
            <w:r w:rsidRPr="00D343CC">
              <w:rPr>
                <w:rFonts w:cs="Arial"/>
              </w:rPr>
              <w:t>Net Income ÷ Shares Outstanding</w:t>
            </w:r>
          </w:p>
        </w:tc>
        <w:tc>
          <w:tcPr>
            <w:tcW w:w="0" w:type="auto"/>
            <w:hideMark/>
          </w:tcPr>
          <w:p w14:paraId="519B7984" w14:textId="77777777" w:rsidR="00E9277F" w:rsidRPr="00D343CC" w:rsidRDefault="00E9277F" w:rsidP="000E65AF">
            <w:pPr>
              <w:spacing w:after="200"/>
              <w:rPr>
                <w:rFonts w:cs="Arial"/>
              </w:rPr>
            </w:pPr>
            <w:r w:rsidRPr="00D343CC">
              <w:rPr>
                <w:rFonts w:cs="Arial"/>
              </w:rPr>
              <w:t xml:space="preserve">38,572 ÷ 13,893 = </w:t>
            </w:r>
            <w:r w:rsidRPr="00D343CC">
              <w:rPr>
                <w:rFonts w:cs="Arial"/>
                <w:b/>
                <w:bCs/>
              </w:rPr>
              <w:t>2.78</w:t>
            </w:r>
          </w:p>
        </w:tc>
        <w:tc>
          <w:tcPr>
            <w:tcW w:w="0" w:type="auto"/>
            <w:hideMark/>
          </w:tcPr>
          <w:p w14:paraId="5491AF84" w14:textId="77777777" w:rsidR="00E9277F" w:rsidRPr="00D343CC" w:rsidRDefault="00E9277F" w:rsidP="000E65AF">
            <w:pPr>
              <w:spacing w:after="200"/>
              <w:rPr>
                <w:rFonts w:cs="Arial"/>
              </w:rPr>
            </w:pPr>
            <w:r w:rsidRPr="00D343CC">
              <w:rPr>
                <w:rFonts w:cs="Arial"/>
              </w:rPr>
              <w:t xml:space="preserve">5,301 ÷ 13,465 = </w:t>
            </w:r>
            <w:r w:rsidRPr="00D343CC">
              <w:rPr>
                <w:rFonts w:cs="Arial"/>
                <w:b/>
                <w:bCs/>
              </w:rPr>
              <w:t>0.39</w:t>
            </w:r>
          </w:p>
        </w:tc>
        <w:tc>
          <w:tcPr>
            <w:tcW w:w="0" w:type="auto"/>
            <w:hideMark/>
          </w:tcPr>
          <w:p w14:paraId="740750BD" w14:textId="77777777" w:rsidR="00E9277F" w:rsidRPr="00D343CC" w:rsidRDefault="00E9277F" w:rsidP="000E65AF">
            <w:pPr>
              <w:spacing w:after="200"/>
              <w:rPr>
                <w:rFonts w:cs="Arial"/>
              </w:rPr>
            </w:pPr>
            <w:r w:rsidRPr="00D343CC">
              <w:rPr>
                <w:rFonts w:cs="Arial"/>
              </w:rPr>
              <w:t xml:space="preserve">407 ÷ 12,703 = </w:t>
            </w:r>
            <w:r w:rsidRPr="00D343CC">
              <w:rPr>
                <w:rFonts w:cs="Arial"/>
                <w:b/>
                <w:bCs/>
              </w:rPr>
              <w:t>0.03</w:t>
            </w:r>
          </w:p>
        </w:tc>
        <w:tc>
          <w:tcPr>
            <w:tcW w:w="0" w:type="auto"/>
            <w:hideMark/>
          </w:tcPr>
          <w:p w14:paraId="57B1512E" w14:textId="77777777" w:rsidR="00E9277F" w:rsidRPr="00D343CC" w:rsidRDefault="00E9277F" w:rsidP="000E65AF">
            <w:pPr>
              <w:spacing w:after="200"/>
              <w:rPr>
                <w:rFonts w:cs="Arial"/>
              </w:rPr>
            </w:pPr>
            <w:r w:rsidRPr="00D343CC">
              <w:rPr>
                <w:rFonts w:cs="Arial"/>
              </w:rPr>
              <w:t xml:space="preserve">(98,238) ÷ 12,855 = </w:t>
            </w:r>
            <w:r w:rsidRPr="00D343CC">
              <w:rPr>
                <w:rFonts w:cs="Arial"/>
                <w:b/>
                <w:bCs/>
              </w:rPr>
              <w:t>(7.64)</w:t>
            </w:r>
          </w:p>
        </w:tc>
        <w:tc>
          <w:tcPr>
            <w:tcW w:w="0" w:type="auto"/>
            <w:hideMark/>
          </w:tcPr>
          <w:p w14:paraId="4884288D" w14:textId="77777777" w:rsidR="00E9277F" w:rsidRPr="00D343CC" w:rsidRDefault="00E9277F" w:rsidP="000E65AF">
            <w:pPr>
              <w:spacing w:after="200"/>
              <w:rPr>
                <w:rFonts w:cs="Arial"/>
              </w:rPr>
            </w:pPr>
            <w:r w:rsidRPr="00D343CC">
              <w:rPr>
                <w:rFonts w:cs="Arial"/>
              </w:rPr>
              <w:t xml:space="preserve">(24,029) ÷ 12,959 = </w:t>
            </w:r>
            <w:r w:rsidRPr="00D343CC">
              <w:rPr>
                <w:rFonts w:cs="Arial"/>
                <w:b/>
                <w:bCs/>
              </w:rPr>
              <w:t>(1.85)</w:t>
            </w:r>
          </w:p>
        </w:tc>
      </w:tr>
      <w:tr w:rsidR="00E9277F" w:rsidRPr="00D343CC" w14:paraId="3C3B6269" w14:textId="77777777" w:rsidTr="00E9277F">
        <w:tc>
          <w:tcPr>
            <w:tcW w:w="0" w:type="auto"/>
            <w:hideMark/>
          </w:tcPr>
          <w:p w14:paraId="5DF44BF4" w14:textId="77777777" w:rsidR="00E9277F" w:rsidRPr="00D343CC" w:rsidRDefault="00E9277F" w:rsidP="000E65AF">
            <w:pPr>
              <w:spacing w:after="200"/>
              <w:rPr>
                <w:rFonts w:cs="Arial"/>
              </w:rPr>
            </w:pPr>
            <w:r w:rsidRPr="00D343CC">
              <w:rPr>
                <w:rFonts w:cs="Arial"/>
                <w:b/>
                <w:bCs/>
              </w:rPr>
              <w:t>Price to Earnings (P/E)</w:t>
            </w:r>
          </w:p>
        </w:tc>
        <w:tc>
          <w:tcPr>
            <w:tcW w:w="0" w:type="auto"/>
            <w:hideMark/>
          </w:tcPr>
          <w:p w14:paraId="0012B53F" w14:textId="77777777" w:rsidR="00E9277F" w:rsidRPr="00D343CC" w:rsidRDefault="00E9277F" w:rsidP="000E65AF">
            <w:pPr>
              <w:spacing w:after="200"/>
              <w:rPr>
                <w:rFonts w:cs="Arial"/>
              </w:rPr>
            </w:pPr>
            <w:r w:rsidRPr="00D343CC">
              <w:rPr>
                <w:rFonts w:cs="Arial"/>
              </w:rPr>
              <w:t>Market Price ÷ EPS</w:t>
            </w:r>
          </w:p>
        </w:tc>
        <w:tc>
          <w:tcPr>
            <w:tcW w:w="0" w:type="auto"/>
            <w:hideMark/>
          </w:tcPr>
          <w:p w14:paraId="68BFF10D" w14:textId="77777777" w:rsidR="00E9277F" w:rsidRPr="00D343CC" w:rsidRDefault="00E9277F" w:rsidP="000E65AF">
            <w:pPr>
              <w:spacing w:after="200"/>
              <w:rPr>
                <w:rFonts w:cs="Arial"/>
              </w:rPr>
            </w:pPr>
            <w:r w:rsidRPr="00D343CC">
              <w:rPr>
                <w:rFonts w:cs="Arial"/>
              </w:rPr>
              <w:t xml:space="preserve">50 ÷ 2.78 = </w:t>
            </w:r>
            <w:r w:rsidRPr="00D343CC">
              <w:rPr>
                <w:rFonts w:cs="Arial"/>
                <w:b/>
                <w:bCs/>
              </w:rPr>
              <w:t>17.99</w:t>
            </w:r>
          </w:p>
        </w:tc>
        <w:tc>
          <w:tcPr>
            <w:tcW w:w="0" w:type="auto"/>
            <w:hideMark/>
          </w:tcPr>
          <w:p w14:paraId="268F5E49" w14:textId="77777777" w:rsidR="00E9277F" w:rsidRPr="00D343CC" w:rsidRDefault="00E9277F" w:rsidP="000E65AF">
            <w:pPr>
              <w:spacing w:after="200"/>
              <w:rPr>
                <w:rFonts w:cs="Arial"/>
              </w:rPr>
            </w:pPr>
            <w:r w:rsidRPr="00D343CC">
              <w:rPr>
                <w:rFonts w:cs="Arial"/>
              </w:rPr>
              <w:t xml:space="preserve">60 ÷ 0.39 = </w:t>
            </w:r>
            <w:r w:rsidRPr="00D343CC">
              <w:rPr>
                <w:rFonts w:cs="Arial"/>
                <w:b/>
                <w:bCs/>
              </w:rPr>
              <w:t>153.85</w:t>
            </w:r>
          </w:p>
        </w:tc>
        <w:tc>
          <w:tcPr>
            <w:tcW w:w="0" w:type="auto"/>
            <w:hideMark/>
          </w:tcPr>
          <w:p w14:paraId="6520E079" w14:textId="77777777" w:rsidR="00E9277F" w:rsidRPr="00D343CC" w:rsidRDefault="00E9277F" w:rsidP="000E65AF">
            <w:pPr>
              <w:spacing w:after="200"/>
              <w:rPr>
                <w:rFonts w:cs="Arial"/>
              </w:rPr>
            </w:pPr>
            <w:r w:rsidRPr="00D343CC">
              <w:rPr>
                <w:rFonts w:cs="Arial"/>
              </w:rPr>
              <w:t xml:space="preserve">45 ÷ 0.03 = </w:t>
            </w:r>
            <w:r w:rsidRPr="00D343CC">
              <w:rPr>
                <w:rFonts w:cs="Arial"/>
                <w:b/>
                <w:bCs/>
              </w:rPr>
              <w:t>1,500.00</w:t>
            </w:r>
          </w:p>
        </w:tc>
        <w:tc>
          <w:tcPr>
            <w:tcW w:w="0" w:type="auto"/>
            <w:hideMark/>
          </w:tcPr>
          <w:p w14:paraId="39506683" w14:textId="77777777" w:rsidR="00E9277F" w:rsidRPr="00D343CC" w:rsidRDefault="00E9277F" w:rsidP="000E65AF">
            <w:pPr>
              <w:spacing w:after="200"/>
              <w:rPr>
                <w:rFonts w:cs="Arial"/>
              </w:rPr>
            </w:pPr>
            <w:r w:rsidRPr="00D343CC">
              <w:rPr>
                <w:rFonts w:cs="Arial"/>
              </w:rPr>
              <w:t xml:space="preserve">35 ÷ (7.64) = </w:t>
            </w:r>
            <w:r w:rsidRPr="00D343CC">
              <w:rPr>
                <w:rFonts w:cs="Arial"/>
                <w:b/>
                <w:bCs/>
              </w:rPr>
              <w:t>N/A</w:t>
            </w:r>
            <w:r w:rsidRPr="00D343CC">
              <w:rPr>
                <w:rFonts w:cs="Arial"/>
              </w:rPr>
              <w:t>*</w:t>
            </w:r>
          </w:p>
        </w:tc>
        <w:tc>
          <w:tcPr>
            <w:tcW w:w="0" w:type="auto"/>
            <w:hideMark/>
          </w:tcPr>
          <w:p w14:paraId="5C798049" w14:textId="77777777" w:rsidR="00E9277F" w:rsidRPr="00D343CC" w:rsidRDefault="00E9277F" w:rsidP="000E65AF">
            <w:pPr>
              <w:spacing w:after="200"/>
              <w:rPr>
                <w:rFonts w:cs="Arial"/>
              </w:rPr>
            </w:pPr>
            <w:r w:rsidRPr="00D343CC">
              <w:rPr>
                <w:rFonts w:cs="Arial"/>
              </w:rPr>
              <w:t xml:space="preserve">40 ÷ (1.85) = </w:t>
            </w:r>
            <w:r w:rsidRPr="00D343CC">
              <w:rPr>
                <w:rFonts w:cs="Arial"/>
                <w:b/>
                <w:bCs/>
              </w:rPr>
              <w:t>N/A</w:t>
            </w:r>
            <w:r w:rsidRPr="00D343CC">
              <w:rPr>
                <w:rFonts w:cs="Arial"/>
              </w:rPr>
              <w:t>*</w:t>
            </w:r>
          </w:p>
        </w:tc>
      </w:tr>
      <w:tr w:rsidR="00E9277F" w:rsidRPr="00D343CC" w14:paraId="672B24E7" w14:textId="77777777" w:rsidTr="00E9277F">
        <w:tc>
          <w:tcPr>
            <w:tcW w:w="0" w:type="auto"/>
            <w:hideMark/>
          </w:tcPr>
          <w:p w14:paraId="4D3B3394" w14:textId="77777777" w:rsidR="00E9277F" w:rsidRPr="00D343CC" w:rsidRDefault="00E9277F" w:rsidP="000E65AF">
            <w:pPr>
              <w:spacing w:after="200"/>
              <w:rPr>
                <w:rFonts w:cs="Arial"/>
              </w:rPr>
            </w:pPr>
            <w:r w:rsidRPr="00D343CC">
              <w:rPr>
                <w:rFonts w:cs="Arial"/>
                <w:b/>
                <w:bCs/>
              </w:rPr>
              <w:t>Return on Equity (ROE)</w:t>
            </w:r>
          </w:p>
        </w:tc>
        <w:tc>
          <w:tcPr>
            <w:tcW w:w="0" w:type="auto"/>
            <w:hideMark/>
          </w:tcPr>
          <w:p w14:paraId="7336A202" w14:textId="77777777" w:rsidR="00E9277F" w:rsidRPr="00D343CC" w:rsidRDefault="00E9277F" w:rsidP="000E65AF">
            <w:pPr>
              <w:spacing w:after="200"/>
              <w:rPr>
                <w:rFonts w:cs="Arial"/>
              </w:rPr>
            </w:pPr>
            <w:r w:rsidRPr="00D343CC">
              <w:rPr>
                <w:rFonts w:cs="Arial"/>
              </w:rPr>
              <w:t>Net Income ÷ Total Equity</w:t>
            </w:r>
          </w:p>
        </w:tc>
        <w:tc>
          <w:tcPr>
            <w:tcW w:w="0" w:type="auto"/>
            <w:hideMark/>
          </w:tcPr>
          <w:p w14:paraId="11F2207D" w14:textId="77777777" w:rsidR="00E9277F" w:rsidRPr="00D343CC" w:rsidRDefault="00E9277F" w:rsidP="000E65AF">
            <w:pPr>
              <w:spacing w:after="200"/>
              <w:rPr>
                <w:rFonts w:cs="Arial"/>
              </w:rPr>
            </w:pPr>
            <w:r w:rsidRPr="00D343CC">
              <w:rPr>
                <w:rFonts w:cs="Arial"/>
              </w:rPr>
              <w:t xml:space="preserve">38,572 ÷ 313,301 = </w:t>
            </w:r>
            <w:r w:rsidRPr="00D343CC">
              <w:rPr>
                <w:rFonts w:cs="Arial"/>
                <w:b/>
                <w:bCs/>
              </w:rPr>
              <w:t>12.31%</w:t>
            </w:r>
          </w:p>
        </w:tc>
        <w:tc>
          <w:tcPr>
            <w:tcW w:w="0" w:type="auto"/>
            <w:hideMark/>
          </w:tcPr>
          <w:p w14:paraId="10D51555" w14:textId="77777777" w:rsidR="00E9277F" w:rsidRPr="00D343CC" w:rsidRDefault="00E9277F" w:rsidP="000E65AF">
            <w:pPr>
              <w:spacing w:after="200"/>
              <w:rPr>
                <w:rFonts w:cs="Arial"/>
              </w:rPr>
            </w:pPr>
            <w:r w:rsidRPr="00D343CC">
              <w:rPr>
                <w:rFonts w:cs="Arial"/>
              </w:rPr>
              <w:t xml:space="preserve">5,301 ÷ 275,949 = </w:t>
            </w:r>
            <w:r w:rsidRPr="00D343CC">
              <w:rPr>
                <w:rFonts w:cs="Arial"/>
                <w:b/>
                <w:bCs/>
              </w:rPr>
              <w:t>1.92%</w:t>
            </w:r>
          </w:p>
        </w:tc>
        <w:tc>
          <w:tcPr>
            <w:tcW w:w="0" w:type="auto"/>
            <w:hideMark/>
          </w:tcPr>
          <w:p w14:paraId="59A02103" w14:textId="77777777" w:rsidR="00E9277F" w:rsidRPr="00D343CC" w:rsidRDefault="00E9277F" w:rsidP="000E65AF">
            <w:pPr>
              <w:spacing w:after="200"/>
              <w:rPr>
                <w:rFonts w:cs="Arial"/>
              </w:rPr>
            </w:pPr>
            <w:r w:rsidRPr="00D343CC">
              <w:rPr>
                <w:rFonts w:cs="Arial"/>
              </w:rPr>
              <w:t xml:space="preserve">407 ÷ 268,406 = </w:t>
            </w:r>
            <w:r w:rsidRPr="00D343CC">
              <w:rPr>
                <w:rFonts w:cs="Arial"/>
                <w:b/>
                <w:bCs/>
              </w:rPr>
              <w:t>0.15%</w:t>
            </w:r>
          </w:p>
        </w:tc>
        <w:tc>
          <w:tcPr>
            <w:tcW w:w="0" w:type="auto"/>
            <w:hideMark/>
          </w:tcPr>
          <w:p w14:paraId="6F1F66B3" w14:textId="77777777" w:rsidR="00E9277F" w:rsidRPr="00D343CC" w:rsidRDefault="00E9277F" w:rsidP="000E65AF">
            <w:pPr>
              <w:spacing w:after="200"/>
              <w:rPr>
                <w:rFonts w:cs="Arial"/>
              </w:rPr>
            </w:pPr>
            <w:r w:rsidRPr="00D343CC">
              <w:rPr>
                <w:rFonts w:cs="Arial"/>
              </w:rPr>
              <w:t xml:space="preserve">(98,238) ÷ 178,920 = </w:t>
            </w:r>
            <w:r w:rsidRPr="00D343CC">
              <w:rPr>
                <w:rFonts w:cs="Arial"/>
                <w:b/>
                <w:bCs/>
              </w:rPr>
              <w:t>(54.91%)</w:t>
            </w:r>
          </w:p>
        </w:tc>
        <w:tc>
          <w:tcPr>
            <w:tcW w:w="0" w:type="auto"/>
            <w:hideMark/>
          </w:tcPr>
          <w:p w14:paraId="22B3CF79" w14:textId="77777777" w:rsidR="00E9277F" w:rsidRPr="00D343CC" w:rsidRDefault="00E9277F" w:rsidP="000E65AF">
            <w:pPr>
              <w:spacing w:after="200"/>
              <w:rPr>
                <w:rFonts w:cs="Arial"/>
              </w:rPr>
            </w:pPr>
            <w:r w:rsidRPr="00D343CC">
              <w:rPr>
                <w:rFonts w:cs="Arial"/>
              </w:rPr>
              <w:t xml:space="preserve">(24,029) ÷ 153,105 = </w:t>
            </w:r>
            <w:r w:rsidRPr="00D343CC">
              <w:rPr>
                <w:rFonts w:cs="Arial"/>
                <w:b/>
                <w:bCs/>
              </w:rPr>
              <w:t>(15.69%)</w:t>
            </w:r>
          </w:p>
        </w:tc>
      </w:tr>
      <w:tr w:rsidR="00E9277F" w:rsidRPr="00D343CC" w14:paraId="711B1850" w14:textId="77777777" w:rsidTr="00E9277F">
        <w:tc>
          <w:tcPr>
            <w:tcW w:w="0" w:type="auto"/>
            <w:hideMark/>
          </w:tcPr>
          <w:p w14:paraId="7D33AAD9" w14:textId="77777777" w:rsidR="00E9277F" w:rsidRPr="00D343CC" w:rsidRDefault="00E9277F" w:rsidP="000E65AF">
            <w:pPr>
              <w:spacing w:after="200"/>
              <w:rPr>
                <w:rFonts w:cs="Arial"/>
              </w:rPr>
            </w:pPr>
            <w:r w:rsidRPr="00D343CC">
              <w:rPr>
                <w:rFonts w:cs="Arial"/>
                <w:b/>
                <w:bCs/>
              </w:rPr>
              <w:t>Return on Assets (ROA)</w:t>
            </w:r>
          </w:p>
        </w:tc>
        <w:tc>
          <w:tcPr>
            <w:tcW w:w="0" w:type="auto"/>
            <w:hideMark/>
          </w:tcPr>
          <w:p w14:paraId="422E4D7A" w14:textId="77777777" w:rsidR="00E9277F" w:rsidRPr="00D343CC" w:rsidRDefault="00E9277F" w:rsidP="000E65AF">
            <w:pPr>
              <w:spacing w:after="200"/>
              <w:rPr>
                <w:rFonts w:cs="Arial"/>
              </w:rPr>
            </w:pPr>
            <w:r w:rsidRPr="00D343CC">
              <w:rPr>
                <w:rFonts w:cs="Arial"/>
              </w:rPr>
              <w:t>Net Income ÷ Total Assets</w:t>
            </w:r>
          </w:p>
        </w:tc>
        <w:tc>
          <w:tcPr>
            <w:tcW w:w="0" w:type="auto"/>
            <w:hideMark/>
          </w:tcPr>
          <w:p w14:paraId="055F2AE6" w14:textId="77777777" w:rsidR="00E9277F" w:rsidRPr="00D343CC" w:rsidRDefault="00E9277F" w:rsidP="000E65AF">
            <w:pPr>
              <w:spacing w:after="200"/>
              <w:rPr>
                <w:rFonts w:cs="Arial"/>
              </w:rPr>
            </w:pPr>
            <w:r w:rsidRPr="00D343CC">
              <w:rPr>
                <w:rFonts w:cs="Arial"/>
              </w:rPr>
              <w:t xml:space="preserve">38,572 ÷ 510,290 = </w:t>
            </w:r>
            <w:r w:rsidRPr="00D343CC">
              <w:rPr>
                <w:rFonts w:cs="Arial"/>
                <w:b/>
                <w:bCs/>
              </w:rPr>
              <w:t>7.56%</w:t>
            </w:r>
          </w:p>
        </w:tc>
        <w:tc>
          <w:tcPr>
            <w:tcW w:w="0" w:type="auto"/>
            <w:hideMark/>
          </w:tcPr>
          <w:p w14:paraId="2EFD6A69" w14:textId="77777777" w:rsidR="00E9277F" w:rsidRPr="00D343CC" w:rsidRDefault="00E9277F" w:rsidP="000E65AF">
            <w:pPr>
              <w:spacing w:after="200"/>
              <w:rPr>
                <w:rFonts w:cs="Arial"/>
              </w:rPr>
            </w:pPr>
            <w:r w:rsidRPr="00D343CC">
              <w:rPr>
                <w:rFonts w:cs="Arial"/>
              </w:rPr>
              <w:t xml:space="preserve">5,301 ÷ 510,348 = </w:t>
            </w:r>
            <w:r w:rsidRPr="00D343CC">
              <w:rPr>
                <w:rFonts w:cs="Arial"/>
                <w:b/>
                <w:bCs/>
              </w:rPr>
              <w:t>1.04%</w:t>
            </w:r>
          </w:p>
        </w:tc>
        <w:tc>
          <w:tcPr>
            <w:tcW w:w="0" w:type="auto"/>
            <w:hideMark/>
          </w:tcPr>
          <w:p w14:paraId="4AE8021B" w14:textId="77777777" w:rsidR="00E9277F" w:rsidRPr="00D343CC" w:rsidRDefault="00E9277F" w:rsidP="000E65AF">
            <w:pPr>
              <w:spacing w:after="200"/>
              <w:rPr>
                <w:rFonts w:cs="Arial"/>
              </w:rPr>
            </w:pPr>
            <w:r w:rsidRPr="00D343CC">
              <w:rPr>
                <w:rFonts w:cs="Arial"/>
              </w:rPr>
              <w:t xml:space="preserve">407 ÷ 504,163 = </w:t>
            </w:r>
            <w:r w:rsidRPr="00D343CC">
              <w:rPr>
                <w:rFonts w:cs="Arial"/>
                <w:b/>
                <w:bCs/>
              </w:rPr>
              <w:t>0.08%</w:t>
            </w:r>
          </w:p>
        </w:tc>
        <w:tc>
          <w:tcPr>
            <w:tcW w:w="0" w:type="auto"/>
            <w:hideMark/>
          </w:tcPr>
          <w:p w14:paraId="41A595FB" w14:textId="77777777" w:rsidR="00E9277F" w:rsidRPr="00D343CC" w:rsidRDefault="00E9277F" w:rsidP="000E65AF">
            <w:pPr>
              <w:spacing w:after="200"/>
              <w:rPr>
                <w:rFonts w:cs="Arial"/>
              </w:rPr>
            </w:pPr>
            <w:r w:rsidRPr="00D343CC">
              <w:rPr>
                <w:rFonts w:cs="Arial"/>
              </w:rPr>
              <w:t xml:space="preserve">(98,238) ÷ 355,872 = </w:t>
            </w:r>
            <w:r w:rsidRPr="00D343CC">
              <w:rPr>
                <w:rFonts w:cs="Arial"/>
                <w:b/>
                <w:bCs/>
              </w:rPr>
              <w:t>(27.60%)</w:t>
            </w:r>
          </w:p>
        </w:tc>
        <w:tc>
          <w:tcPr>
            <w:tcW w:w="0" w:type="auto"/>
            <w:hideMark/>
          </w:tcPr>
          <w:p w14:paraId="0877A5AA" w14:textId="77777777" w:rsidR="00E9277F" w:rsidRPr="00D343CC" w:rsidRDefault="00E9277F" w:rsidP="000E65AF">
            <w:pPr>
              <w:spacing w:after="200"/>
              <w:rPr>
                <w:rFonts w:cs="Arial"/>
              </w:rPr>
            </w:pPr>
            <w:r w:rsidRPr="00D343CC">
              <w:rPr>
                <w:rFonts w:cs="Arial"/>
              </w:rPr>
              <w:t xml:space="preserve">(24,029) ÷ 323,354 = </w:t>
            </w:r>
            <w:r w:rsidRPr="00D343CC">
              <w:rPr>
                <w:rFonts w:cs="Arial"/>
                <w:b/>
                <w:bCs/>
              </w:rPr>
              <w:t>(7.43%)</w:t>
            </w:r>
          </w:p>
        </w:tc>
      </w:tr>
    </w:tbl>
    <w:p w14:paraId="312FDF14" w14:textId="4B669A0D" w:rsidR="00E9277F" w:rsidRPr="00D343CC" w:rsidRDefault="00BB5575" w:rsidP="000E65AF">
      <w:pPr>
        <w:pStyle w:val="Caption"/>
        <w:spacing w:line="360" w:lineRule="auto"/>
        <w:rPr>
          <w:rFonts w:cs="Arial"/>
          <w:i w:val="0"/>
          <w:iCs w:val="0"/>
          <w:color w:val="000000" w:themeColor="text1"/>
          <w:sz w:val="20"/>
          <w:szCs w:val="20"/>
        </w:rPr>
      </w:pPr>
      <w:bookmarkStart w:id="67" w:name="_Toc217130602"/>
      <w:bookmarkStart w:id="68" w:name="_Toc217131031"/>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5</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Investment Ratios (Self-Prepared)</w:t>
      </w:r>
      <w:bookmarkEnd w:id="67"/>
      <w:bookmarkEnd w:id="68"/>
    </w:p>
    <w:p w14:paraId="7DF0C13F" w14:textId="77777777" w:rsidR="00E9277F" w:rsidRPr="00D343CC" w:rsidRDefault="00E9277F" w:rsidP="000E65AF">
      <w:pPr>
        <w:rPr>
          <w:rFonts w:cs="Arial"/>
        </w:rPr>
      </w:pPr>
    </w:p>
    <w:p w14:paraId="66623B73" w14:textId="0081FD27" w:rsidR="00E9277F" w:rsidRPr="00D343CC" w:rsidRDefault="00E9277F" w:rsidP="00690583">
      <w:pPr>
        <w:jc w:val="center"/>
        <w:rPr>
          <w:rFonts w:cs="Arial"/>
          <w:color w:val="000000" w:themeColor="text1"/>
          <w:sz w:val="28"/>
          <w:szCs w:val="24"/>
        </w:rPr>
      </w:pPr>
      <w:r w:rsidRPr="00D343CC">
        <w:rPr>
          <w:rFonts w:cs="Arial"/>
          <w:noProof/>
          <w:color w:val="000000" w:themeColor="text1"/>
          <w:sz w:val="28"/>
          <w:szCs w:val="24"/>
          <w14:ligatures w14:val="standardContextual"/>
        </w:rPr>
        <w:lastRenderedPageBreak/>
        <w:drawing>
          <wp:inline distT="0" distB="0" distL="0" distR="0" wp14:anchorId="15D97AA4" wp14:editId="6685B70C">
            <wp:extent cx="5731510" cy="3446780"/>
            <wp:effectExtent l="0" t="0" r="2540" b="1270"/>
            <wp:docPr id="1687775592" name="Chart 1">
              <a:extLst xmlns:a="http://schemas.openxmlformats.org/drawingml/2006/main">
                <a:ext uri="{FF2B5EF4-FFF2-40B4-BE49-F238E27FC236}">
                  <a16:creationId xmlns:a16="http://schemas.microsoft.com/office/drawing/2014/main" id="{BF275B76-0B12-A8B1-22F5-3EC06680DD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541AB5B" w14:textId="40BAF390" w:rsidR="00E9277F" w:rsidRPr="00D343CC" w:rsidRDefault="0086063E" w:rsidP="00690583">
      <w:pPr>
        <w:pStyle w:val="Caption"/>
        <w:spacing w:line="360" w:lineRule="auto"/>
        <w:jc w:val="center"/>
        <w:rPr>
          <w:rFonts w:eastAsia="Times New Roman" w:cs="Arial"/>
          <w:i w:val="0"/>
          <w:iCs w:val="0"/>
          <w:color w:val="000000" w:themeColor="text1"/>
          <w:sz w:val="22"/>
          <w:szCs w:val="22"/>
        </w:rPr>
      </w:pPr>
      <w:bookmarkStart w:id="69" w:name="_Toc217130596"/>
      <w:bookmarkStart w:id="70" w:name="_Toc217246625"/>
      <w:r w:rsidRPr="00D343CC">
        <w:rPr>
          <w:rFonts w:cs="Arial"/>
          <w:i w:val="0"/>
          <w:iCs w:val="0"/>
          <w:color w:val="000000" w:themeColor="text1"/>
          <w:sz w:val="20"/>
          <w:szCs w:val="20"/>
        </w:rPr>
        <w:t xml:space="preserve">Figure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Figure \* ARABIC </w:instrText>
      </w:r>
      <w:r w:rsidRPr="00D343CC">
        <w:rPr>
          <w:rFonts w:cs="Arial"/>
          <w:i w:val="0"/>
          <w:iCs w:val="0"/>
          <w:color w:val="000000" w:themeColor="text1"/>
          <w:sz w:val="20"/>
          <w:szCs w:val="20"/>
        </w:rPr>
        <w:fldChar w:fldCharType="separate"/>
      </w:r>
      <w:r w:rsidR="00861CFB">
        <w:rPr>
          <w:rFonts w:cs="Arial"/>
          <w:i w:val="0"/>
          <w:iCs w:val="0"/>
          <w:noProof/>
          <w:color w:val="000000" w:themeColor="text1"/>
          <w:sz w:val="20"/>
          <w:szCs w:val="20"/>
        </w:rPr>
        <w:t>6</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2"/>
          <w:szCs w:val="22"/>
        </w:rPr>
        <w:t>Investment Ratios Comparison (Self-Prepared)</w:t>
      </w:r>
      <w:bookmarkEnd w:id="69"/>
      <w:bookmarkEnd w:id="70"/>
    </w:p>
    <w:p w14:paraId="0575D086" w14:textId="77777777" w:rsidR="00E9277F" w:rsidRPr="00D343CC" w:rsidRDefault="00E9277F" w:rsidP="000E65AF">
      <w:pPr>
        <w:pStyle w:val="Heading3"/>
        <w:rPr>
          <w:rFonts w:cs="Arial"/>
        </w:rPr>
      </w:pPr>
      <w:bookmarkStart w:id="71" w:name="_Toc217246603"/>
      <w:r w:rsidRPr="00D343CC">
        <w:rPr>
          <w:rFonts w:cs="Arial"/>
        </w:rPr>
        <w:t>Table A6: Cash Flow Ratios (2020–2024)</w:t>
      </w:r>
      <w:bookmarkEnd w:id="71"/>
    </w:p>
    <w:p w14:paraId="13CD590F" w14:textId="77777777" w:rsidR="00E9277F" w:rsidRPr="00D343CC" w:rsidRDefault="00E9277F" w:rsidP="000E65AF">
      <w:pPr>
        <w:rPr>
          <w:rFonts w:cs="Arial"/>
        </w:rPr>
      </w:pPr>
      <w:r w:rsidRPr="00D343CC">
        <w:rPr>
          <w:rFonts w:cs="Arial"/>
        </w:rPr>
        <w:t>Operating cash flow ratio = Operating cash flow / Current liabilities</w:t>
      </w:r>
    </w:p>
    <w:p w14:paraId="47DE46A7" w14:textId="77777777" w:rsidR="00E9277F" w:rsidRPr="00D343CC" w:rsidRDefault="00E9277F" w:rsidP="000E65AF">
      <w:pPr>
        <w:rPr>
          <w:rFonts w:cs="Arial"/>
        </w:rPr>
      </w:pPr>
      <w:r w:rsidRPr="00D343CC">
        <w:rPr>
          <w:rFonts w:cs="Arial"/>
        </w:rPr>
        <w:t>Cash flow to debt ratio = Operating cash flow / Total liabilities</w:t>
      </w:r>
    </w:p>
    <w:p w14:paraId="354942F8" w14:textId="77777777" w:rsidR="00E9277F" w:rsidRPr="00D343CC" w:rsidRDefault="00E9277F" w:rsidP="00DE6EFB">
      <w:pPr>
        <w:jc w:val="center"/>
        <w:rPr>
          <w:rFonts w:cs="Arial"/>
        </w:rPr>
      </w:pPr>
      <w:r w:rsidRPr="00D343CC">
        <w:rPr>
          <w:rFonts w:cs="Arial"/>
        </w:rPr>
        <w:t>Cash flow margin = Operating cash flow / Net sales</w:t>
      </w:r>
    </w:p>
    <w:p w14:paraId="05B2C83D" w14:textId="27CECC23" w:rsidR="00E9277F" w:rsidRPr="00D343CC" w:rsidRDefault="00AD1754" w:rsidP="00DE6EFB">
      <w:pPr>
        <w:jc w:val="center"/>
        <w:rPr>
          <w:rFonts w:cs="Arial"/>
        </w:rPr>
      </w:pPr>
      <w:r w:rsidRPr="00D343CC">
        <w:rPr>
          <w:rFonts w:cs="Arial"/>
          <w:b/>
          <w:bCs/>
        </w:rPr>
        <w:t>Cash Flow Ratios Calculation Table (2020–2024)</w:t>
      </w:r>
    </w:p>
    <w:tbl>
      <w:tblPr>
        <w:tblStyle w:val="TableGrid"/>
        <w:tblW w:w="0" w:type="auto"/>
        <w:tblLook w:val="04A0" w:firstRow="1" w:lastRow="0" w:firstColumn="1" w:lastColumn="0" w:noHBand="0" w:noVBand="1"/>
      </w:tblPr>
      <w:tblGrid>
        <w:gridCol w:w="1938"/>
        <w:gridCol w:w="2460"/>
        <w:gridCol w:w="1030"/>
        <w:gridCol w:w="897"/>
        <w:gridCol w:w="897"/>
        <w:gridCol w:w="897"/>
        <w:gridCol w:w="897"/>
      </w:tblGrid>
      <w:tr w:rsidR="00E9277F" w:rsidRPr="00D343CC" w14:paraId="560944A9" w14:textId="77777777" w:rsidTr="00942642">
        <w:tc>
          <w:tcPr>
            <w:tcW w:w="0" w:type="auto"/>
            <w:hideMark/>
          </w:tcPr>
          <w:p w14:paraId="6717489E" w14:textId="77777777" w:rsidR="00E9277F" w:rsidRPr="00D343CC" w:rsidRDefault="00E9277F" w:rsidP="000E65AF">
            <w:pPr>
              <w:rPr>
                <w:rFonts w:eastAsia="Times New Roman" w:cs="Arial"/>
                <w:b/>
                <w:bCs/>
                <w:szCs w:val="24"/>
              </w:rPr>
            </w:pPr>
            <w:r w:rsidRPr="00D343CC">
              <w:rPr>
                <w:rFonts w:eastAsia="Times New Roman" w:cs="Arial"/>
                <w:b/>
                <w:bCs/>
                <w:szCs w:val="24"/>
              </w:rPr>
              <w:t>Ratio</w:t>
            </w:r>
          </w:p>
        </w:tc>
        <w:tc>
          <w:tcPr>
            <w:tcW w:w="0" w:type="auto"/>
            <w:hideMark/>
          </w:tcPr>
          <w:p w14:paraId="0349BF5A" w14:textId="77777777" w:rsidR="00E9277F" w:rsidRPr="00D343CC" w:rsidRDefault="00E9277F" w:rsidP="000E65AF">
            <w:pPr>
              <w:rPr>
                <w:rFonts w:eastAsia="Times New Roman" w:cs="Arial"/>
                <w:b/>
                <w:bCs/>
                <w:szCs w:val="24"/>
              </w:rPr>
            </w:pPr>
            <w:r w:rsidRPr="00D343CC">
              <w:rPr>
                <w:rFonts w:eastAsia="Times New Roman" w:cs="Arial"/>
                <w:b/>
                <w:bCs/>
                <w:szCs w:val="24"/>
              </w:rPr>
              <w:t>Formula</w:t>
            </w:r>
          </w:p>
        </w:tc>
        <w:tc>
          <w:tcPr>
            <w:tcW w:w="0" w:type="auto"/>
            <w:hideMark/>
          </w:tcPr>
          <w:p w14:paraId="3F3E8D07" w14:textId="77777777" w:rsidR="00E9277F" w:rsidRPr="00D343CC" w:rsidRDefault="00E9277F" w:rsidP="000E65AF">
            <w:pPr>
              <w:rPr>
                <w:rFonts w:eastAsia="Times New Roman" w:cs="Arial"/>
                <w:b/>
                <w:bCs/>
                <w:szCs w:val="24"/>
              </w:rPr>
            </w:pPr>
            <w:r w:rsidRPr="00D343CC">
              <w:rPr>
                <w:rFonts w:eastAsia="Times New Roman" w:cs="Arial"/>
                <w:b/>
                <w:bCs/>
                <w:szCs w:val="24"/>
              </w:rPr>
              <w:t>2020</w:t>
            </w:r>
          </w:p>
        </w:tc>
        <w:tc>
          <w:tcPr>
            <w:tcW w:w="0" w:type="auto"/>
            <w:hideMark/>
          </w:tcPr>
          <w:p w14:paraId="5DB51B43" w14:textId="77777777" w:rsidR="00E9277F" w:rsidRPr="00D343CC" w:rsidRDefault="00E9277F" w:rsidP="000E65AF">
            <w:pPr>
              <w:rPr>
                <w:rFonts w:eastAsia="Times New Roman" w:cs="Arial"/>
                <w:b/>
                <w:bCs/>
                <w:szCs w:val="24"/>
              </w:rPr>
            </w:pPr>
            <w:r w:rsidRPr="00D343CC">
              <w:rPr>
                <w:rFonts w:eastAsia="Times New Roman" w:cs="Arial"/>
                <w:b/>
                <w:bCs/>
                <w:szCs w:val="24"/>
              </w:rPr>
              <w:t>2021</w:t>
            </w:r>
          </w:p>
        </w:tc>
        <w:tc>
          <w:tcPr>
            <w:tcW w:w="0" w:type="auto"/>
            <w:hideMark/>
          </w:tcPr>
          <w:p w14:paraId="07E3C265" w14:textId="77777777" w:rsidR="00E9277F" w:rsidRPr="00D343CC" w:rsidRDefault="00E9277F" w:rsidP="000E65AF">
            <w:pPr>
              <w:rPr>
                <w:rFonts w:eastAsia="Times New Roman" w:cs="Arial"/>
                <w:b/>
                <w:bCs/>
                <w:szCs w:val="24"/>
              </w:rPr>
            </w:pPr>
            <w:r w:rsidRPr="00D343CC">
              <w:rPr>
                <w:rFonts w:eastAsia="Times New Roman" w:cs="Arial"/>
                <w:b/>
                <w:bCs/>
                <w:szCs w:val="24"/>
              </w:rPr>
              <w:t>2022</w:t>
            </w:r>
          </w:p>
        </w:tc>
        <w:tc>
          <w:tcPr>
            <w:tcW w:w="0" w:type="auto"/>
            <w:hideMark/>
          </w:tcPr>
          <w:p w14:paraId="47A54321" w14:textId="77777777" w:rsidR="00E9277F" w:rsidRPr="00D343CC" w:rsidRDefault="00E9277F" w:rsidP="000E65AF">
            <w:pPr>
              <w:rPr>
                <w:rFonts w:eastAsia="Times New Roman" w:cs="Arial"/>
                <w:b/>
                <w:bCs/>
                <w:szCs w:val="24"/>
              </w:rPr>
            </w:pPr>
            <w:r w:rsidRPr="00D343CC">
              <w:rPr>
                <w:rFonts w:eastAsia="Times New Roman" w:cs="Arial"/>
                <w:b/>
                <w:bCs/>
                <w:szCs w:val="24"/>
              </w:rPr>
              <w:t>2023</w:t>
            </w:r>
          </w:p>
        </w:tc>
        <w:tc>
          <w:tcPr>
            <w:tcW w:w="0" w:type="auto"/>
            <w:hideMark/>
          </w:tcPr>
          <w:p w14:paraId="2A0D29CC" w14:textId="77777777" w:rsidR="00E9277F" w:rsidRPr="00D343CC" w:rsidRDefault="00E9277F" w:rsidP="000E65AF">
            <w:pPr>
              <w:rPr>
                <w:rFonts w:eastAsia="Times New Roman" w:cs="Arial"/>
                <w:b/>
                <w:bCs/>
                <w:szCs w:val="24"/>
              </w:rPr>
            </w:pPr>
            <w:r w:rsidRPr="00D343CC">
              <w:rPr>
                <w:rFonts w:eastAsia="Times New Roman" w:cs="Arial"/>
                <w:b/>
                <w:bCs/>
                <w:szCs w:val="24"/>
              </w:rPr>
              <w:t>2024</w:t>
            </w:r>
          </w:p>
        </w:tc>
      </w:tr>
      <w:tr w:rsidR="00E9277F" w:rsidRPr="00D343CC" w14:paraId="5C2B7E67" w14:textId="77777777" w:rsidTr="00942642">
        <w:tc>
          <w:tcPr>
            <w:tcW w:w="0" w:type="auto"/>
            <w:hideMark/>
          </w:tcPr>
          <w:p w14:paraId="3C9BE129" w14:textId="77777777" w:rsidR="00E9277F" w:rsidRPr="00D343CC" w:rsidRDefault="00E9277F" w:rsidP="000E65AF">
            <w:pPr>
              <w:rPr>
                <w:rFonts w:eastAsia="Times New Roman" w:cs="Arial"/>
                <w:szCs w:val="24"/>
              </w:rPr>
            </w:pPr>
            <w:r w:rsidRPr="00D343CC">
              <w:rPr>
                <w:rFonts w:eastAsia="Times New Roman" w:cs="Arial"/>
                <w:szCs w:val="24"/>
              </w:rPr>
              <w:t>Operating Cash Flow Ratio</w:t>
            </w:r>
          </w:p>
        </w:tc>
        <w:tc>
          <w:tcPr>
            <w:tcW w:w="0" w:type="auto"/>
            <w:hideMark/>
          </w:tcPr>
          <w:p w14:paraId="4319AC99" w14:textId="77777777" w:rsidR="00E9277F" w:rsidRPr="00D343CC" w:rsidRDefault="00E9277F" w:rsidP="000E65AF">
            <w:pPr>
              <w:rPr>
                <w:rFonts w:eastAsia="Times New Roman" w:cs="Arial"/>
                <w:szCs w:val="24"/>
              </w:rPr>
            </w:pPr>
            <w:r w:rsidRPr="00D343CC">
              <w:rPr>
                <w:rFonts w:eastAsia="Times New Roman" w:cs="Arial"/>
                <w:szCs w:val="24"/>
              </w:rPr>
              <w:t>Operating Cash Flow / Current Liabilities</w:t>
            </w:r>
          </w:p>
        </w:tc>
        <w:tc>
          <w:tcPr>
            <w:tcW w:w="0" w:type="auto"/>
            <w:hideMark/>
          </w:tcPr>
          <w:p w14:paraId="4AFF4718" w14:textId="77777777" w:rsidR="00E9277F" w:rsidRPr="00D343CC" w:rsidRDefault="00E9277F" w:rsidP="000E65AF">
            <w:pPr>
              <w:rPr>
                <w:rFonts w:eastAsia="Times New Roman" w:cs="Arial"/>
                <w:szCs w:val="24"/>
              </w:rPr>
            </w:pPr>
            <w:r w:rsidRPr="00D343CC">
              <w:rPr>
                <w:rFonts w:eastAsia="Times New Roman" w:cs="Arial"/>
                <w:szCs w:val="24"/>
              </w:rPr>
              <w:t>0.41</w:t>
            </w:r>
          </w:p>
        </w:tc>
        <w:tc>
          <w:tcPr>
            <w:tcW w:w="0" w:type="auto"/>
            <w:hideMark/>
          </w:tcPr>
          <w:p w14:paraId="3E573192" w14:textId="77777777" w:rsidR="00E9277F" w:rsidRPr="00D343CC" w:rsidRDefault="00E9277F" w:rsidP="000E65AF">
            <w:pPr>
              <w:rPr>
                <w:rFonts w:eastAsia="Times New Roman" w:cs="Arial"/>
                <w:szCs w:val="24"/>
              </w:rPr>
            </w:pPr>
            <w:r w:rsidRPr="00D343CC">
              <w:rPr>
                <w:rFonts w:eastAsia="Times New Roman" w:cs="Arial"/>
                <w:szCs w:val="24"/>
              </w:rPr>
              <w:t>0.19</w:t>
            </w:r>
          </w:p>
        </w:tc>
        <w:tc>
          <w:tcPr>
            <w:tcW w:w="0" w:type="auto"/>
            <w:hideMark/>
          </w:tcPr>
          <w:p w14:paraId="32157D50" w14:textId="77777777" w:rsidR="00E9277F" w:rsidRPr="00D343CC" w:rsidRDefault="00E9277F" w:rsidP="000E65AF">
            <w:pPr>
              <w:rPr>
                <w:rFonts w:eastAsia="Times New Roman" w:cs="Arial"/>
                <w:szCs w:val="24"/>
              </w:rPr>
            </w:pPr>
            <w:r w:rsidRPr="00D343CC">
              <w:rPr>
                <w:rFonts w:eastAsia="Times New Roman" w:cs="Arial"/>
                <w:szCs w:val="24"/>
              </w:rPr>
              <w:t>0.05</w:t>
            </w:r>
          </w:p>
        </w:tc>
        <w:tc>
          <w:tcPr>
            <w:tcW w:w="0" w:type="auto"/>
            <w:hideMark/>
          </w:tcPr>
          <w:p w14:paraId="7D7546A4" w14:textId="77777777" w:rsidR="00E9277F" w:rsidRPr="00D343CC" w:rsidRDefault="00E9277F" w:rsidP="000E65AF">
            <w:pPr>
              <w:rPr>
                <w:rFonts w:eastAsia="Times New Roman" w:cs="Arial"/>
                <w:szCs w:val="24"/>
              </w:rPr>
            </w:pPr>
            <w:r w:rsidRPr="00D343CC">
              <w:rPr>
                <w:rFonts w:eastAsia="Times New Roman" w:cs="Arial"/>
                <w:szCs w:val="24"/>
              </w:rPr>
              <w:t>0.16</w:t>
            </w:r>
          </w:p>
        </w:tc>
        <w:tc>
          <w:tcPr>
            <w:tcW w:w="0" w:type="auto"/>
            <w:hideMark/>
          </w:tcPr>
          <w:p w14:paraId="172406F4" w14:textId="77777777" w:rsidR="00E9277F" w:rsidRPr="00D343CC" w:rsidRDefault="00E9277F" w:rsidP="000E65AF">
            <w:pPr>
              <w:rPr>
                <w:rFonts w:eastAsia="Times New Roman" w:cs="Arial"/>
                <w:szCs w:val="24"/>
              </w:rPr>
            </w:pPr>
            <w:r w:rsidRPr="00D343CC">
              <w:rPr>
                <w:rFonts w:eastAsia="Times New Roman" w:cs="Arial"/>
                <w:szCs w:val="24"/>
              </w:rPr>
              <w:t>0.09</w:t>
            </w:r>
          </w:p>
        </w:tc>
      </w:tr>
      <w:tr w:rsidR="00E9277F" w:rsidRPr="00D343CC" w14:paraId="77981022" w14:textId="77777777" w:rsidTr="00942642">
        <w:tc>
          <w:tcPr>
            <w:tcW w:w="0" w:type="auto"/>
            <w:hideMark/>
          </w:tcPr>
          <w:p w14:paraId="0B9D255D" w14:textId="77777777" w:rsidR="00E9277F" w:rsidRPr="00D343CC" w:rsidRDefault="00E9277F" w:rsidP="000E65AF">
            <w:pPr>
              <w:rPr>
                <w:rFonts w:eastAsia="Times New Roman" w:cs="Arial"/>
                <w:szCs w:val="24"/>
              </w:rPr>
            </w:pPr>
            <w:r w:rsidRPr="00D343CC">
              <w:rPr>
                <w:rFonts w:eastAsia="Times New Roman" w:cs="Arial"/>
                <w:szCs w:val="24"/>
              </w:rPr>
              <w:t>Cash Flow to Debt Ratio</w:t>
            </w:r>
          </w:p>
        </w:tc>
        <w:tc>
          <w:tcPr>
            <w:tcW w:w="0" w:type="auto"/>
            <w:hideMark/>
          </w:tcPr>
          <w:p w14:paraId="26AF2280" w14:textId="77777777" w:rsidR="00E9277F" w:rsidRPr="00D343CC" w:rsidRDefault="00E9277F" w:rsidP="000E65AF">
            <w:pPr>
              <w:rPr>
                <w:rFonts w:eastAsia="Times New Roman" w:cs="Arial"/>
                <w:szCs w:val="24"/>
              </w:rPr>
            </w:pPr>
            <w:r w:rsidRPr="00D343CC">
              <w:rPr>
                <w:rFonts w:eastAsia="Times New Roman" w:cs="Arial"/>
                <w:szCs w:val="24"/>
              </w:rPr>
              <w:t>Operating Cash Flow / Total Liabilities</w:t>
            </w:r>
          </w:p>
        </w:tc>
        <w:tc>
          <w:tcPr>
            <w:tcW w:w="0" w:type="auto"/>
            <w:hideMark/>
          </w:tcPr>
          <w:p w14:paraId="27CB4771" w14:textId="77777777" w:rsidR="00E9277F" w:rsidRPr="00D343CC" w:rsidRDefault="00E9277F" w:rsidP="000E65AF">
            <w:pPr>
              <w:rPr>
                <w:rFonts w:eastAsia="Times New Roman" w:cs="Arial"/>
                <w:szCs w:val="24"/>
              </w:rPr>
            </w:pPr>
            <w:r w:rsidRPr="00D343CC">
              <w:rPr>
                <w:rFonts w:eastAsia="Times New Roman" w:cs="Arial"/>
                <w:szCs w:val="24"/>
              </w:rPr>
              <w:t>0.37</w:t>
            </w:r>
          </w:p>
        </w:tc>
        <w:tc>
          <w:tcPr>
            <w:tcW w:w="0" w:type="auto"/>
            <w:hideMark/>
          </w:tcPr>
          <w:p w14:paraId="3C8083B5" w14:textId="77777777" w:rsidR="00E9277F" w:rsidRPr="00D343CC" w:rsidRDefault="00E9277F" w:rsidP="000E65AF">
            <w:pPr>
              <w:rPr>
                <w:rFonts w:eastAsia="Times New Roman" w:cs="Arial"/>
                <w:szCs w:val="24"/>
              </w:rPr>
            </w:pPr>
            <w:r w:rsidRPr="00D343CC">
              <w:rPr>
                <w:rFonts w:eastAsia="Times New Roman" w:cs="Arial"/>
                <w:szCs w:val="24"/>
              </w:rPr>
              <w:t>0.17</w:t>
            </w:r>
          </w:p>
        </w:tc>
        <w:tc>
          <w:tcPr>
            <w:tcW w:w="0" w:type="auto"/>
            <w:hideMark/>
          </w:tcPr>
          <w:p w14:paraId="29497F70" w14:textId="77777777" w:rsidR="00E9277F" w:rsidRPr="00D343CC" w:rsidRDefault="00E9277F" w:rsidP="000E65AF">
            <w:pPr>
              <w:rPr>
                <w:rFonts w:eastAsia="Times New Roman" w:cs="Arial"/>
                <w:szCs w:val="24"/>
              </w:rPr>
            </w:pPr>
            <w:r w:rsidRPr="00D343CC">
              <w:rPr>
                <w:rFonts w:eastAsia="Times New Roman" w:cs="Arial"/>
                <w:szCs w:val="24"/>
              </w:rPr>
              <w:t>0.05</w:t>
            </w:r>
          </w:p>
        </w:tc>
        <w:tc>
          <w:tcPr>
            <w:tcW w:w="0" w:type="auto"/>
            <w:hideMark/>
          </w:tcPr>
          <w:p w14:paraId="03AAA683" w14:textId="77777777" w:rsidR="00E9277F" w:rsidRPr="00D343CC" w:rsidRDefault="00E9277F" w:rsidP="000E65AF">
            <w:pPr>
              <w:rPr>
                <w:rFonts w:eastAsia="Times New Roman" w:cs="Arial"/>
                <w:szCs w:val="24"/>
              </w:rPr>
            </w:pPr>
            <w:r w:rsidRPr="00D343CC">
              <w:rPr>
                <w:rFonts w:eastAsia="Times New Roman" w:cs="Arial"/>
                <w:szCs w:val="24"/>
              </w:rPr>
              <w:t>0.14</w:t>
            </w:r>
          </w:p>
        </w:tc>
        <w:tc>
          <w:tcPr>
            <w:tcW w:w="0" w:type="auto"/>
            <w:hideMark/>
          </w:tcPr>
          <w:p w14:paraId="44C29341" w14:textId="77777777" w:rsidR="00E9277F" w:rsidRPr="00D343CC" w:rsidRDefault="00E9277F" w:rsidP="000E65AF">
            <w:pPr>
              <w:rPr>
                <w:rFonts w:eastAsia="Times New Roman" w:cs="Arial"/>
                <w:szCs w:val="24"/>
              </w:rPr>
            </w:pPr>
            <w:r w:rsidRPr="00D343CC">
              <w:rPr>
                <w:rFonts w:eastAsia="Times New Roman" w:cs="Arial"/>
                <w:szCs w:val="24"/>
              </w:rPr>
              <w:t>0.09</w:t>
            </w:r>
          </w:p>
        </w:tc>
      </w:tr>
      <w:tr w:rsidR="00E9277F" w:rsidRPr="00D343CC" w14:paraId="5175041F" w14:textId="77777777" w:rsidTr="00942642">
        <w:tc>
          <w:tcPr>
            <w:tcW w:w="0" w:type="auto"/>
            <w:hideMark/>
          </w:tcPr>
          <w:p w14:paraId="1FAFDB4B" w14:textId="77777777" w:rsidR="00E9277F" w:rsidRPr="00D343CC" w:rsidRDefault="00E9277F" w:rsidP="000E65AF">
            <w:pPr>
              <w:rPr>
                <w:rFonts w:eastAsia="Times New Roman" w:cs="Arial"/>
                <w:szCs w:val="24"/>
              </w:rPr>
            </w:pPr>
            <w:r w:rsidRPr="00D343CC">
              <w:rPr>
                <w:rFonts w:eastAsia="Times New Roman" w:cs="Arial"/>
                <w:szCs w:val="24"/>
              </w:rPr>
              <w:t>Cash Flow Margin</w:t>
            </w:r>
          </w:p>
        </w:tc>
        <w:tc>
          <w:tcPr>
            <w:tcW w:w="0" w:type="auto"/>
            <w:hideMark/>
          </w:tcPr>
          <w:p w14:paraId="387C984D" w14:textId="77777777" w:rsidR="00E9277F" w:rsidRPr="00D343CC" w:rsidRDefault="00E9277F" w:rsidP="000E65AF">
            <w:pPr>
              <w:rPr>
                <w:rFonts w:eastAsia="Times New Roman" w:cs="Arial"/>
                <w:szCs w:val="24"/>
              </w:rPr>
            </w:pPr>
            <w:r w:rsidRPr="00D343CC">
              <w:rPr>
                <w:rFonts w:eastAsia="Times New Roman" w:cs="Arial"/>
                <w:szCs w:val="24"/>
              </w:rPr>
              <w:t>Operating Cash Flow / Net Sales</w:t>
            </w:r>
          </w:p>
        </w:tc>
        <w:tc>
          <w:tcPr>
            <w:tcW w:w="0" w:type="auto"/>
            <w:hideMark/>
          </w:tcPr>
          <w:p w14:paraId="1EEB8376" w14:textId="77777777" w:rsidR="00E9277F" w:rsidRPr="00D343CC" w:rsidRDefault="00E9277F" w:rsidP="000E65AF">
            <w:pPr>
              <w:rPr>
                <w:rFonts w:eastAsia="Times New Roman" w:cs="Arial"/>
                <w:szCs w:val="24"/>
              </w:rPr>
            </w:pPr>
            <w:r w:rsidRPr="00D343CC">
              <w:rPr>
                <w:rFonts w:eastAsia="Times New Roman" w:cs="Arial"/>
                <w:szCs w:val="24"/>
              </w:rPr>
              <w:t>11.94%</w:t>
            </w:r>
          </w:p>
        </w:tc>
        <w:tc>
          <w:tcPr>
            <w:tcW w:w="0" w:type="auto"/>
            <w:hideMark/>
          </w:tcPr>
          <w:p w14:paraId="4C1F1644" w14:textId="77777777" w:rsidR="00E9277F" w:rsidRPr="00D343CC" w:rsidRDefault="00E9277F" w:rsidP="000E65AF">
            <w:pPr>
              <w:rPr>
                <w:rFonts w:eastAsia="Times New Roman" w:cs="Arial"/>
                <w:szCs w:val="24"/>
              </w:rPr>
            </w:pPr>
            <w:r w:rsidRPr="00D343CC">
              <w:rPr>
                <w:rFonts w:eastAsia="Times New Roman" w:cs="Arial"/>
                <w:szCs w:val="24"/>
              </w:rPr>
              <w:t>6.70%</w:t>
            </w:r>
          </w:p>
        </w:tc>
        <w:tc>
          <w:tcPr>
            <w:tcW w:w="0" w:type="auto"/>
            <w:hideMark/>
          </w:tcPr>
          <w:p w14:paraId="5FA604B8" w14:textId="77777777" w:rsidR="00E9277F" w:rsidRPr="00D343CC" w:rsidRDefault="00E9277F" w:rsidP="000E65AF">
            <w:pPr>
              <w:rPr>
                <w:rFonts w:eastAsia="Times New Roman" w:cs="Arial"/>
                <w:szCs w:val="24"/>
              </w:rPr>
            </w:pPr>
            <w:r w:rsidRPr="00D343CC">
              <w:rPr>
                <w:rFonts w:eastAsia="Times New Roman" w:cs="Arial"/>
                <w:szCs w:val="24"/>
              </w:rPr>
              <w:t>2.01%</w:t>
            </w:r>
          </w:p>
        </w:tc>
        <w:tc>
          <w:tcPr>
            <w:tcW w:w="0" w:type="auto"/>
            <w:hideMark/>
          </w:tcPr>
          <w:p w14:paraId="7F0FF4C3" w14:textId="77777777" w:rsidR="00E9277F" w:rsidRPr="00D343CC" w:rsidRDefault="00E9277F" w:rsidP="000E65AF">
            <w:pPr>
              <w:rPr>
                <w:rFonts w:eastAsia="Times New Roman" w:cs="Arial"/>
                <w:szCs w:val="24"/>
              </w:rPr>
            </w:pPr>
            <w:r w:rsidRPr="00D343CC">
              <w:rPr>
                <w:rFonts w:eastAsia="Times New Roman" w:cs="Arial"/>
                <w:szCs w:val="24"/>
              </w:rPr>
              <w:t>5.99%</w:t>
            </w:r>
          </w:p>
        </w:tc>
        <w:tc>
          <w:tcPr>
            <w:tcW w:w="0" w:type="auto"/>
            <w:hideMark/>
          </w:tcPr>
          <w:p w14:paraId="222DC897" w14:textId="77777777" w:rsidR="00E9277F" w:rsidRPr="00D343CC" w:rsidRDefault="00E9277F" w:rsidP="000E65AF">
            <w:pPr>
              <w:rPr>
                <w:rFonts w:eastAsia="Times New Roman" w:cs="Arial"/>
                <w:szCs w:val="24"/>
              </w:rPr>
            </w:pPr>
            <w:r w:rsidRPr="00D343CC">
              <w:rPr>
                <w:rFonts w:eastAsia="Times New Roman" w:cs="Arial"/>
                <w:szCs w:val="24"/>
              </w:rPr>
              <w:t>3.75%</w:t>
            </w:r>
          </w:p>
        </w:tc>
      </w:tr>
    </w:tbl>
    <w:p w14:paraId="7EBE46DA" w14:textId="3DE18B20" w:rsidR="00E9277F" w:rsidRPr="00D343CC" w:rsidRDefault="00BB5575" w:rsidP="000E65AF">
      <w:pPr>
        <w:pStyle w:val="Caption"/>
        <w:spacing w:line="360" w:lineRule="auto"/>
        <w:rPr>
          <w:rFonts w:eastAsia="Times New Roman" w:cs="Arial"/>
          <w:i w:val="0"/>
          <w:iCs w:val="0"/>
          <w:color w:val="000000" w:themeColor="text1"/>
          <w:sz w:val="22"/>
          <w:szCs w:val="22"/>
        </w:rPr>
      </w:pPr>
      <w:bookmarkStart w:id="72" w:name="_Toc217130603"/>
      <w:bookmarkStart w:id="73" w:name="_Toc217131032"/>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6</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2"/>
          <w:szCs w:val="22"/>
        </w:rPr>
        <w:t>Cash Flow Ratios (Self-Prepared)</w:t>
      </w:r>
      <w:bookmarkEnd w:id="72"/>
      <w:bookmarkEnd w:id="73"/>
    </w:p>
    <w:p w14:paraId="5C408EBB" w14:textId="77777777" w:rsidR="00E9277F" w:rsidRPr="00D343CC" w:rsidRDefault="00E9277F" w:rsidP="000E65AF">
      <w:pPr>
        <w:rPr>
          <w:rFonts w:cs="Arial"/>
        </w:rPr>
      </w:pPr>
    </w:p>
    <w:p w14:paraId="4CD2390A" w14:textId="77777777" w:rsidR="00E9277F" w:rsidRPr="00D343CC" w:rsidRDefault="00E9277F" w:rsidP="000E65AF">
      <w:pPr>
        <w:rPr>
          <w:rFonts w:cs="Arial"/>
        </w:rPr>
      </w:pPr>
      <w:r w:rsidRPr="00D343CC">
        <w:rPr>
          <w:rFonts w:cs="Arial"/>
          <w:noProof/>
          <w14:ligatures w14:val="standardContextual"/>
        </w:rPr>
        <w:lastRenderedPageBreak/>
        <w:drawing>
          <wp:anchor distT="0" distB="0" distL="114300" distR="114300" simplePos="0" relativeHeight="251658240" behindDoc="0" locked="0" layoutInCell="1" allowOverlap="1" wp14:anchorId="064B40EE" wp14:editId="3A61B753">
            <wp:simplePos x="914400" y="914400"/>
            <wp:positionH relativeFrom="column">
              <wp:align>left</wp:align>
            </wp:positionH>
            <wp:positionV relativeFrom="paragraph">
              <wp:align>top</wp:align>
            </wp:positionV>
            <wp:extent cx="4210050" cy="2928937"/>
            <wp:effectExtent l="0" t="0" r="0" b="5080"/>
            <wp:wrapSquare wrapText="bothSides"/>
            <wp:docPr id="1196865950" name="Chart 1">
              <a:extLst xmlns:a="http://schemas.openxmlformats.org/drawingml/2006/main">
                <a:ext uri="{FF2B5EF4-FFF2-40B4-BE49-F238E27FC236}">
                  <a16:creationId xmlns:a16="http://schemas.microsoft.com/office/drawing/2014/main" id="{34CDBA1C-D9D1-4711-AED1-AD35ABF9E1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1F2A4D0D" w14:textId="77777777" w:rsidR="00E9277F" w:rsidRPr="00D343CC" w:rsidRDefault="00E9277F" w:rsidP="000E65AF">
      <w:pPr>
        <w:rPr>
          <w:rFonts w:cs="Arial"/>
        </w:rPr>
      </w:pPr>
    </w:p>
    <w:p w14:paraId="438748C6" w14:textId="77777777" w:rsidR="00E9277F" w:rsidRPr="00D343CC" w:rsidRDefault="00E9277F" w:rsidP="000E65AF">
      <w:pPr>
        <w:rPr>
          <w:rFonts w:cs="Arial"/>
        </w:rPr>
      </w:pPr>
    </w:p>
    <w:p w14:paraId="68B6F958" w14:textId="77777777" w:rsidR="00E9277F" w:rsidRPr="00D343CC" w:rsidRDefault="00E9277F" w:rsidP="000E65AF">
      <w:pPr>
        <w:rPr>
          <w:rFonts w:cs="Arial"/>
        </w:rPr>
      </w:pPr>
    </w:p>
    <w:p w14:paraId="6B0FFC56" w14:textId="77777777" w:rsidR="00E9277F" w:rsidRPr="00D343CC" w:rsidRDefault="00E9277F" w:rsidP="00690583">
      <w:pPr>
        <w:jc w:val="center"/>
        <w:rPr>
          <w:rFonts w:cs="Arial"/>
        </w:rPr>
      </w:pPr>
    </w:p>
    <w:p w14:paraId="2846C2D3" w14:textId="77777777" w:rsidR="00E9277F" w:rsidRPr="00D343CC" w:rsidRDefault="00E9277F" w:rsidP="00690583">
      <w:pPr>
        <w:jc w:val="center"/>
        <w:rPr>
          <w:rFonts w:cs="Arial"/>
          <w:color w:val="000000" w:themeColor="text1"/>
          <w:sz w:val="28"/>
          <w:szCs w:val="24"/>
        </w:rPr>
      </w:pPr>
    </w:p>
    <w:p w14:paraId="2DDFC8F5" w14:textId="77777777" w:rsidR="00E9277F" w:rsidRPr="00D343CC" w:rsidRDefault="00E9277F" w:rsidP="00690583">
      <w:pPr>
        <w:jc w:val="center"/>
        <w:rPr>
          <w:rFonts w:cs="Arial"/>
          <w:color w:val="000000" w:themeColor="text1"/>
          <w:sz w:val="28"/>
          <w:szCs w:val="24"/>
        </w:rPr>
      </w:pPr>
    </w:p>
    <w:p w14:paraId="1FCE25CA" w14:textId="77777777" w:rsidR="00E9277F" w:rsidRPr="00D343CC" w:rsidRDefault="00E9277F" w:rsidP="00690583">
      <w:pPr>
        <w:jc w:val="center"/>
        <w:rPr>
          <w:rFonts w:cs="Arial"/>
          <w:color w:val="000000" w:themeColor="text1"/>
          <w:sz w:val="28"/>
          <w:szCs w:val="24"/>
        </w:rPr>
      </w:pPr>
    </w:p>
    <w:p w14:paraId="428C8907" w14:textId="069708B4" w:rsidR="00E9277F" w:rsidRPr="00D343CC" w:rsidRDefault="0086063E" w:rsidP="00690583">
      <w:pPr>
        <w:pStyle w:val="Caption"/>
        <w:spacing w:line="360" w:lineRule="auto"/>
        <w:jc w:val="center"/>
        <w:rPr>
          <w:rFonts w:eastAsia="Times New Roman" w:cs="Arial"/>
          <w:i w:val="0"/>
          <w:iCs w:val="0"/>
          <w:color w:val="000000" w:themeColor="text1"/>
          <w:sz w:val="22"/>
          <w:szCs w:val="22"/>
        </w:rPr>
      </w:pPr>
      <w:bookmarkStart w:id="74" w:name="_Toc217130597"/>
      <w:bookmarkStart w:id="75" w:name="_Toc217246626"/>
      <w:r w:rsidRPr="00D343CC">
        <w:rPr>
          <w:rFonts w:cs="Arial"/>
          <w:i w:val="0"/>
          <w:iCs w:val="0"/>
          <w:color w:val="000000" w:themeColor="text1"/>
          <w:sz w:val="20"/>
          <w:szCs w:val="20"/>
        </w:rPr>
        <w:t xml:space="preserve">Figure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Figure \* ARABIC </w:instrText>
      </w:r>
      <w:r w:rsidRPr="00D343CC">
        <w:rPr>
          <w:rFonts w:cs="Arial"/>
          <w:i w:val="0"/>
          <w:iCs w:val="0"/>
          <w:color w:val="000000" w:themeColor="text1"/>
          <w:sz w:val="20"/>
          <w:szCs w:val="20"/>
        </w:rPr>
        <w:fldChar w:fldCharType="separate"/>
      </w:r>
      <w:r w:rsidR="00861CFB">
        <w:rPr>
          <w:rFonts w:cs="Arial"/>
          <w:i w:val="0"/>
          <w:iCs w:val="0"/>
          <w:noProof/>
          <w:color w:val="000000" w:themeColor="text1"/>
          <w:sz w:val="20"/>
          <w:szCs w:val="20"/>
        </w:rPr>
        <w:t>7</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w:t>
      </w:r>
      <w:r w:rsidR="00E9277F" w:rsidRPr="00D343CC">
        <w:rPr>
          <w:rFonts w:eastAsia="Times New Roman" w:cs="Arial"/>
          <w:i w:val="0"/>
          <w:iCs w:val="0"/>
          <w:color w:val="000000" w:themeColor="text1"/>
          <w:sz w:val="22"/>
          <w:szCs w:val="22"/>
        </w:rPr>
        <w:t>Cash Flow Ratios Comparison (Self-Prepared)</w:t>
      </w:r>
      <w:bookmarkEnd w:id="74"/>
      <w:bookmarkEnd w:id="75"/>
    </w:p>
    <w:p w14:paraId="4977D3D3" w14:textId="77777777" w:rsidR="00E9277F" w:rsidRPr="00D343CC" w:rsidRDefault="00E9277F" w:rsidP="000E65AF">
      <w:pPr>
        <w:pStyle w:val="Heading3"/>
        <w:rPr>
          <w:rFonts w:cs="Arial"/>
        </w:rPr>
      </w:pPr>
      <w:bookmarkStart w:id="76" w:name="_Toc217246604"/>
      <w:r w:rsidRPr="00D343CC">
        <w:rPr>
          <w:rFonts w:cs="Arial"/>
        </w:rPr>
        <w:t>Table A7: Altman Z-Score Calculation (2020–2024)</w:t>
      </w:r>
      <w:bookmarkEnd w:id="76"/>
    </w:p>
    <w:p w14:paraId="15061767" w14:textId="77777777" w:rsidR="00E9277F" w:rsidRPr="00D343CC" w:rsidRDefault="00E9277F" w:rsidP="000E65AF">
      <w:pPr>
        <w:rPr>
          <w:rFonts w:cs="Arial"/>
        </w:rPr>
      </w:pPr>
      <w:r w:rsidRPr="00D343CC">
        <w:rPr>
          <w:rFonts w:cs="Arial"/>
        </w:rPr>
        <w:t>Z = 1.2X1 + 1.4X2 + 3.3X3 + 0.6X4 + 1.0X5</w:t>
      </w:r>
    </w:p>
    <w:p w14:paraId="752FA4D3" w14:textId="25BC846A" w:rsidR="00E9277F" w:rsidRPr="00D343CC" w:rsidRDefault="00E9277F" w:rsidP="000E65AF">
      <w:pPr>
        <w:rPr>
          <w:rFonts w:cs="Arial"/>
        </w:rPr>
      </w:pPr>
      <w:r w:rsidRPr="00D343CC">
        <w:rPr>
          <w:rFonts w:cs="Arial"/>
        </w:rPr>
        <w:t>Component values and final Z-Score for each year are presented below:</w:t>
      </w:r>
    </w:p>
    <w:tbl>
      <w:tblPr>
        <w:tblStyle w:val="TableGrid"/>
        <w:tblW w:w="0" w:type="auto"/>
        <w:tblLook w:val="04A0" w:firstRow="1" w:lastRow="0" w:firstColumn="1" w:lastColumn="0" w:noHBand="0" w:noVBand="1"/>
      </w:tblPr>
      <w:tblGrid>
        <w:gridCol w:w="1761"/>
        <w:gridCol w:w="3357"/>
        <w:gridCol w:w="750"/>
        <w:gridCol w:w="750"/>
        <w:gridCol w:w="750"/>
        <w:gridCol w:w="824"/>
        <w:gridCol w:w="824"/>
      </w:tblGrid>
      <w:tr w:rsidR="007103E9" w:rsidRPr="00D343CC" w14:paraId="3BE3A739" w14:textId="77777777" w:rsidTr="00942642">
        <w:tc>
          <w:tcPr>
            <w:tcW w:w="0" w:type="auto"/>
            <w:hideMark/>
          </w:tcPr>
          <w:p w14:paraId="4D0CC421" w14:textId="77777777" w:rsidR="007103E9" w:rsidRPr="00D343CC" w:rsidRDefault="007103E9" w:rsidP="000E65AF">
            <w:pPr>
              <w:rPr>
                <w:rFonts w:eastAsia="Times New Roman" w:cs="Arial"/>
                <w:b/>
                <w:bCs/>
                <w:szCs w:val="24"/>
              </w:rPr>
            </w:pPr>
            <w:r w:rsidRPr="00D343CC">
              <w:rPr>
                <w:rFonts w:eastAsia="Times New Roman" w:cs="Arial"/>
                <w:b/>
                <w:bCs/>
                <w:szCs w:val="24"/>
              </w:rPr>
              <w:t>Component</w:t>
            </w:r>
          </w:p>
        </w:tc>
        <w:tc>
          <w:tcPr>
            <w:tcW w:w="0" w:type="auto"/>
            <w:hideMark/>
          </w:tcPr>
          <w:p w14:paraId="7DCCFC01" w14:textId="77777777" w:rsidR="007103E9" w:rsidRPr="00D343CC" w:rsidRDefault="007103E9" w:rsidP="000E65AF">
            <w:pPr>
              <w:rPr>
                <w:rFonts w:eastAsia="Times New Roman" w:cs="Arial"/>
                <w:b/>
                <w:bCs/>
                <w:szCs w:val="24"/>
              </w:rPr>
            </w:pPr>
            <w:r w:rsidRPr="00D343CC">
              <w:rPr>
                <w:rFonts w:eastAsia="Times New Roman" w:cs="Arial"/>
                <w:b/>
                <w:bCs/>
                <w:szCs w:val="24"/>
              </w:rPr>
              <w:t>Formula</w:t>
            </w:r>
          </w:p>
        </w:tc>
        <w:tc>
          <w:tcPr>
            <w:tcW w:w="0" w:type="auto"/>
            <w:hideMark/>
          </w:tcPr>
          <w:p w14:paraId="3BECA049" w14:textId="77777777" w:rsidR="007103E9" w:rsidRPr="00D343CC" w:rsidRDefault="007103E9" w:rsidP="000E65AF">
            <w:pPr>
              <w:rPr>
                <w:rFonts w:eastAsia="Times New Roman" w:cs="Arial"/>
                <w:b/>
                <w:bCs/>
                <w:szCs w:val="24"/>
              </w:rPr>
            </w:pPr>
            <w:r w:rsidRPr="00D343CC">
              <w:rPr>
                <w:rFonts w:eastAsia="Times New Roman" w:cs="Arial"/>
                <w:b/>
                <w:bCs/>
                <w:szCs w:val="24"/>
              </w:rPr>
              <w:t>2020</w:t>
            </w:r>
          </w:p>
        </w:tc>
        <w:tc>
          <w:tcPr>
            <w:tcW w:w="0" w:type="auto"/>
            <w:hideMark/>
          </w:tcPr>
          <w:p w14:paraId="7FCDD5F9" w14:textId="77777777" w:rsidR="007103E9" w:rsidRPr="00D343CC" w:rsidRDefault="007103E9" w:rsidP="000E65AF">
            <w:pPr>
              <w:rPr>
                <w:rFonts w:eastAsia="Times New Roman" w:cs="Arial"/>
                <w:b/>
                <w:bCs/>
                <w:szCs w:val="24"/>
              </w:rPr>
            </w:pPr>
            <w:r w:rsidRPr="00D343CC">
              <w:rPr>
                <w:rFonts w:eastAsia="Times New Roman" w:cs="Arial"/>
                <w:b/>
                <w:bCs/>
                <w:szCs w:val="24"/>
              </w:rPr>
              <w:t>2021</w:t>
            </w:r>
          </w:p>
        </w:tc>
        <w:tc>
          <w:tcPr>
            <w:tcW w:w="0" w:type="auto"/>
            <w:hideMark/>
          </w:tcPr>
          <w:p w14:paraId="1696C046" w14:textId="77777777" w:rsidR="007103E9" w:rsidRPr="00D343CC" w:rsidRDefault="007103E9" w:rsidP="000E65AF">
            <w:pPr>
              <w:rPr>
                <w:rFonts w:eastAsia="Times New Roman" w:cs="Arial"/>
                <w:b/>
                <w:bCs/>
                <w:szCs w:val="24"/>
              </w:rPr>
            </w:pPr>
            <w:r w:rsidRPr="00D343CC">
              <w:rPr>
                <w:rFonts w:eastAsia="Times New Roman" w:cs="Arial"/>
                <w:b/>
                <w:bCs/>
                <w:szCs w:val="24"/>
              </w:rPr>
              <w:t>2022</w:t>
            </w:r>
          </w:p>
        </w:tc>
        <w:tc>
          <w:tcPr>
            <w:tcW w:w="0" w:type="auto"/>
            <w:hideMark/>
          </w:tcPr>
          <w:p w14:paraId="305AF900" w14:textId="77777777" w:rsidR="007103E9" w:rsidRPr="00D343CC" w:rsidRDefault="007103E9" w:rsidP="000E65AF">
            <w:pPr>
              <w:rPr>
                <w:rFonts w:eastAsia="Times New Roman" w:cs="Arial"/>
                <w:b/>
                <w:bCs/>
                <w:szCs w:val="24"/>
              </w:rPr>
            </w:pPr>
            <w:r w:rsidRPr="00D343CC">
              <w:rPr>
                <w:rFonts w:eastAsia="Times New Roman" w:cs="Arial"/>
                <w:b/>
                <w:bCs/>
                <w:szCs w:val="24"/>
              </w:rPr>
              <w:t>2023</w:t>
            </w:r>
          </w:p>
        </w:tc>
        <w:tc>
          <w:tcPr>
            <w:tcW w:w="0" w:type="auto"/>
            <w:hideMark/>
          </w:tcPr>
          <w:p w14:paraId="2D0F37FD" w14:textId="77777777" w:rsidR="007103E9" w:rsidRPr="00D343CC" w:rsidRDefault="007103E9" w:rsidP="000E65AF">
            <w:pPr>
              <w:rPr>
                <w:rFonts w:eastAsia="Times New Roman" w:cs="Arial"/>
                <w:b/>
                <w:bCs/>
                <w:szCs w:val="24"/>
              </w:rPr>
            </w:pPr>
            <w:r w:rsidRPr="00D343CC">
              <w:rPr>
                <w:rFonts w:eastAsia="Times New Roman" w:cs="Arial"/>
                <w:b/>
                <w:bCs/>
                <w:szCs w:val="24"/>
              </w:rPr>
              <w:t>2024</w:t>
            </w:r>
          </w:p>
        </w:tc>
      </w:tr>
      <w:tr w:rsidR="007103E9" w:rsidRPr="00D343CC" w14:paraId="7005DEA7" w14:textId="77777777" w:rsidTr="00942642">
        <w:tc>
          <w:tcPr>
            <w:tcW w:w="0" w:type="auto"/>
            <w:hideMark/>
          </w:tcPr>
          <w:p w14:paraId="27930608" w14:textId="77777777" w:rsidR="007103E9" w:rsidRPr="00D343CC" w:rsidRDefault="007103E9" w:rsidP="000E65AF">
            <w:pPr>
              <w:rPr>
                <w:rFonts w:eastAsia="Times New Roman" w:cs="Arial"/>
                <w:szCs w:val="24"/>
              </w:rPr>
            </w:pPr>
            <w:r w:rsidRPr="00D343CC">
              <w:rPr>
                <w:rFonts w:eastAsia="Times New Roman" w:cs="Arial"/>
                <w:szCs w:val="24"/>
              </w:rPr>
              <w:t>X1</w:t>
            </w:r>
          </w:p>
        </w:tc>
        <w:tc>
          <w:tcPr>
            <w:tcW w:w="0" w:type="auto"/>
            <w:hideMark/>
          </w:tcPr>
          <w:p w14:paraId="4E5B2FF4" w14:textId="77777777" w:rsidR="007103E9" w:rsidRPr="00D343CC" w:rsidRDefault="007103E9" w:rsidP="000E65AF">
            <w:pPr>
              <w:rPr>
                <w:rFonts w:eastAsia="Times New Roman" w:cs="Arial"/>
                <w:szCs w:val="24"/>
              </w:rPr>
            </w:pPr>
            <w:r w:rsidRPr="00D343CC">
              <w:rPr>
                <w:rFonts w:eastAsia="Times New Roman" w:cs="Arial"/>
                <w:szCs w:val="24"/>
              </w:rPr>
              <w:t>(Current Assets − Current Liabilities) / Total Assets</w:t>
            </w:r>
          </w:p>
        </w:tc>
        <w:tc>
          <w:tcPr>
            <w:tcW w:w="0" w:type="auto"/>
            <w:hideMark/>
          </w:tcPr>
          <w:p w14:paraId="1B4B95AF" w14:textId="77777777" w:rsidR="007103E9" w:rsidRPr="00D343CC" w:rsidRDefault="007103E9" w:rsidP="000E65AF">
            <w:pPr>
              <w:rPr>
                <w:rFonts w:eastAsia="Times New Roman" w:cs="Arial"/>
                <w:szCs w:val="24"/>
              </w:rPr>
            </w:pPr>
            <w:r w:rsidRPr="00D343CC">
              <w:rPr>
                <w:rFonts w:eastAsia="Times New Roman" w:cs="Arial"/>
                <w:szCs w:val="24"/>
              </w:rPr>
              <w:t>0.29</w:t>
            </w:r>
          </w:p>
        </w:tc>
        <w:tc>
          <w:tcPr>
            <w:tcW w:w="0" w:type="auto"/>
            <w:hideMark/>
          </w:tcPr>
          <w:p w14:paraId="3DBA1F95" w14:textId="77777777" w:rsidR="007103E9" w:rsidRPr="00D343CC" w:rsidRDefault="007103E9" w:rsidP="000E65AF">
            <w:pPr>
              <w:rPr>
                <w:rFonts w:eastAsia="Times New Roman" w:cs="Arial"/>
                <w:szCs w:val="24"/>
              </w:rPr>
            </w:pPr>
            <w:r w:rsidRPr="00D343CC">
              <w:rPr>
                <w:rFonts w:eastAsia="Times New Roman" w:cs="Arial"/>
                <w:szCs w:val="24"/>
              </w:rPr>
              <w:t>0.24</w:t>
            </w:r>
          </w:p>
        </w:tc>
        <w:tc>
          <w:tcPr>
            <w:tcW w:w="0" w:type="auto"/>
            <w:hideMark/>
          </w:tcPr>
          <w:p w14:paraId="285A7C22" w14:textId="77777777" w:rsidR="007103E9" w:rsidRPr="00D343CC" w:rsidRDefault="007103E9" w:rsidP="000E65AF">
            <w:pPr>
              <w:rPr>
                <w:rFonts w:eastAsia="Times New Roman" w:cs="Arial"/>
                <w:szCs w:val="24"/>
              </w:rPr>
            </w:pPr>
            <w:r w:rsidRPr="00D343CC">
              <w:rPr>
                <w:rFonts w:eastAsia="Times New Roman" w:cs="Arial"/>
                <w:szCs w:val="24"/>
              </w:rPr>
              <w:t>0.24</w:t>
            </w:r>
          </w:p>
        </w:tc>
        <w:tc>
          <w:tcPr>
            <w:tcW w:w="0" w:type="auto"/>
            <w:hideMark/>
          </w:tcPr>
          <w:p w14:paraId="3258F87F" w14:textId="77777777" w:rsidR="007103E9" w:rsidRPr="00D343CC" w:rsidRDefault="007103E9" w:rsidP="000E65AF">
            <w:pPr>
              <w:rPr>
                <w:rFonts w:eastAsia="Times New Roman" w:cs="Arial"/>
                <w:szCs w:val="24"/>
              </w:rPr>
            </w:pPr>
            <w:r w:rsidRPr="00D343CC">
              <w:rPr>
                <w:rFonts w:eastAsia="Times New Roman" w:cs="Arial"/>
                <w:szCs w:val="24"/>
              </w:rPr>
              <w:t>0.27</w:t>
            </w:r>
          </w:p>
        </w:tc>
        <w:tc>
          <w:tcPr>
            <w:tcW w:w="0" w:type="auto"/>
            <w:hideMark/>
          </w:tcPr>
          <w:p w14:paraId="1A41F94E" w14:textId="77777777" w:rsidR="007103E9" w:rsidRPr="00D343CC" w:rsidRDefault="007103E9" w:rsidP="000E65AF">
            <w:pPr>
              <w:rPr>
                <w:rFonts w:eastAsia="Times New Roman" w:cs="Arial"/>
                <w:szCs w:val="24"/>
              </w:rPr>
            </w:pPr>
            <w:r w:rsidRPr="00D343CC">
              <w:rPr>
                <w:rFonts w:eastAsia="Times New Roman" w:cs="Arial"/>
                <w:szCs w:val="24"/>
              </w:rPr>
              <w:t>0.26</w:t>
            </w:r>
          </w:p>
        </w:tc>
      </w:tr>
      <w:tr w:rsidR="007103E9" w:rsidRPr="00D343CC" w14:paraId="4D45A378" w14:textId="77777777" w:rsidTr="00942642">
        <w:tc>
          <w:tcPr>
            <w:tcW w:w="0" w:type="auto"/>
            <w:hideMark/>
          </w:tcPr>
          <w:p w14:paraId="2C3BAB26" w14:textId="77777777" w:rsidR="007103E9" w:rsidRPr="00D343CC" w:rsidRDefault="007103E9" w:rsidP="000E65AF">
            <w:pPr>
              <w:rPr>
                <w:rFonts w:eastAsia="Times New Roman" w:cs="Arial"/>
                <w:szCs w:val="24"/>
              </w:rPr>
            </w:pPr>
            <w:r w:rsidRPr="00D343CC">
              <w:rPr>
                <w:rFonts w:eastAsia="Times New Roman" w:cs="Arial"/>
                <w:szCs w:val="24"/>
              </w:rPr>
              <w:t>X2</w:t>
            </w:r>
          </w:p>
        </w:tc>
        <w:tc>
          <w:tcPr>
            <w:tcW w:w="0" w:type="auto"/>
            <w:hideMark/>
          </w:tcPr>
          <w:p w14:paraId="08219BA9" w14:textId="77777777" w:rsidR="007103E9" w:rsidRPr="00D343CC" w:rsidRDefault="007103E9" w:rsidP="000E65AF">
            <w:pPr>
              <w:rPr>
                <w:rFonts w:eastAsia="Times New Roman" w:cs="Arial"/>
                <w:szCs w:val="24"/>
              </w:rPr>
            </w:pPr>
            <w:r w:rsidRPr="00D343CC">
              <w:rPr>
                <w:rFonts w:eastAsia="Times New Roman" w:cs="Arial"/>
                <w:szCs w:val="24"/>
              </w:rPr>
              <w:t>Retained Earnings / Total Assets</w:t>
            </w:r>
          </w:p>
        </w:tc>
        <w:tc>
          <w:tcPr>
            <w:tcW w:w="0" w:type="auto"/>
            <w:hideMark/>
          </w:tcPr>
          <w:p w14:paraId="0C5D677B" w14:textId="77777777" w:rsidR="007103E9" w:rsidRPr="00D343CC" w:rsidRDefault="007103E9" w:rsidP="000E65AF">
            <w:pPr>
              <w:rPr>
                <w:rFonts w:eastAsia="Times New Roman" w:cs="Arial"/>
                <w:szCs w:val="24"/>
              </w:rPr>
            </w:pPr>
            <w:r w:rsidRPr="00D343CC">
              <w:rPr>
                <w:rFonts w:eastAsia="Times New Roman" w:cs="Arial"/>
                <w:szCs w:val="24"/>
              </w:rPr>
              <w:t>0.64</w:t>
            </w:r>
          </w:p>
        </w:tc>
        <w:tc>
          <w:tcPr>
            <w:tcW w:w="0" w:type="auto"/>
            <w:hideMark/>
          </w:tcPr>
          <w:p w14:paraId="76579F4A" w14:textId="77777777" w:rsidR="007103E9" w:rsidRPr="00D343CC" w:rsidRDefault="007103E9" w:rsidP="000E65AF">
            <w:pPr>
              <w:rPr>
                <w:rFonts w:eastAsia="Times New Roman" w:cs="Arial"/>
                <w:szCs w:val="24"/>
              </w:rPr>
            </w:pPr>
            <w:r w:rsidRPr="00D343CC">
              <w:rPr>
                <w:rFonts w:eastAsia="Times New Roman" w:cs="Arial"/>
                <w:szCs w:val="24"/>
              </w:rPr>
              <w:t>0.65</w:t>
            </w:r>
          </w:p>
        </w:tc>
        <w:tc>
          <w:tcPr>
            <w:tcW w:w="0" w:type="auto"/>
            <w:hideMark/>
          </w:tcPr>
          <w:p w14:paraId="1A86D046" w14:textId="77777777" w:rsidR="007103E9" w:rsidRPr="00D343CC" w:rsidRDefault="007103E9" w:rsidP="000E65AF">
            <w:pPr>
              <w:rPr>
                <w:rFonts w:eastAsia="Times New Roman" w:cs="Arial"/>
                <w:szCs w:val="24"/>
              </w:rPr>
            </w:pPr>
            <w:r w:rsidRPr="00D343CC">
              <w:rPr>
                <w:rFonts w:eastAsia="Times New Roman" w:cs="Arial"/>
                <w:szCs w:val="24"/>
              </w:rPr>
              <w:t>0.66</w:t>
            </w:r>
          </w:p>
        </w:tc>
        <w:tc>
          <w:tcPr>
            <w:tcW w:w="0" w:type="auto"/>
            <w:hideMark/>
          </w:tcPr>
          <w:p w14:paraId="40F0C09B" w14:textId="77777777" w:rsidR="007103E9" w:rsidRPr="00D343CC" w:rsidRDefault="007103E9" w:rsidP="000E65AF">
            <w:pPr>
              <w:rPr>
                <w:rFonts w:eastAsia="Times New Roman" w:cs="Arial"/>
                <w:szCs w:val="24"/>
              </w:rPr>
            </w:pPr>
            <w:r w:rsidRPr="00D343CC">
              <w:rPr>
                <w:rFonts w:eastAsia="Times New Roman" w:cs="Arial"/>
                <w:szCs w:val="24"/>
              </w:rPr>
              <w:t>0.65</w:t>
            </w:r>
          </w:p>
        </w:tc>
        <w:tc>
          <w:tcPr>
            <w:tcW w:w="0" w:type="auto"/>
            <w:hideMark/>
          </w:tcPr>
          <w:p w14:paraId="6F19D678" w14:textId="77777777" w:rsidR="007103E9" w:rsidRPr="00D343CC" w:rsidRDefault="007103E9" w:rsidP="000E65AF">
            <w:pPr>
              <w:rPr>
                <w:rFonts w:eastAsia="Times New Roman" w:cs="Arial"/>
                <w:szCs w:val="24"/>
              </w:rPr>
            </w:pPr>
            <w:r w:rsidRPr="00D343CC">
              <w:rPr>
                <w:rFonts w:eastAsia="Times New Roman" w:cs="Arial"/>
                <w:szCs w:val="24"/>
              </w:rPr>
              <w:t>0.64</w:t>
            </w:r>
          </w:p>
        </w:tc>
      </w:tr>
      <w:tr w:rsidR="007103E9" w:rsidRPr="00D343CC" w14:paraId="1680EAF8" w14:textId="77777777" w:rsidTr="00942642">
        <w:tc>
          <w:tcPr>
            <w:tcW w:w="0" w:type="auto"/>
            <w:hideMark/>
          </w:tcPr>
          <w:p w14:paraId="039CFF66" w14:textId="77777777" w:rsidR="007103E9" w:rsidRPr="00D343CC" w:rsidRDefault="007103E9" w:rsidP="000E65AF">
            <w:pPr>
              <w:rPr>
                <w:rFonts w:eastAsia="Times New Roman" w:cs="Arial"/>
                <w:szCs w:val="24"/>
              </w:rPr>
            </w:pPr>
            <w:r w:rsidRPr="00D343CC">
              <w:rPr>
                <w:rFonts w:eastAsia="Times New Roman" w:cs="Arial"/>
                <w:szCs w:val="24"/>
              </w:rPr>
              <w:t>X3</w:t>
            </w:r>
          </w:p>
        </w:tc>
        <w:tc>
          <w:tcPr>
            <w:tcW w:w="0" w:type="auto"/>
            <w:hideMark/>
          </w:tcPr>
          <w:p w14:paraId="38FEA680" w14:textId="77777777" w:rsidR="007103E9" w:rsidRPr="00D343CC" w:rsidRDefault="007103E9" w:rsidP="000E65AF">
            <w:pPr>
              <w:rPr>
                <w:rFonts w:eastAsia="Times New Roman" w:cs="Arial"/>
                <w:szCs w:val="24"/>
              </w:rPr>
            </w:pPr>
            <w:r w:rsidRPr="00D343CC">
              <w:rPr>
                <w:rFonts w:eastAsia="Times New Roman" w:cs="Arial"/>
                <w:szCs w:val="24"/>
              </w:rPr>
              <w:t>EBIT / Total Assets</w:t>
            </w:r>
          </w:p>
        </w:tc>
        <w:tc>
          <w:tcPr>
            <w:tcW w:w="0" w:type="auto"/>
            <w:hideMark/>
          </w:tcPr>
          <w:p w14:paraId="1C464A0E" w14:textId="77777777" w:rsidR="007103E9" w:rsidRPr="00D343CC" w:rsidRDefault="007103E9" w:rsidP="000E65AF">
            <w:pPr>
              <w:rPr>
                <w:rFonts w:eastAsia="Times New Roman" w:cs="Arial"/>
                <w:szCs w:val="24"/>
              </w:rPr>
            </w:pPr>
            <w:r w:rsidRPr="00D343CC">
              <w:rPr>
                <w:rFonts w:eastAsia="Times New Roman" w:cs="Arial"/>
                <w:szCs w:val="24"/>
              </w:rPr>
              <w:t>0.07</w:t>
            </w:r>
          </w:p>
        </w:tc>
        <w:tc>
          <w:tcPr>
            <w:tcW w:w="0" w:type="auto"/>
            <w:hideMark/>
          </w:tcPr>
          <w:p w14:paraId="4F93AE7C" w14:textId="77777777" w:rsidR="007103E9" w:rsidRPr="00D343CC" w:rsidRDefault="007103E9" w:rsidP="000E65AF">
            <w:pPr>
              <w:rPr>
                <w:rFonts w:eastAsia="Times New Roman" w:cs="Arial"/>
                <w:szCs w:val="24"/>
              </w:rPr>
            </w:pPr>
            <w:r w:rsidRPr="00D343CC">
              <w:rPr>
                <w:rFonts w:eastAsia="Times New Roman" w:cs="Arial"/>
                <w:szCs w:val="24"/>
              </w:rPr>
              <w:t>0.05</w:t>
            </w:r>
          </w:p>
        </w:tc>
        <w:tc>
          <w:tcPr>
            <w:tcW w:w="0" w:type="auto"/>
            <w:hideMark/>
          </w:tcPr>
          <w:p w14:paraId="6F99BC1C" w14:textId="77777777" w:rsidR="007103E9" w:rsidRPr="00D343CC" w:rsidRDefault="007103E9" w:rsidP="000E65AF">
            <w:pPr>
              <w:rPr>
                <w:rFonts w:eastAsia="Times New Roman" w:cs="Arial"/>
                <w:szCs w:val="24"/>
              </w:rPr>
            </w:pPr>
            <w:r w:rsidRPr="00D343CC">
              <w:rPr>
                <w:rFonts w:eastAsia="Times New Roman" w:cs="Arial"/>
                <w:szCs w:val="24"/>
              </w:rPr>
              <w:t>0.03</w:t>
            </w:r>
          </w:p>
        </w:tc>
        <w:tc>
          <w:tcPr>
            <w:tcW w:w="0" w:type="auto"/>
            <w:hideMark/>
          </w:tcPr>
          <w:p w14:paraId="77D2820B" w14:textId="77777777" w:rsidR="007103E9" w:rsidRPr="00D343CC" w:rsidRDefault="007103E9" w:rsidP="000E65AF">
            <w:pPr>
              <w:rPr>
                <w:rFonts w:eastAsia="Times New Roman" w:cs="Arial"/>
                <w:szCs w:val="24"/>
              </w:rPr>
            </w:pPr>
            <w:r w:rsidRPr="00D343CC">
              <w:rPr>
                <w:rFonts w:eastAsia="Times New Roman" w:cs="Arial"/>
                <w:szCs w:val="24"/>
              </w:rPr>
              <w:t>−0.24</w:t>
            </w:r>
          </w:p>
        </w:tc>
        <w:tc>
          <w:tcPr>
            <w:tcW w:w="0" w:type="auto"/>
            <w:hideMark/>
          </w:tcPr>
          <w:p w14:paraId="61D3D435" w14:textId="77777777" w:rsidR="007103E9" w:rsidRPr="00D343CC" w:rsidRDefault="007103E9" w:rsidP="000E65AF">
            <w:pPr>
              <w:rPr>
                <w:rFonts w:eastAsia="Times New Roman" w:cs="Arial"/>
                <w:szCs w:val="24"/>
              </w:rPr>
            </w:pPr>
            <w:r w:rsidRPr="00D343CC">
              <w:rPr>
                <w:rFonts w:eastAsia="Times New Roman" w:cs="Arial"/>
                <w:szCs w:val="24"/>
              </w:rPr>
              <w:t>−0.05</w:t>
            </w:r>
          </w:p>
        </w:tc>
      </w:tr>
      <w:tr w:rsidR="007103E9" w:rsidRPr="00D343CC" w14:paraId="121F2F50" w14:textId="77777777" w:rsidTr="00942642">
        <w:tc>
          <w:tcPr>
            <w:tcW w:w="0" w:type="auto"/>
            <w:hideMark/>
          </w:tcPr>
          <w:p w14:paraId="6AC2ED47" w14:textId="77777777" w:rsidR="007103E9" w:rsidRPr="00D343CC" w:rsidRDefault="007103E9" w:rsidP="000E65AF">
            <w:pPr>
              <w:rPr>
                <w:rFonts w:eastAsia="Times New Roman" w:cs="Arial"/>
                <w:szCs w:val="24"/>
              </w:rPr>
            </w:pPr>
            <w:r w:rsidRPr="00D343CC">
              <w:rPr>
                <w:rFonts w:eastAsia="Times New Roman" w:cs="Arial"/>
                <w:szCs w:val="24"/>
              </w:rPr>
              <w:t>X4</w:t>
            </w:r>
          </w:p>
        </w:tc>
        <w:tc>
          <w:tcPr>
            <w:tcW w:w="0" w:type="auto"/>
            <w:hideMark/>
          </w:tcPr>
          <w:p w14:paraId="5315BE0B" w14:textId="77777777" w:rsidR="007103E9" w:rsidRPr="00D343CC" w:rsidRDefault="007103E9" w:rsidP="000E65AF">
            <w:pPr>
              <w:rPr>
                <w:rFonts w:eastAsia="Times New Roman" w:cs="Arial"/>
                <w:szCs w:val="24"/>
              </w:rPr>
            </w:pPr>
            <w:r w:rsidRPr="00D343CC">
              <w:rPr>
                <w:rFonts w:eastAsia="Times New Roman" w:cs="Arial"/>
                <w:szCs w:val="24"/>
              </w:rPr>
              <w:t>Market Value of Equity / Total Liabilities</w:t>
            </w:r>
          </w:p>
        </w:tc>
        <w:tc>
          <w:tcPr>
            <w:tcW w:w="0" w:type="auto"/>
            <w:hideMark/>
          </w:tcPr>
          <w:p w14:paraId="04289281" w14:textId="77777777" w:rsidR="007103E9" w:rsidRPr="00D343CC" w:rsidRDefault="007103E9" w:rsidP="000E65AF">
            <w:pPr>
              <w:rPr>
                <w:rFonts w:eastAsia="Times New Roman" w:cs="Arial"/>
                <w:szCs w:val="24"/>
              </w:rPr>
            </w:pPr>
            <w:r w:rsidRPr="00D343CC">
              <w:rPr>
                <w:rFonts w:eastAsia="Times New Roman" w:cs="Arial"/>
                <w:szCs w:val="24"/>
              </w:rPr>
              <w:t>8.46</w:t>
            </w:r>
          </w:p>
        </w:tc>
        <w:tc>
          <w:tcPr>
            <w:tcW w:w="0" w:type="auto"/>
            <w:hideMark/>
          </w:tcPr>
          <w:p w14:paraId="2388FE8F" w14:textId="77777777" w:rsidR="007103E9" w:rsidRPr="00D343CC" w:rsidRDefault="007103E9" w:rsidP="000E65AF">
            <w:pPr>
              <w:rPr>
                <w:rFonts w:eastAsia="Times New Roman" w:cs="Arial"/>
                <w:szCs w:val="24"/>
              </w:rPr>
            </w:pPr>
            <w:r w:rsidRPr="00D343CC">
              <w:rPr>
                <w:rFonts w:eastAsia="Times New Roman" w:cs="Arial"/>
                <w:szCs w:val="24"/>
              </w:rPr>
              <w:t>6.89</w:t>
            </w:r>
          </w:p>
        </w:tc>
        <w:tc>
          <w:tcPr>
            <w:tcW w:w="0" w:type="auto"/>
            <w:hideMark/>
          </w:tcPr>
          <w:p w14:paraId="599A876B" w14:textId="77777777" w:rsidR="007103E9" w:rsidRPr="00D343CC" w:rsidRDefault="007103E9" w:rsidP="000E65AF">
            <w:pPr>
              <w:rPr>
                <w:rFonts w:eastAsia="Times New Roman" w:cs="Arial"/>
                <w:szCs w:val="24"/>
              </w:rPr>
            </w:pPr>
            <w:r w:rsidRPr="00D343CC">
              <w:rPr>
                <w:rFonts w:eastAsia="Times New Roman" w:cs="Arial"/>
                <w:szCs w:val="24"/>
              </w:rPr>
              <w:t>6.47</w:t>
            </w:r>
          </w:p>
        </w:tc>
        <w:tc>
          <w:tcPr>
            <w:tcW w:w="0" w:type="auto"/>
            <w:hideMark/>
          </w:tcPr>
          <w:p w14:paraId="1849FB0D" w14:textId="77777777" w:rsidR="007103E9" w:rsidRPr="00D343CC" w:rsidRDefault="007103E9" w:rsidP="000E65AF">
            <w:pPr>
              <w:rPr>
                <w:rFonts w:eastAsia="Times New Roman" w:cs="Arial"/>
                <w:szCs w:val="24"/>
              </w:rPr>
            </w:pPr>
            <w:r w:rsidRPr="00D343CC">
              <w:rPr>
                <w:rFonts w:eastAsia="Times New Roman" w:cs="Arial"/>
                <w:szCs w:val="24"/>
              </w:rPr>
              <w:t>8.72</w:t>
            </w:r>
          </w:p>
        </w:tc>
        <w:tc>
          <w:tcPr>
            <w:tcW w:w="0" w:type="auto"/>
            <w:hideMark/>
          </w:tcPr>
          <w:p w14:paraId="6930D9C4" w14:textId="77777777" w:rsidR="007103E9" w:rsidRPr="00D343CC" w:rsidRDefault="007103E9" w:rsidP="000E65AF">
            <w:pPr>
              <w:rPr>
                <w:rFonts w:eastAsia="Times New Roman" w:cs="Arial"/>
                <w:szCs w:val="24"/>
              </w:rPr>
            </w:pPr>
            <w:r w:rsidRPr="00D343CC">
              <w:rPr>
                <w:rFonts w:eastAsia="Times New Roman" w:cs="Arial"/>
                <w:szCs w:val="24"/>
              </w:rPr>
              <w:t>9.13</w:t>
            </w:r>
          </w:p>
        </w:tc>
      </w:tr>
      <w:tr w:rsidR="007103E9" w:rsidRPr="00D343CC" w14:paraId="7F5D6F93" w14:textId="77777777" w:rsidTr="00942642">
        <w:tc>
          <w:tcPr>
            <w:tcW w:w="0" w:type="auto"/>
            <w:hideMark/>
          </w:tcPr>
          <w:p w14:paraId="5166D43F" w14:textId="77777777" w:rsidR="007103E9" w:rsidRPr="00D343CC" w:rsidRDefault="007103E9" w:rsidP="000E65AF">
            <w:pPr>
              <w:rPr>
                <w:rFonts w:eastAsia="Times New Roman" w:cs="Arial"/>
                <w:szCs w:val="24"/>
              </w:rPr>
            </w:pPr>
            <w:r w:rsidRPr="00D343CC">
              <w:rPr>
                <w:rFonts w:eastAsia="Times New Roman" w:cs="Arial"/>
                <w:szCs w:val="24"/>
              </w:rPr>
              <w:t>X5</w:t>
            </w:r>
          </w:p>
        </w:tc>
        <w:tc>
          <w:tcPr>
            <w:tcW w:w="0" w:type="auto"/>
            <w:hideMark/>
          </w:tcPr>
          <w:p w14:paraId="70E959F6" w14:textId="77777777" w:rsidR="007103E9" w:rsidRPr="00D343CC" w:rsidRDefault="007103E9" w:rsidP="000E65AF">
            <w:pPr>
              <w:rPr>
                <w:rFonts w:eastAsia="Times New Roman" w:cs="Arial"/>
                <w:szCs w:val="24"/>
              </w:rPr>
            </w:pPr>
            <w:r w:rsidRPr="00D343CC">
              <w:rPr>
                <w:rFonts w:eastAsia="Times New Roman" w:cs="Arial"/>
                <w:szCs w:val="24"/>
              </w:rPr>
              <w:t>Net Sales / Total Assets</w:t>
            </w:r>
          </w:p>
        </w:tc>
        <w:tc>
          <w:tcPr>
            <w:tcW w:w="0" w:type="auto"/>
            <w:hideMark/>
          </w:tcPr>
          <w:p w14:paraId="432D33D8" w14:textId="77777777" w:rsidR="007103E9" w:rsidRPr="00D343CC" w:rsidRDefault="007103E9" w:rsidP="000E65AF">
            <w:pPr>
              <w:rPr>
                <w:rFonts w:eastAsia="Times New Roman" w:cs="Arial"/>
                <w:szCs w:val="24"/>
              </w:rPr>
            </w:pPr>
            <w:r w:rsidRPr="00D343CC">
              <w:rPr>
                <w:rFonts w:eastAsia="Times New Roman" w:cs="Arial"/>
                <w:szCs w:val="24"/>
              </w:rPr>
              <w:t>1.20</w:t>
            </w:r>
          </w:p>
        </w:tc>
        <w:tc>
          <w:tcPr>
            <w:tcW w:w="0" w:type="auto"/>
            <w:hideMark/>
          </w:tcPr>
          <w:p w14:paraId="382ABA83" w14:textId="77777777" w:rsidR="007103E9" w:rsidRPr="00D343CC" w:rsidRDefault="007103E9" w:rsidP="000E65AF">
            <w:pPr>
              <w:rPr>
                <w:rFonts w:eastAsia="Times New Roman" w:cs="Arial"/>
                <w:szCs w:val="24"/>
              </w:rPr>
            </w:pPr>
            <w:r w:rsidRPr="00D343CC">
              <w:rPr>
                <w:rFonts w:eastAsia="Times New Roman" w:cs="Arial"/>
                <w:szCs w:val="24"/>
              </w:rPr>
              <w:t>1.18</w:t>
            </w:r>
          </w:p>
        </w:tc>
        <w:tc>
          <w:tcPr>
            <w:tcW w:w="0" w:type="auto"/>
            <w:hideMark/>
          </w:tcPr>
          <w:p w14:paraId="5A4213A6" w14:textId="77777777" w:rsidR="007103E9" w:rsidRPr="00D343CC" w:rsidRDefault="007103E9" w:rsidP="000E65AF">
            <w:pPr>
              <w:rPr>
                <w:rFonts w:eastAsia="Times New Roman" w:cs="Arial"/>
                <w:szCs w:val="24"/>
              </w:rPr>
            </w:pPr>
            <w:r w:rsidRPr="00D343CC">
              <w:rPr>
                <w:rFonts w:eastAsia="Times New Roman" w:cs="Arial"/>
                <w:szCs w:val="24"/>
              </w:rPr>
              <w:t>1.08</w:t>
            </w:r>
          </w:p>
        </w:tc>
        <w:tc>
          <w:tcPr>
            <w:tcW w:w="0" w:type="auto"/>
            <w:hideMark/>
          </w:tcPr>
          <w:p w14:paraId="33F89BE6" w14:textId="77777777" w:rsidR="007103E9" w:rsidRPr="00D343CC" w:rsidRDefault="007103E9" w:rsidP="000E65AF">
            <w:pPr>
              <w:rPr>
                <w:rFonts w:eastAsia="Times New Roman" w:cs="Arial"/>
                <w:szCs w:val="24"/>
              </w:rPr>
            </w:pPr>
            <w:r w:rsidRPr="00D343CC">
              <w:rPr>
                <w:rFonts w:eastAsia="Times New Roman" w:cs="Arial"/>
                <w:szCs w:val="24"/>
              </w:rPr>
              <w:t>1.18</w:t>
            </w:r>
          </w:p>
        </w:tc>
        <w:tc>
          <w:tcPr>
            <w:tcW w:w="0" w:type="auto"/>
            <w:hideMark/>
          </w:tcPr>
          <w:p w14:paraId="6381A32A" w14:textId="77777777" w:rsidR="007103E9" w:rsidRPr="00D343CC" w:rsidRDefault="007103E9" w:rsidP="000E65AF">
            <w:pPr>
              <w:rPr>
                <w:rFonts w:eastAsia="Times New Roman" w:cs="Arial"/>
                <w:szCs w:val="24"/>
              </w:rPr>
            </w:pPr>
            <w:r w:rsidRPr="00D343CC">
              <w:rPr>
                <w:rFonts w:eastAsia="Times New Roman" w:cs="Arial"/>
                <w:szCs w:val="24"/>
              </w:rPr>
              <w:t>1.22</w:t>
            </w:r>
          </w:p>
        </w:tc>
      </w:tr>
      <w:tr w:rsidR="007103E9" w:rsidRPr="00D343CC" w14:paraId="1AEC5AA2" w14:textId="77777777" w:rsidTr="00942642">
        <w:tc>
          <w:tcPr>
            <w:tcW w:w="0" w:type="auto"/>
            <w:hideMark/>
          </w:tcPr>
          <w:p w14:paraId="3E8E5B21" w14:textId="77777777" w:rsidR="007103E9" w:rsidRPr="00D343CC" w:rsidRDefault="007103E9" w:rsidP="000E65AF">
            <w:pPr>
              <w:rPr>
                <w:rFonts w:eastAsia="Times New Roman" w:cs="Arial"/>
                <w:szCs w:val="24"/>
              </w:rPr>
            </w:pPr>
            <w:r w:rsidRPr="00D343CC">
              <w:rPr>
                <w:rFonts w:eastAsia="Times New Roman" w:cs="Arial"/>
                <w:b/>
                <w:bCs/>
                <w:szCs w:val="24"/>
              </w:rPr>
              <w:t>Altman Z-Score</w:t>
            </w:r>
          </w:p>
        </w:tc>
        <w:tc>
          <w:tcPr>
            <w:tcW w:w="0" w:type="auto"/>
            <w:hideMark/>
          </w:tcPr>
          <w:p w14:paraId="764ADD39" w14:textId="77777777" w:rsidR="007103E9" w:rsidRPr="00D343CC" w:rsidRDefault="007103E9" w:rsidP="000E65AF">
            <w:pPr>
              <w:rPr>
                <w:rFonts w:eastAsia="Times New Roman" w:cs="Arial"/>
                <w:szCs w:val="24"/>
              </w:rPr>
            </w:pPr>
            <w:r w:rsidRPr="00D343CC">
              <w:rPr>
                <w:rFonts w:eastAsia="Times New Roman" w:cs="Arial"/>
                <w:szCs w:val="24"/>
              </w:rPr>
              <w:t>Weighted Sum</w:t>
            </w:r>
          </w:p>
        </w:tc>
        <w:tc>
          <w:tcPr>
            <w:tcW w:w="0" w:type="auto"/>
            <w:hideMark/>
          </w:tcPr>
          <w:p w14:paraId="3115C48D" w14:textId="77777777" w:rsidR="007103E9" w:rsidRPr="00D343CC" w:rsidRDefault="007103E9" w:rsidP="000E65AF">
            <w:pPr>
              <w:rPr>
                <w:rFonts w:eastAsia="Times New Roman" w:cs="Arial"/>
                <w:szCs w:val="24"/>
              </w:rPr>
            </w:pPr>
            <w:r w:rsidRPr="00D343CC">
              <w:rPr>
                <w:rFonts w:eastAsia="Times New Roman" w:cs="Arial"/>
                <w:b/>
                <w:bCs/>
                <w:szCs w:val="24"/>
              </w:rPr>
              <w:t>7.76</w:t>
            </w:r>
          </w:p>
        </w:tc>
        <w:tc>
          <w:tcPr>
            <w:tcW w:w="0" w:type="auto"/>
            <w:hideMark/>
          </w:tcPr>
          <w:p w14:paraId="2B221DFB" w14:textId="77777777" w:rsidR="007103E9" w:rsidRPr="00D343CC" w:rsidRDefault="007103E9" w:rsidP="000E65AF">
            <w:pPr>
              <w:rPr>
                <w:rFonts w:eastAsia="Times New Roman" w:cs="Arial"/>
                <w:szCs w:val="24"/>
              </w:rPr>
            </w:pPr>
            <w:r w:rsidRPr="00D343CC">
              <w:rPr>
                <w:rFonts w:eastAsia="Times New Roman" w:cs="Arial"/>
                <w:b/>
                <w:bCs/>
                <w:szCs w:val="24"/>
              </w:rPr>
              <w:t>6.65</w:t>
            </w:r>
          </w:p>
        </w:tc>
        <w:tc>
          <w:tcPr>
            <w:tcW w:w="0" w:type="auto"/>
            <w:hideMark/>
          </w:tcPr>
          <w:p w14:paraId="56E4E7F8" w14:textId="77777777" w:rsidR="007103E9" w:rsidRPr="00D343CC" w:rsidRDefault="007103E9" w:rsidP="000E65AF">
            <w:pPr>
              <w:rPr>
                <w:rFonts w:eastAsia="Times New Roman" w:cs="Arial"/>
                <w:szCs w:val="24"/>
              </w:rPr>
            </w:pPr>
            <w:r w:rsidRPr="00D343CC">
              <w:rPr>
                <w:rFonts w:eastAsia="Times New Roman" w:cs="Arial"/>
                <w:b/>
                <w:bCs/>
                <w:szCs w:val="24"/>
              </w:rPr>
              <w:t>6.26</w:t>
            </w:r>
          </w:p>
        </w:tc>
        <w:tc>
          <w:tcPr>
            <w:tcW w:w="0" w:type="auto"/>
            <w:hideMark/>
          </w:tcPr>
          <w:p w14:paraId="26A4015E" w14:textId="77777777" w:rsidR="007103E9" w:rsidRPr="00D343CC" w:rsidRDefault="007103E9" w:rsidP="000E65AF">
            <w:pPr>
              <w:rPr>
                <w:rFonts w:eastAsia="Times New Roman" w:cs="Arial"/>
                <w:szCs w:val="24"/>
              </w:rPr>
            </w:pPr>
            <w:r w:rsidRPr="00D343CC">
              <w:rPr>
                <w:rFonts w:eastAsia="Times New Roman" w:cs="Arial"/>
                <w:b/>
                <w:bCs/>
                <w:szCs w:val="24"/>
              </w:rPr>
              <w:t>6.87</w:t>
            </w:r>
          </w:p>
        </w:tc>
        <w:tc>
          <w:tcPr>
            <w:tcW w:w="0" w:type="auto"/>
            <w:hideMark/>
          </w:tcPr>
          <w:p w14:paraId="7CD538AE" w14:textId="77777777" w:rsidR="007103E9" w:rsidRPr="00D343CC" w:rsidRDefault="007103E9" w:rsidP="000E65AF">
            <w:pPr>
              <w:rPr>
                <w:rFonts w:eastAsia="Times New Roman" w:cs="Arial"/>
                <w:szCs w:val="24"/>
              </w:rPr>
            </w:pPr>
            <w:r w:rsidRPr="00D343CC">
              <w:rPr>
                <w:rFonts w:eastAsia="Times New Roman" w:cs="Arial"/>
                <w:b/>
                <w:bCs/>
                <w:szCs w:val="24"/>
              </w:rPr>
              <w:t>7.76</w:t>
            </w:r>
          </w:p>
        </w:tc>
      </w:tr>
    </w:tbl>
    <w:p w14:paraId="038024C3" w14:textId="38E14A46" w:rsidR="00E9277F" w:rsidRPr="00D343CC" w:rsidRDefault="00BB5575" w:rsidP="000E65AF">
      <w:pPr>
        <w:pStyle w:val="Caption"/>
        <w:spacing w:line="360" w:lineRule="auto"/>
        <w:rPr>
          <w:rFonts w:cs="Arial"/>
          <w:i w:val="0"/>
          <w:iCs w:val="0"/>
          <w:color w:val="000000" w:themeColor="text1"/>
          <w:sz w:val="20"/>
          <w:szCs w:val="20"/>
        </w:rPr>
      </w:pPr>
      <w:bookmarkStart w:id="77" w:name="_Toc217130604"/>
      <w:bookmarkStart w:id="78" w:name="_Toc217131033"/>
      <w:r w:rsidRPr="00D343CC">
        <w:rPr>
          <w:rFonts w:cs="Arial"/>
          <w:i w:val="0"/>
          <w:iCs w:val="0"/>
          <w:color w:val="000000" w:themeColor="text1"/>
          <w:sz w:val="20"/>
          <w:szCs w:val="20"/>
        </w:rPr>
        <w:t xml:space="preserve">Table </w:t>
      </w:r>
      <w:r w:rsidRPr="00D343CC">
        <w:rPr>
          <w:rFonts w:cs="Arial"/>
          <w:i w:val="0"/>
          <w:iCs w:val="0"/>
          <w:color w:val="000000" w:themeColor="text1"/>
          <w:sz w:val="20"/>
          <w:szCs w:val="20"/>
        </w:rPr>
        <w:fldChar w:fldCharType="begin"/>
      </w:r>
      <w:r w:rsidRPr="00D343CC">
        <w:rPr>
          <w:rFonts w:cs="Arial"/>
          <w:i w:val="0"/>
          <w:iCs w:val="0"/>
          <w:color w:val="000000" w:themeColor="text1"/>
          <w:sz w:val="20"/>
          <w:szCs w:val="20"/>
        </w:rPr>
        <w:instrText xml:space="preserve"> SEQ Table \* ARABIC </w:instrText>
      </w:r>
      <w:r w:rsidRPr="00D343CC">
        <w:rPr>
          <w:rFonts w:cs="Arial"/>
          <w:i w:val="0"/>
          <w:iCs w:val="0"/>
          <w:color w:val="000000" w:themeColor="text1"/>
          <w:sz w:val="20"/>
          <w:szCs w:val="20"/>
        </w:rPr>
        <w:fldChar w:fldCharType="separate"/>
      </w:r>
      <w:r w:rsidR="00690583" w:rsidRPr="00D343CC">
        <w:rPr>
          <w:rFonts w:cs="Arial"/>
          <w:i w:val="0"/>
          <w:iCs w:val="0"/>
          <w:noProof/>
          <w:color w:val="000000" w:themeColor="text1"/>
          <w:sz w:val="20"/>
          <w:szCs w:val="20"/>
        </w:rPr>
        <w:t>7</w:t>
      </w:r>
      <w:r w:rsidRPr="00D343CC">
        <w:rPr>
          <w:rFonts w:cs="Arial"/>
          <w:i w:val="0"/>
          <w:iCs w:val="0"/>
          <w:color w:val="000000" w:themeColor="text1"/>
          <w:sz w:val="20"/>
          <w:szCs w:val="20"/>
        </w:rPr>
        <w:fldChar w:fldCharType="end"/>
      </w:r>
      <w:r w:rsidRPr="00D343CC">
        <w:rPr>
          <w:rFonts w:cs="Arial"/>
          <w:i w:val="0"/>
          <w:iCs w:val="0"/>
          <w:color w:val="000000" w:themeColor="text1"/>
          <w:sz w:val="20"/>
          <w:szCs w:val="20"/>
        </w:rPr>
        <w:t xml:space="preserve"> Altman Z-Score Calculation</w:t>
      </w:r>
      <w:bookmarkEnd w:id="77"/>
      <w:bookmarkEnd w:id="78"/>
    </w:p>
    <w:p w14:paraId="61B591CF" w14:textId="77777777" w:rsidR="00B677E2" w:rsidRPr="00D343CC" w:rsidRDefault="00B677E2" w:rsidP="000E65AF">
      <w:pPr>
        <w:rPr>
          <w:rFonts w:cs="Arial"/>
        </w:rPr>
      </w:pPr>
    </w:p>
    <w:p w14:paraId="322868FB" w14:textId="77777777" w:rsidR="00B677E2" w:rsidRPr="00D343CC" w:rsidRDefault="00B677E2" w:rsidP="000E65AF">
      <w:pPr>
        <w:pStyle w:val="Heading2"/>
        <w:rPr>
          <w:rFonts w:cs="Arial"/>
        </w:rPr>
      </w:pPr>
      <w:bookmarkStart w:id="79" w:name="_Toc217246605"/>
      <w:r w:rsidRPr="00D343CC">
        <w:rPr>
          <w:rFonts w:cs="Arial"/>
        </w:rPr>
        <w:lastRenderedPageBreak/>
        <w:t>Appendix B: Working Capital Calculations</w:t>
      </w:r>
      <w:bookmarkEnd w:id="79"/>
    </w:p>
    <w:p w14:paraId="535045C4" w14:textId="77777777" w:rsidR="00B677E2" w:rsidRPr="00D343CC" w:rsidRDefault="00B677E2" w:rsidP="000E65AF">
      <w:pPr>
        <w:pStyle w:val="Heading3"/>
        <w:rPr>
          <w:rFonts w:cs="Arial"/>
        </w:rPr>
      </w:pPr>
      <w:bookmarkStart w:id="80" w:name="_Toc217246606"/>
      <w:r w:rsidRPr="00D343CC">
        <w:rPr>
          <w:rFonts w:cs="Arial"/>
        </w:rPr>
        <w:t>Table B1: Cash Operating Cycle Components (Days)</w:t>
      </w:r>
      <w:bookmarkEnd w:id="80"/>
    </w:p>
    <w:p w14:paraId="49914F36" w14:textId="77777777" w:rsidR="00B677E2" w:rsidRPr="00D343CC" w:rsidRDefault="00B677E2" w:rsidP="000E65AF">
      <w:pPr>
        <w:rPr>
          <w:rFonts w:cs="Arial"/>
        </w:rPr>
      </w:pPr>
      <w:r w:rsidRPr="00D343CC">
        <w:rPr>
          <w:rFonts w:cs="Arial"/>
        </w:rPr>
        <w:t xml:space="preserve">Receivables days = (Trade receivables / Net sales) × 365 </w:t>
      </w:r>
    </w:p>
    <w:p w14:paraId="6698B0BE" w14:textId="77777777" w:rsidR="00B677E2" w:rsidRPr="00D343CC" w:rsidRDefault="00B677E2" w:rsidP="000E65AF">
      <w:pPr>
        <w:rPr>
          <w:rFonts w:cs="Arial"/>
        </w:rPr>
      </w:pPr>
      <w:r w:rsidRPr="00D343CC">
        <w:rPr>
          <w:rFonts w:cs="Arial"/>
        </w:rPr>
        <w:t xml:space="preserve">Inventory days = (Inventory / Cost of sales) × 365 </w:t>
      </w:r>
    </w:p>
    <w:p w14:paraId="0AC158F8" w14:textId="77777777" w:rsidR="00B677E2" w:rsidRPr="00D343CC" w:rsidRDefault="00B677E2" w:rsidP="000E65AF">
      <w:pPr>
        <w:rPr>
          <w:rFonts w:cs="Arial"/>
        </w:rPr>
      </w:pPr>
      <w:r w:rsidRPr="00D343CC">
        <w:rPr>
          <w:rFonts w:cs="Arial"/>
        </w:rPr>
        <w:t xml:space="preserve">Payables days = (Trade payables / Cost of sales) × 365 </w:t>
      </w:r>
    </w:p>
    <w:p w14:paraId="367EE3CF" w14:textId="77777777" w:rsidR="00B677E2" w:rsidRPr="00D343CC" w:rsidRDefault="00B677E2" w:rsidP="000E65AF">
      <w:pPr>
        <w:rPr>
          <w:rFonts w:cs="Arial"/>
        </w:rPr>
      </w:pPr>
      <w:r w:rsidRPr="00D343CC">
        <w:rPr>
          <w:rFonts w:cs="Arial"/>
        </w:rPr>
        <w:t>Cash operating cycle = Receivables days + Inventory days − Payables days</w:t>
      </w:r>
    </w:p>
    <w:tbl>
      <w:tblPr>
        <w:tblStyle w:val="TableGrid"/>
        <w:tblW w:w="8731" w:type="dxa"/>
        <w:tblLook w:val="04A0" w:firstRow="1" w:lastRow="0" w:firstColumn="1" w:lastColumn="0" w:noHBand="0" w:noVBand="1"/>
      </w:tblPr>
      <w:tblGrid>
        <w:gridCol w:w="1353"/>
        <w:gridCol w:w="1288"/>
        <w:gridCol w:w="1275"/>
        <w:gridCol w:w="1275"/>
        <w:gridCol w:w="1275"/>
        <w:gridCol w:w="1275"/>
        <w:gridCol w:w="1275"/>
      </w:tblGrid>
      <w:tr w:rsidR="009E6A6A" w:rsidRPr="009E6A6A" w14:paraId="06BDC46A" w14:textId="77777777" w:rsidTr="009E6A6A">
        <w:trPr>
          <w:trHeight w:val="1160"/>
        </w:trPr>
        <w:tc>
          <w:tcPr>
            <w:tcW w:w="1291" w:type="dxa"/>
            <w:hideMark/>
          </w:tcPr>
          <w:p w14:paraId="683A1797"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Ratio</w:t>
            </w:r>
          </w:p>
        </w:tc>
        <w:tc>
          <w:tcPr>
            <w:tcW w:w="1265" w:type="dxa"/>
            <w:hideMark/>
          </w:tcPr>
          <w:p w14:paraId="17A7F3AB"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Formula</w:t>
            </w:r>
          </w:p>
        </w:tc>
        <w:tc>
          <w:tcPr>
            <w:tcW w:w="1235" w:type="dxa"/>
            <w:hideMark/>
          </w:tcPr>
          <w:p w14:paraId="213BAB9C"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2020 Calculation &amp; Result</w:t>
            </w:r>
          </w:p>
        </w:tc>
        <w:tc>
          <w:tcPr>
            <w:tcW w:w="1235" w:type="dxa"/>
            <w:hideMark/>
          </w:tcPr>
          <w:p w14:paraId="093333E7"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2021 Calculation &amp; Result</w:t>
            </w:r>
          </w:p>
        </w:tc>
        <w:tc>
          <w:tcPr>
            <w:tcW w:w="1235" w:type="dxa"/>
            <w:hideMark/>
          </w:tcPr>
          <w:p w14:paraId="0C5AC930"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2022 Calculation &amp; Result</w:t>
            </w:r>
          </w:p>
        </w:tc>
        <w:tc>
          <w:tcPr>
            <w:tcW w:w="1235" w:type="dxa"/>
            <w:hideMark/>
          </w:tcPr>
          <w:p w14:paraId="11E4E69F"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2023 Calculation &amp; Result</w:t>
            </w:r>
          </w:p>
        </w:tc>
        <w:tc>
          <w:tcPr>
            <w:tcW w:w="1235" w:type="dxa"/>
            <w:hideMark/>
          </w:tcPr>
          <w:p w14:paraId="15700D5F"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2024 Calculation &amp; Result</w:t>
            </w:r>
          </w:p>
        </w:tc>
      </w:tr>
      <w:tr w:rsidR="009E6A6A" w:rsidRPr="009E6A6A" w14:paraId="6CF95DBE" w14:textId="77777777" w:rsidTr="009E6A6A">
        <w:trPr>
          <w:trHeight w:val="1740"/>
        </w:trPr>
        <w:tc>
          <w:tcPr>
            <w:tcW w:w="1291" w:type="dxa"/>
            <w:hideMark/>
          </w:tcPr>
          <w:p w14:paraId="3924D440"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Receivables Days</w:t>
            </w:r>
          </w:p>
        </w:tc>
        <w:tc>
          <w:tcPr>
            <w:tcW w:w="1265" w:type="dxa"/>
            <w:hideMark/>
          </w:tcPr>
          <w:p w14:paraId="54EF6880"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(Trade Receivables ÷ Net Sales) × 365</w:t>
            </w:r>
          </w:p>
        </w:tc>
        <w:tc>
          <w:tcPr>
            <w:tcW w:w="1235" w:type="dxa"/>
            <w:hideMark/>
          </w:tcPr>
          <w:p w14:paraId="7F88DAC0"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(129,433 ÷ 614,680) × 365 = </w:t>
            </w:r>
            <w:r w:rsidRPr="009E6A6A">
              <w:rPr>
                <w:rFonts w:eastAsia="Times New Roman" w:cs="Arial"/>
                <w:b/>
                <w:bCs/>
                <w:color w:val="000000"/>
                <w:szCs w:val="24"/>
                <w:lang w:eastAsia="en-GB"/>
              </w:rPr>
              <w:t>76.86 days</w:t>
            </w:r>
          </w:p>
        </w:tc>
        <w:tc>
          <w:tcPr>
            <w:tcW w:w="1235" w:type="dxa"/>
            <w:hideMark/>
          </w:tcPr>
          <w:p w14:paraId="403CF94D"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(129,215 ÷ 601,602) × 365 = </w:t>
            </w:r>
            <w:r w:rsidRPr="009E6A6A">
              <w:rPr>
                <w:rFonts w:eastAsia="Times New Roman" w:cs="Arial"/>
                <w:b/>
                <w:bCs/>
                <w:color w:val="000000"/>
                <w:szCs w:val="24"/>
                <w:lang w:eastAsia="en-GB"/>
              </w:rPr>
              <w:t>78.40 days</w:t>
            </w:r>
          </w:p>
        </w:tc>
        <w:tc>
          <w:tcPr>
            <w:tcW w:w="1235" w:type="dxa"/>
            <w:hideMark/>
          </w:tcPr>
          <w:p w14:paraId="7E34DB0E"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(112,346 ÷ 542,751) × 365 = </w:t>
            </w:r>
            <w:r w:rsidRPr="009E6A6A">
              <w:rPr>
                <w:rFonts w:eastAsia="Times New Roman" w:cs="Arial"/>
                <w:b/>
                <w:bCs/>
                <w:color w:val="000000"/>
                <w:szCs w:val="24"/>
                <w:lang w:eastAsia="en-GB"/>
              </w:rPr>
              <w:t>75.55 days</w:t>
            </w:r>
          </w:p>
        </w:tc>
        <w:tc>
          <w:tcPr>
            <w:tcW w:w="1235" w:type="dxa"/>
            <w:hideMark/>
          </w:tcPr>
          <w:p w14:paraId="4CC4B15B"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(112,596 ÷ 420,457) × 365 = </w:t>
            </w:r>
            <w:r w:rsidRPr="009E6A6A">
              <w:rPr>
                <w:rFonts w:eastAsia="Times New Roman" w:cs="Arial"/>
                <w:b/>
                <w:bCs/>
                <w:color w:val="000000"/>
                <w:szCs w:val="24"/>
                <w:lang w:eastAsia="en-GB"/>
              </w:rPr>
              <w:t>97.74 days</w:t>
            </w:r>
          </w:p>
        </w:tc>
        <w:tc>
          <w:tcPr>
            <w:tcW w:w="1235" w:type="dxa"/>
            <w:hideMark/>
          </w:tcPr>
          <w:p w14:paraId="30D4C0E8"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(114,182 ÷ 394,879) × 365 = </w:t>
            </w:r>
            <w:r w:rsidRPr="009E6A6A">
              <w:rPr>
                <w:rFonts w:eastAsia="Times New Roman" w:cs="Arial"/>
                <w:b/>
                <w:bCs/>
                <w:color w:val="000000"/>
                <w:szCs w:val="24"/>
                <w:lang w:eastAsia="en-GB"/>
              </w:rPr>
              <w:t>105.54 days</w:t>
            </w:r>
          </w:p>
        </w:tc>
      </w:tr>
      <w:tr w:rsidR="009E6A6A" w:rsidRPr="009E6A6A" w14:paraId="35E134DE" w14:textId="77777777" w:rsidTr="009E6A6A">
        <w:trPr>
          <w:trHeight w:val="1740"/>
        </w:trPr>
        <w:tc>
          <w:tcPr>
            <w:tcW w:w="1291" w:type="dxa"/>
            <w:hideMark/>
          </w:tcPr>
          <w:p w14:paraId="358E3D95"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Inventory Days</w:t>
            </w:r>
          </w:p>
        </w:tc>
        <w:tc>
          <w:tcPr>
            <w:tcW w:w="1265" w:type="dxa"/>
            <w:hideMark/>
          </w:tcPr>
          <w:p w14:paraId="2CDD44D6"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(Inventory ÷ Cost of Sales) × 365</w:t>
            </w:r>
          </w:p>
        </w:tc>
        <w:tc>
          <w:tcPr>
            <w:tcW w:w="1235" w:type="dxa"/>
            <w:hideMark/>
          </w:tcPr>
          <w:p w14:paraId="3FA69910"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(120,430 ÷ 438,424) × 365 = </w:t>
            </w:r>
            <w:r w:rsidRPr="009E6A6A">
              <w:rPr>
                <w:rFonts w:eastAsia="Times New Roman" w:cs="Arial"/>
                <w:b/>
                <w:bCs/>
                <w:color w:val="000000"/>
                <w:szCs w:val="24"/>
                <w:lang w:eastAsia="en-GB"/>
              </w:rPr>
              <w:t>100.26 days</w:t>
            </w:r>
          </w:p>
        </w:tc>
        <w:tc>
          <w:tcPr>
            <w:tcW w:w="1235" w:type="dxa"/>
            <w:hideMark/>
          </w:tcPr>
          <w:p w14:paraId="754AD40D"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(134,469 ÷ 428,586) × 365 = </w:t>
            </w:r>
            <w:r w:rsidRPr="009E6A6A">
              <w:rPr>
                <w:rFonts w:eastAsia="Times New Roman" w:cs="Arial"/>
                <w:b/>
                <w:bCs/>
                <w:color w:val="000000"/>
                <w:szCs w:val="24"/>
                <w:lang w:eastAsia="en-GB"/>
              </w:rPr>
              <w:t>114.52 days</w:t>
            </w:r>
          </w:p>
        </w:tc>
        <w:tc>
          <w:tcPr>
            <w:tcW w:w="1235" w:type="dxa"/>
            <w:hideMark/>
          </w:tcPr>
          <w:p w14:paraId="52B5DD60"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(140,181 ÷ 390,459) × 365 = </w:t>
            </w:r>
            <w:r w:rsidRPr="009E6A6A">
              <w:rPr>
                <w:rFonts w:eastAsia="Times New Roman" w:cs="Arial"/>
                <w:b/>
                <w:bCs/>
                <w:color w:val="000000"/>
                <w:szCs w:val="24"/>
                <w:lang w:eastAsia="en-GB"/>
              </w:rPr>
              <w:t>131.04 days</w:t>
            </w:r>
          </w:p>
        </w:tc>
        <w:tc>
          <w:tcPr>
            <w:tcW w:w="1235" w:type="dxa"/>
            <w:hideMark/>
          </w:tcPr>
          <w:p w14:paraId="25FA8005"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(88,273 ÷ 322,897) × 365 = </w:t>
            </w:r>
            <w:r w:rsidRPr="009E6A6A">
              <w:rPr>
                <w:rFonts w:eastAsia="Times New Roman" w:cs="Arial"/>
                <w:b/>
                <w:bCs/>
                <w:color w:val="000000"/>
                <w:szCs w:val="24"/>
                <w:lang w:eastAsia="en-GB"/>
              </w:rPr>
              <w:t>99.78 days</w:t>
            </w:r>
          </w:p>
        </w:tc>
        <w:tc>
          <w:tcPr>
            <w:tcW w:w="1235" w:type="dxa"/>
            <w:hideMark/>
          </w:tcPr>
          <w:p w14:paraId="160E18FC"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(79,355 ÷ 280,885) × 365 = </w:t>
            </w:r>
            <w:r w:rsidRPr="009E6A6A">
              <w:rPr>
                <w:rFonts w:eastAsia="Times New Roman" w:cs="Arial"/>
                <w:b/>
                <w:bCs/>
                <w:color w:val="000000"/>
                <w:szCs w:val="24"/>
                <w:lang w:eastAsia="en-GB"/>
              </w:rPr>
              <w:t>103.12 days</w:t>
            </w:r>
          </w:p>
        </w:tc>
      </w:tr>
      <w:tr w:rsidR="009E6A6A" w:rsidRPr="009E6A6A" w14:paraId="4FBA6B6D" w14:textId="77777777" w:rsidTr="009E6A6A">
        <w:trPr>
          <w:trHeight w:val="1450"/>
        </w:trPr>
        <w:tc>
          <w:tcPr>
            <w:tcW w:w="1291" w:type="dxa"/>
            <w:hideMark/>
          </w:tcPr>
          <w:p w14:paraId="1BB600C4"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t>Payables Days</w:t>
            </w:r>
          </w:p>
        </w:tc>
        <w:tc>
          <w:tcPr>
            <w:tcW w:w="1265" w:type="dxa"/>
            <w:hideMark/>
          </w:tcPr>
          <w:p w14:paraId="30482A0F"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(Trade Payables ÷ Cost of Sales) × 365</w:t>
            </w:r>
          </w:p>
        </w:tc>
        <w:tc>
          <w:tcPr>
            <w:tcW w:w="1235" w:type="dxa"/>
            <w:hideMark/>
          </w:tcPr>
          <w:p w14:paraId="5B824688" w14:textId="56BD625C"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(83,229 ÷ 438,424) × 365 = </w:t>
            </w:r>
            <w:r w:rsidRPr="009E6A6A">
              <w:rPr>
                <w:rFonts w:eastAsia="Times New Roman" w:cs="Arial"/>
                <w:b/>
                <w:bCs/>
                <w:color w:val="000000"/>
                <w:szCs w:val="24"/>
                <w:lang w:eastAsia="en-GB"/>
              </w:rPr>
              <w:t>6</w:t>
            </w:r>
            <w:r w:rsidRPr="00D343CC">
              <w:rPr>
                <w:rFonts w:eastAsia="Times New Roman" w:cs="Arial"/>
                <w:b/>
                <w:bCs/>
                <w:color w:val="000000"/>
                <w:szCs w:val="24"/>
                <w:lang w:eastAsia="en-GB"/>
              </w:rPr>
              <w:t>5</w:t>
            </w:r>
            <w:r w:rsidRPr="009E6A6A">
              <w:rPr>
                <w:rFonts w:eastAsia="Times New Roman" w:cs="Arial"/>
                <w:b/>
                <w:bCs/>
                <w:color w:val="000000"/>
                <w:szCs w:val="24"/>
                <w:lang w:eastAsia="en-GB"/>
              </w:rPr>
              <w:t xml:space="preserve"> days</w:t>
            </w:r>
          </w:p>
        </w:tc>
        <w:tc>
          <w:tcPr>
            <w:tcW w:w="1235" w:type="dxa"/>
            <w:hideMark/>
          </w:tcPr>
          <w:p w14:paraId="2FD8BB61" w14:textId="29665053"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(92,707 ÷ 428,586) × 365 = </w:t>
            </w:r>
            <w:r w:rsidRPr="00D343CC">
              <w:rPr>
                <w:rFonts w:eastAsia="Times New Roman" w:cs="Arial"/>
                <w:b/>
                <w:bCs/>
                <w:color w:val="000000"/>
                <w:szCs w:val="24"/>
                <w:lang w:eastAsia="en-GB"/>
              </w:rPr>
              <w:t>66</w:t>
            </w:r>
            <w:r w:rsidRPr="009E6A6A">
              <w:rPr>
                <w:rFonts w:eastAsia="Times New Roman" w:cs="Arial"/>
                <w:b/>
                <w:bCs/>
                <w:color w:val="000000"/>
                <w:szCs w:val="24"/>
                <w:lang w:eastAsia="en-GB"/>
              </w:rPr>
              <w:t xml:space="preserve"> days</w:t>
            </w:r>
          </w:p>
        </w:tc>
        <w:tc>
          <w:tcPr>
            <w:tcW w:w="1235" w:type="dxa"/>
            <w:hideMark/>
          </w:tcPr>
          <w:p w14:paraId="28994843" w14:textId="0968C5EF"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(71,373 ÷ 390,459) × 365 = </w:t>
            </w:r>
            <w:r w:rsidRPr="009E6A6A">
              <w:rPr>
                <w:rFonts w:eastAsia="Times New Roman" w:cs="Arial"/>
                <w:b/>
                <w:bCs/>
                <w:color w:val="000000"/>
                <w:szCs w:val="24"/>
                <w:lang w:eastAsia="en-GB"/>
              </w:rPr>
              <w:t>6</w:t>
            </w:r>
            <w:r w:rsidRPr="00D343CC">
              <w:rPr>
                <w:rFonts w:eastAsia="Times New Roman" w:cs="Arial"/>
                <w:b/>
                <w:bCs/>
                <w:color w:val="000000"/>
                <w:szCs w:val="24"/>
                <w:lang w:eastAsia="en-GB"/>
              </w:rPr>
              <w:t xml:space="preserve">8 </w:t>
            </w:r>
            <w:r w:rsidRPr="009E6A6A">
              <w:rPr>
                <w:rFonts w:eastAsia="Times New Roman" w:cs="Arial"/>
                <w:b/>
                <w:bCs/>
                <w:color w:val="000000"/>
                <w:szCs w:val="24"/>
                <w:lang w:eastAsia="en-GB"/>
              </w:rPr>
              <w:t>days</w:t>
            </w:r>
          </w:p>
        </w:tc>
        <w:tc>
          <w:tcPr>
            <w:tcW w:w="1235" w:type="dxa"/>
            <w:hideMark/>
          </w:tcPr>
          <w:p w14:paraId="1B760BE2" w14:textId="33BF509C"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(57,033 ÷ 322,897) × 365 = </w:t>
            </w:r>
            <w:r w:rsidRPr="009E6A6A">
              <w:rPr>
                <w:rFonts w:eastAsia="Times New Roman" w:cs="Arial"/>
                <w:b/>
                <w:bCs/>
                <w:color w:val="000000"/>
                <w:szCs w:val="24"/>
                <w:lang w:eastAsia="en-GB"/>
              </w:rPr>
              <w:t>6</w:t>
            </w:r>
            <w:r w:rsidRPr="00D343CC">
              <w:rPr>
                <w:rFonts w:eastAsia="Times New Roman" w:cs="Arial"/>
                <w:b/>
                <w:bCs/>
                <w:color w:val="000000"/>
                <w:szCs w:val="24"/>
                <w:lang w:eastAsia="en-GB"/>
              </w:rPr>
              <w:t>9</w:t>
            </w:r>
            <w:r w:rsidRPr="009E6A6A">
              <w:rPr>
                <w:rFonts w:eastAsia="Times New Roman" w:cs="Arial"/>
                <w:b/>
                <w:bCs/>
                <w:color w:val="000000"/>
                <w:szCs w:val="24"/>
                <w:lang w:eastAsia="en-GB"/>
              </w:rPr>
              <w:t xml:space="preserve"> days</w:t>
            </w:r>
          </w:p>
        </w:tc>
        <w:tc>
          <w:tcPr>
            <w:tcW w:w="1235" w:type="dxa"/>
            <w:hideMark/>
          </w:tcPr>
          <w:p w14:paraId="1AB292E7" w14:textId="48C68226"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(72,031 ÷ 280,885) × 365 = </w:t>
            </w:r>
            <w:r w:rsidRPr="00D343CC">
              <w:rPr>
                <w:rFonts w:eastAsia="Times New Roman" w:cs="Arial"/>
                <w:b/>
                <w:bCs/>
                <w:color w:val="000000"/>
                <w:szCs w:val="24"/>
                <w:lang w:eastAsia="en-GB"/>
              </w:rPr>
              <w:t>70</w:t>
            </w:r>
            <w:r w:rsidRPr="009E6A6A">
              <w:rPr>
                <w:rFonts w:eastAsia="Times New Roman" w:cs="Arial"/>
                <w:b/>
                <w:bCs/>
                <w:color w:val="000000"/>
                <w:szCs w:val="24"/>
                <w:lang w:eastAsia="en-GB"/>
              </w:rPr>
              <w:t xml:space="preserve"> days</w:t>
            </w:r>
          </w:p>
        </w:tc>
      </w:tr>
      <w:tr w:rsidR="009E6A6A" w:rsidRPr="009E6A6A" w14:paraId="2E208FAE" w14:textId="77777777" w:rsidTr="009E6A6A">
        <w:trPr>
          <w:trHeight w:val="1740"/>
        </w:trPr>
        <w:tc>
          <w:tcPr>
            <w:tcW w:w="1291" w:type="dxa"/>
            <w:hideMark/>
          </w:tcPr>
          <w:p w14:paraId="3DB827B0" w14:textId="77777777" w:rsidR="009E6A6A" w:rsidRPr="009E6A6A" w:rsidRDefault="009E6A6A" w:rsidP="000E65AF">
            <w:pPr>
              <w:rPr>
                <w:rFonts w:eastAsia="Times New Roman" w:cs="Arial"/>
                <w:b/>
                <w:bCs/>
                <w:color w:val="000000"/>
                <w:szCs w:val="24"/>
                <w:lang w:eastAsia="en-GB"/>
              </w:rPr>
            </w:pPr>
            <w:r w:rsidRPr="009E6A6A">
              <w:rPr>
                <w:rFonts w:eastAsia="Times New Roman" w:cs="Arial"/>
                <w:b/>
                <w:bCs/>
                <w:color w:val="000000"/>
                <w:szCs w:val="24"/>
                <w:lang w:eastAsia="en-GB"/>
              </w:rPr>
              <w:lastRenderedPageBreak/>
              <w:t>Cash Operating Cycle</w:t>
            </w:r>
          </w:p>
        </w:tc>
        <w:tc>
          <w:tcPr>
            <w:tcW w:w="1265" w:type="dxa"/>
            <w:hideMark/>
          </w:tcPr>
          <w:p w14:paraId="5CD764C6" w14:textId="777777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Receivables Days + Inventory Days − Payables Days</w:t>
            </w:r>
          </w:p>
        </w:tc>
        <w:tc>
          <w:tcPr>
            <w:tcW w:w="1235" w:type="dxa"/>
            <w:hideMark/>
          </w:tcPr>
          <w:p w14:paraId="4E41F7F7" w14:textId="57FE265A"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76.86 + 100.26 − 69.30 = </w:t>
            </w:r>
            <w:r w:rsidRPr="00D343CC">
              <w:rPr>
                <w:rFonts w:eastAsia="Times New Roman" w:cs="Arial"/>
                <w:b/>
                <w:bCs/>
                <w:color w:val="000000"/>
                <w:szCs w:val="24"/>
                <w:lang w:eastAsia="en-GB"/>
              </w:rPr>
              <w:t xml:space="preserve">112.12 </w:t>
            </w:r>
            <w:r w:rsidRPr="009E6A6A">
              <w:rPr>
                <w:rFonts w:eastAsia="Times New Roman" w:cs="Arial"/>
                <w:b/>
                <w:bCs/>
                <w:color w:val="000000"/>
                <w:szCs w:val="24"/>
                <w:lang w:eastAsia="en-GB"/>
              </w:rPr>
              <w:t>days</w:t>
            </w:r>
          </w:p>
        </w:tc>
        <w:tc>
          <w:tcPr>
            <w:tcW w:w="1235" w:type="dxa"/>
            <w:hideMark/>
          </w:tcPr>
          <w:p w14:paraId="53D2981E" w14:textId="06BEAE2C"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78.40 + 114.52 − 78.96 = </w:t>
            </w:r>
            <w:r w:rsidRPr="00D343CC">
              <w:rPr>
                <w:rFonts w:eastAsia="Times New Roman" w:cs="Arial"/>
                <w:b/>
                <w:bCs/>
                <w:color w:val="000000"/>
                <w:szCs w:val="24"/>
                <w:lang w:eastAsia="en-GB"/>
              </w:rPr>
              <w:t xml:space="preserve">126.92 </w:t>
            </w:r>
            <w:r w:rsidRPr="009E6A6A">
              <w:rPr>
                <w:rFonts w:eastAsia="Times New Roman" w:cs="Arial"/>
                <w:b/>
                <w:bCs/>
                <w:color w:val="000000"/>
                <w:szCs w:val="24"/>
                <w:lang w:eastAsia="en-GB"/>
              </w:rPr>
              <w:t>days</w:t>
            </w:r>
          </w:p>
        </w:tc>
        <w:tc>
          <w:tcPr>
            <w:tcW w:w="1235" w:type="dxa"/>
            <w:hideMark/>
          </w:tcPr>
          <w:p w14:paraId="5122AB7C" w14:textId="44485185"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75.55 + 131.04 − 66.71 = </w:t>
            </w:r>
            <w:r w:rsidRPr="00D343CC">
              <w:rPr>
                <w:rFonts w:eastAsia="Times New Roman" w:cs="Arial"/>
                <w:b/>
                <w:bCs/>
                <w:color w:val="000000"/>
                <w:szCs w:val="24"/>
                <w:lang w:eastAsia="en-GB"/>
              </w:rPr>
              <w:t xml:space="preserve">138.59 </w:t>
            </w:r>
            <w:r w:rsidRPr="009E6A6A">
              <w:rPr>
                <w:rFonts w:eastAsia="Times New Roman" w:cs="Arial"/>
                <w:b/>
                <w:bCs/>
                <w:color w:val="000000"/>
                <w:szCs w:val="24"/>
                <w:lang w:eastAsia="en-GB"/>
              </w:rPr>
              <w:t>days</w:t>
            </w:r>
          </w:p>
        </w:tc>
        <w:tc>
          <w:tcPr>
            <w:tcW w:w="1235" w:type="dxa"/>
            <w:hideMark/>
          </w:tcPr>
          <w:p w14:paraId="3A19A62A" w14:textId="54926770"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97.74 + 99.78 − 64.46 = </w:t>
            </w:r>
            <w:r w:rsidRPr="00D343CC">
              <w:rPr>
                <w:rFonts w:eastAsia="Times New Roman" w:cs="Arial"/>
                <w:b/>
                <w:bCs/>
                <w:color w:val="000000"/>
                <w:szCs w:val="24"/>
                <w:lang w:eastAsia="en-GB"/>
              </w:rPr>
              <w:t xml:space="preserve">128.52 </w:t>
            </w:r>
            <w:r w:rsidRPr="009E6A6A">
              <w:rPr>
                <w:rFonts w:eastAsia="Times New Roman" w:cs="Arial"/>
                <w:b/>
                <w:bCs/>
                <w:color w:val="000000"/>
                <w:szCs w:val="24"/>
                <w:lang w:eastAsia="en-GB"/>
              </w:rPr>
              <w:t>days</w:t>
            </w:r>
          </w:p>
        </w:tc>
        <w:tc>
          <w:tcPr>
            <w:tcW w:w="1235" w:type="dxa"/>
            <w:hideMark/>
          </w:tcPr>
          <w:p w14:paraId="0508653D" w14:textId="640FD677" w:rsidR="009E6A6A" w:rsidRPr="009E6A6A" w:rsidRDefault="009E6A6A" w:rsidP="000E65AF">
            <w:pPr>
              <w:rPr>
                <w:rFonts w:eastAsia="Times New Roman" w:cs="Arial"/>
                <w:color w:val="000000"/>
                <w:szCs w:val="24"/>
                <w:lang w:eastAsia="en-GB"/>
              </w:rPr>
            </w:pPr>
            <w:r w:rsidRPr="009E6A6A">
              <w:rPr>
                <w:rFonts w:eastAsia="Times New Roman" w:cs="Arial"/>
                <w:color w:val="000000"/>
                <w:szCs w:val="24"/>
                <w:lang w:eastAsia="en-GB"/>
              </w:rPr>
              <w:t xml:space="preserve">105.54 + 103.12 − 93.58 = </w:t>
            </w:r>
            <w:r w:rsidRPr="00D343CC">
              <w:rPr>
                <w:rFonts w:eastAsia="Times New Roman" w:cs="Arial"/>
                <w:b/>
                <w:bCs/>
                <w:color w:val="000000"/>
                <w:szCs w:val="24"/>
                <w:lang w:eastAsia="en-GB"/>
              </w:rPr>
              <w:t xml:space="preserve">138.66 </w:t>
            </w:r>
            <w:r w:rsidRPr="009E6A6A">
              <w:rPr>
                <w:rFonts w:eastAsia="Times New Roman" w:cs="Arial"/>
                <w:b/>
                <w:bCs/>
                <w:color w:val="000000"/>
                <w:szCs w:val="24"/>
                <w:lang w:eastAsia="en-GB"/>
              </w:rPr>
              <w:t>days</w:t>
            </w:r>
          </w:p>
        </w:tc>
      </w:tr>
    </w:tbl>
    <w:p w14:paraId="6F5F48EC" w14:textId="72AF273C" w:rsidR="00690583" w:rsidRPr="00D343CC" w:rsidRDefault="00690583" w:rsidP="00690583">
      <w:pPr>
        <w:pStyle w:val="Caption"/>
        <w:rPr>
          <w:rFonts w:cs="Arial"/>
          <w:i w:val="0"/>
          <w:iCs w:val="0"/>
          <w:color w:val="auto"/>
        </w:rPr>
      </w:pPr>
      <w:bookmarkStart w:id="81" w:name="_Toc217131034"/>
      <w:r w:rsidRPr="00D343CC">
        <w:rPr>
          <w:rFonts w:cs="Arial"/>
          <w:i w:val="0"/>
          <w:iCs w:val="0"/>
          <w:color w:val="auto"/>
        </w:rPr>
        <w:t xml:space="preserve">Table </w:t>
      </w:r>
      <w:r w:rsidRPr="00D343CC">
        <w:rPr>
          <w:rFonts w:cs="Arial"/>
          <w:i w:val="0"/>
          <w:iCs w:val="0"/>
          <w:color w:val="auto"/>
        </w:rPr>
        <w:fldChar w:fldCharType="begin"/>
      </w:r>
      <w:r w:rsidRPr="00D343CC">
        <w:rPr>
          <w:rFonts w:cs="Arial"/>
          <w:i w:val="0"/>
          <w:iCs w:val="0"/>
          <w:color w:val="auto"/>
        </w:rPr>
        <w:instrText xml:space="preserve"> SEQ Table \* ARABIC </w:instrText>
      </w:r>
      <w:r w:rsidRPr="00D343CC">
        <w:rPr>
          <w:rFonts w:cs="Arial"/>
          <w:i w:val="0"/>
          <w:iCs w:val="0"/>
          <w:color w:val="auto"/>
        </w:rPr>
        <w:fldChar w:fldCharType="separate"/>
      </w:r>
      <w:r w:rsidRPr="00D343CC">
        <w:rPr>
          <w:rFonts w:cs="Arial"/>
          <w:i w:val="0"/>
          <w:iCs w:val="0"/>
          <w:noProof/>
          <w:color w:val="auto"/>
        </w:rPr>
        <w:t>8</w:t>
      </w:r>
      <w:r w:rsidRPr="00D343CC">
        <w:rPr>
          <w:rFonts w:cs="Arial"/>
          <w:i w:val="0"/>
          <w:iCs w:val="0"/>
          <w:color w:val="auto"/>
        </w:rPr>
        <w:fldChar w:fldCharType="end"/>
      </w:r>
      <w:r w:rsidRPr="00D343CC">
        <w:rPr>
          <w:rFonts w:cs="Arial"/>
          <w:i w:val="0"/>
          <w:iCs w:val="0"/>
          <w:color w:val="auto"/>
        </w:rPr>
        <w:t xml:space="preserve"> Cash Operating Cycle Components (Days)</w:t>
      </w:r>
      <w:bookmarkEnd w:id="81"/>
    </w:p>
    <w:p w14:paraId="70974316" w14:textId="4A13A9A0" w:rsidR="00B677E2" w:rsidRPr="00D343CC" w:rsidRDefault="00B677E2" w:rsidP="000E65AF">
      <w:pPr>
        <w:rPr>
          <w:rFonts w:cs="Arial"/>
          <w:i/>
          <w:iCs/>
          <w:sz w:val="22"/>
          <w:szCs w:val="20"/>
        </w:rPr>
      </w:pPr>
      <w:r w:rsidRPr="00D343CC">
        <w:rPr>
          <w:rFonts w:cs="Arial"/>
          <w:i/>
          <w:iCs/>
          <w:sz w:val="22"/>
          <w:szCs w:val="20"/>
        </w:rPr>
        <w:t>Note: Payables days are derived from trade payables and cost of sales figures in the dataset, with all results rounded to two decimal places.</w:t>
      </w:r>
    </w:p>
    <w:p w14:paraId="0CF59934" w14:textId="13BC1FCF" w:rsidR="00EC33F1" w:rsidRPr="00D343CC" w:rsidRDefault="00EC33F1" w:rsidP="000E65AF">
      <w:pPr>
        <w:pStyle w:val="Heading2"/>
        <w:rPr>
          <w:rFonts w:cs="Arial"/>
        </w:rPr>
      </w:pPr>
      <w:bookmarkStart w:id="82" w:name="_Toc217246607"/>
      <w:r w:rsidRPr="00D343CC">
        <w:rPr>
          <w:rFonts w:cs="Arial"/>
        </w:rPr>
        <w:t xml:space="preserve">Appendix </w:t>
      </w:r>
      <w:r w:rsidR="00AD1754" w:rsidRPr="00D343CC">
        <w:rPr>
          <w:rFonts w:cs="Arial"/>
        </w:rPr>
        <w:t>C</w:t>
      </w:r>
      <w:r w:rsidRPr="00D343CC">
        <w:rPr>
          <w:rFonts w:cs="Arial"/>
        </w:rPr>
        <w:t>: Investment Appraisal and Capital Budgeting Calculations</w:t>
      </w:r>
      <w:bookmarkEnd w:id="82"/>
    </w:p>
    <w:p w14:paraId="450315EA" w14:textId="77777777" w:rsidR="00EC33F1" w:rsidRPr="00D343CC" w:rsidRDefault="00EC33F1" w:rsidP="000E65AF">
      <w:pPr>
        <w:rPr>
          <w:rFonts w:cs="Arial"/>
        </w:rPr>
      </w:pPr>
      <w:r w:rsidRPr="00D343CC">
        <w:rPr>
          <w:rFonts w:cs="Arial"/>
        </w:rPr>
        <w:t>This appendix presents the quantitative evaluation of three proposed projects using discounted and non-discounted cash flow techniques. These calculations provide the empirical basis for selecting the most value-additive projects under a £60 million capital rationing constraint, considering the company’s current liquidity needs.</w:t>
      </w:r>
    </w:p>
    <w:p w14:paraId="390737F6" w14:textId="50E98717" w:rsidR="00EC33F1" w:rsidRPr="00D343CC" w:rsidRDefault="00EC33F1" w:rsidP="000E65AF">
      <w:pPr>
        <w:pStyle w:val="Heading3"/>
        <w:rPr>
          <w:rFonts w:cs="Arial"/>
        </w:rPr>
      </w:pPr>
      <w:bookmarkStart w:id="83" w:name="_Toc217246608"/>
      <w:r w:rsidRPr="00D343CC">
        <w:rPr>
          <w:rFonts w:cs="Arial"/>
        </w:rPr>
        <w:t xml:space="preserve">Table </w:t>
      </w:r>
      <w:r w:rsidR="00AD1754" w:rsidRPr="00D343CC">
        <w:rPr>
          <w:rFonts w:cs="Arial"/>
        </w:rPr>
        <w:t>C</w:t>
      </w:r>
      <w:r w:rsidRPr="00D343CC">
        <w:rPr>
          <w:rFonts w:cs="Arial"/>
        </w:rPr>
        <w:t>1: Payback Period (PBP) Calculations</w:t>
      </w:r>
      <w:bookmarkEnd w:id="83"/>
    </w:p>
    <w:p w14:paraId="64FAB354" w14:textId="41F0EBEE" w:rsidR="00EC33F1" w:rsidRPr="00D343CC" w:rsidRDefault="00EC33F1" w:rsidP="000E65AF">
      <w:pPr>
        <w:rPr>
          <w:rFonts w:cs="Arial"/>
        </w:rPr>
      </w:pPr>
      <w:r w:rsidRPr="00D343CC">
        <w:rPr>
          <w:rFonts w:cs="Arial"/>
          <w:b/>
          <w:bCs/>
        </w:rPr>
        <w:t>Formula:</w:t>
      </w:r>
      <w:r w:rsidRPr="00D343CC">
        <w:rPr>
          <w:rFonts w:cs="Arial"/>
        </w:rPr>
        <w:t xml:space="preserve"> </w:t>
      </w:r>
    </w:p>
    <w:p w14:paraId="299E5FA3" w14:textId="711B4410" w:rsidR="00EC33F1" w:rsidRPr="00D343CC" w:rsidRDefault="00EC33F1" w:rsidP="000E65AF">
      <w:pPr>
        <w:rPr>
          <w:rFonts w:cs="Arial"/>
        </w:rPr>
      </w:pPr>
      <m:oMathPara>
        <m:oMath>
          <m:r>
            <w:rPr>
              <w:rFonts w:ascii="Cambria Math" w:hAnsi="Cambria Math" w:cs="Arial"/>
            </w:rPr>
            <m:t>Payback Period (PBP</m:t>
          </m:r>
          <m:r>
            <m:rPr>
              <m:sty m:val="p"/>
            </m:rPr>
            <w:rPr>
              <w:rFonts w:ascii="Cambria Math" w:hAnsi="Cambria Math" w:cs="Arial"/>
            </w:rPr>
            <m:t xml:space="preserve">= </m:t>
          </m:r>
          <m:f>
            <m:fPr>
              <m:ctrlPr>
                <w:rPr>
                  <w:rFonts w:ascii="Cambria Math" w:hAnsi="Cambria Math" w:cs="Arial"/>
                  <w:i/>
                </w:rPr>
              </m:ctrlPr>
            </m:fPr>
            <m:num>
              <m:r>
                <m:rPr>
                  <m:sty m:val="p"/>
                </m:rPr>
                <w:rPr>
                  <w:rStyle w:val="mord"/>
                  <w:rFonts w:ascii="Cambria Math" w:hAnsi="Cambria Math" w:cs="Arial"/>
                </w:rPr>
                <m:t>Unrecovered investment at start of year</m:t>
              </m:r>
              <m:r>
                <m:rPr>
                  <m:sty m:val="p"/>
                </m:rPr>
                <w:rPr>
                  <w:rStyle w:val="vlist-s"/>
                  <w:rFonts w:ascii="Cambria Math" w:hAnsi="Cambria Math" w:cs="Arial"/>
                </w:rPr>
                <m:t>​</m:t>
              </m:r>
            </m:num>
            <m:den>
              <m:r>
                <w:rPr>
                  <w:rFonts w:ascii="Cambria Math" w:hAnsi="Cambria Math" w:cs="Arial"/>
                </w:rPr>
                <m:t>Cash Inflow During the Year</m:t>
              </m:r>
            </m:den>
          </m:f>
        </m:oMath>
      </m:oMathPara>
    </w:p>
    <w:tbl>
      <w:tblPr>
        <w:tblW w:w="9010" w:type="dxa"/>
        <w:tblCellMar>
          <w:left w:w="0" w:type="dxa"/>
          <w:right w:w="0" w:type="dxa"/>
        </w:tblCellMar>
        <w:tblLook w:val="04A0" w:firstRow="1" w:lastRow="0" w:firstColumn="1" w:lastColumn="0" w:noHBand="0" w:noVBand="1"/>
      </w:tblPr>
      <w:tblGrid>
        <w:gridCol w:w="611"/>
        <w:gridCol w:w="1129"/>
        <w:gridCol w:w="1695"/>
        <w:gridCol w:w="1130"/>
        <w:gridCol w:w="1695"/>
        <w:gridCol w:w="1130"/>
        <w:gridCol w:w="1620"/>
      </w:tblGrid>
      <w:tr w:rsidR="009A1FE1" w:rsidRPr="00D343CC" w14:paraId="03CA5756" w14:textId="77777777" w:rsidTr="0069058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A23ED3F" w14:textId="77777777" w:rsidR="00EC33F1" w:rsidRPr="00D343CC" w:rsidRDefault="00EC33F1" w:rsidP="00690583">
            <w:pPr>
              <w:jc w:val="center"/>
              <w:rPr>
                <w:rFonts w:cs="Arial"/>
                <w:b/>
                <w:bCs/>
              </w:rPr>
            </w:pPr>
            <w:r w:rsidRPr="00D343CC">
              <w:rPr>
                <w:rFonts w:cs="Arial"/>
                <w:b/>
                <w:bCs/>
              </w:rPr>
              <w:t>Year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F5168BE" w14:textId="77777777" w:rsidR="00EC33F1" w:rsidRPr="00D343CC" w:rsidRDefault="00EC33F1" w:rsidP="00690583">
            <w:pPr>
              <w:jc w:val="center"/>
              <w:rPr>
                <w:rFonts w:cs="Arial"/>
                <w:b/>
                <w:bCs/>
              </w:rPr>
            </w:pPr>
            <w:r w:rsidRPr="00D343CC">
              <w:rPr>
                <w:rFonts w:cs="Arial"/>
                <w:b/>
                <w:bCs/>
              </w:rPr>
              <w:t>Project A (Inflow)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12C3F93" w14:textId="77777777" w:rsidR="00EC33F1" w:rsidRPr="00D343CC" w:rsidRDefault="00EC33F1" w:rsidP="00690583">
            <w:pPr>
              <w:jc w:val="center"/>
              <w:rPr>
                <w:rFonts w:cs="Arial"/>
                <w:b/>
                <w:bCs/>
              </w:rPr>
            </w:pPr>
            <w:r w:rsidRPr="00D343CC">
              <w:rPr>
                <w:rFonts w:cs="Arial"/>
                <w:b/>
                <w:bCs/>
              </w:rPr>
              <w:t>Project A (Cumulative)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98FE2A9" w14:textId="77777777" w:rsidR="00EC33F1" w:rsidRPr="00D343CC" w:rsidRDefault="00EC33F1" w:rsidP="00690583">
            <w:pPr>
              <w:jc w:val="center"/>
              <w:rPr>
                <w:rFonts w:cs="Arial"/>
                <w:b/>
                <w:bCs/>
              </w:rPr>
            </w:pPr>
            <w:r w:rsidRPr="00D343CC">
              <w:rPr>
                <w:rFonts w:cs="Arial"/>
                <w:b/>
                <w:bCs/>
              </w:rPr>
              <w:t>Project B (Inflow)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FF75BC4" w14:textId="77777777" w:rsidR="00EC33F1" w:rsidRPr="00D343CC" w:rsidRDefault="00EC33F1" w:rsidP="00690583">
            <w:pPr>
              <w:jc w:val="center"/>
              <w:rPr>
                <w:rFonts w:cs="Arial"/>
                <w:b/>
                <w:bCs/>
              </w:rPr>
            </w:pPr>
            <w:r w:rsidRPr="00D343CC">
              <w:rPr>
                <w:rFonts w:cs="Arial"/>
                <w:b/>
                <w:bCs/>
              </w:rPr>
              <w:t>Project B (Cumulative)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F883709" w14:textId="77777777" w:rsidR="00EC33F1" w:rsidRPr="00D343CC" w:rsidRDefault="00EC33F1" w:rsidP="00690583">
            <w:pPr>
              <w:jc w:val="center"/>
              <w:rPr>
                <w:rFonts w:cs="Arial"/>
                <w:b/>
                <w:bCs/>
              </w:rPr>
            </w:pPr>
            <w:r w:rsidRPr="00D343CC">
              <w:rPr>
                <w:rFonts w:cs="Arial"/>
                <w:b/>
                <w:bCs/>
              </w:rPr>
              <w:t>Project C (Inflow)</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center"/>
            <w:hideMark/>
          </w:tcPr>
          <w:p w14:paraId="67B41D06" w14:textId="77777777" w:rsidR="00EC33F1" w:rsidRPr="00D343CC" w:rsidRDefault="00EC33F1" w:rsidP="00690583">
            <w:pPr>
              <w:jc w:val="center"/>
              <w:rPr>
                <w:rFonts w:cs="Arial"/>
                <w:b/>
                <w:bCs/>
              </w:rPr>
            </w:pPr>
            <w:r w:rsidRPr="00D343CC">
              <w:rPr>
                <w:rFonts w:cs="Arial"/>
                <w:b/>
                <w:bCs/>
              </w:rPr>
              <w:t>Project C (Cumulative)</w:t>
            </w:r>
          </w:p>
        </w:tc>
      </w:tr>
      <w:tr w:rsidR="00EC33F1" w:rsidRPr="00D343CC" w14:paraId="1D6F8A35" w14:textId="77777777" w:rsidTr="00EC33F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4851DCA" w14:textId="77777777" w:rsidR="00EC33F1" w:rsidRPr="00D343CC" w:rsidRDefault="00EC33F1" w:rsidP="000E65AF">
            <w:pPr>
              <w:rPr>
                <w:rFonts w:cs="Arial"/>
                <w:b/>
                <w:bCs/>
              </w:rPr>
            </w:pPr>
            <w:r w:rsidRPr="00D343CC">
              <w:rPr>
                <w:rFonts w:cs="Arial"/>
                <w:b/>
                <w:bCs/>
              </w:rPr>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D493EC" w14:textId="77777777" w:rsidR="00EC33F1" w:rsidRPr="00D343CC" w:rsidRDefault="00EC33F1" w:rsidP="000E65AF">
            <w:pPr>
              <w:rPr>
                <w:rFonts w:cs="Arial"/>
              </w:rPr>
            </w:pPr>
            <w:r w:rsidRPr="00D343CC">
              <w:rPr>
                <w:rFonts w:cs="Arial"/>
              </w:rPr>
              <w:t>(£40.00)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3B676D" w14:textId="77777777" w:rsidR="00EC33F1" w:rsidRPr="00D343CC" w:rsidRDefault="00EC33F1" w:rsidP="000E65AF">
            <w:pPr>
              <w:rPr>
                <w:rFonts w:cs="Arial"/>
              </w:rPr>
            </w:pPr>
            <w:r w:rsidRPr="00D343CC">
              <w:rPr>
                <w:rFonts w:cs="Arial"/>
              </w:rPr>
              <w:t>(£40.00)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B9E43" w14:textId="77777777" w:rsidR="00EC33F1" w:rsidRPr="00D343CC" w:rsidRDefault="00EC33F1" w:rsidP="000E65AF">
            <w:pPr>
              <w:rPr>
                <w:rFonts w:cs="Arial"/>
              </w:rPr>
            </w:pPr>
            <w:r w:rsidRPr="00D343CC">
              <w:rPr>
                <w:rFonts w:cs="Arial"/>
              </w:rPr>
              <w:t>(£30.00)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F33CC4" w14:textId="77777777" w:rsidR="00EC33F1" w:rsidRPr="00D343CC" w:rsidRDefault="00EC33F1" w:rsidP="000E65AF">
            <w:pPr>
              <w:rPr>
                <w:rFonts w:cs="Arial"/>
              </w:rPr>
            </w:pPr>
            <w:r w:rsidRPr="00D343CC">
              <w:rPr>
                <w:rFonts w:cs="Arial"/>
              </w:rPr>
              <w:t>(£30.00)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6F0F89" w14:textId="77777777" w:rsidR="00EC33F1" w:rsidRPr="00D343CC" w:rsidRDefault="00EC33F1" w:rsidP="000E65AF">
            <w:pPr>
              <w:rPr>
                <w:rFonts w:cs="Arial"/>
              </w:rPr>
            </w:pPr>
            <w:r w:rsidRPr="00D343CC">
              <w:rPr>
                <w:rFonts w:cs="Arial"/>
              </w:rPr>
              <w:t>(£50.00)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B3B690" w14:textId="77777777" w:rsidR="00EC33F1" w:rsidRPr="00D343CC" w:rsidRDefault="00EC33F1" w:rsidP="000E65AF">
            <w:pPr>
              <w:rPr>
                <w:rFonts w:cs="Arial"/>
              </w:rPr>
            </w:pPr>
            <w:r w:rsidRPr="00D343CC">
              <w:rPr>
                <w:rFonts w:cs="Arial"/>
              </w:rPr>
              <w:t>(£50.00)</w:t>
            </w:r>
          </w:p>
        </w:tc>
      </w:tr>
      <w:tr w:rsidR="00EC33F1" w:rsidRPr="00D343CC" w14:paraId="15D428F3" w14:textId="77777777" w:rsidTr="00EC33F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B15C933" w14:textId="77777777" w:rsidR="00EC33F1" w:rsidRPr="00D343CC" w:rsidRDefault="00EC33F1" w:rsidP="000E65AF">
            <w:pPr>
              <w:rPr>
                <w:rFonts w:cs="Arial"/>
                <w:b/>
                <w:bCs/>
              </w:rPr>
            </w:pPr>
            <w:r w:rsidRPr="00D343CC">
              <w:rPr>
                <w:rFonts w:cs="Arial"/>
                <w:b/>
                <w:bC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D4A156" w14:textId="77777777" w:rsidR="00EC33F1" w:rsidRPr="00D343CC" w:rsidRDefault="00EC33F1" w:rsidP="000E65AF">
            <w:pPr>
              <w:rPr>
                <w:rFonts w:cs="Arial"/>
              </w:rPr>
            </w:pPr>
            <w:r w:rsidRPr="00D343CC">
              <w:rPr>
                <w:rFonts w:cs="Arial"/>
              </w:rPr>
              <w:t>£10.00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3E4B18" w14:textId="77777777" w:rsidR="00EC33F1" w:rsidRPr="00D343CC" w:rsidRDefault="00EC33F1" w:rsidP="000E65AF">
            <w:pPr>
              <w:rPr>
                <w:rFonts w:cs="Arial"/>
              </w:rPr>
            </w:pPr>
            <w:r w:rsidRPr="00D343CC">
              <w:rPr>
                <w:rFonts w:cs="Arial"/>
              </w:rPr>
              <w:t>(£30.00)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38C19"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B24D48" w14:textId="77777777" w:rsidR="00EC33F1" w:rsidRPr="00D343CC" w:rsidRDefault="00EC33F1" w:rsidP="000E65AF">
            <w:pPr>
              <w:rPr>
                <w:rFonts w:cs="Arial"/>
              </w:rPr>
            </w:pPr>
            <w:r w:rsidRPr="00D343CC">
              <w:rPr>
                <w:rFonts w:cs="Arial"/>
              </w:rPr>
              <w:t>(£24.00)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4BB7D1" w14:textId="77777777" w:rsidR="00EC33F1" w:rsidRPr="00D343CC" w:rsidRDefault="00EC33F1" w:rsidP="000E65AF">
            <w:pPr>
              <w:rPr>
                <w:rFonts w:cs="Arial"/>
              </w:rPr>
            </w:pPr>
            <w:r w:rsidRPr="00D343CC">
              <w:rPr>
                <w:rFonts w:cs="Arial"/>
              </w:rPr>
              <w:t>£5.00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D7C602" w14:textId="77777777" w:rsidR="00EC33F1" w:rsidRPr="00D343CC" w:rsidRDefault="00EC33F1" w:rsidP="000E65AF">
            <w:pPr>
              <w:rPr>
                <w:rFonts w:cs="Arial"/>
              </w:rPr>
            </w:pPr>
            <w:r w:rsidRPr="00D343CC">
              <w:rPr>
                <w:rFonts w:cs="Arial"/>
              </w:rPr>
              <w:t>(£45.00)</w:t>
            </w:r>
          </w:p>
        </w:tc>
      </w:tr>
      <w:tr w:rsidR="00EC33F1" w:rsidRPr="00D343CC" w14:paraId="31E334A0" w14:textId="77777777" w:rsidTr="00EC33F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733AD2D" w14:textId="77777777" w:rsidR="00EC33F1" w:rsidRPr="00D343CC" w:rsidRDefault="00EC33F1" w:rsidP="000E65AF">
            <w:pPr>
              <w:rPr>
                <w:rFonts w:cs="Arial"/>
                <w:b/>
                <w:bCs/>
              </w:rPr>
            </w:pPr>
            <w:r w:rsidRPr="00D343CC">
              <w:rPr>
                <w:rFonts w:cs="Arial"/>
                <w:b/>
                <w:bC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8741FB" w14:textId="77777777" w:rsidR="00EC33F1" w:rsidRPr="00D343CC" w:rsidRDefault="00EC33F1" w:rsidP="000E65AF">
            <w:pPr>
              <w:rPr>
                <w:rFonts w:cs="Arial"/>
              </w:rPr>
            </w:pPr>
            <w:r w:rsidRPr="00D343CC">
              <w:rPr>
                <w:rFonts w:cs="Arial"/>
              </w:rPr>
              <w:t>£12.00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FB2196" w14:textId="77777777" w:rsidR="00EC33F1" w:rsidRPr="00D343CC" w:rsidRDefault="00EC33F1" w:rsidP="000E65AF">
            <w:pPr>
              <w:rPr>
                <w:rFonts w:cs="Arial"/>
              </w:rPr>
            </w:pPr>
            <w:r w:rsidRPr="00D343CC">
              <w:rPr>
                <w:rFonts w:cs="Arial"/>
              </w:rPr>
              <w:t>(£18.00)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444472"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291CC" w14:textId="77777777" w:rsidR="00EC33F1" w:rsidRPr="00D343CC" w:rsidRDefault="00EC33F1" w:rsidP="000E65AF">
            <w:pPr>
              <w:rPr>
                <w:rFonts w:cs="Arial"/>
              </w:rPr>
            </w:pPr>
            <w:r w:rsidRPr="00D343CC">
              <w:rPr>
                <w:rFonts w:cs="Arial"/>
              </w:rPr>
              <w:t>(£18.00)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A0046C" w14:textId="77777777" w:rsidR="00EC33F1" w:rsidRPr="00D343CC" w:rsidRDefault="00EC33F1" w:rsidP="000E65AF">
            <w:pPr>
              <w:rPr>
                <w:rFonts w:cs="Arial"/>
              </w:rPr>
            </w:pPr>
            <w:r w:rsidRPr="00D343CC">
              <w:rPr>
                <w:rFonts w:cs="Arial"/>
              </w:rPr>
              <w:t>£10.00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D65762" w14:textId="77777777" w:rsidR="00EC33F1" w:rsidRPr="00D343CC" w:rsidRDefault="00EC33F1" w:rsidP="000E65AF">
            <w:pPr>
              <w:rPr>
                <w:rFonts w:cs="Arial"/>
              </w:rPr>
            </w:pPr>
            <w:r w:rsidRPr="00D343CC">
              <w:rPr>
                <w:rFonts w:cs="Arial"/>
              </w:rPr>
              <w:t>(£35.00)</w:t>
            </w:r>
          </w:p>
        </w:tc>
      </w:tr>
      <w:tr w:rsidR="00EC33F1" w:rsidRPr="00D343CC" w14:paraId="25B52ECE" w14:textId="77777777" w:rsidTr="00EC33F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466B8C9" w14:textId="77777777" w:rsidR="00EC33F1" w:rsidRPr="00D343CC" w:rsidRDefault="00EC33F1" w:rsidP="000E65AF">
            <w:pPr>
              <w:rPr>
                <w:rFonts w:cs="Arial"/>
                <w:b/>
                <w:bCs/>
              </w:rPr>
            </w:pPr>
            <w:r w:rsidRPr="00D343CC">
              <w:rPr>
                <w:rFonts w:cs="Arial"/>
                <w:b/>
                <w:bC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BEEFB" w14:textId="77777777" w:rsidR="00EC33F1" w:rsidRPr="00D343CC" w:rsidRDefault="00EC33F1" w:rsidP="000E65AF">
            <w:pPr>
              <w:rPr>
                <w:rFonts w:cs="Arial"/>
              </w:rPr>
            </w:pPr>
            <w:r w:rsidRPr="00D343CC">
              <w:rPr>
                <w:rFonts w:cs="Arial"/>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BE5AE" w14:textId="77777777" w:rsidR="00EC33F1" w:rsidRPr="00D343CC" w:rsidRDefault="00EC33F1" w:rsidP="000E65AF">
            <w:pPr>
              <w:rPr>
                <w:rFonts w:cs="Arial"/>
              </w:rPr>
            </w:pPr>
            <w:r w:rsidRPr="00D343CC">
              <w:rPr>
                <w:rFonts w:cs="Arial"/>
              </w:rPr>
              <w:t>(£4.00)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C71D87"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C48B4C" w14:textId="77777777" w:rsidR="00EC33F1" w:rsidRPr="00D343CC" w:rsidRDefault="00EC33F1" w:rsidP="000E65AF">
            <w:pPr>
              <w:rPr>
                <w:rFonts w:cs="Arial"/>
              </w:rPr>
            </w:pPr>
            <w:r w:rsidRPr="00D343CC">
              <w:rPr>
                <w:rFonts w:cs="Arial"/>
              </w:rPr>
              <w:t>(£12.00)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20D8D8" w14:textId="77777777" w:rsidR="00EC33F1" w:rsidRPr="00D343CC" w:rsidRDefault="00EC33F1" w:rsidP="000E65AF">
            <w:pPr>
              <w:rPr>
                <w:rFonts w:cs="Arial"/>
              </w:rPr>
            </w:pPr>
            <w:r w:rsidRPr="00D343CC">
              <w:rPr>
                <w:rFonts w:cs="Arial"/>
              </w:rPr>
              <w:t>£20.00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BC870" w14:textId="77777777" w:rsidR="00EC33F1" w:rsidRPr="00D343CC" w:rsidRDefault="00EC33F1" w:rsidP="000E65AF">
            <w:pPr>
              <w:rPr>
                <w:rFonts w:cs="Arial"/>
              </w:rPr>
            </w:pPr>
            <w:r w:rsidRPr="00D343CC">
              <w:rPr>
                <w:rFonts w:cs="Arial"/>
              </w:rPr>
              <w:t>(£15.00)</w:t>
            </w:r>
          </w:p>
        </w:tc>
      </w:tr>
      <w:tr w:rsidR="00EC33F1" w:rsidRPr="00D343CC" w14:paraId="2B0DE26E" w14:textId="77777777" w:rsidTr="00EC33F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2D15E91" w14:textId="77777777" w:rsidR="00EC33F1" w:rsidRPr="00D343CC" w:rsidRDefault="00EC33F1" w:rsidP="000E65AF">
            <w:pPr>
              <w:rPr>
                <w:rFonts w:cs="Arial"/>
                <w:b/>
                <w:bCs/>
              </w:rPr>
            </w:pPr>
            <w:r w:rsidRPr="00D343CC">
              <w:rPr>
                <w:rFonts w:cs="Arial"/>
                <w:b/>
                <w:bC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25B054" w14:textId="77777777" w:rsidR="00EC33F1" w:rsidRPr="00D343CC" w:rsidRDefault="00EC33F1" w:rsidP="000E65AF">
            <w:pPr>
              <w:rPr>
                <w:rFonts w:cs="Arial"/>
              </w:rPr>
            </w:pPr>
            <w:r w:rsidRPr="00D343CC">
              <w:rPr>
                <w:rFonts w:cs="Arial"/>
              </w:rPr>
              <w:t>£10.00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EA3D37"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B3163"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E2649A"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A4649" w14:textId="77777777" w:rsidR="00EC33F1" w:rsidRPr="00D343CC" w:rsidRDefault="00EC33F1" w:rsidP="000E65AF">
            <w:pPr>
              <w:rPr>
                <w:rFonts w:cs="Arial"/>
              </w:rPr>
            </w:pPr>
            <w:r w:rsidRPr="00D343CC">
              <w:rPr>
                <w:rFonts w:cs="Arial"/>
              </w:rPr>
              <w:t>£25.00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A71CEF" w14:textId="77777777" w:rsidR="00EC33F1" w:rsidRPr="00D343CC" w:rsidRDefault="00EC33F1" w:rsidP="000E65AF">
            <w:pPr>
              <w:rPr>
                <w:rFonts w:cs="Arial"/>
              </w:rPr>
            </w:pPr>
            <w:r w:rsidRPr="00D343CC">
              <w:rPr>
                <w:rFonts w:cs="Arial"/>
              </w:rPr>
              <w:t>£10.00</w:t>
            </w:r>
          </w:p>
        </w:tc>
      </w:tr>
      <w:tr w:rsidR="00EC33F1" w:rsidRPr="00D343CC" w14:paraId="61047343" w14:textId="77777777" w:rsidTr="00EC33F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EB45520" w14:textId="77777777" w:rsidR="00EC33F1" w:rsidRPr="00D343CC" w:rsidRDefault="00EC33F1" w:rsidP="000E65AF">
            <w:pPr>
              <w:rPr>
                <w:rFonts w:cs="Arial"/>
                <w:b/>
                <w:bCs/>
              </w:rPr>
            </w:pPr>
            <w:r w:rsidRPr="00D343CC">
              <w:rPr>
                <w:rFonts w:cs="Arial"/>
                <w:b/>
                <w:bC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28B2E" w14:textId="77777777" w:rsidR="00EC33F1" w:rsidRPr="00D343CC" w:rsidRDefault="00EC33F1" w:rsidP="000E65AF">
            <w:pPr>
              <w:rPr>
                <w:rFonts w:cs="Arial"/>
              </w:rPr>
            </w:pPr>
            <w:r w:rsidRPr="00D343CC">
              <w:rPr>
                <w:rFonts w:cs="Arial"/>
              </w:rPr>
              <w:t>£8.00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26CC1" w14:textId="77777777" w:rsidR="00EC33F1" w:rsidRPr="00D343CC" w:rsidRDefault="00EC33F1" w:rsidP="000E65AF">
            <w:pPr>
              <w:rPr>
                <w:rFonts w:cs="Arial"/>
              </w:rPr>
            </w:pPr>
            <w:r w:rsidRPr="00D343CC">
              <w:rPr>
                <w:rFonts w:cs="Arial"/>
              </w:rPr>
              <w:t>£14.00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30A80" w14:textId="77777777" w:rsidR="00EC33F1" w:rsidRPr="00D343CC" w:rsidRDefault="00EC33F1" w:rsidP="000E65AF">
            <w:pPr>
              <w:rPr>
                <w:rFonts w:cs="Arial"/>
              </w:rPr>
            </w:pPr>
            <w:r w:rsidRPr="00D343CC">
              <w:rPr>
                <w:rFonts w:cs="Arial"/>
              </w:rPr>
              <w:t>£6.00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167091" w14:textId="77777777" w:rsidR="00EC33F1" w:rsidRPr="00D343CC" w:rsidRDefault="00EC33F1" w:rsidP="000E65AF">
            <w:pPr>
              <w:rPr>
                <w:rFonts w:cs="Arial"/>
              </w:rPr>
            </w:pPr>
            <w:r w:rsidRPr="00D343CC">
              <w:rPr>
                <w:rFonts w:cs="Arial"/>
              </w:rPr>
              <w:t>£0.00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E960FE" w14:textId="77777777" w:rsidR="00EC33F1" w:rsidRPr="00D343CC" w:rsidRDefault="00EC33F1" w:rsidP="000E65AF">
            <w:pPr>
              <w:rPr>
                <w:rFonts w:cs="Arial"/>
              </w:rPr>
            </w:pPr>
            <w:r w:rsidRPr="00D343CC">
              <w:rPr>
                <w:rFonts w:cs="Arial"/>
              </w:rPr>
              <w:t>£15.00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3AB37C" w14:textId="77777777" w:rsidR="00EC33F1" w:rsidRPr="00D343CC" w:rsidRDefault="00EC33F1" w:rsidP="000E65AF">
            <w:pPr>
              <w:rPr>
                <w:rFonts w:cs="Arial"/>
              </w:rPr>
            </w:pPr>
            <w:r w:rsidRPr="00D343CC">
              <w:rPr>
                <w:rFonts w:cs="Arial"/>
              </w:rPr>
              <w:t>£25.00</w:t>
            </w:r>
          </w:p>
        </w:tc>
      </w:tr>
      <w:tr w:rsidR="00EC33F1" w:rsidRPr="00D343CC" w14:paraId="4C6A4B8B" w14:textId="77777777" w:rsidTr="0069058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2C6BBAB" w14:textId="77777777" w:rsidR="00EC33F1" w:rsidRPr="00D343CC" w:rsidRDefault="00EC33F1" w:rsidP="00690583">
            <w:pPr>
              <w:jc w:val="center"/>
              <w:rPr>
                <w:rFonts w:cs="Arial"/>
                <w:b/>
                <w:bCs/>
              </w:rPr>
            </w:pPr>
            <w:r w:rsidRPr="00D343CC">
              <w:rPr>
                <w:rFonts w:cs="Arial"/>
                <w:b/>
                <w:bCs/>
              </w:rPr>
              <w:lastRenderedPageBreak/>
              <w:t>PBP</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206E9F1" w14:textId="41D6CA4A" w:rsidR="00EC33F1" w:rsidRPr="00D343CC" w:rsidRDefault="00EC33F1" w:rsidP="00690583">
            <w:pPr>
              <w:jc w:val="center"/>
              <w:rPr>
                <w:rFonts w:cs="Arial"/>
                <w:b/>
                <w:bCs/>
              </w:rPr>
            </w:pPr>
            <w:r w:rsidRPr="00D343CC">
              <w:rPr>
                <w:rFonts w:cs="Arial"/>
                <w:b/>
                <w:bCs/>
              </w:rPr>
              <w:t>3.40 Years</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5D11EBA" w14:textId="5057DD1D" w:rsidR="00EC33F1" w:rsidRPr="00D343CC" w:rsidRDefault="00EC33F1" w:rsidP="00690583">
            <w:pPr>
              <w:jc w:val="center"/>
              <w:rPr>
                <w:rFonts w:cs="Arial"/>
                <w:b/>
                <w:bCs/>
              </w:rPr>
            </w:pPr>
            <w:r w:rsidRPr="00D343CC">
              <w:rPr>
                <w:rFonts w:cs="Arial"/>
                <w:b/>
                <w:bCs/>
              </w:rPr>
              <w:t>5.00 Years</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D8E6FF8" w14:textId="471185D1" w:rsidR="00EC33F1" w:rsidRPr="00D343CC" w:rsidRDefault="00EC33F1" w:rsidP="00690583">
            <w:pPr>
              <w:jc w:val="center"/>
              <w:rPr>
                <w:rFonts w:cs="Arial"/>
                <w:b/>
                <w:bCs/>
              </w:rPr>
            </w:pPr>
            <w:r w:rsidRPr="00D343CC">
              <w:rPr>
                <w:rFonts w:cs="Arial"/>
                <w:b/>
                <w:bCs/>
              </w:rPr>
              <w:t>3.60 Years</w:t>
            </w:r>
          </w:p>
        </w:tc>
      </w:tr>
    </w:tbl>
    <w:p w14:paraId="608C9585" w14:textId="55D617FE" w:rsidR="00690583" w:rsidRPr="00D343CC" w:rsidRDefault="00690583" w:rsidP="00690583">
      <w:pPr>
        <w:pStyle w:val="Caption"/>
        <w:rPr>
          <w:rFonts w:cs="Arial"/>
          <w:i w:val="0"/>
          <w:iCs w:val="0"/>
          <w:color w:val="auto"/>
        </w:rPr>
      </w:pPr>
      <w:bookmarkStart w:id="84" w:name="_Toc217131035"/>
      <w:r w:rsidRPr="00D343CC">
        <w:rPr>
          <w:rFonts w:cs="Arial"/>
          <w:i w:val="0"/>
          <w:iCs w:val="0"/>
          <w:color w:val="auto"/>
        </w:rPr>
        <w:t xml:space="preserve">Table </w:t>
      </w:r>
      <w:r w:rsidRPr="00D343CC">
        <w:rPr>
          <w:rFonts w:cs="Arial"/>
          <w:i w:val="0"/>
          <w:iCs w:val="0"/>
          <w:color w:val="auto"/>
        </w:rPr>
        <w:fldChar w:fldCharType="begin"/>
      </w:r>
      <w:r w:rsidRPr="00D343CC">
        <w:rPr>
          <w:rFonts w:cs="Arial"/>
          <w:i w:val="0"/>
          <w:iCs w:val="0"/>
          <w:color w:val="auto"/>
        </w:rPr>
        <w:instrText xml:space="preserve"> SEQ Table \* ARABIC </w:instrText>
      </w:r>
      <w:r w:rsidRPr="00D343CC">
        <w:rPr>
          <w:rFonts w:cs="Arial"/>
          <w:i w:val="0"/>
          <w:iCs w:val="0"/>
          <w:color w:val="auto"/>
        </w:rPr>
        <w:fldChar w:fldCharType="separate"/>
      </w:r>
      <w:r w:rsidRPr="00D343CC">
        <w:rPr>
          <w:rFonts w:cs="Arial"/>
          <w:i w:val="0"/>
          <w:iCs w:val="0"/>
          <w:noProof/>
          <w:color w:val="auto"/>
        </w:rPr>
        <w:t>9</w:t>
      </w:r>
      <w:r w:rsidRPr="00D343CC">
        <w:rPr>
          <w:rFonts w:cs="Arial"/>
          <w:i w:val="0"/>
          <w:iCs w:val="0"/>
          <w:color w:val="auto"/>
        </w:rPr>
        <w:fldChar w:fldCharType="end"/>
      </w:r>
      <w:r w:rsidRPr="00D343CC">
        <w:rPr>
          <w:rFonts w:cs="Arial"/>
          <w:i w:val="0"/>
          <w:iCs w:val="0"/>
          <w:color w:val="auto"/>
        </w:rPr>
        <w:t xml:space="preserve"> Payback Period (PBP) Calculations Table</w:t>
      </w:r>
      <w:bookmarkEnd w:id="84"/>
    </w:p>
    <w:p w14:paraId="6DD41F41" w14:textId="5FC6969B" w:rsidR="00EC33F1" w:rsidRPr="00D343CC" w:rsidRDefault="009A1FE1" w:rsidP="000E65AF">
      <w:pPr>
        <w:rPr>
          <w:rFonts w:cs="Arial"/>
          <w:i/>
          <w:iCs/>
          <w:sz w:val="22"/>
          <w:szCs w:val="20"/>
        </w:rPr>
      </w:pPr>
      <w:r w:rsidRPr="00D343CC">
        <w:rPr>
          <w:rFonts w:cs="Arial"/>
          <w:i/>
          <w:iCs/>
          <w:sz w:val="22"/>
          <w:szCs w:val="20"/>
        </w:rPr>
        <w:t>Note: Project A recovers capital the fastest, which is vital for the company’s current liquidity concerns.</w:t>
      </w:r>
    </w:p>
    <w:p w14:paraId="2D2088A9" w14:textId="17717587" w:rsidR="002504AB" w:rsidRPr="00D343CC" w:rsidRDefault="002504AB" w:rsidP="000E65AF">
      <w:pPr>
        <w:pStyle w:val="Heading3"/>
        <w:rPr>
          <w:rFonts w:eastAsia="Times New Roman" w:cs="Arial"/>
          <w:lang w:val="en-US"/>
        </w:rPr>
      </w:pPr>
      <w:bookmarkStart w:id="85" w:name="_Toc217246609"/>
      <w:bookmarkStart w:id="86" w:name="_Toc216756007"/>
      <w:r w:rsidRPr="00D343CC">
        <w:rPr>
          <w:rFonts w:eastAsia="Times New Roman" w:cs="Arial"/>
          <w:lang w:val="en-US"/>
        </w:rPr>
        <w:t xml:space="preserve">Table </w:t>
      </w:r>
      <w:r w:rsidR="00AD1754" w:rsidRPr="00D343CC">
        <w:rPr>
          <w:rFonts w:eastAsia="Times New Roman" w:cs="Arial"/>
          <w:lang w:val="en-US"/>
        </w:rPr>
        <w:t>C</w:t>
      </w:r>
      <w:r w:rsidRPr="00D343CC">
        <w:rPr>
          <w:rFonts w:eastAsia="Times New Roman" w:cs="Arial"/>
          <w:lang w:val="en-US"/>
        </w:rPr>
        <w:t>2: Annual Percentage Rate (APR)</w:t>
      </w:r>
      <w:bookmarkEnd w:id="85"/>
    </w:p>
    <w:p w14:paraId="1013182A" w14:textId="77777777" w:rsidR="002504AB" w:rsidRPr="00D343CC" w:rsidRDefault="002504AB" w:rsidP="000E65AF">
      <w:pPr>
        <w:rPr>
          <w:rFonts w:cs="Arial"/>
        </w:rPr>
      </w:pPr>
      <m:oMathPara>
        <m:oMath>
          <m:r>
            <w:rPr>
              <w:rFonts w:ascii="Cambria Math" w:hAnsi="Cambria Math" w:cs="Arial"/>
            </w:rPr>
            <m:t>APR=</m:t>
          </m:r>
          <m:d>
            <m:dPr>
              <m:ctrlPr>
                <w:rPr>
                  <w:rFonts w:ascii="Cambria Math" w:hAnsi="Cambria Math" w:cs="Arial"/>
                  <w:i/>
                </w:rPr>
              </m:ctrlPr>
            </m:dPr>
            <m:e>
              <m:d>
                <m:dPr>
                  <m:ctrlPr>
                    <w:rPr>
                      <w:rFonts w:ascii="Cambria Math" w:hAnsi="Cambria Math" w:cs="Arial"/>
                      <w:i/>
                    </w:rPr>
                  </m:ctrlPr>
                </m:dPr>
                <m:e>
                  <m:f>
                    <m:fPr>
                      <m:ctrlPr>
                        <w:rPr>
                          <w:rFonts w:ascii="Cambria Math" w:hAnsi="Cambria Math" w:cs="Arial"/>
                          <w:i/>
                        </w:rPr>
                      </m:ctrlPr>
                    </m:fPr>
                    <m:num>
                      <m:f>
                        <m:fPr>
                          <m:ctrlPr>
                            <w:rPr>
                              <w:rFonts w:ascii="Cambria Math" w:hAnsi="Cambria Math" w:cs="Arial"/>
                              <w:i/>
                            </w:rPr>
                          </m:ctrlPr>
                        </m:fPr>
                        <m:num>
                          <m:r>
                            <w:rPr>
                              <w:rFonts w:ascii="Cambria Math" w:hAnsi="Cambria Math" w:cs="Arial"/>
                            </w:rPr>
                            <m:t>Fees+Interest</m:t>
                          </m:r>
                        </m:num>
                        <m:den>
                          <m:r>
                            <w:rPr>
                              <w:rFonts w:ascii="Cambria Math" w:hAnsi="Cambria Math" w:cs="Arial"/>
                            </w:rPr>
                            <m:t>Principal</m:t>
                          </m:r>
                        </m:den>
                      </m:f>
                    </m:num>
                    <m:den>
                      <m:r>
                        <w:rPr>
                          <w:rFonts w:ascii="Cambria Math" w:hAnsi="Cambria Math" w:cs="Arial"/>
                        </w:rPr>
                        <m:t>n</m:t>
                      </m:r>
                    </m:den>
                  </m:f>
                </m:e>
              </m:d>
              <m:r>
                <w:rPr>
                  <w:rFonts w:ascii="Cambria Math" w:hAnsi="Cambria Math" w:cs="Arial"/>
                </w:rPr>
                <m:t>×365</m:t>
              </m:r>
            </m:e>
          </m:d>
          <m:r>
            <w:rPr>
              <w:rFonts w:ascii="Cambria Math" w:hAnsi="Cambria Math" w:cs="Arial"/>
            </w:rPr>
            <m:t>×100</m:t>
          </m:r>
        </m:oMath>
      </m:oMathPara>
    </w:p>
    <w:p w14:paraId="4792BFCD" w14:textId="77777777" w:rsidR="002504AB" w:rsidRPr="00D343CC" w:rsidRDefault="002504AB" w:rsidP="000E65AF">
      <w:pPr>
        <w:rPr>
          <w:rFonts w:cs="Arial"/>
        </w:rPr>
      </w:pPr>
      <m:oMath>
        <m:r>
          <w:rPr>
            <w:rFonts w:ascii="Cambria Math" w:hAnsi="Cambria Math" w:cs="Arial"/>
          </w:rPr>
          <m:t>Interest=total interest paid over life of the loan</m:t>
        </m:r>
      </m:oMath>
      <w:r w:rsidRPr="00D343CC">
        <w:rPr>
          <w:rFonts w:cs="Arial"/>
        </w:rPr>
        <w:t xml:space="preserve"> </w:t>
      </w:r>
    </w:p>
    <w:p w14:paraId="63D4EC52" w14:textId="77777777" w:rsidR="002504AB" w:rsidRPr="00D343CC" w:rsidRDefault="002504AB" w:rsidP="000E65AF">
      <w:pPr>
        <w:rPr>
          <w:rFonts w:cs="Arial"/>
        </w:rPr>
      </w:pPr>
      <m:oMath>
        <m:r>
          <w:rPr>
            <w:rFonts w:ascii="Cambria Math" w:hAnsi="Cambria Math" w:cs="Arial"/>
          </w:rPr>
          <m:t>Principal=loan amount</m:t>
        </m:r>
      </m:oMath>
      <w:r w:rsidRPr="00D343CC">
        <w:rPr>
          <w:rFonts w:cs="Arial"/>
        </w:rPr>
        <w:t xml:space="preserve"> </w:t>
      </w:r>
    </w:p>
    <w:p w14:paraId="7A7ADF40" w14:textId="77777777" w:rsidR="002504AB" w:rsidRPr="00D343CC" w:rsidRDefault="002504AB" w:rsidP="000E65AF">
      <w:pPr>
        <w:rPr>
          <w:rFonts w:cs="Arial"/>
        </w:rPr>
      </w:pPr>
      <m:oMath>
        <m:r>
          <w:rPr>
            <w:rFonts w:ascii="Cambria Math" w:hAnsi="Cambria Math" w:cs="Arial"/>
          </w:rPr>
          <m:t>n=number of days in loan term</m:t>
        </m:r>
      </m:oMath>
      <w:r w:rsidRPr="00D343CC">
        <w:rPr>
          <w:rFonts w:cs="Arial"/>
        </w:rPr>
        <w:t xml:space="preserve"> </w:t>
      </w:r>
    </w:p>
    <w:tbl>
      <w:tblPr>
        <w:tblStyle w:val="TableGrid"/>
        <w:tblW w:w="9121" w:type="dxa"/>
        <w:tblLook w:val="04A0" w:firstRow="1" w:lastRow="0" w:firstColumn="1" w:lastColumn="0" w:noHBand="0" w:noVBand="1"/>
      </w:tblPr>
      <w:tblGrid>
        <w:gridCol w:w="2736"/>
        <w:gridCol w:w="2167"/>
        <w:gridCol w:w="2051"/>
        <w:gridCol w:w="2167"/>
      </w:tblGrid>
      <w:tr w:rsidR="002504AB" w:rsidRPr="00D343CC" w14:paraId="4987F32D" w14:textId="77777777" w:rsidTr="00DE6EFB">
        <w:trPr>
          <w:trHeight w:val="502"/>
        </w:trPr>
        <w:tc>
          <w:tcPr>
            <w:tcW w:w="2736" w:type="dxa"/>
            <w:vAlign w:val="center"/>
            <w:hideMark/>
          </w:tcPr>
          <w:p w14:paraId="301B8B9C" w14:textId="77777777" w:rsidR="002504AB" w:rsidRPr="00D343CC" w:rsidRDefault="002504AB" w:rsidP="00690583">
            <w:pPr>
              <w:jc w:val="center"/>
              <w:rPr>
                <w:rFonts w:cs="Arial"/>
                <w:b/>
                <w:bCs/>
                <w:lang w:eastAsia="en-GB"/>
              </w:rPr>
            </w:pPr>
            <w:r w:rsidRPr="00D343CC">
              <w:rPr>
                <w:rFonts w:cs="Arial"/>
                <w:b/>
                <w:bCs/>
                <w:lang w:eastAsia="en-GB"/>
              </w:rPr>
              <w:t>Component</w:t>
            </w:r>
          </w:p>
        </w:tc>
        <w:tc>
          <w:tcPr>
            <w:tcW w:w="2167" w:type="dxa"/>
            <w:vAlign w:val="center"/>
            <w:hideMark/>
          </w:tcPr>
          <w:p w14:paraId="2BC7BF6F" w14:textId="77777777" w:rsidR="002504AB" w:rsidRPr="00D343CC" w:rsidRDefault="002504AB" w:rsidP="00690583">
            <w:pPr>
              <w:jc w:val="center"/>
              <w:rPr>
                <w:rFonts w:cs="Arial"/>
                <w:b/>
                <w:bCs/>
                <w:lang w:eastAsia="en-GB"/>
              </w:rPr>
            </w:pPr>
            <w:r w:rsidRPr="00D343CC">
              <w:rPr>
                <w:rFonts w:cs="Arial"/>
                <w:b/>
                <w:bCs/>
                <w:lang w:eastAsia="en-GB"/>
              </w:rPr>
              <w:t>Project A</w:t>
            </w:r>
          </w:p>
        </w:tc>
        <w:tc>
          <w:tcPr>
            <w:tcW w:w="2051" w:type="dxa"/>
            <w:vAlign w:val="center"/>
            <w:hideMark/>
          </w:tcPr>
          <w:p w14:paraId="2907BE0C" w14:textId="77777777" w:rsidR="002504AB" w:rsidRPr="00D343CC" w:rsidRDefault="002504AB" w:rsidP="00690583">
            <w:pPr>
              <w:jc w:val="center"/>
              <w:rPr>
                <w:rFonts w:cs="Arial"/>
                <w:b/>
                <w:bCs/>
                <w:lang w:eastAsia="en-GB"/>
              </w:rPr>
            </w:pPr>
            <w:r w:rsidRPr="00D343CC">
              <w:rPr>
                <w:rFonts w:cs="Arial"/>
                <w:b/>
                <w:bCs/>
                <w:lang w:eastAsia="en-GB"/>
              </w:rPr>
              <w:t>Project B</w:t>
            </w:r>
          </w:p>
        </w:tc>
        <w:tc>
          <w:tcPr>
            <w:tcW w:w="2167" w:type="dxa"/>
            <w:vAlign w:val="center"/>
            <w:hideMark/>
          </w:tcPr>
          <w:p w14:paraId="29129918" w14:textId="77777777" w:rsidR="002504AB" w:rsidRPr="00D343CC" w:rsidRDefault="002504AB" w:rsidP="00690583">
            <w:pPr>
              <w:jc w:val="center"/>
              <w:rPr>
                <w:rFonts w:cs="Arial"/>
                <w:b/>
                <w:bCs/>
                <w:lang w:eastAsia="en-GB"/>
              </w:rPr>
            </w:pPr>
            <w:r w:rsidRPr="00D343CC">
              <w:rPr>
                <w:rFonts w:cs="Arial"/>
                <w:b/>
                <w:bCs/>
                <w:lang w:eastAsia="en-GB"/>
              </w:rPr>
              <w:t>Project C</w:t>
            </w:r>
          </w:p>
        </w:tc>
      </w:tr>
      <w:tr w:rsidR="002504AB" w:rsidRPr="00D343CC" w14:paraId="49A94BBB" w14:textId="77777777" w:rsidTr="00DE6EFB">
        <w:trPr>
          <w:trHeight w:val="724"/>
        </w:trPr>
        <w:tc>
          <w:tcPr>
            <w:tcW w:w="2736" w:type="dxa"/>
            <w:hideMark/>
          </w:tcPr>
          <w:p w14:paraId="7F88EDCB" w14:textId="77777777" w:rsidR="002504AB" w:rsidRPr="00D343CC" w:rsidRDefault="002504AB" w:rsidP="000E65AF">
            <w:pPr>
              <w:rPr>
                <w:rFonts w:cs="Arial"/>
                <w:lang w:eastAsia="en-GB"/>
              </w:rPr>
            </w:pPr>
            <w:r w:rsidRPr="00D343CC">
              <w:rPr>
                <w:rFonts w:cs="Arial"/>
                <w:lang w:eastAsia="en-GB"/>
              </w:rPr>
              <w:t>Total Cash Inflows</w:t>
            </w:r>
          </w:p>
        </w:tc>
        <w:tc>
          <w:tcPr>
            <w:tcW w:w="2167" w:type="dxa"/>
            <w:vAlign w:val="center"/>
            <w:hideMark/>
          </w:tcPr>
          <w:p w14:paraId="43178CE4" w14:textId="77777777" w:rsidR="002504AB" w:rsidRPr="00D343CC" w:rsidRDefault="002504AB" w:rsidP="000E65AF">
            <w:pPr>
              <w:rPr>
                <w:rFonts w:cs="Arial"/>
                <w:lang w:eastAsia="en-GB"/>
              </w:rPr>
            </w:pPr>
            <w:r w:rsidRPr="00D343CC">
              <w:rPr>
                <w:rFonts w:cs="Arial"/>
                <w:lang w:eastAsia="en-GB"/>
              </w:rPr>
              <w:t>£54.00m</w:t>
            </w:r>
          </w:p>
        </w:tc>
        <w:tc>
          <w:tcPr>
            <w:tcW w:w="2051" w:type="dxa"/>
            <w:vAlign w:val="center"/>
            <w:hideMark/>
          </w:tcPr>
          <w:p w14:paraId="7984E250" w14:textId="77777777" w:rsidR="002504AB" w:rsidRPr="00D343CC" w:rsidRDefault="002504AB" w:rsidP="000E65AF">
            <w:pPr>
              <w:rPr>
                <w:rFonts w:cs="Arial"/>
                <w:lang w:eastAsia="en-GB"/>
              </w:rPr>
            </w:pPr>
            <w:r w:rsidRPr="00D343CC">
              <w:rPr>
                <w:rFonts w:cs="Arial"/>
                <w:lang w:eastAsia="en-GB"/>
              </w:rPr>
              <w:t>£30.00m</w:t>
            </w:r>
          </w:p>
        </w:tc>
        <w:tc>
          <w:tcPr>
            <w:tcW w:w="2167" w:type="dxa"/>
            <w:vAlign w:val="center"/>
            <w:hideMark/>
          </w:tcPr>
          <w:p w14:paraId="79EB0EF2" w14:textId="77777777" w:rsidR="002504AB" w:rsidRPr="00D343CC" w:rsidRDefault="002504AB" w:rsidP="000E65AF">
            <w:pPr>
              <w:rPr>
                <w:rFonts w:cs="Arial"/>
                <w:lang w:eastAsia="en-GB"/>
              </w:rPr>
            </w:pPr>
            <w:r w:rsidRPr="00D343CC">
              <w:rPr>
                <w:rFonts w:cs="Arial"/>
                <w:lang w:eastAsia="en-GB"/>
              </w:rPr>
              <w:t>£75.00m</w:t>
            </w:r>
          </w:p>
        </w:tc>
      </w:tr>
      <w:tr w:rsidR="002504AB" w:rsidRPr="00D343CC" w14:paraId="6231E7E4" w14:textId="77777777" w:rsidTr="00DE6EFB">
        <w:trPr>
          <w:trHeight w:val="1209"/>
        </w:trPr>
        <w:tc>
          <w:tcPr>
            <w:tcW w:w="2736" w:type="dxa"/>
            <w:hideMark/>
          </w:tcPr>
          <w:p w14:paraId="7ECB1B79" w14:textId="77777777" w:rsidR="002504AB" w:rsidRPr="00D343CC" w:rsidRDefault="002504AB" w:rsidP="000E65AF">
            <w:pPr>
              <w:rPr>
                <w:rFonts w:cs="Arial"/>
                <w:lang w:eastAsia="en-GB"/>
              </w:rPr>
            </w:pPr>
            <w:r w:rsidRPr="00D343CC">
              <w:rPr>
                <w:rFonts w:cs="Arial"/>
                <w:lang w:eastAsia="en-GB"/>
              </w:rPr>
              <w:t>Initial Investment (Principal)</w:t>
            </w:r>
          </w:p>
        </w:tc>
        <w:tc>
          <w:tcPr>
            <w:tcW w:w="2167" w:type="dxa"/>
            <w:vAlign w:val="center"/>
            <w:hideMark/>
          </w:tcPr>
          <w:p w14:paraId="50E9E94B" w14:textId="77777777" w:rsidR="002504AB" w:rsidRPr="00D343CC" w:rsidRDefault="002504AB" w:rsidP="000E65AF">
            <w:pPr>
              <w:rPr>
                <w:rFonts w:cs="Arial"/>
                <w:lang w:eastAsia="en-GB"/>
              </w:rPr>
            </w:pPr>
            <w:r w:rsidRPr="00D343CC">
              <w:rPr>
                <w:rFonts w:cs="Arial"/>
                <w:lang w:eastAsia="en-GB"/>
              </w:rPr>
              <w:t>£40.00m</w:t>
            </w:r>
          </w:p>
        </w:tc>
        <w:tc>
          <w:tcPr>
            <w:tcW w:w="2051" w:type="dxa"/>
            <w:vAlign w:val="center"/>
            <w:hideMark/>
          </w:tcPr>
          <w:p w14:paraId="38A7B14C" w14:textId="77777777" w:rsidR="002504AB" w:rsidRPr="00D343CC" w:rsidRDefault="002504AB" w:rsidP="000E65AF">
            <w:pPr>
              <w:rPr>
                <w:rFonts w:cs="Arial"/>
                <w:lang w:eastAsia="en-GB"/>
              </w:rPr>
            </w:pPr>
            <w:r w:rsidRPr="00D343CC">
              <w:rPr>
                <w:rFonts w:cs="Arial"/>
                <w:lang w:eastAsia="en-GB"/>
              </w:rPr>
              <w:t>£30.00m</w:t>
            </w:r>
          </w:p>
        </w:tc>
        <w:tc>
          <w:tcPr>
            <w:tcW w:w="2167" w:type="dxa"/>
            <w:vAlign w:val="center"/>
            <w:hideMark/>
          </w:tcPr>
          <w:p w14:paraId="14497C4A" w14:textId="77777777" w:rsidR="002504AB" w:rsidRPr="00D343CC" w:rsidRDefault="002504AB" w:rsidP="000E65AF">
            <w:pPr>
              <w:rPr>
                <w:rFonts w:cs="Arial"/>
                <w:lang w:eastAsia="en-GB"/>
              </w:rPr>
            </w:pPr>
            <w:r w:rsidRPr="00D343CC">
              <w:rPr>
                <w:rFonts w:cs="Arial"/>
                <w:lang w:eastAsia="en-GB"/>
              </w:rPr>
              <w:t>£50.00m</w:t>
            </w:r>
          </w:p>
        </w:tc>
      </w:tr>
      <w:tr w:rsidR="002504AB" w:rsidRPr="00D343CC" w14:paraId="1AEC2049" w14:textId="77777777" w:rsidTr="00DE6EFB">
        <w:trPr>
          <w:trHeight w:val="724"/>
        </w:trPr>
        <w:tc>
          <w:tcPr>
            <w:tcW w:w="2736" w:type="dxa"/>
            <w:hideMark/>
          </w:tcPr>
          <w:p w14:paraId="2F99FAD5" w14:textId="77777777" w:rsidR="002504AB" w:rsidRPr="00D343CC" w:rsidRDefault="002504AB" w:rsidP="000E65AF">
            <w:pPr>
              <w:rPr>
                <w:rFonts w:cs="Arial"/>
                <w:lang w:eastAsia="en-GB"/>
              </w:rPr>
            </w:pPr>
            <w:r w:rsidRPr="00D343CC">
              <w:rPr>
                <w:rFonts w:cs="Arial"/>
                <w:lang w:eastAsia="en-GB"/>
              </w:rPr>
              <w:t>Total Interest (Profit)</w:t>
            </w:r>
          </w:p>
        </w:tc>
        <w:tc>
          <w:tcPr>
            <w:tcW w:w="2167" w:type="dxa"/>
            <w:vAlign w:val="center"/>
            <w:hideMark/>
          </w:tcPr>
          <w:p w14:paraId="41389186" w14:textId="77777777" w:rsidR="002504AB" w:rsidRPr="00D343CC" w:rsidRDefault="002504AB" w:rsidP="000E65AF">
            <w:pPr>
              <w:rPr>
                <w:rFonts w:cs="Arial"/>
                <w:lang w:eastAsia="en-GB"/>
              </w:rPr>
            </w:pPr>
            <w:r w:rsidRPr="00D343CC">
              <w:rPr>
                <w:rFonts w:cs="Arial"/>
                <w:lang w:eastAsia="en-GB"/>
              </w:rPr>
              <w:t>£14.00m</w:t>
            </w:r>
          </w:p>
        </w:tc>
        <w:tc>
          <w:tcPr>
            <w:tcW w:w="2051" w:type="dxa"/>
            <w:vAlign w:val="center"/>
            <w:hideMark/>
          </w:tcPr>
          <w:p w14:paraId="32339AD8" w14:textId="77777777" w:rsidR="002504AB" w:rsidRPr="00D343CC" w:rsidRDefault="002504AB" w:rsidP="000E65AF">
            <w:pPr>
              <w:rPr>
                <w:rFonts w:cs="Arial"/>
                <w:lang w:eastAsia="en-GB"/>
              </w:rPr>
            </w:pPr>
            <w:r w:rsidRPr="00D343CC">
              <w:rPr>
                <w:rFonts w:cs="Arial"/>
                <w:lang w:eastAsia="en-GB"/>
              </w:rPr>
              <w:t>£0.00m</w:t>
            </w:r>
          </w:p>
        </w:tc>
        <w:tc>
          <w:tcPr>
            <w:tcW w:w="2167" w:type="dxa"/>
            <w:vAlign w:val="center"/>
            <w:hideMark/>
          </w:tcPr>
          <w:p w14:paraId="00C83028" w14:textId="77777777" w:rsidR="002504AB" w:rsidRPr="00D343CC" w:rsidRDefault="002504AB" w:rsidP="000E65AF">
            <w:pPr>
              <w:rPr>
                <w:rFonts w:cs="Arial"/>
                <w:lang w:eastAsia="en-GB"/>
              </w:rPr>
            </w:pPr>
            <w:r w:rsidRPr="00D343CC">
              <w:rPr>
                <w:rFonts w:cs="Arial"/>
                <w:lang w:eastAsia="en-GB"/>
              </w:rPr>
              <w:t>£25.00m</w:t>
            </w:r>
          </w:p>
        </w:tc>
      </w:tr>
      <w:tr w:rsidR="002504AB" w:rsidRPr="00D343CC" w14:paraId="42823214" w14:textId="77777777" w:rsidTr="00DE6EFB">
        <w:trPr>
          <w:trHeight w:val="483"/>
        </w:trPr>
        <w:tc>
          <w:tcPr>
            <w:tcW w:w="2736" w:type="dxa"/>
            <w:hideMark/>
          </w:tcPr>
          <w:p w14:paraId="6F9F5B5F" w14:textId="77777777" w:rsidR="002504AB" w:rsidRPr="00D343CC" w:rsidRDefault="002504AB" w:rsidP="000E65AF">
            <w:pPr>
              <w:rPr>
                <w:rFonts w:cs="Arial"/>
                <w:lang w:eastAsia="en-GB"/>
              </w:rPr>
            </w:pPr>
            <w:r w:rsidRPr="00D343CC">
              <w:rPr>
                <w:rFonts w:cs="Arial"/>
                <w:lang w:eastAsia="en-GB"/>
              </w:rPr>
              <w:t>(Interest / Principal)</w:t>
            </w:r>
          </w:p>
        </w:tc>
        <w:tc>
          <w:tcPr>
            <w:tcW w:w="2167" w:type="dxa"/>
            <w:vAlign w:val="center"/>
            <w:hideMark/>
          </w:tcPr>
          <w:p w14:paraId="4F814276" w14:textId="77777777" w:rsidR="002504AB" w:rsidRPr="00D343CC" w:rsidRDefault="002504AB" w:rsidP="000E65AF">
            <w:pPr>
              <w:rPr>
                <w:rFonts w:cs="Arial"/>
                <w:lang w:eastAsia="en-GB"/>
              </w:rPr>
            </w:pPr>
            <w:r w:rsidRPr="00D343CC">
              <w:rPr>
                <w:rFonts w:cs="Arial"/>
                <w:lang w:eastAsia="en-GB"/>
              </w:rPr>
              <w:t>0.35</w:t>
            </w:r>
          </w:p>
        </w:tc>
        <w:tc>
          <w:tcPr>
            <w:tcW w:w="2051" w:type="dxa"/>
            <w:vAlign w:val="center"/>
            <w:hideMark/>
          </w:tcPr>
          <w:p w14:paraId="2CDF7D2A" w14:textId="77777777" w:rsidR="002504AB" w:rsidRPr="00D343CC" w:rsidRDefault="002504AB" w:rsidP="000E65AF">
            <w:pPr>
              <w:rPr>
                <w:rFonts w:cs="Arial"/>
                <w:lang w:eastAsia="en-GB"/>
              </w:rPr>
            </w:pPr>
            <w:r w:rsidRPr="00D343CC">
              <w:rPr>
                <w:rFonts w:cs="Arial"/>
                <w:lang w:eastAsia="en-GB"/>
              </w:rPr>
              <w:t>0</w:t>
            </w:r>
          </w:p>
        </w:tc>
        <w:tc>
          <w:tcPr>
            <w:tcW w:w="2167" w:type="dxa"/>
            <w:vAlign w:val="center"/>
            <w:hideMark/>
          </w:tcPr>
          <w:p w14:paraId="14D17500" w14:textId="77777777" w:rsidR="002504AB" w:rsidRPr="00D343CC" w:rsidRDefault="002504AB" w:rsidP="000E65AF">
            <w:pPr>
              <w:rPr>
                <w:rFonts w:cs="Arial"/>
                <w:lang w:eastAsia="en-GB"/>
              </w:rPr>
            </w:pPr>
            <w:r w:rsidRPr="00D343CC">
              <w:rPr>
                <w:rFonts w:cs="Arial"/>
                <w:lang w:eastAsia="en-GB"/>
              </w:rPr>
              <w:t>0.5</w:t>
            </w:r>
          </w:p>
        </w:tc>
      </w:tr>
      <w:tr w:rsidR="002504AB" w:rsidRPr="00D343CC" w14:paraId="2693C4F2" w14:textId="77777777" w:rsidTr="00DE6EFB">
        <w:trPr>
          <w:trHeight w:val="735"/>
        </w:trPr>
        <w:tc>
          <w:tcPr>
            <w:tcW w:w="2736" w:type="dxa"/>
            <w:hideMark/>
          </w:tcPr>
          <w:p w14:paraId="17C80222" w14:textId="77777777" w:rsidR="002504AB" w:rsidRPr="00D343CC" w:rsidRDefault="002504AB" w:rsidP="000E65AF">
            <w:pPr>
              <w:rPr>
                <w:rFonts w:cs="Arial"/>
                <w:lang w:eastAsia="en-GB"/>
              </w:rPr>
            </w:pPr>
            <w:r w:rsidRPr="00D343CC">
              <w:rPr>
                <w:rFonts w:cs="Arial"/>
                <w:lang w:eastAsia="en-GB"/>
              </w:rPr>
              <w:t xml:space="preserve">Divide by </w:t>
            </w:r>
            <w:r w:rsidRPr="00D343CC">
              <w:rPr>
                <w:rFonts w:cs="Arial"/>
                <w:i/>
                <w:iCs/>
                <w:lang w:eastAsia="en-GB"/>
              </w:rPr>
              <w:t>n</w:t>
            </w:r>
            <w:r w:rsidRPr="00D343CC">
              <w:rPr>
                <w:rFonts w:cs="Arial"/>
                <w:lang w:eastAsia="en-GB"/>
              </w:rPr>
              <w:t xml:space="preserve"> (1,825 days)</w:t>
            </w:r>
          </w:p>
        </w:tc>
        <w:tc>
          <w:tcPr>
            <w:tcW w:w="2167" w:type="dxa"/>
            <w:vAlign w:val="center"/>
            <w:hideMark/>
          </w:tcPr>
          <w:p w14:paraId="6F069629" w14:textId="77777777" w:rsidR="002504AB" w:rsidRPr="00D343CC" w:rsidRDefault="002504AB" w:rsidP="000E65AF">
            <w:pPr>
              <w:rPr>
                <w:rFonts w:cs="Arial"/>
                <w:lang w:eastAsia="en-GB"/>
              </w:rPr>
            </w:pPr>
            <w:r w:rsidRPr="00D343CC">
              <w:rPr>
                <w:rFonts w:cs="Arial"/>
                <w:lang w:eastAsia="en-GB"/>
              </w:rPr>
              <w:t>0.000192</w:t>
            </w:r>
          </w:p>
        </w:tc>
        <w:tc>
          <w:tcPr>
            <w:tcW w:w="2051" w:type="dxa"/>
            <w:vAlign w:val="center"/>
            <w:hideMark/>
          </w:tcPr>
          <w:p w14:paraId="6ABB8B7E" w14:textId="77777777" w:rsidR="002504AB" w:rsidRPr="00D343CC" w:rsidRDefault="002504AB" w:rsidP="000E65AF">
            <w:pPr>
              <w:rPr>
                <w:rFonts w:cs="Arial"/>
                <w:lang w:eastAsia="en-GB"/>
              </w:rPr>
            </w:pPr>
            <w:r w:rsidRPr="00D343CC">
              <w:rPr>
                <w:rFonts w:cs="Arial"/>
                <w:lang w:eastAsia="en-GB"/>
              </w:rPr>
              <w:t>0</w:t>
            </w:r>
          </w:p>
        </w:tc>
        <w:tc>
          <w:tcPr>
            <w:tcW w:w="2167" w:type="dxa"/>
            <w:vAlign w:val="center"/>
            <w:hideMark/>
          </w:tcPr>
          <w:p w14:paraId="37E3507E" w14:textId="77777777" w:rsidR="002504AB" w:rsidRPr="00D343CC" w:rsidRDefault="002504AB" w:rsidP="000E65AF">
            <w:pPr>
              <w:rPr>
                <w:rFonts w:cs="Arial"/>
                <w:lang w:eastAsia="en-GB"/>
              </w:rPr>
            </w:pPr>
            <w:r w:rsidRPr="00D343CC">
              <w:rPr>
                <w:rFonts w:cs="Arial"/>
                <w:lang w:eastAsia="en-GB"/>
              </w:rPr>
              <w:t>0.000274</w:t>
            </w:r>
          </w:p>
        </w:tc>
      </w:tr>
      <w:tr w:rsidR="002504AB" w:rsidRPr="00D343CC" w14:paraId="33DF7EAE" w14:textId="77777777" w:rsidTr="00DE6EFB">
        <w:trPr>
          <w:trHeight w:val="483"/>
        </w:trPr>
        <w:tc>
          <w:tcPr>
            <w:tcW w:w="2736" w:type="dxa"/>
            <w:hideMark/>
          </w:tcPr>
          <w:p w14:paraId="0DF74338" w14:textId="77777777" w:rsidR="002504AB" w:rsidRPr="00D343CC" w:rsidRDefault="002504AB" w:rsidP="000E65AF">
            <w:pPr>
              <w:rPr>
                <w:rFonts w:cs="Arial"/>
                <w:lang w:eastAsia="en-GB"/>
              </w:rPr>
            </w:pPr>
            <w:r w:rsidRPr="00D343CC">
              <w:rPr>
                <w:rFonts w:cs="Arial"/>
                <w:lang w:eastAsia="en-GB"/>
              </w:rPr>
              <w:t>Multiply by 365</w:t>
            </w:r>
          </w:p>
        </w:tc>
        <w:tc>
          <w:tcPr>
            <w:tcW w:w="2167" w:type="dxa"/>
            <w:vAlign w:val="center"/>
            <w:hideMark/>
          </w:tcPr>
          <w:p w14:paraId="61DA83DF" w14:textId="77777777" w:rsidR="002504AB" w:rsidRPr="00D343CC" w:rsidRDefault="002504AB" w:rsidP="000E65AF">
            <w:pPr>
              <w:rPr>
                <w:rFonts w:cs="Arial"/>
                <w:lang w:eastAsia="en-GB"/>
              </w:rPr>
            </w:pPr>
            <w:r w:rsidRPr="00D343CC">
              <w:rPr>
                <w:rFonts w:cs="Arial"/>
                <w:lang w:eastAsia="en-GB"/>
              </w:rPr>
              <w:t>0.07</w:t>
            </w:r>
          </w:p>
        </w:tc>
        <w:tc>
          <w:tcPr>
            <w:tcW w:w="2051" w:type="dxa"/>
            <w:vAlign w:val="center"/>
            <w:hideMark/>
          </w:tcPr>
          <w:p w14:paraId="1701FBA0" w14:textId="77777777" w:rsidR="002504AB" w:rsidRPr="00D343CC" w:rsidRDefault="002504AB" w:rsidP="000E65AF">
            <w:pPr>
              <w:rPr>
                <w:rFonts w:cs="Arial"/>
                <w:lang w:eastAsia="en-GB"/>
              </w:rPr>
            </w:pPr>
            <w:r w:rsidRPr="00D343CC">
              <w:rPr>
                <w:rFonts w:cs="Arial"/>
                <w:lang w:eastAsia="en-GB"/>
              </w:rPr>
              <w:t>0</w:t>
            </w:r>
          </w:p>
        </w:tc>
        <w:tc>
          <w:tcPr>
            <w:tcW w:w="2167" w:type="dxa"/>
            <w:vAlign w:val="center"/>
            <w:hideMark/>
          </w:tcPr>
          <w:p w14:paraId="421ED508" w14:textId="77777777" w:rsidR="002504AB" w:rsidRPr="00D343CC" w:rsidRDefault="002504AB" w:rsidP="000E65AF">
            <w:pPr>
              <w:rPr>
                <w:rFonts w:cs="Arial"/>
                <w:lang w:eastAsia="en-GB"/>
              </w:rPr>
            </w:pPr>
            <w:r w:rsidRPr="00D343CC">
              <w:rPr>
                <w:rFonts w:cs="Arial"/>
                <w:lang w:eastAsia="en-GB"/>
              </w:rPr>
              <w:t>0.1</w:t>
            </w:r>
          </w:p>
        </w:tc>
      </w:tr>
      <w:tr w:rsidR="002504AB" w:rsidRPr="00D343CC" w14:paraId="78EBA36C" w14:textId="77777777" w:rsidTr="00DE6EFB">
        <w:trPr>
          <w:trHeight w:val="754"/>
        </w:trPr>
        <w:tc>
          <w:tcPr>
            <w:tcW w:w="2736" w:type="dxa"/>
            <w:vAlign w:val="center"/>
            <w:hideMark/>
          </w:tcPr>
          <w:p w14:paraId="200BACD5" w14:textId="77777777" w:rsidR="002504AB" w:rsidRPr="00D343CC" w:rsidRDefault="002504AB" w:rsidP="00690583">
            <w:pPr>
              <w:jc w:val="center"/>
              <w:rPr>
                <w:rFonts w:cs="Arial"/>
                <w:b/>
                <w:bCs/>
                <w:lang w:eastAsia="en-GB"/>
              </w:rPr>
            </w:pPr>
            <w:r w:rsidRPr="00D343CC">
              <w:rPr>
                <w:rFonts w:cs="Arial"/>
                <w:b/>
                <w:bCs/>
                <w:lang w:eastAsia="en-GB"/>
              </w:rPr>
              <w:t>APR Result (%)</w:t>
            </w:r>
          </w:p>
        </w:tc>
        <w:tc>
          <w:tcPr>
            <w:tcW w:w="2167" w:type="dxa"/>
            <w:vAlign w:val="center"/>
            <w:hideMark/>
          </w:tcPr>
          <w:p w14:paraId="7AF23620" w14:textId="77777777" w:rsidR="002504AB" w:rsidRPr="00D343CC" w:rsidRDefault="002504AB" w:rsidP="00690583">
            <w:pPr>
              <w:jc w:val="center"/>
              <w:rPr>
                <w:rFonts w:cs="Arial"/>
                <w:b/>
                <w:bCs/>
                <w:lang w:eastAsia="en-GB"/>
              </w:rPr>
            </w:pPr>
            <w:r w:rsidRPr="00D343CC">
              <w:rPr>
                <w:rFonts w:cs="Arial"/>
                <w:b/>
                <w:bCs/>
                <w:lang w:eastAsia="en-GB"/>
              </w:rPr>
              <w:t>7.00%</w:t>
            </w:r>
          </w:p>
        </w:tc>
        <w:tc>
          <w:tcPr>
            <w:tcW w:w="2051" w:type="dxa"/>
            <w:vAlign w:val="center"/>
            <w:hideMark/>
          </w:tcPr>
          <w:p w14:paraId="39136628" w14:textId="77777777" w:rsidR="002504AB" w:rsidRPr="00D343CC" w:rsidRDefault="002504AB" w:rsidP="00690583">
            <w:pPr>
              <w:jc w:val="center"/>
              <w:rPr>
                <w:rFonts w:cs="Arial"/>
                <w:b/>
                <w:bCs/>
                <w:lang w:eastAsia="en-GB"/>
              </w:rPr>
            </w:pPr>
            <w:r w:rsidRPr="00D343CC">
              <w:rPr>
                <w:rFonts w:cs="Arial"/>
                <w:b/>
                <w:bCs/>
                <w:lang w:eastAsia="en-GB"/>
              </w:rPr>
              <w:t>0.00%</w:t>
            </w:r>
          </w:p>
        </w:tc>
        <w:tc>
          <w:tcPr>
            <w:tcW w:w="2167" w:type="dxa"/>
            <w:vAlign w:val="center"/>
            <w:hideMark/>
          </w:tcPr>
          <w:p w14:paraId="3842E22D" w14:textId="77777777" w:rsidR="002504AB" w:rsidRPr="00D343CC" w:rsidRDefault="002504AB" w:rsidP="00690583">
            <w:pPr>
              <w:jc w:val="center"/>
              <w:rPr>
                <w:rFonts w:cs="Arial"/>
                <w:b/>
                <w:bCs/>
                <w:lang w:eastAsia="en-GB"/>
              </w:rPr>
            </w:pPr>
            <w:r w:rsidRPr="00D343CC">
              <w:rPr>
                <w:rFonts w:cs="Arial"/>
                <w:b/>
                <w:bCs/>
                <w:lang w:eastAsia="en-GB"/>
              </w:rPr>
              <w:t>10.00%</w:t>
            </w:r>
          </w:p>
        </w:tc>
      </w:tr>
    </w:tbl>
    <w:p w14:paraId="64F7366B" w14:textId="730083A2" w:rsidR="002504AB" w:rsidRPr="00D343CC" w:rsidRDefault="00690583" w:rsidP="00690583">
      <w:pPr>
        <w:pStyle w:val="Caption"/>
        <w:rPr>
          <w:rFonts w:cs="Arial"/>
          <w:i w:val="0"/>
          <w:iCs w:val="0"/>
          <w:color w:val="auto"/>
        </w:rPr>
      </w:pPr>
      <w:bookmarkStart w:id="87" w:name="_Toc217131036"/>
      <w:r w:rsidRPr="00D343CC">
        <w:rPr>
          <w:rFonts w:cs="Arial"/>
          <w:i w:val="0"/>
          <w:iCs w:val="0"/>
          <w:color w:val="auto"/>
        </w:rPr>
        <w:t xml:space="preserve">Table </w:t>
      </w:r>
      <w:r w:rsidRPr="00D343CC">
        <w:rPr>
          <w:rFonts w:cs="Arial"/>
          <w:i w:val="0"/>
          <w:iCs w:val="0"/>
          <w:color w:val="auto"/>
        </w:rPr>
        <w:fldChar w:fldCharType="begin"/>
      </w:r>
      <w:r w:rsidRPr="00D343CC">
        <w:rPr>
          <w:rFonts w:cs="Arial"/>
          <w:i w:val="0"/>
          <w:iCs w:val="0"/>
          <w:color w:val="auto"/>
        </w:rPr>
        <w:instrText xml:space="preserve"> SEQ Table \* ARABIC </w:instrText>
      </w:r>
      <w:r w:rsidRPr="00D343CC">
        <w:rPr>
          <w:rFonts w:cs="Arial"/>
          <w:i w:val="0"/>
          <w:iCs w:val="0"/>
          <w:color w:val="auto"/>
        </w:rPr>
        <w:fldChar w:fldCharType="separate"/>
      </w:r>
      <w:r w:rsidRPr="00D343CC">
        <w:rPr>
          <w:rFonts w:cs="Arial"/>
          <w:i w:val="0"/>
          <w:iCs w:val="0"/>
          <w:noProof/>
          <w:color w:val="auto"/>
        </w:rPr>
        <w:t>10</w:t>
      </w:r>
      <w:r w:rsidRPr="00D343CC">
        <w:rPr>
          <w:rFonts w:cs="Arial"/>
          <w:i w:val="0"/>
          <w:iCs w:val="0"/>
          <w:color w:val="auto"/>
        </w:rPr>
        <w:fldChar w:fldCharType="end"/>
      </w:r>
      <w:r w:rsidRPr="00D343CC">
        <w:rPr>
          <w:rFonts w:cs="Arial"/>
          <w:i w:val="0"/>
          <w:iCs w:val="0"/>
          <w:color w:val="auto"/>
        </w:rPr>
        <w:t xml:space="preserve"> Annual Percentage Rate (APR) Calculation Table</w:t>
      </w:r>
      <w:bookmarkEnd w:id="87"/>
    </w:p>
    <w:p w14:paraId="40ACEE54" w14:textId="77777777" w:rsidR="002504AB" w:rsidRPr="00D343CC" w:rsidRDefault="002504AB" w:rsidP="000E65AF">
      <w:pPr>
        <w:rPr>
          <w:rFonts w:cs="Arial"/>
          <w:lang w:val="en-US"/>
        </w:rPr>
      </w:pPr>
    </w:p>
    <w:p w14:paraId="099916BF" w14:textId="77777777" w:rsidR="00DE6EFB" w:rsidRDefault="00DE6EFB">
      <w:pPr>
        <w:spacing w:line="276" w:lineRule="auto"/>
        <w:jc w:val="left"/>
        <w:rPr>
          <w:rFonts w:eastAsia="Times New Roman" w:cs="Arial"/>
          <w:b/>
          <w:i/>
          <w:color w:val="244061" w:themeColor="accent1" w:themeShade="80"/>
          <w:szCs w:val="28"/>
          <w:lang w:val="en-US"/>
        </w:rPr>
      </w:pPr>
      <w:r>
        <w:rPr>
          <w:rFonts w:eastAsia="Times New Roman" w:cs="Arial"/>
          <w:lang w:val="en-US"/>
        </w:rPr>
        <w:br w:type="page"/>
      </w:r>
    </w:p>
    <w:p w14:paraId="2AE5D473" w14:textId="38009677" w:rsidR="00EC33F1" w:rsidRPr="00D343CC" w:rsidRDefault="00EC33F1" w:rsidP="000E65AF">
      <w:pPr>
        <w:pStyle w:val="Heading3"/>
        <w:rPr>
          <w:rFonts w:eastAsia="Times New Roman" w:cs="Arial"/>
          <w:lang w:val="en-US"/>
        </w:rPr>
      </w:pPr>
      <w:bookmarkStart w:id="88" w:name="_Toc217246610"/>
      <w:r w:rsidRPr="00D343CC">
        <w:rPr>
          <w:rFonts w:eastAsia="Times New Roman" w:cs="Arial"/>
          <w:lang w:val="en-US"/>
        </w:rPr>
        <w:lastRenderedPageBreak/>
        <w:t xml:space="preserve">Table </w:t>
      </w:r>
      <w:r w:rsidR="00AD1754" w:rsidRPr="00D343CC">
        <w:rPr>
          <w:rFonts w:eastAsia="Times New Roman" w:cs="Arial"/>
          <w:lang w:val="en-US"/>
        </w:rPr>
        <w:t>C</w:t>
      </w:r>
      <w:r w:rsidR="002504AB" w:rsidRPr="00D343CC">
        <w:rPr>
          <w:rFonts w:eastAsia="Times New Roman" w:cs="Arial"/>
          <w:lang w:val="en-US"/>
        </w:rPr>
        <w:t>3</w:t>
      </w:r>
      <w:r w:rsidRPr="00D343CC">
        <w:rPr>
          <w:rFonts w:eastAsia="Times New Roman" w:cs="Arial"/>
          <w:lang w:val="en-US"/>
        </w:rPr>
        <w:t>: Net Present Value (NPV) Calculations (10% Discount Rate)</w:t>
      </w:r>
      <w:bookmarkEnd w:id="86"/>
      <w:bookmarkEnd w:id="88"/>
    </w:p>
    <w:p w14:paraId="4E14111D" w14:textId="77777777" w:rsidR="00EC33F1" w:rsidRPr="00D343CC" w:rsidRDefault="00EC33F1" w:rsidP="000E65AF">
      <w:pPr>
        <w:spacing w:after="160"/>
        <w:rPr>
          <w:rFonts w:eastAsia="Times New Roman" w:cs="Arial"/>
          <w:b/>
          <w:bCs/>
          <w:sz w:val="22"/>
          <w:lang w:val="en-US"/>
        </w:rPr>
      </w:pPr>
      <w:r w:rsidRPr="00D343CC">
        <w:rPr>
          <w:rFonts w:eastAsia="Calibri" w:cs="Arial"/>
          <w:b/>
          <w:bCs/>
          <w:sz w:val="22"/>
          <w:lang w:val="en-US"/>
        </w:rPr>
        <w:t xml:space="preserve">Formula: </w:t>
      </w:r>
      <m:oMath>
        <m:r>
          <m:rPr>
            <m:sty m:val="bi"/>
          </m:rPr>
          <w:rPr>
            <w:rFonts w:ascii="Cambria Math" w:eastAsia="Calibri" w:hAnsi="Cambria Math" w:cs="Arial"/>
            <w:sz w:val="22"/>
            <w:lang w:val="en-US"/>
          </w:rPr>
          <m:t xml:space="preserve"> </m:t>
        </m:r>
      </m:oMath>
    </w:p>
    <w:p w14:paraId="468C86E4" w14:textId="469A5C96" w:rsidR="00534915" w:rsidRPr="00D343CC" w:rsidRDefault="00534915" w:rsidP="000E65AF">
      <w:pPr>
        <w:rPr>
          <w:rFonts w:eastAsia="Times New Roman" w:cs="Arial"/>
          <w:sz w:val="22"/>
          <w:lang w:val="en-US"/>
        </w:rPr>
      </w:pPr>
      <w:r w:rsidRPr="00D343CC">
        <w:rPr>
          <w:rFonts w:eastAsia="Times New Roman" w:cs="Arial"/>
          <w:sz w:val="22"/>
          <w:lang w:val="en-US"/>
        </w:rPr>
        <w:t xml:space="preserve">For multiple periods: </w:t>
      </w:r>
      <m:oMath>
        <m:r>
          <w:rPr>
            <w:rFonts w:ascii="Cambria Math" w:eastAsia="Times New Roman" w:hAnsi="Cambria Math" w:cs="Arial"/>
            <w:sz w:val="22"/>
            <w:lang w:val="en-US"/>
          </w:rPr>
          <m:t>NPV</m:t>
        </m:r>
        <m:r>
          <m:rPr>
            <m:sty m:val="p"/>
          </m:rPr>
          <w:rPr>
            <w:rFonts w:ascii="Cambria Math" w:eastAsia="Times New Roman" w:hAnsi="Cambria Math" w:cs="Arial"/>
            <w:sz w:val="22"/>
            <w:lang w:val="en-US"/>
          </w:rPr>
          <m:t>=</m:t>
        </m:r>
        <m:nary>
          <m:naryPr>
            <m:chr m:val="∑"/>
            <m:limLoc m:val="undOvr"/>
            <m:ctrlPr>
              <w:rPr>
                <w:rFonts w:ascii="Cambria Math" w:eastAsia="Times New Roman" w:hAnsi="Cambria Math" w:cs="Arial"/>
                <w:sz w:val="22"/>
                <w:lang w:val="en-US"/>
              </w:rPr>
            </m:ctrlPr>
          </m:naryPr>
          <m:sub>
            <m:r>
              <w:rPr>
                <w:rFonts w:ascii="Cambria Math" w:eastAsia="Times New Roman" w:hAnsi="Cambria Math" w:cs="Arial"/>
                <w:sz w:val="22"/>
                <w:lang w:val="en-US"/>
              </w:rPr>
              <m:t>t</m:t>
            </m:r>
            <m:r>
              <m:rPr>
                <m:sty m:val="p"/>
              </m:rPr>
              <w:rPr>
                <w:rFonts w:ascii="Cambria Math" w:eastAsia="Times New Roman" w:hAnsi="Cambria Math" w:cs="Arial"/>
                <w:sz w:val="22"/>
                <w:lang w:val="en-US"/>
              </w:rPr>
              <m:t>=</m:t>
            </m:r>
            <m:r>
              <w:rPr>
                <w:rFonts w:ascii="Cambria Math" w:eastAsia="Times New Roman" w:hAnsi="Cambria Math" w:cs="Arial"/>
                <w:sz w:val="22"/>
                <w:lang w:val="en-US"/>
              </w:rPr>
              <m:t>1</m:t>
            </m:r>
          </m:sub>
          <m:sup>
            <m:r>
              <w:rPr>
                <w:rFonts w:ascii="Cambria Math" w:eastAsia="Times New Roman" w:hAnsi="Cambria Math" w:cs="Arial"/>
                <w:sz w:val="22"/>
                <w:lang w:val="en-US"/>
              </w:rPr>
              <m:t>n</m:t>
            </m:r>
          </m:sup>
          <m:e>
            <m:f>
              <m:fPr>
                <m:ctrlPr>
                  <w:rPr>
                    <w:rFonts w:ascii="Cambria Math" w:eastAsia="Times New Roman" w:hAnsi="Cambria Math" w:cs="Arial"/>
                    <w:sz w:val="22"/>
                    <w:lang w:val="en-US"/>
                  </w:rPr>
                </m:ctrlPr>
              </m:fPr>
              <m:num>
                <m:sSub>
                  <m:sSubPr>
                    <m:ctrlPr>
                      <w:rPr>
                        <w:rFonts w:ascii="Cambria Math" w:eastAsia="Times New Roman" w:hAnsi="Cambria Math" w:cs="Arial"/>
                        <w:sz w:val="22"/>
                        <w:lang w:val="en-US"/>
                      </w:rPr>
                    </m:ctrlPr>
                  </m:sSubPr>
                  <m:e>
                    <m:r>
                      <w:rPr>
                        <w:rFonts w:ascii="Cambria Math" w:eastAsia="Times New Roman" w:hAnsi="Cambria Math" w:cs="Arial"/>
                        <w:sz w:val="22"/>
                        <w:lang w:val="en-US"/>
                      </w:rPr>
                      <m:t>C</m:t>
                    </m:r>
                  </m:e>
                  <m:sub>
                    <m:r>
                      <w:rPr>
                        <w:rFonts w:ascii="Cambria Math" w:eastAsia="Times New Roman" w:hAnsi="Cambria Math" w:cs="Arial"/>
                        <w:sz w:val="22"/>
                        <w:lang w:val="en-US"/>
                      </w:rPr>
                      <m:t>t</m:t>
                    </m:r>
                  </m:sub>
                </m:sSub>
              </m:num>
              <m:den>
                <m:r>
                  <m:rPr>
                    <m:sty m:val="p"/>
                  </m:rPr>
                  <w:rPr>
                    <w:rFonts w:ascii="Cambria Math" w:eastAsia="Times New Roman" w:hAnsi="Cambria Math" w:cs="Arial"/>
                    <w:sz w:val="22"/>
                    <w:lang w:val="en-US"/>
                  </w:rPr>
                  <m:t>(</m:t>
                </m:r>
                <m:r>
                  <w:rPr>
                    <w:rFonts w:ascii="Cambria Math" w:eastAsia="Times New Roman" w:hAnsi="Cambria Math" w:cs="Arial"/>
                    <w:sz w:val="22"/>
                    <w:lang w:val="en-US"/>
                  </w:rPr>
                  <m:t>1</m:t>
                </m:r>
                <m:r>
                  <m:rPr>
                    <m:sty m:val="p"/>
                  </m:rPr>
                  <w:rPr>
                    <w:rFonts w:ascii="Cambria Math" w:eastAsia="Times New Roman" w:hAnsi="Cambria Math" w:cs="Arial"/>
                    <w:sz w:val="22"/>
                    <w:lang w:val="en-US"/>
                  </w:rPr>
                  <m:t>+</m:t>
                </m:r>
                <m:r>
                  <w:rPr>
                    <w:rFonts w:ascii="Cambria Math" w:eastAsia="Times New Roman" w:hAnsi="Cambria Math" w:cs="Arial"/>
                    <w:sz w:val="22"/>
                    <w:lang w:val="en-US"/>
                  </w:rPr>
                  <m:t>r</m:t>
                </m:r>
                <m:sSup>
                  <m:sSupPr>
                    <m:ctrlPr>
                      <w:rPr>
                        <w:rFonts w:ascii="Cambria Math" w:eastAsia="Times New Roman" w:hAnsi="Cambria Math" w:cs="Arial"/>
                        <w:sz w:val="22"/>
                        <w:lang w:val="en-US"/>
                      </w:rPr>
                    </m:ctrlPr>
                  </m:sSupPr>
                  <m:e>
                    <m:r>
                      <m:rPr>
                        <m:sty m:val="p"/>
                      </m:rPr>
                      <w:rPr>
                        <w:rFonts w:ascii="Cambria Math" w:eastAsia="Times New Roman" w:hAnsi="Cambria Math" w:cs="Arial"/>
                        <w:sz w:val="22"/>
                        <w:lang w:val="en-US"/>
                      </w:rPr>
                      <m:t>)</m:t>
                    </m:r>
                  </m:e>
                  <m:sup>
                    <m:r>
                      <w:rPr>
                        <w:rFonts w:ascii="Cambria Math" w:eastAsia="Times New Roman" w:hAnsi="Cambria Math" w:cs="Arial"/>
                        <w:sz w:val="22"/>
                        <w:lang w:val="en-US"/>
                      </w:rPr>
                      <m:t>t</m:t>
                    </m:r>
                  </m:sup>
                </m:sSup>
              </m:den>
            </m:f>
          </m:e>
        </m:nary>
        <m:r>
          <m:rPr>
            <m:sty m:val="p"/>
          </m:rPr>
          <w:rPr>
            <w:rFonts w:ascii="Cambria Math" w:eastAsia="Times New Roman" w:hAnsi="Cambria Math" w:cs="Arial"/>
            <w:sz w:val="22"/>
            <w:lang w:val="en-US"/>
          </w:rPr>
          <m:t>-</m:t>
        </m:r>
        <m:sSub>
          <m:sSubPr>
            <m:ctrlPr>
              <w:rPr>
                <w:rFonts w:ascii="Cambria Math" w:eastAsia="Times New Roman" w:hAnsi="Cambria Math" w:cs="Arial"/>
                <w:sz w:val="22"/>
                <w:lang w:val="en-US"/>
              </w:rPr>
            </m:ctrlPr>
          </m:sSubPr>
          <m:e>
            <m:r>
              <w:rPr>
                <w:rFonts w:ascii="Cambria Math" w:eastAsia="Times New Roman" w:hAnsi="Cambria Math" w:cs="Arial"/>
                <w:sz w:val="22"/>
                <w:lang w:val="en-US"/>
              </w:rPr>
              <m:t>C</m:t>
            </m:r>
          </m:e>
          <m:sub>
            <m:r>
              <w:rPr>
                <w:rFonts w:ascii="Cambria Math" w:eastAsia="Times New Roman" w:hAnsi="Cambria Math" w:cs="Arial"/>
                <w:sz w:val="22"/>
                <w:lang w:val="en-US"/>
              </w:rPr>
              <m:t>0</m:t>
            </m:r>
          </m:sub>
        </m:sSub>
      </m:oMath>
    </w:p>
    <w:p w14:paraId="52B8716A" w14:textId="13267D1C" w:rsidR="00534915" w:rsidRPr="00D343CC" w:rsidRDefault="00534915" w:rsidP="000E65AF">
      <w:pPr>
        <w:rPr>
          <w:rFonts w:eastAsia="Times New Roman" w:cs="Arial"/>
          <w:sz w:val="22"/>
          <w:lang w:val="en-US"/>
        </w:rPr>
      </w:pPr>
      <w:bookmarkStart w:id="89" w:name="_Hlk217070973"/>
      <w:r w:rsidRPr="00D343CC">
        <w:rPr>
          <w:rFonts w:eastAsia="Times New Roman" w:cs="Arial"/>
          <w:sz w:val="22"/>
          <w:lang w:val="en-US"/>
        </w:rPr>
        <w:t xml:space="preserve">For a single period: </w:t>
      </w:r>
      <m:oMath>
        <m:r>
          <w:rPr>
            <w:rFonts w:ascii="Cambria Math" w:eastAsia="Times New Roman" w:hAnsi="Cambria Math" w:cs="Arial"/>
            <w:sz w:val="22"/>
            <w:lang w:val="en-US"/>
          </w:rPr>
          <m:t>NPV</m:t>
        </m:r>
        <m:r>
          <m:rPr>
            <m:sty m:val="p"/>
          </m:rPr>
          <w:rPr>
            <w:rFonts w:ascii="Cambria Math" w:eastAsia="Times New Roman" w:hAnsi="Cambria Math" w:cs="Arial"/>
            <w:sz w:val="22"/>
            <w:lang w:val="en-US"/>
          </w:rPr>
          <m:t>=</m:t>
        </m:r>
        <m:f>
          <m:fPr>
            <m:ctrlPr>
              <w:rPr>
                <w:rFonts w:ascii="Cambria Math" w:eastAsia="Times New Roman" w:hAnsi="Cambria Math" w:cs="Arial"/>
                <w:sz w:val="22"/>
                <w:lang w:val="en-US"/>
              </w:rPr>
            </m:ctrlPr>
          </m:fPr>
          <m:num>
            <m:r>
              <m:rPr>
                <m:nor/>
              </m:rPr>
              <w:rPr>
                <w:rFonts w:eastAsia="Times New Roman" w:cs="Arial"/>
                <w:sz w:val="22"/>
                <w:lang w:val="en-US"/>
              </w:rPr>
              <m:t>Cash Flow</m:t>
            </m:r>
          </m:num>
          <m:den>
            <m:r>
              <m:rPr>
                <m:sty m:val="p"/>
              </m:rPr>
              <w:rPr>
                <w:rFonts w:ascii="Cambria Math" w:eastAsia="Times New Roman" w:hAnsi="Cambria Math" w:cs="Arial"/>
                <w:sz w:val="22"/>
                <w:lang w:val="en-US"/>
              </w:rPr>
              <m:t>(</m:t>
            </m:r>
            <m:r>
              <w:rPr>
                <w:rFonts w:ascii="Cambria Math" w:eastAsia="Times New Roman" w:hAnsi="Cambria Math" w:cs="Arial"/>
                <w:sz w:val="22"/>
                <w:lang w:val="en-US"/>
              </w:rPr>
              <m:t>1</m:t>
            </m:r>
            <m:r>
              <m:rPr>
                <m:sty m:val="p"/>
              </m:rPr>
              <w:rPr>
                <w:rFonts w:ascii="Cambria Math" w:eastAsia="Times New Roman" w:hAnsi="Cambria Math" w:cs="Arial"/>
                <w:sz w:val="22"/>
                <w:lang w:val="en-US"/>
              </w:rPr>
              <m:t>+</m:t>
            </m:r>
            <m:r>
              <m:rPr>
                <m:nor/>
              </m:rPr>
              <w:rPr>
                <w:rFonts w:eastAsia="Times New Roman" w:cs="Arial"/>
                <w:sz w:val="22"/>
                <w:lang w:val="en-US"/>
              </w:rPr>
              <m:t>Discount Rate</m:t>
            </m:r>
            <m:sSup>
              <m:sSupPr>
                <m:ctrlPr>
                  <w:rPr>
                    <w:rFonts w:ascii="Cambria Math" w:eastAsia="Times New Roman" w:hAnsi="Cambria Math" w:cs="Arial"/>
                    <w:sz w:val="22"/>
                    <w:lang w:val="en-US"/>
                  </w:rPr>
                </m:ctrlPr>
              </m:sSupPr>
              <m:e>
                <m:r>
                  <m:rPr>
                    <m:sty m:val="p"/>
                  </m:rPr>
                  <w:rPr>
                    <w:rFonts w:ascii="Cambria Math" w:eastAsia="Times New Roman" w:hAnsi="Cambria Math" w:cs="Arial"/>
                    <w:sz w:val="22"/>
                    <w:lang w:val="en-US"/>
                  </w:rPr>
                  <m:t>)</m:t>
                </m:r>
              </m:e>
              <m:sup>
                <m:r>
                  <w:rPr>
                    <w:rFonts w:ascii="Cambria Math" w:eastAsia="Times New Roman" w:hAnsi="Cambria Math" w:cs="Arial"/>
                    <w:sz w:val="22"/>
                    <w:lang w:val="en-US"/>
                  </w:rPr>
                  <m:t>t</m:t>
                </m:r>
              </m:sup>
            </m:sSup>
          </m:den>
        </m:f>
        <m:r>
          <m:rPr>
            <m:sty m:val="p"/>
          </m:rPr>
          <w:rPr>
            <w:rFonts w:ascii="Cambria Math" w:eastAsia="Times New Roman" w:hAnsi="Cambria Math" w:cs="Arial"/>
            <w:sz w:val="22"/>
            <w:lang w:val="en-US"/>
          </w:rPr>
          <m:t>-</m:t>
        </m:r>
        <m:r>
          <m:rPr>
            <m:nor/>
          </m:rPr>
          <w:rPr>
            <w:rFonts w:eastAsia="Times New Roman" w:cs="Arial"/>
            <w:sz w:val="22"/>
            <w:lang w:val="en-US"/>
          </w:rPr>
          <m:t>Initial Investment</m:t>
        </m:r>
      </m:oMath>
      <w:r w:rsidRPr="00D343CC">
        <w:rPr>
          <w:rFonts w:eastAsia="Times New Roman" w:cs="Arial"/>
          <w:sz w:val="22"/>
          <w:lang w:val="en-US"/>
        </w:rPr>
        <w:t> </w:t>
      </w:r>
    </w:p>
    <w:bookmarkEnd w:id="89"/>
    <w:p w14:paraId="1C29FC9D" w14:textId="77777777" w:rsidR="00EC33F1" w:rsidRPr="00D343CC" w:rsidRDefault="00EC33F1" w:rsidP="000E65AF">
      <w:pPr>
        <w:rPr>
          <w:rFonts w:eastAsia="Times New Roman" w:cs="Arial"/>
          <w:sz w:val="22"/>
          <w:lang w:val="en-US"/>
        </w:rPr>
      </w:pPr>
    </w:p>
    <w:tbl>
      <w:tblPr>
        <w:tblStyle w:val="TableGrid"/>
        <w:tblW w:w="0" w:type="auto"/>
        <w:tblLook w:val="04A0" w:firstRow="1" w:lastRow="0" w:firstColumn="1" w:lastColumn="0" w:noHBand="0" w:noVBand="1"/>
      </w:tblPr>
      <w:tblGrid>
        <w:gridCol w:w="870"/>
        <w:gridCol w:w="1458"/>
        <w:gridCol w:w="1146"/>
        <w:gridCol w:w="1030"/>
        <w:gridCol w:w="1146"/>
        <w:gridCol w:w="1190"/>
        <w:gridCol w:w="1146"/>
        <w:gridCol w:w="1030"/>
      </w:tblGrid>
      <w:tr w:rsidR="009A1FE1" w:rsidRPr="00D343CC" w14:paraId="22679678" w14:textId="77777777" w:rsidTr="009A1FE1">
        <w:tc>
          <w:tcPr>
            <w:tcW w:w="0" w:type="auto"/>
            <w:vAlign w:val="center"/>
            <w:hideMark/>
          </w:tcPr>
          <w:p w14:paraId="5F32C647" w14:textId="77777777" w:rsidR="009A1FE1" w:rsidRPr="00D343CC" w:rsidRDefault="009A1FE1" w:rsidP="000E65AF">
            <w:pPr>
              <w:spacing w:after="200"/>
              <w:rPr>
                <w:rFonts w:cs="Arial"/>
                <w:b/>
                <w:bCs/>
              </w:rPr>
            </w:pPr>
            <w:r w:rsidRPr="00D343CC">
              <w:rPr>
                <w:rFonts w:cs="Arial"/>
                <w:b/>
                <w:bCs/>
              </w:rPr>
              <w:t>Year</w:t>
            </w:r>
          </w:p>
        </w:tc>
        <w:tc>
          <w:tcPr>
            <w:tcW w:w="0" w:type="auto"/>
            <w:vAlign w:val="center"/>
            <w:hideMark/>
          </w:tcPr>
          <w:p w14:paraId="39ED6DCE" w14:textId="77777777" w:rsidR="009A1FE1" w:rsidRPr="00D343CC" w:rsidRDefault="009A1FE1" w:rsidP="000E65AF">
            <w:pPr>
              <w:spacing w:after="200"/>
              <w:rPr>
                <w:rFonts w:cs="Arial"/>
                <w:b/>
                <w:bCs/>
              </w:rPr>
            </w:pPr>
            <w:r w:rsidRPr="00D343CC">
              <w:rPr>
                <w:rFonts w:cs="Arial"/>
                <w:b/>
                <w:bCs/>
              </w:rPr>
              <w:t>Discount Factor (10%)</w:t>
            </w:r>
          </w:p>
        </w:tc>
        <w:tc>
          <w:tcPr>
            <w:tcW w:w="0" w:type="auto"/>
            <w:vAlign w:val="center"/>
            <w:hideMark/>
          </w:tcPr>
          <w:p w14:paraId="649A53C5" w14:textId="77777777" w:rsidR="009A1FE1" w:rsidRPr="00D343CC" w:rsidRDefault="009A1FE1" w:rsidP="000E65AF">
            <w:pPr>
              <w:spacing w:after="200"/>
              <w:rPr>
                <w:rFonts w:cs="Arial"/>
                <w:b/>
                <w:bCs/>
              </w:rPr>
            </w:pPr>
            <w:r w:rsidRPr="00D343CC">
              <w:rPr>
                <w:rFonts w:cs="Arial"/>
                <w:b/>
                <w:bCs/>
              </w:rPr>
              <w:t>Project A (£m)</w:t>
            </w:r>
          </w:p>
        </w:tc>
        <w:tc>
          <w:tcPr>
            <w:tcW w:w="0" w:type="auto"/>
            <w:vAlign w:val="center"/>
            <w:hideMark/>
          </w:tcPr>
          <w:p w14:paraId="0F8CA7E7" w14:textId="77777777" w:rsidR="009A1FE1" w:rsidRPr="00D343CC" w:rsidRDefault="009A1FE1" w:rsidP="000E65AF">
            <w:pPr>
              <w:spacing w:after="200"/>
              <w:rPr>
                <w:rFonts w:cs="Arial"/>
                <w:b/>
                <w:bCs/>
              </w:rPr>
            </w:pPr>
            <w:r w:rsidRPr="00D343CC">
              <w:rPr>
                <w:rFonts w:cs="Arial"/>
                <w:b/>
                <w:bCs/>
              </w:rPr>
              <w:t>PV (A)</w:t>
            </w:r>
          </w:p>
        </w:tc>
        <w:tc>
          <w:tcPr>
            <w:tcW w:w="0" w:type="auto"/>
            <w:vAlign w:val="center"/>
            <w:hideMark/>
          </w:tcPr>
          <w:p w14:paraId="2211FBA6" w14:textId="77777777" w:rsidR="009A1FE1" w:rsidRPr="00D343CC" w:rsidRDefault="009A1FE1" w:rsidP="000E65AF">
            <w:pPr>
              <w:spacing w:after="200"/>
              <w:rPr>
                <w:rFonts w:cs="Arial"/>
                <w:b/>
                <w:bCs/>
              </w:rPr>
            </w:pPr>
            <w:r w:rsidRPr="00D343CC">
              <w:rPr>
                <w:rFonts w:cs="Arial"/>
                <w:b/>
                <w:bCs/>
              </w:rPr>
              <w:t>Project B (£m)</w:t>
            </w:r>
          </w:p>
        </w:tc>
        <w:tc>
          <w:tcPr>
            <w:tcW w:w="0" w:type="auto"/>
            <w:vAlign w:val="center"/>
            <w:hideMark/>
          </w:tcPr>
          <w:p w14:paraId="26EFC1A9" w14:textId="77777777" w:rsidR="009A1FE1" w:rsidRPr="00D343CC" w:rsidRDefault="009A1FE1" w:rsidP="000E65AF">
            <w:pPr>
              <w:spacing w:after="200"/>
              <w:rPr>
                <w:rFonts w:cs="Arial"/>
                <w:b/>
                <w:bCs/>
              </w:rPr>
            </w:pPr>
            <w:r w:rsidRPr="00D343CC">
              <w:rPr>
                <w:rFonts w:cs="Arial"/>
                <w:b/>
                <w:bCs/>
              </w:rPr>
              <w:t>PV (B)</w:t>
            </w:r>
          </w:p>
        </w:tc>
        <w:tc>
          <w:tcPr>
            <w:tcW w:w="0" w:type="auto"/>
            <w:vAlign w:val="center"/>
            <w:hideMark/>
          </w:tcPr>
          <w:p w14:paraId="56E52644" w14:textId="77777777" w:rsidR="009A1FE1" w:rsidRPr="00D343CC" w:rsidRDefault="009A1FE1" w:rsidP="000E65AF">
            <w:pPr>
              <w:spacing w:after="200"/>
              <w:rPr>
                <w:rFonts w:cs="Arial"/>
                <w:b/>
                <w:bCs/>
              </w:rPr>
            </w:pPr>
            <w:r w:rsidRPr="00D343CC">
              <w:rPr>
                <w:rFonts w:cs="Arial"/>
                <w:b/>
                <w:bCs/>
              </w:rPr>
              <w:t>Project C (£m)</w:t>
            </w:r>
          </w:p>
        </w:tc>
        <w:tc>
          <w:tcPr>
            <w:tcW w:w="0" w:type="auto"/>
            <w:vAlign w:val="center"/>
            <w:hideMark/>
          </w:tcPr>
          <w:p w14:paraId="2FF9EF8C" w14:textId="77777777" w:rsidR="009A1FE1" w:rsidRPr="00D343CC" w:rsidRDefault="009A1FE1" w:rsidP="000E65AF">
            <w:pPr>
              <w:spacing w:after="200"/>
              <w:rPr>
                <w:rFonts w:cs="Arial"/>
                <w:b/>
                <w:bCs/>
              </w:rPr>
            </w:pPr>
            <w:r w:rsidRPr="00D343CC">
              <w:rPr>
                <w:rFonts w:cs="Arial"/>
                <w:b/>
                <w:bCs/>
              </w:rPr>
              <w:t>PV (C)</w:t>
            </w:r>
          </w:p>
        </w:tc>
      </w:tr>
      <w:tr w:rsidR="009A1FE1" w:rsidRPr="00D343CC" w14:paraId="1FDC69C3" w14:textId="77777777" w:rsidTr="009A1FE1">
        <w:tc>
          <w:tcPr>
            <w:tcW w:w="0" w:type="auto"/>
            <w:hideMark/>
          </w:tcPr>
          <w:p w14:paraId="7B042D71" w14:textId="77777777" w:rsidR="009A1FE1" w:rsidRPr="00D343CC" w:rsidRDefault="009A1FE1" w:rsidP="000E65AF">
            <w:pPr>
              <w:spacing w:after="200"/>
              <w:rPr>
                <w:rFonts w:cs="Arial"/>
              </w:rPr>
            </w:pPr>
            <w:r w:rsidRPr="00D343CC">
              <w:rPr>
                <w:rFonts w:cs="Arial"/>
              </w:rPr>
              <w:t>0</w:t>
            </w:r>
          </w:p>
        </w:tc>
        <w:tc>
          <w:tcPr>
            <w:tcW w:w="0" w:type="auto"/>
            <w:hideMark/>
          </w:tcPr>
          <w:p w14:paraId="6A503C90" w14:textId="77777777" w:rsidR="009A1FE1" w:rsidRPr="00D343CC" w:rsidRDefault="009A1FE1" w:rsidP="000E65AF">
            <w:pPr>
              <w:spacing w:after="200"/>
              <w:rPr>
                <w:rFonts w:cs="Arial"/>
              </w:rPr>
            </w:pPr>
            <w:r w:rsidRPr="00D343CC">
              <w:rPr>
                <w:rFonts w:cs="Arial"/>
              </w:rPr>
              <w:t>1.000</w:t>
            </w:r>
          </w:p>
        </w:tc>
        <w:tc>
          <w:tcPr>
            <w:tcW w:w="0" w:type="auto"/>
            <w:hideMark/>
          </w:tcPr>
          <w:p w14:paraId="23304B89" w14:textId="77777777" w:rsidR="009A1FE1" w:rsidRPr="00D343CC" w:rsidRDefault="009A1FE1" w:rsidP="000E65AF">
            <w:pPr>
              <w:spacing w:after="200"/>
              <w:rPr>
                <w:rFonts w:cs="Arial"/>
              </w:rPr>
            </w:pPr>
            <w:r w:rsidRPr="00D343CC">
              <w:rPr>
                <w:rFonts w:cs="Arial"/>
              </w:rPr>
              <w:t>(40.00)</w:t>
            </w:r>
          </w:p>
        </w:tc>
        <w:tc>
          <w:tcPr>
            <w:tcW w:w="0" w:type="auto"/>
            <w:hideMark/>
          </w:tcPr>
          <w:p w14:paraId="0ECE9DD7" w14:textId="77777777" w:rsidR="009A1FE1" w:rsidRPr="00D343CC" w:rsidRDefault="009A1FE1" w:rsidP="000E65AF">
            <w:pPr>
              <w:spacing w:after="200"/>
              <w:rPr>
                <w:rFonts w:cs="Arial"/>
              </w:rPr>
            </w:pPr>
            <w:r w:rsidRPr="00D343CC">
              <w:rPr>
                <w:rFonts w:cs="Arial"/>
              </w:rPr>
              <w:t>(40.00)</w:t>
            </w:r>
          </w:p>
        </w:tc>
        <w:tc>
          <w:tcPr>
            <w:tcW w:w="0" w:type="auto"/>
            <w:hideMark/>
          </w:tcPr>
          <w:p w14:paraId="2789F721" w14:textId="77777777" w:rsidR="009A1FE1" w:rsidRPr="00D343CC" w:rsidRDefault="009A1FE1" w:rsidP="000E65AF">
            <w:pPr>
              <w:spacing w:after="200"/>
              <w:rPr>
                <w:rFonts w:cs="Arial"/>
              </w:rPr>
            </w:pPr>
            <w:r w:rsidRPr="00D343CC">
              <w:rPr>
                <w:rFonts w:cs="Arial"/>
              </w:rPr>
              <w:t>(30.00)</w:t>
            </w:r>
          </w:p>
        </w:tc>
        <w:tc>
          <w:tcPr>
            <w:tcW w:w="0" w:type="auto"/>
            <w:hideMark/>
          </w:tcPr>
          <w:p w14:paraId="72DA8567" w14:textId="77777777" w:rsidR="009A1FE1" w:rsidRPr="00D343CC" w:rsidRDefault="009A1FE1" w:rsidP="000E65AF">
            <w:pPr>
              <w:spacing w:after="200"/>
              <w:rPr>
                <w:rFonts w:cs="Arial"/>
              </w:rPr>
            </w:pPr>
            <w:r w:rsidRPr="00D343CC">
              <w:rPr>
                <w:rFonts w:cs="Arial"/>
              </w:rPr>
              <w:t>(30.00)</w:t>
            </w:r>
          </w:p>
        </w:tc>
        <w:tc>
          <w:tcPr>
            <w:tcW w:w="0" w:type="auto"/>
            <w:hideMark/>
          </w:tcPr>
          <w:p w14:paraId="443CA725" w14:textId="77777777" w:rsidR="009A1FE1" w:rsidRPr="00D343CC" w:rsidRDefault="009A1FE1" w:rsidP="000E65AF">
            <w:pPr>
              <w:spacing w:after="200"/>
              <w:rPr>
                <w:rFonts w:cs="Arial"/>
              </w:rPr>
            </w:pPr>
            <w:r w:rsidRPr="00D343CC">
              <w:rPr>
                <w:rFonts w:cs="Arial"/>
              </w:rPr>
              <w:t>(50.00)</w:t>
            </w:r>
          </w:p>
        </w:tc>
        <w:tc>
          <w:tcPr>
            <w:tcW w:w="0" w:type="auto"/>
            <w:hideMark/>
          </w:tcPr>
          <w:p w14:paraId="65E5117A" w14:textId="77777777" w:rsidR="009A1FE1" w:rsidRPr="00D343CC" w:rsidRDefault="009A1FE1" w:rsidP="000E65AF">
            <w:pPr>
              <w:spacing w:after="200"/>
              <w:rPr>
                <w:rFonts w:cs="Arial"/>
              </w:rPr>
            </w:pPr>
            <w:r w:rsidRPr="00D343CC">
              <w:rPr>
                <w:rFonts w:cs="Arial"/>
              </w:rPr>
              <w:t>(50.00)</w:t>
            </w:r>
          </w:p>
        </w:tc>
      </w:tr>
      <w:tr w:rsidR="009A1FE1" w:rsidRPr="00D343CC" w14:paraId="2C00E078" w14:textId="77777777" w:rsidTr="009A1FE1">
        <w:tc>
          <w:tcPr>
            <w:tcW w:w="0" w:type="auto"/>
            <w:hideMark/>
          </w:tcPr>
          <w:p w14:paraId="65D21BA7" w14:textId="77777777" w:rsidR="009A1FE1" w:rsidRPr="00D343CC" w:rsidRDefault="009A1FE1" w:rsidP="000E65AF">
            <w:pPr>
              <w:spacing w:after="200"/>
              <w:rPr>
                <w:rFonts w:cs="Arial"/>
              </w:rPr>
            </w:pPr>
            <w:r w:rsidRPr="00D343CC">
              <w:rPr>
                <w:rFonts w:cs="Arial"/>
              </w:rPr>
              <w:t>1</w:t>
            </w:r>
          </w:p>
        </w:tc>
        <w:tc>
          <w:tcPr>
            <w:tcW w:w="0" w:type="auto"/>
            <w:hideMark/>
          </w:tcPr>
          <w:p w14:paraId="487BD040" w14:textId="77777777" w:rsidR="009A1FE1" w:rsidRPr="00D343CC" w:rsidRDefault="009A1FE1" w:rsidP="000E65AF">
            <w:pPr>
              <w:spacing w:after="200"/>
              <w:rPr>
                <w:rFonts w:cs="Arial"/>
              </w:rPr>
            </w:pPr>
            <w:r w:rsidRPr="00D343CC">
              <w:rPr>
                <w:rFonts w:cs="Arial"/>
              </w:rPr>
              <w:t>0.909</w:t>
            </w:r>
          </w:p>
        </w:tc>
        <w:tc>
          <w:tcPr>
            <w:tcW w:w="0" w:type="auto"/>
            <w:hideMark/>
          </w:tcPr>
          <w:p w14:paraId="50F10762" w14:textId="77777777" w:rsidR="009A1FE1" w:rsidRPr="00D343CC" w:rsidRDefault="009A1FE1" w:rsidP="000E65AF">
            <w:pPr>
              <w:spacing w:after="200"/>
              <w:rPr>
                <w:rFonts w:cs="Arial"/>
              </w:rPr>
            </w:pPr>
            <w:r w:rsidRPr="00D343CC">
              <w:rPr>
                <w:rFonts w:cs="Arial"/>
              </w:rPr>
              <w:t>10.00</w:t>
            </w:r>
          </w:p>
        </w:tc>
        <w:tc>
          <w:tcPr>
            <w:tcW w:w="0" w:type="auto"/>
            <w:hideMark/>
          </w:tcPr>
          <w:p w14:paraId="49B5162A" w14:textId="77777777" w:rsidR="009A1FE1" w:rsidRPr="00D343CC" w:rsidRDefault="009A1FE1" w:rsidP="000E65AF">
            <w:pPr>
              <w:spacing w:after="200"/>
              <w:rPr>
                <w:rFonts w:cs="Arial"/>
              </w:rPr>
            </w:pPr>
            <w:r w:rsidRPr="00D343CC">
              <w:rPr>
                <w:rFonts w:cs="Arial"/>
              </w:rPr>
              <w:t>9.09</w:t>
            </w:r>
          </w:p>
        </w:tc>
        <w:tc>
          <w:tcPr>
            <w:tcW w:w="0" w:type="auto"/>
            <w:hideMark/>
          </w:tcPr>
          <w:p w14:paraId="432021C0" w14:textId="77777777" w:rsidR="009A1FE1" w:rsidRPr="00D343CC" w:rsidRDefault="009A1FE1" w:rsidP="000E65AF">
            <w:pPr>
              <w:spacing w:after="200"/>
              <w:rPr>
                <w:rFonts w:cs="Arial"/>
              </w:rPr>
            </w:pPr>
            <w:r w:rsidRPr="00D343CC">
              <w:rPr>
                <w:rFonts w:cs="Arial"/>
              </w:rPr>
              <w:t>6.00</w:t>
            </w:r>
          </w:p>
        </w:tc>
        <w:tc>
          <w:tcPr>
            <w:tcW w:w="0" w:type="auto"/>
            <w:hideMark/>
          </w:tcPr>
          <w:p w14:paraId="42BB8A15" w14:textId="77777777" w:rsidR="009A1FE1" w:rsidRPr="00D343CC" w:rsidRDefault="009A1FE1" w:rsidP="000E65AF">
            <w:pPr>
              <w:spacing w:after="200"/>
              <w:rPr>
                <w:rFonts w:cs="Arial"/>
              </w:rPr>
            </w:pPr>
            <w:r w:rsidRPr="00D343CC">
              <w:rPr>
                <w:rFonts w:cs="Arial"/>
              </w:rPr>
              <w:t>5.45</w:t>
            </w:r>
          </w:p>
        </w:tc>
        <w:tc>
          <w:tcPr>
            <w:tcW w:w="0" w:type="auto"/>
            <w:hideMark/>
          </w:tcPr>
          <w:p w14:paraId="2FAD1E79" w14:textId="77777777" w:rsidR="009A1FE1" w:rsidRPr="00D343CC" w:rsidRDefault="009A1FE1" w:rsidP="000E65AF">
            <w:pPr>
              <w:spacing w:after="200"/>
              <w:rPr>
                <w:rFonts w:cs="Arial"/>
              </w:rPr>
            </w:pPr>
            <w:r w:rsidRPr="00D343CC">
              <w:rPr>
                <w:rFonts w:cs="Arial"/>
              </w:rPr>
              <w:t>5.00</w:t>
            </w:r>
          </w:p>
        </w:tc>
        <w:tc>
          <w:tcPr>
            <w:tcW w:w="0" w:type="auto"/>
            <w:hideMark/>
          </w:tcPr>
          <w:p w14:paraId="1F76CF71" w14:textId="77777777" w:rsidR="009A1FE1" w:rsidRPr="00D343CC" w:rsidRDefault="009A1FE1" w:rsidP="000E65AF">
            <w:pPr>
              <w:spacing w:after="200"/>
              <w:rPr>
                <w:rFonts w:cs="Arial"/>
              </w:rPr>
            </w:pPr>
            <w:r w:rsidRPr="00D343CC">
              <w:rPr>
                <w:rFonts w:cs="Arial"/>
              </w:rPr>
              <w:t>4.55</w:t>
            </w:r>
          </w:p>
        </w:tc>
      </w:tr>
      <w:tr w:rsidR="009A1FE1" w:rsidRPr="00D343CC" w14:paraId="7DB65D00" w14:textId="77777777" w:rsidTr="009A1FE1">
        <w:tc>
          <w:tcPr>
            <w:tcW w:w="0" w:type="auto"/>
            <w:hideMark/>
          </w:tcPr>
          <w:p w14:paraId="38B01AD6" w14:textId="77777777" w:rsidR="009A1FE1" w:rsidRPr="00D343CC" w:rsidRDefault="009A1FE1" w:rsidP="000E65AF">
            <w:pPr>
              <w:spacing w:after="200"/>
              <w:rPr>
                <w:rFonts w:cs="Arial"/>
              </w:rPr>
            </w:pPr>
            <w:r w:rsidRPr="00D343CC">
              <w:rPr>
                <w:rFonts w:cs="Arial"/>
              </w:rPr>
              <w:t>2</w:t>
            </w:r>
          </w:p>
        </w:tc>
        <w:tc>
          <w:tcPr>
            <w:tcW w:w="0" w:type="auto"/>
            <w:hideMark/>
          </w:tcPr>
          <w:p w14:paraId="570242E8" w14:textId="77777777" w:rsidR="009A1FE1" w:rsidRPr="00D343CC" w:rsidRDefault="009A1FE1" w:rsidP="000E65AF">
            <w:pPr>
              <w:spacing w:after="200"/>
              <w:rPr>
                <w:rFonts w:cs="Arial"/>
              </w:rPr>
            </w:pPr>
            <w:r w:rsidRPr="00D343CC">
              <w:rPr>
                <w:rFonts w:cs="Arial"/>
              </w:rPr>
              <w:t>0.826</w:t>
            </w:r>
          </w:p>
        </w:tc>
        <w:tc>
          <w:tcPr>
            <w:tcW w:w="0" w:type="auto"/>
            <w:hideMark/>
          </w:tcPr>
          <w:p w14:paraId="0CCD9CD8" w14:textId="77777777" w:rsidR="009A1FE1" w:rsidRPr="00D343CC" w:rsidRDefault="009A1FE1" w:rsidP="000E65AF">
            <w:pPr>
              <w:spacing w:after="200"/>
              <w:rPr>
                <w:rFonts w:cs="Arial"/>
              </w:rPr>
            </w:pPr>
            <w:r w:rsidRPr="00D343CC">
              <w:rPr>
                <w:rFonts w:cs="Arial"/>
              </w:rPr>
              <w:t>12.00</w:t>
            </w:r>
          </w:p>
        </w:tc>
        <w:tc>
          <w:tcPr>
            <w:tcW w:w="0" w:type="auto"/>
            <w:hideMark/>
          </w:tcPr>
          <w:p w14:paraId="4706C6C9" w14:textId="77777777" w:rsidR="009A1FE1" w:rsidRPr="00D343CC" w:rsidRDefault="009A1FE1" w:rsidP="000E65AF">
            <w:pPr>
              <w:spacing w:after="200"/>
              <w:rPr>
                <w:rFonts w:cs="Arial"/>
              </w:rPr>
            </w:pPr>
            <w:r w:rsidRPr="00D343CC">
              <w:rPr>
                <w:rFonts w:cs="Arial"/>
              </w:rPr>
              <w:t>9.91</w:t>
            </w:r>
          </w:p>
        </w:tc>
        <w:tc>
          <w:tcPr>
            <w:tcW w:w="0" w:type="auto"/>
            <w:hideMark/>
          </w:tcPr>
          <w:p w14:paraId="6A04EF53" w14:textId="77777777" w:rsidR="009A1FE1" w:rsidRPr="00D343CC" w:rsidRDefault="009A1FE1" w:rsidP="000E65AF">
            <w:pPr>
              <w:spacing w:after="200"/>
              <w:rPr>
                <w:rFonts w:cs="Arial"/>
              </w:rPr>
            </w:pPr>
            <w:r w:rsidRPr="00D343CC">
              <w:rPr>
                <w:rFonts w:cs="Arial"/>
              </w:rPr>
              <w:t>6.00</w:t>
            </w:r>
          </w:p>
        </w:tc>
        <w:tc>
          <w:tcPr>
            <w:tcW w:w="0" w:type="auto"/>
            <w:hideMark/>
          </w:tcPr>
          <w:p w14:paraId="5A5E28FB" w14:textId="77777777" w:rsidR="009A1FE1" w:rsidRPr="00D343CC" w:rsidRDefault="009A1FE1" w:rsidP="000E65AF">
            <w:pPr>
              <w:spacing w:after="200"/>
              <w:rPr>
                <w:rFonts w:cs="Arial"/>
              </w:rPr>
            </w:pPr>
            <w:r w:rsidRPr="00D343CC">
              <w:rPr>
                <w:rFonts w:cs="Arial"/>
              </w:rPr>
              <w:t>4.96</w:t>
            </w:r>
          </w:p>
        </w:tc>
        <w:tc>
          <w:tcPr>
            <w:tcW w:w="0" w:type="auto"/>
            <w:hideMark/>
          </w:tcPr>
          <w:p w14:paraId="6956F940" w14:textId="77777777" w:rsidR="009A1FE1" w:rsidRPr="00D343CC" w:rsidRDefault="009A1FE1" w:rsidP="000E65AF">
            <w:pPr>
              <w:spacing w:after="200"/>
              <w:rPr>
                <w:rFonts w:cs="Arial"/>
              </w:rPr>
            </w:pPr>
            <w:r w:rsidRPr="00D343CC">
              <w:rPr>
                <w:rFonts w:cs="Arial"/>
              </w:rPr>
              <w:t>10.00</w:t>
            </w:r>
          </w:p>
        </w:tc>
        <w:tc>
          <w:tcPr>
            <w:tcW w:w="0" w:type="auto"/>
            <w:hideMark/>
          </w:tcPr>
          <w:p w14:paraId="48A504CF" w14:textId="77777777" w:rsidR="009A1FE1" w:rsidRPr="00D343CC" w:rsidRDefault="009A1FE1" w:rsidP="000E65AF">
            <w:pPr>
              <w:spacing w:after="200"/>
              <w:rPr>
                <w:rFonts w:cs="Arial"/>
              </w:rPr>
            </w:pPr>
            <w:r w:rsidRPr="00D343CC">
              <w:rPr>
                <w:rFonts w:cs="Arial"/>
              </w:rPr>
              <w:t>8.26</w:t>
            </w:r>
          </w:p>
        </w:tc>
      </w:tr>
      <w:tr w:rsidR="009A1FE1" w:rsidRPr="00D343CC" w14:paraId="50A1B8B6" w14:textId="77777777" w:rsidTr="009A1FE1">
        <w:tc>
          <w:tcPr>
            <w:tcW w:w="0" w:type="auto"/>
            <w:hideMark/>
          </w:tcPr>
          <w:p w14:paraId="581AC71A" w14:textId="77777777" w:rsidR="009A1FE1" w:rsidRPr="00D343CC" w:rsidRDefault="009A1FE1" w:rsidP="000E65AF">
            <w:pPr>
              <w:spacing w:after="200"/>
              <w:rPr>
                <w:rFonts w:cs="Arial"/>
              </w:rPr>
            </w:pPr>
            <w:r w:rsidRPr="00D343CC">
              <w:rPr>
                <w:rFonts w:cs="Arial"/>
              </w:rPr>
              <w:t>3</w:t>
            </w:r>
          </w:p>
        </w:tc>
        <w:tc>
          <w:tcPr>
            <w:tcW w:w="0" w:type="auto"/>
            <w:hideMark/>
          </w:tcPr>
          <w:p w14:paraId="16552543" w14:textId="77777777" w:rsidR="009A1FE1" w:rsidRPr="00D343CC" w:rsidRDefault="009A1FE1" w:rsidP="000E65AF">
            <w:pPr>
              <w:spacing w:after="200"/>
              <w:rPr>
                <w:rFonts w:cs="Arial"/>
              </w:rPr>
            </w:pPr>
            <w:r w:rsidRPr="00D343CC">
              <w:rPr>
                <w:rFonts w:cs="Arial"/>
              </w:rPr>
              <w:t>0.751</w:t>
            </w:r>
          </w:p>
        </w:tc>
        <w:tc>
          <w:tcPr>
            <w:tcW w:w="0" w:type="auto"/>
            <w:hideMark/>
          </w:tcPr>
          <w:p w14:paraId="5B8335A2" w14:textId="77777777" w:rsidR="009A1FE1" w:rsidRPr="00D343CC" w:rsidRDefault="009A1FE1" w:rsidP="000E65AF">
            <w:pPr>
              <w:spacing w:after="200"/>
              <w:rPr>
                <w:rFonts w:cs="Arial"/>
              </w:rPr>
            </w:pPr>
            <w:r w:rsidRPr="00D343CC">
              <w:rPr>
                <w:rFonts w:cs="Arial"/>
              </w:rPr>
              <w:t>14.00</w:t>
            </w:r>
          </w:p>
        </w:tc>
        <w:tc>
          <w:tcPr>
            <w:tcW w:w="0" w:type="auto"/>
            <w:hideMark/>
          </w:tcPr>
          <w:p w14:paraId="53AD6DD4" w14:textId="77777777" w:rsidR="009A1FE1" w:rsidRPr="00D343CC" w:rsidRDefault="009A1FE1" w:rsidP="000E65AF">
            <w:pPr>
              <w:spacing w:after="200"/>
              <w:rPr>
                <w:rFonts w:cs="Arial"/>
              </w:rPr>
            </w:pPr>
            <w:r w:rsidRPr="00D343CC">
              <w:rPr>
                <w:rFonts w:cs="Arial"/>
              </w:rPr>
              <w:t>10.51</w:t>
            </w:r>
          </w:p>
        </w:tc>
        <w:tc>
          <w:tcPr>
            <w:tcW w:w="0" w:type="auto"/>
            <w:hideMark/>
          </w:tcPr>
          <w:p w14:paraId="3F5B4006" w14:textId="77777777" w:rsidR="009A1FE1" w:rsidRPr="00D343CC" w:rsidRDefault="009A1FE1" w:rsidP="000E65AF">
            <w:pPr>
              <w:spacing w:after="200"/>
              <w:rPr>
                <w:rFonts w:cs="Arial"/>
              </w:rPr>
            </w:pPr>
            <w:r w:rsidRPr="00D343CC">
              <w:rPr>
                <w:rFonts w:cs="Arial"/>
              </w:rPr>
              <w:t>6.00</w:t>
            </w:r>
          </w:p>
        </w:tc>
        <w:tc>
          <w:tcPr>
            <w:tcW w:w="0" w:type="auto"/>
            <w:hideMark/>
          </w:tcPr>
          <w:p w14:paraId="2AB3F023" w14:textId="77777777" w:rsidR="009A1FE1" w:rsidRPr="00D343CC" w:rsidRDefault="009A1FE1" w:rsidP="000E65AF">
            <w:pPr>
              <w:spacing w:after="200"/>
              <w:rPr>
                <w:rFonts w:cs="Arial"/>
              </w:rPr>
            </w:pPr>
            <w:r w:rsidRPr="00D343CC">
              <w:rPr>
                <w:rFonts w:cs="Arial"/>
              </w:rPr>
              <w:t>4.51</w:t>
            </w:r>
          </w:p>
        </w:tc>
        <w:tc>
          <w:tcPr>
            <w:tcW w:w="0" w:type="auto"/>
            <w:hideMark/>
          </w:tcPr>
          <w:p w14:paraId="54102CE8" w14:textId="77777777" w:rsidR="009A1FE1" w:rsidRPr="00D343CC" w:rsidRDefault="009A1FE1" w:rsidP="000E65AF">
            <w:pPr>
              <w:spacing w:after="200"/>
              <w:rPr>
                <w:rFonts w:cs="Arial"/>
              </w:rPr>
            </w:pPr>
            <w:r w:rsidRPr="00D343CC">
              <w:rPr>
                <w:rFonts w:cs="Arial"/>
              </w:rPr>
              <w:t>20.00</w:t>
            </w:r>
          </w:p>
        </w:tc>
        <w:tc>
          <w:tcPr>
            <w:tcW w:w="0" w:type="auto"/>
            <w:hideMark/>
          </w:tcPr>
          <w:p w14:paraId="0B9790FC" w14:textId="77777777" w:rsidR="009A1FE1" w:rsidRPr="00D343CC" w:rsidRDefault="009A1FE1" w:rsidP="000E65AF">
            <w:pPr>
              <w:spacing w:after="200"/>
              <w:rPr>
                <w:rFonts w:cs="Arial"/>
              </w:rPr>
            </w:pPr>
            <w:r w:rsidRPr="00D343CC">
              <w:rPr>
                <w:rFonts w:cs="Arial"/>
              </w:rPr>
              <w:t>15.02</w:t>
            </w:r>
          </w:p>
        </w:tc>
      </w:tr>
      <w:tr w:rsidR="009A1FE1" w:rsidRPr="00D343CC" w14:paraId="020C83CE" w14:textId="77777777" w:rsidTr="009A1FE1">
        <w:tc>
          <w:tcPr>
            <w:tcW w:w="0" w:type="auto"/>
            <w:hideMark/>
          </w:tcPr>
          <w:p w14:paraId="6737FB8D" w14:textId="77777777" w:rsidR="009A1FE1" w:rsidRPr="00D343CC" w:rsidRDefault="009A1FE1" w:rsidP="000E65AF">
            <w:pPr>
              <w:spacing w:after="200"/>
              <w:rPr>
                <w:rFonts w:cs="Arial"/>
              </w:rPr>
            </w:pPr>
            <w:r w:rsidRPr="00D343CC">
              <w:rPr>
                <w:rFonts w:cs="Arial"/>
              </w:rPr>
              <w:t>4</w:t>
            </w:r>
          </w:p>
        </w:tc>
        <w:tc>
          <w:tcPr>
            <w:tcW w:w="0" w:type="auto"/>
            <w:hideMark/>
          </w:tcPr>
          <w:p w14:paraId="69BA3D77" w14:textId="77777777" w:rsidR="009A1FE1" w:rsidRPr="00D343CC" w:rsidRDefault="009A1FE1" w:rsidP="000E65AF">
            <w:pPr>
              <w:spacing w:after="200"/>
              <w:rPr>
                <w:rFonts w:cs="Arial"/>
              </w:rPr>
            </w:pPr>
            <w:r w:rsidRPr="00D343CC">
              <w:rPr>
                <w:rFonts w:cs="Arial"/>
              </w:rPr>
              <w:t>0.683</w:t>
            </w:r>
          </w:p>
        </w:tc>
        <w:tc>
          <w:tcPr>
            <w:tcW w:w="0" w:type="auto"/>
            <w:hideMark/>
          </w:tcPr>
          <w:p w14:paraId="28D4F7FE" w14:textId="77777777" w:rsidR="009A1FE1" w:rsidRPr="00D343CC" w:rsidRDefault="009A1FE1" w:rsidP="000E65AF">
            <w:pPr>
              <w:spacing w:after="200"/>
              <w:rPr>
                <w:rFonts w:cs="Arial"/>
              </w:rPr>
            </w:pPr>
            <w:r w:rsidRPr="00D343CC">
              <w:rPr>
                <w:rFonts w:cs="Arial"/>
              </w:rPr>
              <w:t>10.00</w:t>
            </w:r>
          </w:p>
        </w:tc>
        <w:tc>
          <w:tcPr>
            <w:tcW w:w="0" w:type="auto"/>
            <w:hideMark/>
          </w:tcPr>
          <w:p w14:paraId="0D3A851F" w14:textId="77777777" w:rsidR="009A1FE1" w:rsidRPr="00D343CC" w:rsidRDefault="009A1FE1" w:rsidP="000E65AF">
            <w:pPr>
              <w:spacing w:after="200"/>
              <w:rPr>
                <w:rFonts w:cs="Arial"/>
              </w:rPr>
            </w:pPr>
            <w:r w:rsidRPr="00D343CC">
              <w:rPr>
                <w:rFonts w:cs="Arial"/>
              </w:rPr>
              <w:t>6.83</w:t>
            </w:r>
          </w:p>
        </w:tc>
        <w:tc>
          <w:tcPr>
            <w:tcW w:w="0" w:type="auto"/>
            <w:hideMark/>
          </w:tcPr>
          <w:p w14:paraId="1911B26F" w14:textId="77777777" w:rsidR="009A1FE1" w:rsidRPr="00D343CC" w:rsidRDefault="009A1FE1" w:rsidP="000E65AF">
            <w:pPr>
              <w:spacing w:after="200"/>
              <w:rPr>
                <w:rFonts w:cs="Arial"/>
              </w:rPr>
            </w:pPr>
            <w:r w:rsidRPr="00D343CC">
              <w:rPr>
                <w:rFonts w:cs="Arial"/>
              </w:rPr>
              <w:t>6.00</w:t>
            </w:r>
          </w:p>
        </w:tc>
        <w:tc>
          <w:tcPr>
            <w:tcW w:w="0" w:type="auto"/>
            <w:hideMark/>
          </w:tcPr>
          <w:p w14:paraId="56F6FA54" w14:textId="77777777" w:rsidR="009A1FE1" w:rsidRPr="00D343CC" w:rsidRDefault="009A1FE1" w:rsidP="000E65AF">
            <w:pPr>
              <w:spacing w:after="200"/>
              <w:rPr>
                <w:rFonts w:cs="Arial"/>
              </w:rPr>
            </w:pPr>
            <w:r w:rsidRPr="00D343CC">
              <w:rPr>
                <w:rFonts w:cs="Arial"/>
              </w:rPr>
              <w:t>4.10</w:t>
            </w:r>
          </w:p>
        </w:tc>
        <w:tc>
          <w:tcPr>
            <w:tcW w:w="0" w:type="auto"/>
            <w:hideMark/>
          </w:tcPr>
          <w:p w14:paraId="5BEE5695" w14:textId="77777777" w:rsidR="009A1FE1" w:rsidRPr="00D343CC" w:rsidRDefault="009A1FE1" w:rsidP="000E65AF">
            <w:pPr>
              <w:spacing w:after="200"/>
              <w:rPr>
                <w:rFonts w:cs="Arial"/>
              </w:rPr>
            </w:pPr>
            <w:r w:rsidRPr="00D343CC">
              <w:rPr>
                <w:rFonts w:cs="Arial"/>
              </w:rPr>
              <w:t>25.00</w:t>
            </w:r>
          </w:p>
        </w:tc>
        <w:tc>
          <w:tcPr>
            <w:tcW w:w="0" w:type="auto"/>
            <w:hideMark/>
          </w:tcPr>
          <w:p w14:paraId="617C8BD0" w14:textId="77777777" w:rsidR="009A1FE1" w:rsidRPr="00D343CC" w:rsidRDefault="009A1FE1" w:rsidP="000E65AF">
            <w:pPr>
              <w:spacing w:after="200"/>
              <w:rPr>
                <w:rFonts w:cs="Arial"/>
              </w:rPr>
            </w:pPr>
            <w:r w:rsidRPr="00D343CC">
              <w:rPr>
                <w:rFonts w:cs="Arial"/>
              </w:rPr>
              <w:t>17.08</w:t>
            </w:r>
          </w:p>
        </w:tc>
      </w:tr>
      <w:tr w:rsidR="009A1FE1" w:rsidRPr="00D343CC" w14:paraId="366CA00C" w14:textId="77777777" w:rsidTr="009A1FE1">
        <w:tc>
          <w:tcPr>
            <w:tcW w:w="0" w:type="auto"/>
            <w:hideMark/>
          </w:tcPr>
          <w:p w14:paraId="35293620" w14:textId="77777777" w:rsidR="009A1FE1" w:rsidRPr="00D343CC" w:rsidRDefault="009A1FE1" w:rsidP="000E65AF">
            <w:pPr>
              <w:spacing w:after="200"/>
              <w:rPr>
                <w:rFonts w:cs="Arial"/>
              </w:rPr>
            </w:pPr>
            <w:r w:rsidRPr="00D343CC">
              <w:rPr>
                <w:rFonts w:cs="Arial"/>
              </w:rPr>
              <w:t>5</w:t>
            </w:r>
          </w:p>
        </w:tc>
        <w:tc>
          <w:tcPr>
            <w:tcW w:w="0" w:type="auto"/>
            <w:hideMark/>
          </w:tcPr>
          <w:p w14:paraId="090E3DA0" w14:textId="77777777" w:rsidR="009A1FE1" w:rsidRPr="00D343CC" w:rsidRDefault="009A1FE1" w:rsidP="000E65AF">
            <w:pPr>
              <w:spacing w:after="200"/>
              <w:rPr>
                <w:rFonts w:cs="Arial"/>
              </w:rPr>
            </w:pPr>
            <w:r w:rsidRPr="00D343CC">
              <w:rPr>
                <w:rFonts w:cs="Arial"/>
              </w:rPr>
              <w:t>0.621</w:t>
            </w:r>
          </w:p>
        </w:tc>
        <w:tc>
          <w:tcPr>
            <w:tcW w:w="0" w:type="auto"/>
            <w:hideMark/>
          </w:tcPr>
          <w:p w14:paraId="025EDEFF" w14:textId="77777777" w:rsidR="009A1FE1" w:rsidRPr="00D343CC" w:rsidRDefault="009A1FE1" w:rsidP="000E65AF">
            <w:pPr>
              <w:spacing w:after="200"/>
              <w:rPr>
                <w:rFonts w:cs="Arial"/>
              </w:rPr>
            </w:pPr>
            <w:r w:rsidRPr="00D343CC">
              <w:rPr>
                <w:rFonts w:cs="Arial"/>
              </w:rPr>
              <w:t>8.00</w:t>
            </w:r>
          </w:p>
        </w:tc>
        <w:tc>
          <w:tcPr>
            <w:tcW w:w="0" w:type="auto"/>
            <w:hideMark/>
          </w:tcPr>
          <w:p w14:paraId="0C9D9523" w14:textId="77777777" w:rsidR="009A1FE1" w:rsidRPr="00D343CC" w:rsidRDefault="009A1FE1" w:rsidP="000E65AF">
            <w:pPr>
              <w:spacing w:after="200"/>
              <w:rPr>
                <w:rFonts w:cs="Arial"/>
              </w:rPr>
            </w:pPr>
            <w:r w:rsidRPr="00D343CC">
              <w:rPr>
                <w:rFonts w:cs="Arial"/>
              </w:rPr>
              <w:t>4.97</w:t>
            </w:r>
          </w:p>
        </w:tc>
        <w:tc>
          <w:tcPr>
            <w:tcW w:w="0" w:type="auto"/>
            <w:hideMark/>
          </w:tcPr>
          <w:p w14:paraId="146F118C" w14:textId="77777777" w:rsidR="009A1FE1" w:rsidRPr="00D343CC" w:rsidRDefault="009A1FE1" w:rsidP="000E65AF">
            <w:pPr>
              <w:spacing w:after="200"/>
              <w:rPr>
                <w:rFonts w:cs="Arial"/>
              </w:rPr>
            </w:pPr>
            <w:r w:rsidRPr="00D343CC">
              <w:rPr>
                <w:rFonts w:cs="Arial"/>
              </w:rPr>
              <w:t>6.00</w:t>
            </w:r>
          </w:p>
        </w:tc>
        <w:tc>
          <w:tcPr>
            <w:tcW w:w="0" w:type="auto"/>
            <w:hideMark/>
          </w:tcPr>
          <w:p w14:paraId="0400EA51" w14:textId="77777777" w:rsidR="009A1FE1" w:rsidRPr="00D343CC" w:rsidRDefault="009A1FE1" w:rsidP="000E65AF">
            <w:pPr>
              <w:spacing w:after="200"/>
              <w:rPr>
                <w:rFonts w:cs="Arial"/>
              </w:rPr>
            </w:pPr>
            <w:r w:rsidRPr="00D343CC">
              <w:rPr>
                <w:rFonts w:cs="Arial"/>
              </w:rPr>
              <w:t>3.73</w:t>
            </w:r>
          </w:p>
        </w:tc>
        <w:tc>
          <w:tcPr>
            <w:tcW w:w="0" w:type="auto"/>
            <w:hideMark/>
          </w:tcPr>
          <w:p w14:paraId="3229CE13" w14:textId="77777777" w:rsidR="009A1FE1" w:rsidRPr="00D343CC" w:rsidRDefault="009A1FE1" w:rsidP="000E65AF">
            <w:pPr>
              <w:spacing w:after="200"/>
              <w:rPr>
                <w:rFonts w:cs="Arial"/>
              </w:rPr>
            </w:pPr>
            <w:r w:rsidRPr="00D343CC">
              <w:rPr>
                <w:rFonts w:cs="Arial"/>
              </w:rPr>
              <w:t>15.00</w:t>
            </w:r>
          </w:p>
        </w:tc>
        <w:tc>
          <w:tcPr>
            <w:tcW w:w="0" w:type="auto"/>
            <w:hideMark/>
          </w:tcPr>
          <w:p w14:paraId="08D38A48" w14:textId="77777777" w:rsidR="009A1FE1" w:rsidRPr="00D343CC" w:rsidRDefault="009A1FE1" w:rsidP="000E65AF">
            <w:pPr>
              <w:spacing w:after="200"/>
              <w:rPr>
                <w:rFonts w:cs="Arial"/>
              </w:rPr>
            </w:pPr>
            <w:r w:rsidRPr="00D343CC">
              <w:rPr>
                <w:rFonts w:cs="Arial"/>
              </w:rPr>
              <w:t>9.32</w:t>
            </w:r>
          </w:p>
        </w:tc>
      </w:tr>
      <w:tr w:rsidR="009A1FE1" w:rsidRPr="00D343CC" w14:paraId="305686C0" w14:textId="77777777" w:rsidTr="00690583">
        <w:tc>
          <w:tcPr>
            <w:tcW w:w="0" w:type="auto"/>
            <w:vAlign w:val="center"/>
            <w:hideMark/>
          </w:tcPr>
          <w:p w14:paraId="0044AAD1" w14:textId="77777777" w:rsidR="009A1FE1" w:rsidRPr="00D343CC" w:rsidRDefault="009A1FE1" w:rsidP="00690583">
            <w:pPr>
              <w:spacing w:after="200"/>
              <w:jc w:val="center"/>
              <w:rPr>
                <w:rFonts w:cs="Arial"/>
              </w:rPr>
            </w:pPr>
            <w:r w:rsidRPr="00D343CC">
              <w:rPr>
                <w:rFonts w:cs="Arial"/>
                <w:b/>
                <w:bCs/>
              </w:rPr>
              <w:t>Total NPV</w:t>
            </w:r>
          </w:p>
        </w:tc>
        <w:tc>
          <w:tcPr>
            <w:tcW w:w="0" w:type="auto"/>
            <w:vAlign w:val="center"/>
            <w:hideMark/>
          </w:tcPr>
          <w:p w14:paraId="6559C36E" w14:textId="77777777" w:rsidR="009A1FE1" w:rsidRPr="00D343CC" w:rsidRDefault="009A1FE1" w:rsidP="00690583">
            <w:pPr>
              <w:spacing w:after="200"/>
              <w:jc w:val="center"/>
              <w:rPr>
                <w:rFonts w:cs="Arial"/>
              </w:rPr>
            </w:pPr>
          </w:p>
        </w:tc>
        <w:tc>
          <w:tcPr>
            <w:tcW w:w="0" w:type="auto"/>
            <w:vAlign w:val="center"/>
            <w:hideMark/>
          </w:tcPr>
          <w:p w14:paraId="3FAB32F2" w14:textId="77777777" w:rsidR="009A1FE1" w:rsidRPr="00D343CC" w:rsidRDefault="009A1FE1" w:rsidP="00690583">
            <w:pPr>
              <w:spacing w:after="200"/>
              <w:jc w:val="center"/>
              <w:rPr>
                <w:rFonts w:cs="Arial"/>
              </w:rPr>
            </w:pPr>
          </w:p>
        </w:tc>
        <w:tc>
          <w:tcPr>
            <w:tcW w:w="0" w:type="auto"/>
            <w:vAlign w:val="center"/>
            <w:hideMark/>
          </w:tcPr>
          <w:p w14:paraId="25CE49EE" w14:textId="77777777" w:rsidR="009A1FE1" w:rsidRPr="00D343CC" w:rsidRDefault="009A1FE1" w:rsidP="00690583">
            <w:pPr>
              <w:spacing w:after="200"/>
              <w:jc w:val="center"/>
              <w:rPr>
                <w:rFonts w:cs="Arial"/>
              </w:rPr>
            </w:pPr>
            <w:r w:rsidRPr="00D343CC">
              <w:rPr>
                <w:rFonts w:cs="Arial"/>
                <w:b/>
                <w:bCs/>
              </w:rPr>
              <w:t>£1.31m</w:t>
            </w:r>
          </w:p>
        </w:tc>
        <w:tc>
          <w:tcPr>
            <w:tcW w:w="0" w:type="auto"/>
            <w:vAlign w:val="center"/>
            <w:hideMark/>
          </w:tcPr>
          <w:p w14:paraId="75F6E508" w14:textId="77777777" w:rsidR="009A1FE1" w:rsidRPr="00D343CC" w:rsidRDefault="009A1FE1" w:rsidP="00690583">
            <w:pPr>
              <w:spacing w:after="200"/>
              <w:jc w:val="center"/>
              <w:rPr>
                <w:rFonts w:cs="Arial"/>
              </w:rPr>
            </w:pPr>
          </w:p>
        </w:tc>
        <w:tc>
          <w:tcPr>
            <w:tcW w:w="0" w:type="auto"/>
            <w:vAlign w:val="center"/>
            <w:hideMark/>
          </w:tcPr>
          <w:p w14:paraId="1BBD5F3E" w14:textId="77777777" w:rsidR="009A1FE1" w:rsidRPr="00D343CC" w:rsidRDefault="009A1FE1" w:rsidP="00690583">
            <w:pPr>
              <w:spacing w:after="200"/>
              <w:jc w:val="center"/>
              <w:rPr>
                <w:rFonts w:cs="Arial"/>
              </w:rPr>
            </w:pPr>
            <w:r w:rsidRPr="00D343CC">
              <w:rPr>
                <w:rFonts w:cs="Arial"/>
                <w:b/>
                <w:bCs/>
              </w:rPr>
              <w:t>(£7.25m)</w:t>
            </w:r>
          </w:p>
        </w:tc>
        <w:tc>
          <w:tcPr>
            <w:tcW w:w="0" w:type="auto"/>
            <w:vAlign w:val="center"/>
            <w:hideMark/>
          </w:tcPr>
          <w:p w14:paraId="4AFB8066" w14:textId="77777777" w:rsidR="009A1FE1" w:rsidRPr="00D343CC" w:rsidRDefault="009A1FE1" w:rsidP="00690583">
            <w:pPr>
              <w:spacing w:after="200"/>
              <w:jc w:val="center"/>
              <w:rPr>
                <w:rFonts w:cs="Arial"/>
              </w:rPr>
            </w:pPr>
          </w:p>
        </w:tc>
        <w:tc>
          <w:tcPr>
            <w:tcW w:w="0" w:type="auto"/>
            <w:vAlign w:val="center"/>
            <w:hideMark/>
          </w:tcPr>
          <w:p w14:paraId="2D79AFB5" w14:textId="77777777" w:rsidR="009A1FE1" w:rsidRPr="00D343CC" w:rsidRDefault="009A1FE1" w:rsidP="00690583">
            <w:pPr>
              <w:spacing w:after="200"/>
              <w:jc w:val="center"/>
              <w:rPr>
                <w:rFonts w:cs="Arial"/>
              </w:rPr>
            </w:pPr>
            <w:r w:rsidRPr="00D343CC">
              <w:rPr>
                <w:rFonts w:cs="Arial"/>
                <w:b/>
                <w:bCs/>
              </w:rPr>
              <w:t>£4.23m</w:t>
            </w:r>
          </w:p>
        </w:tc>
      </w:tr>
    </w:tbl>
    <w:p w14:paraId="58EB1A49" w14:textId="550AEC45" w:rsidR="00690583" w:rsidRPr="00D343CC" w:rsidRDefault="00690583" w:rsidP="00690583">
      <w:pPr>
        <w:pStyle w:val="Caption"/>
        <w:rPr>
          <w:rFonts w:cs="Arial"/>
          <w:i w:val="0"/>
          <w:iCs w:val="0"/>
          <w:color w:val="auto"/>
        </w:rPr>
      </w:pPr>
      <w:bookmarkStart w:id="90" w:name="_Toc217131037"/>
      <w:bookmarkStart w:id="91" w:name="_Toc216756008"/>
      <w:r w:rsidRPr="00D343CC">
        <w:rPr>
          <w:rFonts w:cs="Arial"/>
          <w:i w:val="0"/>
          <w:iCs w:val="0"/>
          <w:color w:val="auto"/>
        </w:rPr>
        <w:t xml:space="preserve">Table </w:t>
      </w:r>
      <w:r w:rsidRPr="00D343CC">
        <w:rPr>
          <w:rFonts w:cs="Arial"/>
          <w:i w:val="0"/>
          <w:iCs w:val="0"/>
          <w:color w:val="auto"/>
        </w:rPr>
        <w:fldChar w:fldCharType="begin"/>
      </w:r>
      <w:r w:rsidRPr="00D343CC">
        <w:rPr>
          <w:rFonts w:cs="Arial"/>
          <w:i w:val="0"/>
          <w:iCs w:val="0"/>
          <w:color w:val="auto"/>
        </w:rPr>
        <w:instrText xml:space="preserve"> SEQ Table \* ARABIC </w:instrText>
      </w:r>
      <w:r w:rsidRPr="00D343CC">
        <w:rPr>
          <w:rFonts w:cs="Arial"/>
          <w:i w:val="0"/>
          <w:iCs w:val="0"/>
          <w:color w:val="auto"/>
        </w:rPr>
        <w:fldChar w:fldCharType="separate"/>
      </w:r>
      <w:r w:rsidRPr="00D343CC">
        <w:rPr>
          <w:rFonts w:cs="Arial"/>
          <w:i w:val="0"/>
          <w:iCs w:val="0"/>
          <w:noProof/>
          <w:color w:val="auto"/>
        </w:rPr>
        <w:t>11</w:t>
      </w:r>
      <w:r w:rsidRPr="00D343CC">
        <w:rPr>
          <w:rFonts w:cs="Arial"/>
          <w:i w:val="0"/>
          <w:iCs w:val="0"/>
          <w:color w:val="auto"/>
        </w:rPr>
        <w:fldChar w:fldCharType="end"/>
      </w:r>
      <w:r w:rsidRPr="00D343CC">
        <w:rPr>
          <w:rFonts w:cs="Arial"/>
          <w:i w:val="0"/>
          <w:iCs w:val="0"/>
          <w:color w:val="auto"/>
        </w:rPr>
        <w:t xml:space="preserve"> Net Present Value (NPV) Calculations Table</w:t>
      </w:r>
      <w:bookmarkEnd w:id="90"/>
    </w:p>
    <w:p w14:paraId="43671014" w14:textId="36AE755A" w:rsidR="00534915" w:rsidRPr="00D343CC" w:rsidRDefault="00534915" w:rsidP="000E65AF">
      <w:pPr>
        <w:pStyle w:val="Heading3"/>
        <w:rPr>
          <w:rFonts w:cs="Arial"/>
        </w:rPr>
      </w:pPr>
      <w:bookmarkStart w:id="92" w:name="_Toc217246611"/>
      <w:r w:rsidRPr="00D343CC">
        <w:rPr>
          <w:rFonts w:cs="Arial"/>
        </w:rPr>
        <w:t xml:space="preserve">Table </w:t>
      </w:r>
      <w:r w:rsidR="00AD1754" w:rsidRPr="00D343CC">
        <w:rPr>
          <w:rFonts w:cs="Arial"/>
        </w:rPr>
        <w:t>C</w:t>
      </w:r>
      <w:r w:rsidR="002504AB" w:rsidRPr="00D343CC">
        <w:rPr>
          <w:rFonts w:cs="Arial"/>
        </w:rPr>
        <w:t>4</w:t>
      </w:r>
      <w:r w:rsidRPr="00D343CC">
        <w:rPr>
          <w:rFonts w:cs="Arial"/>
        </w:rPr>
        <w:t>: Internal Rate of Return (IRR)</w:t>
      </w:r>
      <w:bookmarkEnd w:id="92"/>
      <w:r w:rsidRPr="00D343CC">
        <w:rPr>
          <w:rFonts w:cs="Arial"/>
        </w:rPr>
        <w:t xml:space="preserve"> </w:t>
      </w:r>
      <w:bookmarkEnd w:id="91"/>
    </w:p>
    <w:p w14:paraId="42C357DB" w14:textId="0E209E03" w:rsidR="00534915" w:rsidRPr="00D343CC" w:rsidRDefault="00542FC6" w:rsidP="000E65AF">
      <w:pPr>
        <w:rPr>
          <w:rFonts w:cs="Arial"/>
          <w:lang w:val="en-US"/>
        </w:rPr>
      </w:pPr>
      <m:oMath>
        <m:sSub>
          <m:sSubPr>
            <m:ctrlPr>
              <w:rPr>
                <w:rFonts w:ascii="Cambria Math" w:hAnsi="Cambria Math" w:cs="Arial"/>
                <w:lang w:val="en-US"/>
              </w:rPr>
            </m:ctrlPr>
          </m:sSubPr>
          <m:e>
            <m:r>
              <m:rPr>
                <m:sty m:val="b"/>
              </m:rPr>
              <w:rPr>
                <w:rFonts w:ascii="Cambria Math" w:hAnsi="Cambria Math" w:cs="Arial"/>
                <w:lang w:val="en-US"/>
              </w:rPr>
              <m:t>IRR</m:t>
            </m:r>
            <m:r>
              <m:rPr>
                <m:sty m:val="b"/>
              </m:rPr>
              <w:rPr>
                <w:rFonts w:ascii="Cambria Math" w:hAnsi="Cambria Math" w:cs="Arial"/>
                <w:lang w:val="en-US"/>
              </w:rPr>
              <m:t>=</m:t>
            </m:r>
            <m:r>
              <m:rPr>
                <m:sty m:val="b"/>
              </m:rPr>
              <w:rPr>
                <w:rFonts w:ascii="Cambria Math" w:hAnsi="Cambria Math" w:cs="Arial"/>
                <w:lang w:val="en-US"/>
              </w:rPr>
              <m:t>r</m:t>
            </m:r>
          </m:e>
          <m:sub>
            <m:r>
              <m:rPr>
                <m:sty m:val="b"/>
              </m:rPr>
              <w:rPr>
                <w:rFonts w:ascii="Cambria Math" w:hAnsi="Cambria Math" w:cs="Arial"/>
                <w:lang w:val="en-US"/>
              </w:rPr>
              <m:t>1</m:t>
            </m:r>
          </m:sub>
        </m:sSub>
        <m:r>
          <m:rPr>
            <m:sty m:val="b"/>
          </m:rPr>
          <w:rPr>
            <w:rFonts w:ascii="Cambria Math" w:hAnsi="Cambria Math" w:cs="Arial"/>
            <w:lang w:val="en-US"/>
          </w:rPr>
          <m:t>+</m:t>
        </m:r>
        <m:f>
          <m:fPr>
            <m:ctrlPr>
              <w:rPr>
                <w:rFonts w:ascii="Cambria Math" w:hAnsi="Cambria Math" w:cs="Arial"/>
                <w:lang w:val="en-US"/>
              </w:rPr>
            </m:ctrlPr>
          </m:fPr>
          <m:num>
            <m:sSub>
              <m:sSubPr>
                <m:ctrlPr>
                  <w:rPr>
                    <w:rFonts w:ascii="Cambria Math" w:hAnsi="Cambria Math" w:cs="Arial"/>
                    <w:lang w:val="en-US"/>
                  </w:rPr>
                </m:ctrlPr>
              </m:sSubPr>
              <m:e>
                <m:r>
                  <m:rPr>
                    <m:sty m:val="b"/>
                  </m:rPr>
                  <w:rPr>
                    <w:rFonts w:ascii="Cambria Math" w:hAnsi="Cambria Math" w:cs="Arial"/>
                    <w:lang w:val="en-US"/>
                  </w:rPr>
                  <m:t>NPV</m:t>
                </m:r>
              </m:e>
              <m:sub>
                <m:r>
                  <m:rPr>
                    <m:sty m:val="b"/>
                  </m:rPr>
                  <w:rPr>
                    <w:rFonts w:ascii="Cambria Math" w:hAnsi="Cambria Math" w:cs="Arial"/>
                    <w:lang w:val="en-US"/>
                  </w:rPr>
                  <m:t>1</m:t>
                </m:r>
              </m:sub>
            </m:sSub>
          </m:num>
          <m:den>
            <m:sSub>
              <m:sSubPr>
                <m:ctrlPr>
                  <w:rPr>
                    <w:rFonts w:ascii="Cambria Math" w:hAnsi="Cambria Math" w:cs="Arial"/>
                    <w:lang w:val="en-US"/>
                  </w:rPr>
                </m:ctrlPr>
              </m:sSubPr>
              <m:e>
                <m:r>
                  <m:rPr>
                    <m:sty m:val="b"/>
                  </m:rPr>
                  <w:rPr>
                    <w:rFonts w:ascii="Cambria Math" w:hAnsi="Cambria Math" w:cs="Arial"/>
                    <w:lang w:val="en-US"/>
                  </w:rPr>
                  <m:t>(</m:t>
                </m:r>
                <m:r>
                  <m:rPr>
                    <m:sty m:val="b"/>
                  </m:rPr>
                  <w:rPr>
                    <w:rFonts w:ascii="Cambria Math" w:hAnsi="Cambria Math" w:cs="Arial"/>
                    <w:lang w:val="en-US"/>
                  </w:rPr>
                  <m:t>NPV</m:t>
                </m:r>
              </m:e>
              <m:sub>
                <m:r>
                  <m:rPr>
                    <m:sty m:val="b"/>
                  </m:rPr>
                  <w:rPr>
                    <w:rFonts w:ascii="Cambria Math" w:hAnsi="Cambria Math" w:cs="Arial"/>
                    <w:lang w:val="en-US"/>
                  </w:rPr>
                  <m:t>1</m:t>
                </m:r>
              </m:sub>
            </m:sSub>
            <m:sSub>
              <m:sSubPr>
                <m:ctrlPr>
                  <w:rPr>
                    <w:rFonts w:ascii="Cambria Math" w:hAnsi="Cambria Math" w:cs="Arial"/>
                    <w:lang w:val="en-US"/>
                  </w:rPr>
                </m:ctrlPr>
              </m:sSubPr>
              <m:e>
                <m:r>
                  <m:rPr>
                    <m:sty m:val="b"/>
                  </m:rPr>
                  <w:rPr>
                    <w:rFonts w:ascii="Cambria Math" w:hAnsi="Cambria Math" w:cs="Arial"/>
                    <w:lang w:val="en-US"/>
                  </w:rPr>
                  <m:t>-</m:t>
                </m:r>
                <m:r>
                  <m:rPr>
                    <m:sty m:val="b"/>
                  </m:rPr>
                  <w:rPr>
                    <w:rFonts w:ascii="Cambria Math" w:hAnsi="Cambria Math" w:cs="Arial"/>
                    <w:lang w:val="en-US"/>
                  </w:rPr>
                  <m:t>NPV</m:t>
                </m:r>
              </m:e>
              <m:sub>
                <m:r>
                  <m:rPr>
                    <m:sty m:val="b"/>
                  </m:rPr>
                  <w:rPr>
                    <w:rFonts w:ascii="Cambria Math" w:hAnsi="Cambria Math" w:cs="Arial"/>
                    <w:lang w:val="en-US"/>
                  </w:rPr>
                  <m:t>2</m:t>
                </m:r>
              </m:sub>
            </m:sSub>
            <m:r>
              <m:rPr>
                <m:sty m:val="b"/>
              </m:rPr>
              <w:rPr>
                <w:rFonts w:ascii="Cambria Math" w:hAnsi="Cambria Math" w:cs="Arial"/>
                <w:lang w:val="en-US"/>
              </w:rPr>
              <m:t>)</m:t>
            </m:r>
          </m:den>
        </m:f>
        <m:sSub>
          <m:sSubPr>
            <m:ctrlPr>
              <w:rPr>
                <w:rFonts w:ascii="Cambria Math" w:hAnsi="Cambria Math" w:cs="Arial"/>
                <w:lang w:val="en-US"/>
              </w:rPr>
            </m:ctrlPr>
          </m:sSubPr>
          <m:e>
            <m:r>
              <m:rPr>
                <m:sty m:val="b"/>
              </m:rPr>
              <w:rPr>
                <w:rFonts w:ascii="Cambria Math" w:hAnsi="Cambria Math" w:cs="Arial"/>
                <w:lang w:val="en-US"/>
              </w:rPr>
              <m:t>×(</m:t>
            </m:r>
            <m:r>
              <m:rPr>
                <m:sty m:val="b"/>
              </m:rPr>
              <w:rPr>
                <w:rFonts w:ascii="Cambria Math" w:hAnsi="Cambria Math" w:cs="Arial"/>
                <w:lang w:val="en-US"/>
              </w:rPr>
              <m:t>r</m:t>
            </m:r>
          </m:e>
          <m:sub>
            <m:r>
              <m:rPr>
                <m:sty m:val="b"/>
              </m:rPr>
              <w:rPr>
                <w:rFonts w:ascii="Cambria Math" w:hAnsi="Cambria Math" w:cs="Arial"/>
                <w:lang w:val="en-US"/>
              </w:rPr>
              <m:t>2</m:t>
            </m:r>
          </m:sub>
        </m:sSub>
        <m:sSub>
          <m:sSubPr>
            <m:ctrlPr>
              <w:rPr>
                <w:rFonts w:ascii="Cambria Math" w:hAnsi="Cambria Math" w:cs="Arial"/>
                <w:lang w:val="en-US"/>
              </w:rPr>
            </m:ctrlPr>
          </m:sSubPr>
          <m:e>
            <m:r>
              <m:rPr>
                <m:sty m:val="b"/>
              </m:rPr>
              <w:rPr>
                <w:rFonts w:ascii="Cambria Math" w:hAnsi="Cambria Math" w:cs="Arial"/>
                <w:lang w:val="en-US"/>
              </w:rPr>
              <m:t>-</m:t>
            </m:r>
            <m:r>
              <m:rPr>
                <m:sty m:val="b"/>
              </m:rPr>
              <w:rPr>
                <w:rFonts w:ascii="Cambria Math" w:hAnsi="Cambria Math" w:cs="Arial"/>
                <w:lang w:val="en-US"/>
              </w:rPr>
              <m:t>r</m:t>
            </m:r>
          </m:e>
          <m:sub>
            <m:r>
              <m:rPr>
                <m:sty m:val="b"/>
              </m:rPr>
              <w:rPr>
                <w:rFonts w:ascii="Cambria Math" w:hAnsi="Cambria Math" w:cs="Arial"/>
                <w:lang w:val="en-US"/>
              </w:rPr>
              <m:t>1</m:t>
            </m:r>
          </m:sub>
        </m:sSub>
        <m:r>
          <m:rPr>
            <m:sty m:val="b"/>
          </m:rPr>
          <w:rPr>
            <w:rFonts w:ascii="Cambria Math" w:hAnsi="Cambria Math" w:cs="Arial"/>
            <w:lang w:val="en-US"/>
          </w:rPr>
          <m:t>)</m:t>
        </m:r>
      </m:oMath>
      <w:r w:rsidR="00534915" w:rsidRPr="00D343CC">
        <w:rPr>
          <w:rFonts w:cs="Arial"/>
          <w:lang w:val="en-US"/>
        </w:rPr>
        <w:t>.</w:t>
      </w:r>
    </w:p>
    <w:p w14:paraId="19EA2FD3" w14:textId="3EFB6964" w:rsidR="00534915" w:rsidRPr="00D343CC" w:rsidRDefault="009A1FE1" w:rsidP="000E65AF">
      <w:pPr>
        <w:rPr>
          <w:rFonts w:cs="Arial"/>
        </w:rPr>
      </w:pPr>
      <w:r w:rsidRPr="00D343CC">
        <w:rPr>
          <w:rFonts w:cs="Arial"/>
        </w:rPr>
        <w:t xml:space="preserve">Assuming </w:t>
      </w:r>
      <m:oMath>
        <m:sSub>
          <m:sSubPr>
            <m:ctrlPr>
              <w:rPr>
                <w:rFonts w:ascii="Cambria Math" w:hAnsi="Cambria Math" w:cs="Arial"/>
              </w:rPr>
            </m:ctrlPr>
          </m:sSubPr>
          <m:e>
            <m:r>
              <w:rPr>
                <w:rFonts w:ascii="Cambria Math" w:hAnsi="Cambria Math" w:cs="Arial"/>
              </w:rPr>
              <m:t>r</m:t>
            </m:r>
          </m:e>
          <m:sub>
            <m:r>
              <w:rPr>
                <w:rFonts w:ascii="Cambria Math" w:hAnsi="Cambria Math" w:cs="Arial"/>
              </w:rPr>
              <m:t>1</m:t>
            </m:r>
          </m:sub>
        </m:sSub>
        <m:r>
          <m:rPr>
            <m:sty m:val="p"/>
          </m:rPr>
          <w:rPr>
            <w:rFonts w:ascii="Cambria Math" w:hAnsi="Cambria Math" w:cs="Arial"/>
          </w:rPr>
          <m:t>=</m:t>
        </m:r>
        <m:r>
          <w:rPr>
            <w:rFonts w:ascii="Cambria Math" w:hAnsi="Cambria Math" w:cs="Arial"/>
          </w:rPr>
          <m:t>10</m:t>
        </m:r>
        <m:r>
          <m:rPr>
            <m:sty m:val="p"/>
          </m:rPr>
          <w:rPr>
            <w:rFonts w:ascii="Cambria Math" w:hAnsi="Cambria Math" w:cs="Arial"/>
          </w:rPr>
          <m:t>%</m:t>
        </m:r>
      </m:oMath>
      <w:r w:rsidRPr="00D343CC">
        <w:rPr>
          <w:rFonts w:cs="Arial"/>
        </w:rPr>
        <w:t xml:space="preserve"> and testing </w:t>
      </w:r>
      <m:oMath>
        <m:sSub>
          <m:sSubPr>
            <m:ctrlPr>
              <w:rPr>
                <w:rFonts w:ascii="Cambria Math" w:hAnsi="Cambria Math" w:cs="Arial"/>
              </w:rPr>
            </m:ctrlPr>
          </m:sSubPr>
          <m:e>
            <m:r>
              <w:rPr>
                <w:rFonts w:ascii="Cambria Math" w:hAnsi="Cambria Math" w:cs="Arial"/>
              </w:rPr>
              <m:t>r</m:t>
            </m:r>
          </m:e>
          <m:sub>
            <m:r>
              <w:rPr>
                <w:rFonts w:ascii="Cambria Math" w:hAnsi="Cambria Math" w:cs="Arial"/>
              </w:rPr>
              <m:t>2</m:t>
            </m:r>
          </m:sub>
        </m:sSub>
        <m:r>
          <m:rPr>
            <m:sty m:val="p"/>
          </m:rPr>
          <w:rPr>
            <w:rFonts w:ascii="Cambria Math" w:hAnsi="Cambria Math" w:cs="Arial"/>
          </w:rPr>
          <m:t>=</m:t>
        </m:r>
        <m:r>
          <w:rPr>
            <w:rFonts w:ascii="Cambria Math" w:hAnsi="Cambria Math" w:cs="Arial"/>
          </w:rPr>
          <m:t>15</m:t>
        </m:r>
        <m:r>
          <m:rPr>
            <m:sty m:val="p"/>
          </m:rPr>
          <w:rPr>
            <w:rFonts w:ascii="Cambria Math" w:hAnsi="Cambria Math" w:cs="Arial"/>
          </w:rPr>
          <m:t>%</m:t>
        </m:r>
      </m:oMath>
      <w:r w:rsidRPr="00D343CC">
        <w:rPr>
          <w:rFonts w:cs="Arial"/>
        </w:rPr>
        <w:t xml:space="preserve"> for Project A/C and </w:t>
      </w:r>
      <m:oMath>
        <m:sSub>
          <m:sSubPr>
            <m:ctrlPr>
              <w:rPr>
                <w:rFonts w:ascii="Cambria Math" w:hAnsi="Cambria Math" w:cs="Arial"/>
              </w:rPr>
            </m:ctrlPr>
          </m:sSubPr>
          <m:e>
            <m:r>
              <w:rPr>
                <w:rFonts w:ascii="Cambria Math" w:hAnsi="Cambria Math" w:cs="Arial"/>
              </w:rPr>
              <m:t>r</m:t>
            </m:r>
          </m:e>
          <m:sub>
            <m:r>
              <w:rPr>
                <w:rFonts w:ascii="Cambria Math" w:hAnsi="Cambria Math" w:cs="Arial"/>
              </w:rPr>
              <m:t>2</m:t>
            </m:r>
          </m:sub>
        </m:sSub>
        <m:r>
          <m:rPr>
            <m:sty m:val="p"/>
          </m:rPr>
          <w:rPr>
            <w:rFonts w:ascii="Cambria Math" w:hAnsi="Cambria Math" w:cs="Arial"/>
          </w:rPr>
          <m:t>=</m:t>
        </m:r>
        <m:r>
          <w:rPr>
            <w:rFonts w:ascii="Cambria Math" w:hAnsi="Cambria Math" w:cs="Arial"/>
          </w:rPr>
          <m:t>5</m:t>
        </m:r>
        <m:r>
          <m:rPr>
            <m:sty m:val="p"/>
          </m:rPr>
          <w:rPr>
            <w:rFonts w:ascii="Cambria Math" w:hAnsi="Cambria Math" w:cs="Arial"/>
          </w:rPr>
          <m:t>%</m:t>
        </m:r>
      </m:oMath>
      <w:r w:rsidRPr="00D343CC">
        <w:rPr>
          <w:rFonts w:cs="Arial"/>
        </w:rPr>
        <w:t xml:space="preserve"> for Project B</w:t>
      </w:r>
    </w:p>
    <w:tbl>
      <w:tblPr>
        <w:tblStyle w:val="TableGrid"/>
        <w:tblW w:w="9140" w:type="dxa"/>
        <w:tblLook w:val="04A0" w:firstRow="1" w:lastRow="0" w:firstColumn="1" w:lastColumn="0" w:noHBand="0" w:noVBand="1"/>
      </w:tblPr>
      <w:tblGrid>
        <w:gridCol w:w="1275"/>
        <w:gridCol w:w="1195"/>
        <w:gridCol w:w="1220"/>
        <w:gridCol w:w="1195"/>
        <w:gridCol w:w="1220"/>
        <w:gridCol w:w="1760"/>
        <w:gridCol w:w="1275"/>
      </w:tblGrid>
      <w:tr w:rsidR="009A1FE1" w:rsidRPr="00D343CC" w14:paraId="4AEFE54F" w14:textId="77777777" w:rsidTr="00690583">
        <w:trPr>
          <w:trHeight w:val="767"/>
        </w:trPr>
        <w:tc>
          <w:tcPr>
            <w:tcW w:w="1275" w:type="dxa"/>
            <w:vAlign w:val="center"/>
            <w:hideMark/>
          </w:tcPr>
          <w:p w14:paraId="133F5EA1"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Project</w:t>
            </w:r>
          </w:p>
        </w:tc>
        <w:tc>
          <w:tcPr>
            <w:tcW w:w="1195" w:type="dxa"/>
            <w:vAlign w:val="center"/>
            <w:hideMark/>
          </w:tcPr>
          <w:p w14:paraId="011E1372"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r</w:t>
            </w:r>
            <w:r w:rsidRPr="00D343CC">
              <w:rPr>
                <w:rFonts w:ascii="Cambria Math" w:eastAsia="Times New Roman" w:hAnsi="Cambria Math" w:cs="Cambria Math"/>
                <w:b/>
                <w:bCs/>
                <w:color w:val="000000"/>
                <w:sz w:val="22"/>
                <w:lang w:eastAsia="en-GB"/>
              </w:rPr>
              <w:t>₁</w:t>
            </w:r>
          </w:p>
        </w:tc>
        <w:tc>
          <w:tcPr>
            <w:tcW w:w="1220" w:type="dxa"/>
            <w:vAlign w:val="center"/>
            <w:hideMark/>
          </w:tcPr>
          <w:p w14:paraId="79DC9E6E"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NPV</w:t>
            </w:r>
            <w:r w:rsidRPr="00D343CC">
              <w:rPr>
                <w:rFonts w:ascii="Cambria Math" w:eastAsia="Times New Roman" w:hAnsi="Cambria Math" w:cs="Cambria Math"/>
                <w:b/>
                <w:bCs/>
                <w:color w:val="000000"/>
                <w:sz w:val="22"/>
                <w:lang w:eastAsia="en-GB"/>
              </w:rPr>
              <w:t>₁</w:t>
            </w:r>
            <w:r w:rsidRPr="00D343CC">
              <w:rPr>
                <w:rFonts w:eastAsia="Times New Roman" w:cs="Arial"/>
                <w:b/>
                <w:bCs/>
                <w:color w:val="000000"/>
                <w:sz w:val="22"/>
                <w:lang w:eastAsia="en-GB"/>
              </w:rPr>
              <w:t xml:space="preserve"> (£m)</w:t>
            </w:r>
          </w:p>
        </w:tc>
        <w:tc>
          <w:tcPr>
            <w:tcW w:w="1195" w:type="dxa"/>
            <w:vAlign w:val="center"/>
            <w:hideMark/>
          </w:tcPr>
          <w:p w14:paraId="1FB6CDA3"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r</w:t>
            </w:r>
            <w:r w:rsidRPr="00D343CC">
              <w:rPr>
                <w:rFonts w:ascii="Cambria Math" w:eastAsia="Times New Roman" w:hAnsi="Cambria Math" w:cs="Cambria Math"/>
                <w:b/>
                <w:bCs/>
                <w:color w:val="000000"/>
                <w:sz w:val="22"/>
                <w:lang w:eastAsia="en-GB"/>
              </w:rPr>
              <w:t>₂</w:t>
            </w:r>
          </w:p>
        </w:tc>
        <w:tc>
          <w:tcPr>
            <w:tcW w:w="1220" w:type="dxa"/>
            <w:vAlign w:val="center"/>
            <w:hideMark/>
          </w:tcPr>
          <w:p w14:paraId="42FBA5FB"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NPV</w:t>
            </w:r>
            <w:r w:rsidRPr="00D343CC">
              <w:rPr>
                <w:rFonts w:ascii="Cambria Math" w:eastAsia="Times New Roman" w:hAnsi="Cambria Math" w:cs="Cambria Math"/>
                <w:b/>
                <w:bCs/>
                <w:color w:val="000000"/>
                <w:sz w:val="22"/>
                <w:lang w:eastAsia="en-GB"/>
              </w:rPr>
              <w:t>₂</w:t>
            </w:r>
            <w:r w:rsidRPr="00D343CC">
              <w:rPr>
                <w:rFonts w:eastAsia="Times New Roman" w:cs="Arial"/>
                <w:b/>
                <w:bCs/>
                <w:color w:val="000000"/>
                <w:sz w:val="22"/>
                <w:lang w:eastAsia="en-GB"/>
              </w:rPr>
              <w:t xml:space="preserve"> (£m)</w:t>
            </w:r>
          </w:p>
        </w:tc>
        <w:tc>
          <w:tcPr>
            <w:tcW w:w="1760" w:type="dxa"/>
            <w:vAlign w:val="center"/>
            <w:hideMark/>
          </w:tcPr>
          <w:p w14:paraId="4B1B57C3"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IRR Calculation</w:t>
            </w:r>
          </w:p>
        </w:tc>
        <w:tc>
          <w:tcPr>
            <w:tcW w:w="1275" w:type="dxa"/>
            <w:vAlign w:val="center"/>
            <w:hideMark/>
          </w:tcPr>
          <w:p w14:paraId="7302BBEA"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IRR Result</w:t>
            </w:r>
          </w:p>
        </w:tc>
      </w:tr>
      <w:tr w:rsidR="009A1FE1" w:rsidRPr="00D343CC" w14:paraId="19159226" w14:textId="77777777" w:rsidTr="00690583">
        <w:trPr>
          <w:trHeight w:val="1229"/>
        </w:trPr>
        <w:tc>
          <w:tcPr>
            <w:tcW w:w="1275" w:type="dxa"/>
            <w:vAlign w:val="center"/>
            <w:hideMark/>
          </w:tcPr>
          <w:p w14:paraId="703CF7B7"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Project A</w:t>
            </w:r>
          </w:p>
        </w:tc>
        <w:tc>
          <w:tcPr>
            <w:tcW w:w="1195" w:type="dxa"/>
            <w:vAlign w:val="center"/>
            <w:hideMark/>
          </w:tcPr>
          <w:p w14:paraId="6DF81686"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10%</w:t>
            </w:r>
          </w:p>
        </w:tc>
        <w:tc>
          <w:tcPr>
            <w:tcW w:w="1220" w:type="dxa"/>
            <w:vAlign w:val="center"/>
            <w:hideMark/>
          </w:tcPr>
          <w:p w14:paraId="6184F403"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1.31</w:t>
            </w:r>
          </w:p>
        </w:tc>
        <w:tc>
          <w:tcPr>
            <w:tcW w:w="1195" w:type="dxa"/>
            <w:vAlign w:val="center"/>
            <w:hideMark/>
          </w:tcPr>
          <w:p w14:paraId="4491EF21"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15%</w:t>
            </w:r>
          </w:p>
        </w:tc>
        <w:tc>
          <w:tcPr>
            <w:tcW w:w="1220" w:type="dxa"/>
            <w:vAlign w:val="center"/>
            <w:hideMark/>
          </w:tcPr>
          <w:p w14:paraId="2D8FAF3D"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–3.11</w:t>
            </w:r>
          </w:p>
        </w:tc>
        <w:tc>
          <w:tcPr>
            <w:tcW w:w="1760" w:type="dxa"/>
            <w:vAlign w:val="center"/>
            <w:hideMark/>
          </w:tcPr>
          <w:p w14:paraId="7C42805D" w14:textId="16523EEA"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10% + [1.31 ÷ (1.31 − (−3.11))] × 5%</w:t>
            </w:r>
          </w:p>
        </w:tc>
        <w:tc>
          <w:tcPr>
            <w:tcW w:w="1275" w:type="dxa"/>
            <w:vAlign w:val="center"/>
            <w:hideMark/>
          </w:tcPr>
          <w:p w14:paraId="1E435B62"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11.48%</w:t>
            </w:r>
          </w:p>
        </w:tc>
      </w:tr>
      <w:tr w:rsidR="009A1FE1" w:rsidRPr="00D343CC" w14:paraId="53BC2124" w14:textId="77777777" w:rsidTr="00690583">
        <w:trPr>
          <w:trHeight w:val="984"/>
        </w:trPr>
        <w:tc>
          <w:tcPr>
            <w:tcW w:w="1275" w:type="dxa"/>
            <w:vAlign w:val="center"/>
            <w:hideMark/>
          </w:tcPr>
          <w:p w14:paraId="6B948395"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lastRenderedPageBreak/>
              <w:t>Project B</w:t>
            </w:r>
          </w:p>
        </w:tc>
        <w:tc>
          <w:tcPr>
            <w:tcW w:w="1195" w:type="dxa"/>
            <w:vAlign w:val="center"/>
            <w:hideMark/>
          </w:tcPr>
          <w:p w14:paraId="3B88EBC8"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10%</w:t>
            </w:r>
          </w:p>
        </w:tc>
        <w:tc>
          <w:tcPr>
            <w:tcW w:w="1220" w:type="dxa"/>
            <w:vAlign w:val="center"/>
            <w:hideMark/>
          </w:tcPr>
          <w:p w14:paraId="0ECA2CDA"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–7.25</w:t>
            </w:r>
          </w:p>
        </w:tc>
        <w:tc>
          <w:tcPr>
            <w:tcW w:w="1195" w:type="dxa"/>
            <w:vAlign w:val="center"/>
            <w:hideMark/>
          </w:tcPr>
          <w:p w14:paraId="7D276ED3"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5%</w:t>
            </w:r>
          </w:p>
        </w:tc>
        <w:tc>
          <w:tcPr>
            <w:tcW w:w="1220" w:type="dxa"/>
            <w:vAlign w:val="center"/>
            <w:hideMark/>
          </w:tcPr>
          <w:p w14:paraId="6CD3875D"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–4.01</w:t>
            </w:r>
          </w:p>
        </w:tc>
        <w:tc>
          <w:tcPr>
            <w:tcW w:w="1760" w:type="dxa"/>
            <w:vAlign w:val="center"/>
            <w:hideMark/>
          </w:tcPr>
          <w:p w14:paraId="09FCFE96"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NPV negative at both rates</w:t>
            </w:r>
          </w:p>
        </w:tc>
        <w:tc>
          <w:tcPr>
            <w:tcW w:w="1275" w:type="dxa"/>
            <w:vAlign w:val="center"/>
            <w:hideMark/>
          </w:tcPr>
          <w:p w14:paraId="49BF8773"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&lt; 0%</w:t>
            </w:r>
          </w:p>
        </w:tc>
      </w:tr>
      <w:tr w:rsidR="009A1FE1" w:rsidRPr="00D343CC" w14:paraId="7658E073" w14:textId="77777777" w:rsidTr="00690583">
        <w:trPr>
          <w:trHeight w:val="1229"/>
        </w:trPr>
        <w:tc>
          <w:tcPr>
            <w:tcW w:w="1275" w:type="dxa"/>
            <w:vAlign w:val="center"/>
            <w:hideMark/>
          </w:tcPr>
          <w:p w14:paraId="73503E2A"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Project C</w:t>
            </w:r>
          </w:p>
        </w:tc>
        <w:tc>
          <w:tcPr>
            <w:tcW w:w="1195" w:type="dxa"/>
            <w:vAlign w:val="center"/>
            <w:hideMark/>
          </w:tcPr>
          <w:p w14:paraId="686DB429"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10%</w:t>
            </w:r>
          </w:p>
        </w:tc>
        <w:tc>
          <w:tcPr>
            <w:tcW w:w="1220" w:type="dxa"/>
            <w:vAlign w:val="center"/>
            <w:hideMark/>
          </w:tcPr>
          <w:p w14:paraId="53A5801B"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4.23</w:t>
            </w:r>
          </w:p>
        </w:tc>
        <w:tc>
          <w:tcPr>
            <w:tcW w:w="1195" w:type="dxa"/>
            <w:vAlign w:val="center"/>
            <w:hideMark/>
          </w:tcPr>
          <w:p w14:paraId="0F306547"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15%</w:t>
            </w:r>
          </w:p>
        </w:tc>
        <w:tc>
          <w:tcPr>
            <w:tcW w:w="1220" w:type="dxa"/>
            <w:vAlign w:val="center"/>
            <w:hideMark/>
          </w:tcPr>
          <w:p w14:paraId="4EAA039F" w14:textId="77777777" w:rsidR="009A1FE1" w:rsidRPr="00D343CC" w:rsidRDefault="009A1FE1" w:rsidP="000E65AF">
            <w:pPr>
              <w:rPr>
                <w:rFonts w:eastAsia="Times New Roman" w:cs="Arial"/>
                <w:color w:val="000000"/>
                <w:sz w:val="22"/>
                <w:lang w:eastAsia="en-GB"/>
              </w:rPr>
            </w:pPr>
            <w:r w:rsidRPr="00D343CC">
              <w:rPr>
                <w:rFonts w:eastAsia="Times New Roman" w:cs="Arial"/>
                <w:color w:val="000000"/>
                <w:sz w:val="22"/>
                <w:lang w:eastAsia="en-GB"/>
              </w:rPr>
              <w:t>–1.98</w:t>
            </w:r>
          </w:p>
        </w:tc>
        <w:tc>
          <w:tcPr>
            <w:tcW w:w="1760" w:type="dxa"/>
            <w:vAlign w:val="center"/>
            <w:hideMark/>
          </w:tcPr>
          <w:p w14:paraId="4612115D" w14:textId="77777777" w:rsidR="009A1FE1" w:rsidRPr="00D343CC" w:rsidRDefault="009A1FE1" w:rsidP="000E65AF">
            <w:pPr>
              <w:rPr>
                <w:rFonts w:cs="Arial"/>
                <w:color w:val="000000"/>
                <w:sz w:val="22"/>
              </w:rPr>
            </w:pPr>
            <w:r w:rsidRPr="00D343CC">
              <w:rPr>
                <w:rFonts w:cs="Arial"/>
                <w:color w:val="000000"/>
                <w:sz w:val="22"/>
              </w:rPr>
              <w:t>10% + [4.23 ÷ (4.23 − (−1.98))] × 5%</w:t>
            </w:r>
          </w:p>
          <w:p w14:paraId="6B59D8C1" w14:textId="307080B5" w:rsidR="009A1FE1" w:rsidRPr="00D343CC" w:rsidRDefault="009A1FE1" w:rsidP="000E65AF">
            <w:pPr>
              <w:rPr>
                <w:rFonts w:eastAsia="Times New Roman" w:cs="Arial"/>
                <w:color w:val="000000"/>
                <w:sz w:val="22"/>
                <w:lang w:eastAsia="en-GB"/>
              </w:rPr>
            </w:pPr>
          </w:p>
        </w:tc>
        <w:tc>
          <w:tcPr>
            <w:tcW w:w="1275" w:type="dxa"/>
            <w:vAlign w:val="center"/>
            <w:hideMark/>
          </w:tcPr>
          <w:p w14:paraId="70DD56D3" w14:textId="77777777" w:rsidR="009A1FE1" w:rsidRPr="00D343CC" w:rsidRDefault="009A1FE1" w:rsidP="00690583">
            <w:pPr>
              <w:jc w:val="center"/>
              <w:rPr>
                <w:rFonts w:eastAsia="Times New Roman" w:cs="Arial"/>
                <w:b/>
                <w:bCs/>
                <w:color w:val="000000"/>
                <w:sz w:val="22"/>
                <w:lang w:eastAsia="en-GB"/>
              </w:rPr>
            </w:pPr>
            <w:r w:rsidRPr="00D343CC">
              <w:rPr>
                <w:rFonts w:eastAsia="Times New Roman" w:cs="Arial"/>
                <w:b/>
                <w:bCs/>
                <w:color w:val="000000"/>
                <w:sz w:val="22"/>
                <w:lang w:eastAsia="en-GB"/>
              </w:rPr>
              <w:t>13.41%</w:t>
            </w:r>
          </w:p>
        </w:tc>
      </w:tr>
    </w:tbl>
    <w:p w14:paraId="04FAA204" w14:textId="0B1E5CF2" w:rsidR="00690583" w:rsidRPr="00D343CC" w:rsidRDefault="00690583" w:rsidP="00690583">
      <w:pPr>
        <w:pStyle w:val="Caption"/>
        <w:rPr>
          <w:rFonts w:cs="Arial"/>
          <w:i w:val="0"/>
          <w:iCs w:val="0"/>
          <w:color w:val="auto"/>
        </w:rPr>
      </w:pPr>
      <w:bookmarkStart w:id="93" w:name="_Toc217131038"/>
      <w:r w:rsidRPr="00D343CC">
        <w:rPr>
          <w:rFonts w:cs="Arial"/>
          <w:i w:val="0"/>
          <w:iCs w:val="0"/>
          <w:color w:val="auto"/>
        </w:rPr>
        <w:t xml:space="preserve">Table </w:t>
      </w:r>
      <w:r w:rsidRPr="00D343CC">
        <w:rPr>
          <w:rFonts w:cs="Arial"/>
          <w:i w:val="0"/>
          <w:iCs w:val="0"/>
          <w:color w:val="auto"/>
        </w:rPr>
        <w:fldChar w:fldCharType="begin"/>
      </w:r>
      <w:r w:rsidRPr="00D343CC">
        <w:rPr>
          <w:rFonts w:cs="Arial"/>
          <w:i w:val="0"/>
          <w:iCs w:val="0"/>
          <w:color w:val="auto"/>
        </w:rPr>
        <w:instrText xml:space="preserve"> SEQ Table \* ARABIC </w:instrText>
      </w:r>
      <w:r w:rsidRPr="00D343CC">
        <w:rPr>
          <w:rFonts w:cs="Arial"/>
          <w:i w:val="0"/>
          <w:iCs w:val="0"/>
          <w:color w:val="auto"/>
        </w:rPr>
        <w:fldChar w:fldCharType="separate"/>
      </w:r>
      <w:r w:rsidRPr="00D343CC">
        <w:rPr>
          <w:rFonts w:cs="Arial"/>
          <w:i w:val="0"/>
          <w:iCs w:val="0"/>
          <w:noProof/>
          <w:color w:val="auto"/>
        </w:rPr>
        <w:t>12</w:t>
      </w:r>
      <w:r w:rsidRPr="00D343CC">
        <w:rPr>
          <w:rFonts w:cs="Arial"/>
          <w:i w:val="0"/>
          <w:iCs w:val="0"/>
          <w:color w:val="auto"/>
        </w:rPr>
        <w:fldChar w:fldCharType="end"/>
      </w:r>
      <w:r w:rsidRPr="00D343CC">
        <w:rPr>
          <w:rFonts w:cs="Arial"/>
          <w:i w:val="0"/>
          <w:iCs w:val="0"/>
          <w:color w:val="auto"/>
        </w:rPr>
        <w:t xml:space="preserve"> Internal Rate of Return (IRR)</w:t>
      </w:r>
      <w:bookmarkEnd w:id="93"/>
      <w:r w:rsidRPr="00D343CC">
        <w:rPr>
          <w:rFonts w:cs="Arial"/>
          <w:i w:val="0"/>
          <w:iCs w:val="0"/>
          <w:color w:val="auto"/>
        </w:rPr>
        <w:t xml:space="preserve"> </w:t>
      </w:r>
    </w:p>
    <w:p w14:paraId="403B369B" w14:textId="510A43C0" w:rsidR="00690583" w:rsidRPr="00D343CC" w:rsidRDefault="00690583">
      <w:pPr>
        <w:spacing w:line="276" w:lineRule="auto"/>
        <w:jc w:val="left"/>
        <w:rPr>
          <w:rFonts w:eastAsiaTheme="majorEastAsia" w:cs="Arial"/>
          <w:b/>
          <w:i/>
          <w:color w:val="244061" w:themeColor="accent1" w:themeShade="80"/>
          <w:szCs w:val="28"/>
        </w:rPr>
      </w:pPr>
    </w:p>
    <w:p w14:paraId="24D4ADEA" w14:textId="3AA75380" w:rsidR="009A1FE1" w:rsidRPr="00D343CC" w:rsidRDefault="009A1FE1" w:rsidP="000E65AF">
      <w:pPr>
        <w:pStyle w:val="Heading3"/>
        <w:rPr>
          <w:rFonts w:cs="Arial"/>
        </w:rPr>
      </w:pPr>
      <w:bookmarkStart w:id="94" w:name="_Toc217246612"/>
      <w:r w:rsidRPr="00D343CC">
        <w:rPr>
          <w:rFonts w:cs="Arial"/>
        </w:rPr>
        <w:t xml:space="preserve">Table </w:t>
      </w:r>
      <w:r w:rsidR="00AD1754" w:rsidRPr="00D343CC">
        <w:rPr>
          <w:rFonts w:cs="Arial"/>
        </w:rPr>
        <w:t>C</w:t>
      </w:r>
      <w:r w:rsidR="002504AB" w:rsidRPr="00D343CC">
        <w:rPr>
          <w:rFonts w:cs="Arial"/>
        </w:rPr>
        <w:t>5</w:t>
      </w:r>
      <w:r w:rsidRPr="00D343CC">
        <w:rPr>
          <w:rFonts w:cs="Arial"/>
        </w:rPr>
        <w:t>: Profitability Index (PI) Calculations</w:t>
      </w:r>
      <w:bookmarkEnd w:id="94"/>
    </w:p>
    <w:p w14:paraId="7803E8AE" w14:textId="0724AB84" w:rsidR="00534915" w:rsidRPr="00D343CC" w:rsidRDefault="00534915" w:rsidP="000E65AF">
      <w:pPr>
        <w:rPr>
          <w:rFonts w:cs="Arial"/>
          <w:b/>
          <w:bCs/>
          <w:lang w:val="en-US"/>
        </w:rPr>
      </w:pPr>
      <m:oMathPara>
        <m:oMath>
          <m:r>
            <m:rPr>
              <m:nor/>
            </m:rPr>
            <w:rPr>
              <w:rFonts w:cs="Arial"/>
              <w:b/>
              <w:bCs/>
              <w:lang w:val="en-US"/>
            </w:rPr>
            <m:t>PI</m:t>
          </m:r>
          <m:r>
            <m:rPr>
              <m:sty m:val="b"/>
            </m:rPr>
            <w:rPr>
              <w:rFonts w:ascii="Cambria Math" w:hAnsi="Cambria Math" w:cs="Arial"/>
              <w:lang w:val="en-US"/>
            </w:rPr>
            <m:t>=</m:t>
          </m:r>
          <m:f>
            <m:fPr>
              <m:ctrlPr>
                <w:rPr>
                  <w:rFonts w:ascii="Cambria Math" w:hAnsi="Cambria Math" w:cs="Arial"/>
                  <w:b/>
                  <w:bCs/>
                  <w:lang w:val="en-US"/>
                </w:rPr>
              </m:ctrlPr>
            </m:fPr>
            <m:num>
              <m:r>
                <m:rPr>
                  <m:nor/>
                </m:rPr>
                <w:rPr>
                  <w:rFonts w:cs="Arial"/>
                  <w:b/>
                  <w:bCs/>
                  <w:lang w:val="en-US"/>
                </w:rPr>
                <m:t>Present Value of Future Cash Flows</m:t>
              </m:r>
            </m:num>
            <m:den>
              <m:r>
                <m:rPr>
                  <m:nor/>
                </m:rPr>
                <w:rPr>
                  <w:rFonts w:cs="Arial"/>
                  <w:b/>
                  <w:bCs/>
                  <w:lang w:val="en-US"/>
                </w:rPr>
                <m:t>Initial Investment</m:t>
              </m:r>
            </m:den>
          </m:f>
        </m:oMath>
      </m:oMathPara>
    </w:p>
    <w:tbl>
      <w:tblPr>
        <w:tblStyle w:val="TableGrid"/>
        <w:tblW w:w="0" w:type="auto"/>
        <w:tblLook w:val="04A0" w:firstRow="1" w:lastRow="0" w:firstColumn="1" w:lastColumn="0" w:noHBand="0" w:noVBand="1"/>
      </w:tblPr>
      <w:tblGrid>
        <w:gridCol w:w="1172"/>
        <w:gridCol w:w="1784"/>
        <w:gridCol w:w="2233"/>
        <w:gridCol w:w="2006"/>
        <w:gridCol w:w="1821"/>
      </w:tblGrid>
      <w:tr w:rsidR="00EC33F1" w:rsidRPr="00D343CC" w14:paraId="65532AF4" w14:textId="77777777" w:rsidTr="00690583">
        <w:tc>
          <w:tcPr>
            <w:tcW w:w="0" w:type="auto"/>
            <w:vAlign w:val="center"/>
            <w:hideMark/>
          </w:tcPr>
          <w:p w14:paraId="776D28DD" w14:textId="77777777" w:rsidR="00EC33F1" w:rsidRPr="00D343CC" w:rsidRDefault="00EC33F1" w:rsidP="00690583">
            <w:pPr>
              <w:spacing w:after="200"/>
              <w:jc w:val="center"/>
              <w:rPr>
                <w:rFonts w:cs="Arial"/>
                <w:b/>
                <w:bCs/>
              </w:rPr>
            </w:pPr>
            <w:r w:rsidRPr="00D343CC">
              <w:rPr>
                <w:rFonts w:cs="Arial"/>
                <w:b/>
                <w:bCs/>
              </w:rPr>
              <w:t>Project</w:t>
            </w:r>
          </w:p>
        </w:tc>
        <w:tc>
          <w:tcPr>
            <w:tcW w:w="0" w:type="auto"/>
            <w:vAlign w:val="center"/>
            <w:hideMark/>
          </w:tcPr>
          <w:p w14:paraId="31C5A032" w14:textId="77777777" w:rsidR="00EC33F1" w:rsidRPr="00D343CC" w:rsidRDefault="00EC33F1" w:rsidP="00690583">
            <w:pPr>
              <w:spacing w:after="200"/>
              <w:jc w:val="center"/>
              <w:rPr>
                <w:rFonts w:cs="Arial"/>
                <w:b/>
                <w:bCs/>
              </w:rPr>
            </w:pPr>
            <w:r w:rsidRPr="00D343CC">
              <w:rPr>
                <w:rFonts w:cs="Arial"/>
                <w:b/>
                <w:bCs/>
              </w:rPr>
              <w:t>PV of Inflows (£m)</w:t>
            </w:r>
          </w:p>
        </w:tc>
        <w:tc>
          <w:tcPr>
            <w:tcW w:w="0" w:type="auto"/>
            <w:vAlign w:val="center"/>
            <w:hideMark/>
          </w:tcPr>
          <w:p w14:paraId="059F6606" w14:textId="77777777" w:rsidR="00EC33F1" w:rsidRPr="00D343CC" w:rsidRDefault="00EC33F1" w:rsidP="00690583">
            <w:pPr>
              <w:spacing w:after="200"/>
              <w:jc w:val="center"/>
              <w:rPr>
                <w:rFonts w:cs="Arial"/>
                <w:b/>
                <w:bCs/>
              </w:rPr>
            </w:pPr>
            <w:r w:rsidRPr="00D343CC">
              <w:rPr>
                <w:rFonts w:cs="Arial"/>
                <w:b/>
                <w:bCs/>
              </w:rPr>
              <w:t>Initial Investment (£m)</w:t>
            </w:r>
          </w:p>
        </w:tc>
        <w:tc>
          <w:tcPr>
            <w:tcW w:w="2006" w:type="dxa"/>
            <w:vAlign w:val="center"/>
            <w:hideMark/>
          </w:tcPr>
          <w:p w14:paraId="4F19AF13" w14:textId="77777777" w:rsidR="00EC33F1" w:rsidRPr="00D343CC" w:rsidRDefault="00EC33F1" w:rsidP="00690583">
            <w:pPr>
              <w:spacing w:after="200"/>
              <w:jc w:val="center"/>
              <w:rPr>
                <w:rFonts w:cs="Arial"/>
                <w:b/>
                <w:bCs/>
              </w:rPr>
            </w:pPr>
            <w:r w:rsidRPr="00D343CC">
              <w:rPr>
                <w:rFonts w:cs="Arial"/>
                <w:b/>
                <w:bCs/>
              </w:rPr>
              <w:t>Calculation</w:t>
            </w:r>
          </w:p>
        </w:tc>
        <w:tc>
          <w:tcPr>
            <w:tcW w:w="1821" w:type="dxa"/>
            <w:vAlign w:val="center"/>
            <w:hideMark/>
          </w:tcPr>
          <w:p w14:paraId="275E3CE7" w14:textId="77777777" w:rsidR="00EC33F1" w:rsidRPr="00D343CC" w:rsidRDefault="00EC33F1" w:rsidP="00690583">
            <w:pPr>
              <w:spacing w:after="200"/>
              <w:jc w:val="center"/>
              <w:rPr>
                <w:rFonts w:cs="Arial"/>
                <w:b/>
                <w:bCs/>
              </w:rPr>
            </w:pPr>
            <w:r w:rsidRPr="00D343CC">
              <w:rPr>
                <w:rFonts w:cs="Arial"/>
                <w:b/>
                <w:bCs/>
              </w:rPr>
              <w:t>Profitability Index (PI)</w:t>
            </w:r>
          </w:p>
        </w:tc>
      </w:tr>
      <w:tr w:rsidR="00EC33F1" w:rsidRPr="00D343CC" w14:paraId="5FF7D310" w14:textId="77777777" w:rsidTr="00690583">
        <w:tc>
          <w:tcPr>
            <w:tcW w:w="0" w:type="auto"/>
            <w:hideMark/>
          </w:tcPr>
          <w:p w14:paraId="42A3C5F5" w14:textId="77777777" w:rsidR="00EC33F1" w:rsidRPr="00D343CC" w:rsidRDefault="00EC33F1" w:rsidP="000E65AF">
            <w:pPr>
              <w:spacing w:after="200"/>
              <w:rPr>
                <w:rFonts w:cs="Arial"/>
              </w:rPr>
            </w:pPr>
            <w:r w:rsidRPr="00D343CC">
              <w:rPr>
                <w:rFonts w:cs="Arial"/>
                <w:b/>
                <w:bCs/>
              </w:rPr>
              <w:t>Project A</w:t>
            </w:r>
          </w:p>
        </w:tc>
        <w:tc>
          <w:tcPr>
            <w:tcW w:w="0" w:type="auto"/>
            <w:vAlign w:val="center"/>
            <w:hideMark/>
          </w:tcPr>
          <w:p w14:paraId="1FEE1063" w14:textId="77777777" w:rsidR="00EC33F1" w:rsidRPr="00D343CC" w:rsidRDefault="00EC33F1" w:rsidP="00690583">
            <w:pPr>
              <w:spacing w:after="200"/>
              <w:jc w:val="center"/>
              <w:rPr>
                <w:rFonts w:cs="Arial"/>
              </w:rPr>
            </w:pPr>
            <w:r w:rsidRPr="00D343CC">
              <w:rPr>
                <w:rFonts w:cs="Arial"/>
              </w:rPr>
              <w:t>41.31</w:t>
            </w:r>
          </w:p>
        </w:tc>
        <w:tc>
          <w:tcPr>
            <w:tcW w:w="0" w:type="auto"/>
            <w:vAlign w:val="center"/>
            <w:hideMark/>
          </w:tcPr>
          <w:p w14:paraId="0AF76B47" w14:textId="77777777" w:rsidR="00EC33F1" w:rsidRPr="00D343CC" w:rsidRDefault="00EC33F1" w:rsidP="00690583">
            <w:pPr>
              <w:spacing w:after="200"/>
              <w:jc w:val="center"/>
              <w:rPr>
                <w:rFonts w:cs="Arial"/>
              </w:rPr>
            </w:pPr>
            <w:r w:rsidRPr="00D343CC">
              <w:rPr>
                <w:rFonts w:cs="Arial"/>
              </w:rPr>
              <w:t>40.00</w:t>
            </w:r>
          </w:p>
        </w:tc>
        <w:tc>
          <w:tcPr>
            <w:tcW w:w="2006" w:type="dxa"/>
            <w:vAlign w:val="center"/>
            <w:hideMark/>
          </w:tcPr>
          <w:p w14:paraId="50DB36F1" w14:textId="77777777" w:rsidR="00EC33F1" w:rsidRPr="00D343CC" w:rsidRDefault="00EC33F1" w:rsidP="00690583">
            <w:pPr>
              <w:spacing w:after="200"/>
              <w:jc w:val="center"/>
              <w:rPr>
                <w:rFonts w:cs="Arial"/>
              </w:rPr>
            </w:pPr>
            <w:r w:rsidRPr="00D343CC">
              <w:rPr>
                <w:rFonts w:cs="Arial"/>
              </w:rPr>
              <w:t>41.31 ÷ 40.00</w:t>
            </w:r>
          </w:p>
        </w:tc>
        <w:tc>
          <w:tcPr>
            <w:tcW w:w="1821" w:type="dxa"/>
            <w:vAlign w:val="center"/>
            <w:hideMark/>
          </w:tcPr>
          <w:p w14:paraId="04D7A594" w14:textId="77777777" w:rsidR="00EC33F1" w:rsidRPr="00D343CC" w:rsidRDefault="00EC33F1" w:rsidP="00690583">
            <w:pPr>
              <w:spacing w:after="200"/>
              <w:jc w:val="center"/>
              <w:rPr>
                <w:rFonts w:cs="Arial"/>
              </w:rPr>
            </w:pPr>
            <w:r w:rsidRPr="00D343CC">
              <w:rPr>
                <w:rFonts w:cs="Arial"/>
                <w:b/>
                <w:bCs/>
              </w:rPr>
              <w:t>1.033</w:t>
            </w:r>
          </w:p>
        </w:tc>
      </w:tr>
      <w:tr w:rsidR="00EC33F1" w:rsidRPr="00D343CC" w14:paraId="40399BE4" w14:textId="77777777" w:rsidTr="00690583">
        <w:tc>
          <w:tcPr>
            <w:tcW w:w="0" w:type="auto"/>
            <w:hideMark/>
          </w:tcPr>
          <w:p w14:paraId="416904C6" w14:textId="77777777" w:rsidR="00EC33F1" w:rsidRPr="00D343CC" w:rsidRDefault="00EC33F1" w:rsidP="000E65AF">
            <w:pPr>
              <w:spacing w:after="200"/>
              <w:rPr>
                <w:rFonts w:cs="Arial"/>
              </w:rPr>
            </w:pPr>
            <w:r w:rsidRPr="00D343CC">
              <w:rPr>
                <w:rFonts w:cs="Arial"/>
                <w:b/>
                <w:bCs/>
              </w:rPr>
              <w:t>Project B</w:t>
            </w:r>
          </w:p>
        </w:tc>
        <w:tc>
          <w:tcPr>
            <w:tcW w:w="0" w:type="auto"/>
            <w:vAlign w:val="center"/>
            <w:hideMark/>
          </w:tcPr>
          <w:p w14:paraId="74E8F259" w14:textId="77777777" w:rsidR="00EC33F1" w:rsidRPr="00D343CC" w:rsidRDefault="00EC33F1" w:rsidP="00690583">
            <w:pPr>
              <w:spacing w:after="200"/>
              <w:jc w:val="center"/>
              <w:rPr>
                <w:rFonts w:cs="Arial"/>
              </w:rPr>
            </w:pPr>
            <w:r w:rsidRPr="00D343CC">
              <w:rPr>
                <w:rFonts w:cs="Arial"/>
              </w:rPr>
              <w:t>22.75</w:t>
            </w:r>
          </w:p>
        </w:tc>
        <w:tc>
          <w:tcPr>
            <w:tcW w:w="0" w:type="auto"/>
            <w:vAlign w:val="center"/>
            <w:hideMark/>
          </w:tcPr>
          <w:p w14:paraId="27A6390B" w14:textId="77777777" w:rsidR="00EC33F1" w:rsidRPr="00D343CC" w:rsidRDefault="00EC33F1" w:rsidP="00690583">
            <w:pPr>
              <w:spacing w:after="200"/>
              <w:jc w:val="center"/>
              <w:rPr>
                <w:rFonts w:cs="Arial"/>
              </w:rPr>
            </w:pPr>
            <w:r w:rsidRPr="00D343CC">
              <w:rPr>
                <w:rFonts w:cs="Arial"/>
              </w:rPr>
              <w:t>30.00</w:t>
            </w:r>
          </w:p>
        </w:tc>
        <w:tc>
          <w:tcPr>
            <w:tcW w:w="2006" w:type="dxa"/>
            <w:vAlign w:val="center"/>
            <w:hideMark/>
          </w:tcPr>
          <w:p w14:paraId="2EE72673" w14:textId="77777777" w:rsidR="00EC33F1" w:rsidRPr="00D343CC" w:rsidRDefault="00EC33F1" w:rsidP="00690583">
            <w:pPr>
              <w:spacing w:after="200"/>
              <w:jc w:val="center"/>
              <w:rPr>
                <w:rFonts w:cs="Arial"/>
              </w:rPr>
            </w:pPr>
            <w:r w:rsidRPr="00D343CC">
              <w:rPr>
                <w:rFonts w:cs="Arial"/>
              </w:rPr>
              <w:t>22.75 ÷ 30.00</w:t>
            </w:r>
          </w:p>
        </w:tc>
        <w:tc>
          <w:tcPr>
            <w:tcW w:w="1821" w:type="dxa"/>
            <w:vAlign w:val="center"/>
            <w:hideMark/>
          </w:tcPr>
          <w:p w14:paraId="74BAE03E" w14:textId="77777777" w:rsidR="00EC33F1" w:rsidRPr="00D343CC" w:rsidRDefault="00EC33F1" w:rsidP="00690583">
            <w:pPr>
              <w:spacing w:after="200"/>
              <w:jc w:val="center"/>
              <w:rPr>
                <w:rFonts w:cs="Arial"/>
              </w:rPr>
            </w:pPr>
            <w:r w:rsidRPr="00D343CC">
              <w:rPr>
                <w:rFonts w:cs="Arial"/>
                <w:b/>
                <w:bCs/>
              </w:rPr>
              <w:t>0.758</w:t>
            </w:r>
          </w:p>
        </w:tc>
      </w:tr>
      <w:tr w:rsidR="00EC33F1" w:rsidRPr="00D343CC" w14:paraId="4D2D3879" w14:textId="77777777" w:rsidTr="00690583">
        <w:tc>
          <w:tcPr>
            <w:tcW w:w="0" w:type="auto"/>
            <w:hideMark/>
          </w:tcPr>
          <w:p w14:paraId="7D1E4CEC" w14:textId="77777777" w:rsidR="00EC33F1" w:rsidRPr="00D343CC" w:rsidRDefault="00EC33F1" w:rsidP="000E65AF">
            <w:pPr>
              <w:spacing w:after="200"/>
              <w:rPr>
                <w:rFonts w:cs="Arial"/>
              </w:rPr>
            </w:pPr>
            <w:r w:rsidRPr="00D343CC">
              <w:rPr>
                <w:rFonts w:cs="Arial"/>
                <w:b/>
                <w:bCs/>
              </w:rPr>
              <w:t>Project C</w:t>
            </w:r>
          </w:p>
        </w:tc>
        <w:tc>
          <w:tcPr>
            <w:tcW w:w="0" w:type="auto"/>
            <w:vAlign w:val="center"/>
            <w:hideMark/>
          </w:tcPr>
          <w:p w14:paraId="0E79E470" w14:textId="77777777" w:rsidR="00EC33F1" w:rsidRPr="00D343CC" w:rsidRDefault="00EC33F1" w:rsidP="00690583">
            <w:pPr>
              <w:spacing w:after="200"/>
              <w:jc w:val="center"/>
              <w:rPr>
                <w:rFonts w:cs="Arial"/>
              </w:rPr>
            </w:pPr>
            <w:r w:rsidRPr="00D343CC">
              <w:rPr>
                <w:rFonts w:cs="Arial"/>
              </w:rPr>
              <w:t>54.23</w:t>
            </w:r>
          </w:p>
        </w:tc>
        <w:tc>
          <w:tcPr>
            <w:tcW w:w="0" w:type="auto"/>
            <w:vAlign w:val="center"/>
            <w:hideMark/>
          </w:tcPr>
          <w:p w14:paraId="753D42F9" w14:textId="77777777" w:rsidR="00EC33F1" w:rsidRPr="00D343CC" w:rsidRDefault="00EC33F1" w:rsidP="00690583">
            <w:pPr>
              <w:spacing w:after="200"/>
              <w:jc w:val="center"/>
              <w:rPr>
                <w:rFonts w:cs="Arial"/>
              </w:rPr>
            </w:pPr>
            <w:r w:rsidRPr="00D343CC">
              <w:rPr>
                <w:rFonts w:cs="Arial"/>
              </w:rPr>
              <w:t>50.00</w:t>
            </w:r>
          </w:p>
        </w:tc>
        <w:tc>
          <w:tcPr>
            <w:tcW w:w="2006" w:type="dxa"/>
            <w:vAlign w:val="center"/>
            <w:hideMark/>
          </w:tcPr>
          <w:p w14:paraId="4A3F43B1" w14:textId="77777777" w:rsidR="00EC33F1" w:rsidRPr="00D343CC" w:rsidRDefault="00EC33F1" w:rsidP="00690583">
            <w:pPr>
              <w:spacing w:after="200"/>
              <w:jc w:val="center"/>
              <w:rPr>
                <w:rFonts w:cs="Arial"/>
              </w:rPr>
            </w:pPr>
            <w:r w:rsidRPr="00D343CC">
              <w:rPr>
                <w:rFonts w:cs="Arial"/>
              </w:rPr>
              <w:t>54.23 ÷ 50.00</w:t>
            </w:r>
          </w:p>
        </w:tc>
        <w:tc>
          <w:tcPr>
            <w:tcW w:w="1821" w:type="dxa"/>
            <w:vAlign w:val="center"/>
            <w:hideMark/>
          </w:tcPr>
          <w:p w14:paraId="7814B33E" w14:textId="77777777" w:rsidR="00EC33F1" w:rsidRPr="00D343CC" w:rsidRDefault="00EC33F1" w:rsidP="00690583">
            <w:pPr>
              <w:spacing w:after="200"/>
              <w:jc w:val="center"/>
              <w:rPr>
                <w:rFonts w:cs="Arial"/>
              </w:rPr>
            </w:pPr>
            <w:r w:rsidRPr="00D343CC">
              <w:rPr>
                <w:rFonts w:cs="Arial"/>
                <w:b/>
                <w:bCs/>
              </w:rPr>
              <w:t>1.085</w:t>
            </w:r>
          </w:p>
        </w:tc>
      </w:tr>
    </w:tbl>
    <w:p w14:paraId="43D71294" w14:textId="422BE821" w:rsidR="00690583" w:rsidRPr="00D343CC" w:rsidRDefault="00690583" w:rsidP="00690583">
      <w:pPr>
        <w:pStyle w:val="Caption"/>
        <w:rPr>
          <w:rFonts w:cs="Arial"/>
          <w:i w:val="0"/>
          <w:iCs w:val="0"/>
          <w:color w:val="auto"/>
        </w:rPr>
      </w:pPr>
      <w:bookmarkStart w:id="95" w:name="_Toc217131039"/>
      <w:r w:rsidRPr="00D343CC">
        <w:rPr>
          <w:rFonts w:cs="Arial"/>
          <w:i w:val="0"/>
          <w:iCs w:val="0"/>
          <w:color w:val="auto"/>
        </w:rPr>
        <w:t xml:space="preserve">Table </w:t>
      </w:r>
      <w:r w:rsidRPr="00D343CC">
        <w:rPr>
          <w:rFonts w:cs="Arial"/>
          <w:i w:val="0"/>
          <w:iCs w:val="0"/>
          <w:color w:val="auto"/>
        </w:rPr>
        <w:fldChar w:fldCharType="begin"/>
      </w:r>
      <w:r w:rsidRPr="00D343CC">
        <w:rPr>
          <w:rFonts w:cs="Arial"/>
          <w:i w:val="0"/>
          <w:iCs w:val="0"/>
          <w:color w:val="auto"/>
        </w:rPr>
        <w:instrText xml:space="preserve"> SEQ Table \* ARABIC </w:instrText>
      </w:r>
      <w:r w:rsidRPr="00D343CC">
        <w:rPr>
          <w:rFonts w:cs="Arial"/>
          <w:i w:val="0"/>
          <w:iCs w:val="0"/>
          <w:color w:val="auto"/>
        </w:rPr>
        <w:fldChar w:fldCharType="separate"/>
      </w:r>
      <w:r w:rsidRPr="00D343CC">
        <w:rPr>
          <w:rFonts w:cs="Arial"/>
          <w:i w:val="0"/>
          <w:iCs w:val="0"/>
          <w:noProof/>
          <w:color w:val="auto"/>
        </w:rPr>
        <w:t>13</w:t>
      </w:r>
      <w:r w:rsidRPr="00D343CC">
        <w:rPr>
          <w:rFonts w:cs="Arial"/>
          <w:i w:val="0"/>
          <w:iCs w:val="0"/>
          <w:color w:val="auto"/>
        </w:rPr>
        <w:fldChar w:fldCharType="end"/>
      </w:r>
      <w:r w:rsidRPr="00D343CC">
        <w:rPr>
          <w:rFonts w:cs="Arial"/>
          <w:i w:val="0"/>
          <w:iCs w:val="0"/>
          <w:color w:val="auto"/>
        </w:rPr>
        <w:t xml:space="preserve"> Profitability Index (PI) Calculations Table</w:t>
      </w:r>
      <w:bookmarkEnd w:id="95"/>
    </w:p>
    <w:sectPr w:rsidR="00690583" w:rsidRPr="00D343CC" w:rsidSect="008C353B">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ADC1D" w14:textId="77777777" w:rsidR="00F24634" w:rsidRDefault="00F24634" w:rsidP="00E9277F">
      <w:pPr>
        <w:spacing w:after="0" w:line="240" w:lineRule="auto"/>
      </w:pPr>
      <w:r>
        <w:separator/>
      </w:r>
    </w:p>
  </w:endnote>
  <w:endnote w:type="continuationSeparator" w:id="0">
    <w:p w14:paraId="3FC67CE4" w14:textId="77777777" w:rsidR="00F24634" w:rsidRDefault="00F24634" w:rsidP="00E92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54329"/>
      <w:docPartObj>
        <w:docPartGallery w:val="Page Numbers (Bottom of Page)"/>
        <w:docPartUnique/>
      </w:docPartObj>
    </w:sdtPr>
    <w:sdtEndPr>
      <w:rPr>
        <w:noProof/>
      </w:rPr>
    </w:sdtEndPr>
    <w:sdtContent>
      <w:p w14:paraId="7B1A8307" w14:textId="6B5DBA5B" w:rsidR="00690583" w:rsidRDefault="006905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9397BF" w14:textId="77777777" w:rsidR="00690583" w:rsidRDefault="00690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95A65" w14:textId="77777777" w:rsidR="00F24634" w:rsidRDefault="00F24634" w:rsidP="00E9277F">
      <w:pPr>
        <w:spacing w:after="0" w:line="240" w:lineRule="auto"/>
      </w:pPr>
      <w:r>
        <w:separator/>
      </w:r>
    </w:p>
  </w:footnote>
  <w:footnote w:type="continuationSeparator" w:id="0">
    <w:p w14:paraId="6B57EB8D" w14:textId="77777777" w:rsidR="00F24634" w:rsidRDefault="00F24634" w:rsidP="00E92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5F86"/>
    <w:multiLevelType w:val="hybridMultilevel"/>
    <w:tmpl w:val="73C823F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51490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77F"/>
    <w:rsid w:val="000C22B8"/>
    <w:rsid w:val="000D0402"/>
    <w:rsid w:val="000E65AF"/>
    <w:rsid w:val="0014571D"/>
    <w:rsid w:val="001A421D"/>
    <w:rsid w:val="001D323B"/>
    <w:rsid w:val="001F48BD"/>
    <w:rsid w:val="002504AB"/>
    <w:rsid w:val="00317C4B"/>
    <w:rsid w:val="00333745"/>
    <w:rsid w:val="00373B7D"/>
    <w:rsid w:val="00390BBF"/>
    <w:rsid w:val="003B1231"/>
    <w:rsid w:val="003F105E"/>
    <w:rsid w:val="00401E80"/>
    <w:rsid w:val="004466D1"/>
    <w:rsid w:val="004C3B76"/>
    <w:rsid w:val="00522AA7"/>
    <w:rsid w:val="00534915"/>
    <w:rsid w:val="00567C5C"/>
    <w:rsid w:val="00614C6C"/>
    <w:rsid w:val="006866FE"/>
    <w:rsid w:val="00690583"/>
    <w:rsid w:val="006E24FD"/>
    <w:rsid w:val="007103E9"/>
    <w:rsid w:val="0073585E"/>
    <w:rsid w:val="007B15DD"/>
    <w:rsid w:val="007D17E5"/>
    <w:rsid w:val="00801567"/>
    <w:rsid w:val="008103BA"/>
    <w:rsid w:val="008169C5"/>
    <w:rsid w:val="0086063E"/>
    <w:rsid w:val="00861CFB"/>
    <w:rsid w:val="00862C87"/>
    <w:rsid w:val="0089212B"/>
    <w:rsid w:val="008B141B"/>
    <w:rsid w:val="008C353B"/>
    <w:rsid w:val="0093677F"/>
    <w:rsid w:val="00990E6A"/>
    <w:rsid w:val="009A1FE1"/>
    <w:rsid w:val="009E6A6A"/>
    <w:rsid w:val="009F355C"/>
    <w:rsid w:val="00AD1754"/>
    <w:rsid w:val="00B04F31"/>
    <w:rsid w:val="00B677E2"/>
    <w:rsid w:val="00BB5575"/>
    <w:rsid w:val="00BE0F0B"/>
    <w:rsid w:val="00BF5ED7"/>
    <w:rsid w:val="00C1682B"/>
    <w:rsid w:val="00C35F39"/>
    <w:rsid w:val="00C460E5"/>
    <w:rsid w:val="00D20550"/>
    <w:rsid w:val="00D343CC"/>
    <w:rsid w:val="00D46EB1"/>
    <w:rsid w:val="00D55B95"/>
    <w:rsid w:val="00DB1FCD"/>
    <w:rsid w:val="00DB3314"/>
    <w:rsid w:val="00DE6EFB"/>
    <w:rsid w:val="00E17EE7"/>
    <w:rsid w:val="00E50249"/>
    <w:rsid w:val="00E9277F"/>
    <w:rsid w:val="00EC33F1"/>
    <w:rsid w:val="00F0680F"/>
    <w:rsid w:val="00F24634"/>
    <w:rsid w:val="00F743C4"/>
    <w:rsid w:val="00F95581"/>
    <w:rsid w:val="00FB737A"/>
    <w:rsid w:val="00FD1EEB"/>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2841C"/>
  <w15:chartTrackingRefBased/>
  <w15:docId w15:val="{087D4174-9B0E-425D-93D9-31A70AE8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FE1"/>
    <w:pPr>
      <w:spacing w:line="360" w:lineRule="auto"/>
      <w:jc w:val="both"/>
    </w:pPr>
    <w:rPr>
      <w:rFonts w:ascii="Arial" w:hAnsi="Arial"/>
      <w:kern w:val="0"/>
      <w:sz w:val="24"/>
      <w14:ligatures w14:val="none"/>
    </w:rPr>
  </w:style>
  <w:style w:type="paragraph" w:styleId="Heading1">
    <w:name w:val="heading 1"/>
    <w:basedOn w:val="Normal"/>
    <w:link w:val="Heading1Char"/>
    <w:uiPriority w:val="9"/>
    <w:qFormat/>
    <w:rsid w:val="008103BA"/>
    <w:pPr>
      <w:widowControl w:val="0"/>
      <w:autoSpaceDE w:val="0"/>
      <w:autoSpaceDN w:val="0"/>
      <w:spacing w:after="0"/>
      <w:jc w:val="center"/>
      <w:outlineLvl w:val="0"/>
    </w:pPr>
    <w:rPr>
      <w:rFonts w:eastAsia="Trebuchet MS" w:cs="Trebuchet MS"/>
      <w:b/>
      <w:bCs/>
      <w:color w:val="1F497D" w:themeColor="text2"/>
      <w:kern w:val="2"/>
      <w:sz w:val="30"/>
      <w:szCs w:val="28"/>
      <w14:ligatures w14:val="standardContextual"/>
    </w:rPr>
  </w:style>
  <w:style w:type="paragraph" w:styleId="Heading2">
    <w:name w:val="heading 2"/>
    <w:basedOn w:val="Normal"/>
    <w:next w:val="Normal"/>
    <w:link w:val="Heading2Char"/>
    <w:uiPriority w:val="9"/>
    <w:unhideWhenUsed/>
    <w:qFormat/>
    <w:rsid w:val="00F0680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93677F"/>
    <w:pPr>
      <w:keepNext/>
      <w:keepLines/>
      <w:spacing w:before="160" w:after="80"/>
      <w:outlineLvl w:val="2"/>
    </w:pPr>
    <w:rPr>
      <w:rFonts w:eastAsiaTheme="majorEastAsia" w:cstheme="majorBidi"/>
      <w:b/>
      <w:i/>
      <w:color w:val="244061" w:themeColor="accent1" w:themeShade="80"/>
      <w:szCs w:val="28"/>
    </w:rPr>
  </w:style>
  <w:style w:type="paragraph" w:styleId="Heading4">
    <w:name w:val="heading 4"/>
    <w:basedOn w:val="Normal"/>
    <w:next w:val="Normal"/>
    <w:link w:val="Heading4Char"/>
    <w:uiPriority w:val="9"/>
    <w:semiHidden/>
    <w:unhideWhenUsed/>
    <w:qFormat/>
    <w:rsid w:val="00E9277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9277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927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27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27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27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qFormat/>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8103BA"/>
    <w:rPr>
      <w:rFonts w:ascii="Times New Roman" w:eastAsia="Trebuchet MS" w:hAnsi="Times New Roman" w:cs="Trebuchet MS"/>
      <w:b/>
      <w:bCs/>
      <w:color w:val="1F497D" w:themeColor="text2"/>
      <w:sz w:val="30"/>
      <w:szCs w:val="28"/>
    </w:rPr>
  </w:style>
  <w:style w:type="character" w:customStyle="1" w:styleId="Heading2Char">
    <w:name w:val="Heading 2 Char"/>
    <w:basedOn w:val="DefaultParagraphFont"/>
    <w:link w:val="Heading2"/>
    <w:uiPriority w:val="9"/>
    <w:rsid w:val="00F0680F"/>
    <w:rPr>
      <w:rFonts w:ascii="Times New Roman" w:eastAsiaTheme="majorEastAsia" w:hAnsi="Times New Roman" w:cstheme="majorBidi"/>
      <w:b/>
      <w:bCs/>
      <w:color w:val="000000" w:themeColor="text1"/>
      <w:kern w:val="0"/>
      <w:sz w:val="26"/>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93677F"/>
    <w:rPr>
      <w:rFonts w:ascii="Times New Roman" w:eastAsiaTheme="majorEastAsia" w:hAnsi="Times New Roman" w:cstheme="majorBidi"/>
      <w:b/>
      <w:i/>
      <w:color w:val="244061" w:themeColor="accent1" w:themeShade="80"/>
      <w:kern w:val="0"/>
      <w:sz w:val="24"/>
      <w:szCs w:val="28"/>
      <w14:ligatures w14:val="none"/>
    </w:rPr>
  </w:style>
  <w:style w:type="character" w:customStyle="1" w:styleId="Heading4Char">
    <w:name w:val="Heading 4 Char"/>
    <w:basedOn w:val="DefaultParagraphFont"/>
    <w:link w:val="Heading4"/>
    <w:uiPriority w:val="9"/>
    <w:semiHidden/>
    <w:rsid w:val="00E9277F"/>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E9277F"/>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E9277F"/>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E9277F"/>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E9277F"/>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E9277F"/>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E9277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77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927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277F"/>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E9277F"/>
    <w:rPr>
      <w:i/>
      <w:iCs/>
      <w:color w:val="365F91" w:themeColor="accent1" w:themeShade="BF"/>
    </w:rPr>
  </w:style>
  <w:style w:type="paragraph" w:styleId="IntenseQuote">
    <w:name w:val="Intense Quote"/>
    <w:basedOn w:val="Normal"/>
    <w:next w:val="Normal"/>
    <w:link w:val="IntenseQuoteChar"/>
    <w:uiPriority w:val="30"/>
    <w:qFormat/>
    <w:rsid w:val="00E927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9277F"/>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E9277F"/>
    <w:rPr>
      <w:b/>
      <w:bCs/>
      <w:smallCaps/>
      <w:color w:val="365F91" w:themeColor="accent1" w:themeShade="BF"/>
      <w:spacing w:val="5"/>
    </w:rPr>
  </w:style>
  <w:style w:type="table" w:styleId="PlainTable1">
    <w:name w:val="Plain Table 1"/>
    <w:basedOn w:val="TableNormal"/>
    <w:uiPriority w:val="41"/>
    <w:rsid w:val="00E927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927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E92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2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77F"/>
    <w:rPr>
      <w:rFonts w:ascii="Times New Roman" w:hAnsi="Times New Roman"/>
      <w:kern w:val="0"/>
      <w:sz w:val="24"/>
      <w14:ligatures w14:val="none"/>
    </w:rPr>
  </w:style>
  <w:style w:type="paragraph" w:styleId="Footer">
    <w:name w:val="footer"/>
    <w:basedOn w:val="Normal"/>
    <w:link w:val="FooterChar"/>
    <w:uiPriority w:val="99"/>
    <w:unhideWhenUsed/>
    <w:rsid w:val="00E92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77F"/>
    <w:rPr>
      <w:rFonts w:ascii="Times New Roman" w:hAnsi="Times New Roman"/>
      <w:kern w:val="0"/>
      <w:sz w:val="24"/>
      <w14:ligatures w14:val="none"/>
    </w:rPr>
  </w:style>
  <w:style w:type="character" w:customStyle="1" w:styleId="mord">
    <w:name w:val="mord"/>
    <w:basedOn w:val="DefaultParagraphFont"/>
    <w:rsid w:val="00EC33F1"/>
  </w:style>
  <w:style w:type="character" w:customStyle="1" w:styleId="vlist-s">
    <w:name w:val="vlist-s"/>
    <w:basedOn w:val="DefaultParagraphFont"/>
    <w:rsid w:val="00EC33F1"/>
  </w:style>
  <w:style w:type="character" w:styleId="PlaceholderText">
    <w:name w:val="Placeholder Text"/>
    <w:basedOn w:val="DefaultParagraphFont"/>
    <w:uiPriority w:val="99"/>
    <w:semiHidden/>
    <w:rsid w:val="009A1FE1"/>
    <w:rPr>
      <w:color w:val="666666"/>
    </w:rPr>
  </w:style>
  <w:style w:type="paragraph" w:styleId="Caption">
    <w:name w:val="caption"/>
    <w:basedOn w:val="Normal"/>
    <w:next w:val="Normal"/>
    <w:uiPriority w:val="35"/>
    <w:unhideWhenUsed/>
    <w:qFormat/>
    <w:rsid w:val="0086063E"/>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AD1754"/>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AD1754"/>
    <w:pPr>
      <w:spacing w:after="100"/>
    </w:pPr>
  </w:style>
  <w:style w:type="paragraph" w:styleId="TOC2">
    <w:name w:val="toc 2"/>
    <w:basedOn w:val="Normal"/>
    <w:next w:val="Normal"/>
    <w:autoRedefine/>
    <w:uiPriority w:val="39"/>
    <w:unhideWhenUsed/>
    <w:rsid w:val="00AD1754"/>
    <w:pPr>
      <w:spacing w:after="100"/>
      <w:ind w:left="240"/>
    </w:pPr>
  </w:style>
  <w:style w:type="paragraph" w:styleId="TOC3">
    <w:name w:val="toc 3"/>
    <w:basedOn w:val="Normal"/>
    <w:next w:val="Normal"/>
    <w:autoRedefine/>
    <w:uiPriority w:val="39"/>
    <w:unhideWhenUsed/>
    <w:rsid w:val="00AD1754"/>
    <w:pPr>
      <w:spacing w:after="100"/>
      <w:ind w:left="480"/>
    </w:pPr>
  </w:style>
  <w:style w:type="character" w:styleId="Hyperlink">
    <w:name w:val="Hyperlink"/>
    <w:basedOn w:val="DefaultParagraphFont"/>
    <w:uiPriority w:val="99"/>
    <w:unhideWhenUsed/>
    <w:rsid w:val="00AD1754"/>
    <w:rPr>
      <w:color w:val="0000FF" w:themeColor="hyperlink"/>
      <w:u w:val="single"/>
    </w:rPr>
  </w:style>
  <w:style w:type="paragraph" w:styleId="NormalWeb">
    <w:name w:val="Normal (Web)"/>
    <w:basedOn w:val="Normal"/>
    <w:uiPriority w:val="99"/>
    <w:unhideWhenUsed/>
    <w:rsid w:val="006866FE"/>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Emphasis">
    <w:name w:val="Emphasis"/>
    <w:basedOn w:val="DefaultParagraphFont"/>
    <w:uiPriority w:val="20"/>
    <w:qFormat/>
    <w:rsid w:val="006866FE"/>
    <w:rPr>
      <w:i/>
      <w:iCs/>
    </w:rPr>
  </w:style>
  <w:style w:type="paragraph" w:styleId="TableofFigures">
    <w:name w:val="table of figures"/>
    <w:basedOn w:val="Normal"/>
    <w:next w:val="Normal"/>
    <w:uiPriority w:val="99"/>
    <w:unhideWhenUsed/>
    <w:rsid w:val="000E65AF"/>
    <w:pPr>
      <w:spacing w:after="0"/>
    </w:pPr>
  </w:style>
  <w:style w:type="character" w:styleId="UnresolvedMention">
    <w:name w:val="Unresolved Mention"/>
    <w:basedOn w:val="DefaultParagraphFont"/>
    <w:uiPriority w:val="99"/>
    <w:semiHidden/>
    <w:unhideWhenUsed/>
    <w:rsid w:val="00D343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abs/10.1080/0013791X.2021.1894284"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hyperlink" Target="https://www.fortunebusinessinsights.com/consumer-electronics-market-104693" TargetMode="External"/><Relationship Id="rId17" Type="http://schemas.openxmlformats.org/officeDocument/2006/relationships/hyperlink" Target="https://doi.org/10.1108/jpif-10-2021-008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epo.uum.edu.my/id/eprint/30826/1/WTM%2020%202021%20122-133.pdf"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ronoiapp.com/business/Samsung-overtakesApple-1064" TargetMode="External"/><Relationship Id="rId24"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hyperlink" Target="https://www.sciencedirect.com/science/article/pii/B9780750687010000199" TargetMode="External"/><Relationship Id="rId23" Type="http://schemas.openxmlformats.org/officeDocument/2006/relationships/chart" Target="charts/chart5.xml"/><Relationship Id="rId10" Type="http://schemas.openxmlformats.org/officeDocument/2006/relationships/hyperlink" Target="https://www.us-taiwan.org/wp-content/uploads/2023/06/2023.06.21-Final-Semiconductor-Report.pdf"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ecb.europa.eu/press/economic-bulletin/focus/2024/html/ecb.ebbox202401_01~d1c3b1b0a5.en.html" TargetMode="External"/><Relationship Id="rId14" Type="http://schemas.openxmlformats.org/officeDocument/2006/relationships/hyperlink" Target="https://doi.org/10.48683/1926.00101461" TargetMode="External"/><Relationship Id="rId22" Type="http://schemas.openxmlformats.org/officeDocument/2006/relationships/chart" Target="charts/chart4.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Downloads\jamilabegum_lcmb7002_financialmanagement\Excel%20Working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Downloads\jamilabegum_lcmb7002_financialmanagement\Excel%20Working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Downloads\jamilabegum_lcmb7002_financialmanagement\Excel%20Working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Downloads\jamilabegum_lcmb7002_financialmanagement\Excel%20Working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Downloads\jamilabegum_lcmb7002_financialmanagement\Excel%20Working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Downloads\jamilabegum_lcmb7002_financialmanagement\Excel%20Working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Profitability Ratios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tx>
            <c:strRef>
              <c:f>'Profitability Ratios'!$H$6</c:f>
              <c:strCache>
                <c:ptCount val="1"/>
                <c:pt idx="0">
                  <c:v>Gross Profit Margin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Ratios'!$I$6:$M$6</c:f>
              <c:numCache>
                <c:formatCode>0.00%</c:formatCode>
                <c:ptCount val="5"/>
                <c:pt idx="0">
                  <c:v>0.28670000000000001</c:v>
                </c:pt>
                <c:pt idx="1">
                  <c:v>0.28760000000000002</c:v>
                </c:pt>
                <c:pt idx="2">
                  <c:v>0.28060000000000002</c:v>
                </c:pt>
                <c:pt idx="3">
                  <c:v>0.23200000000000001</c:v>
                </c:pt>
                <c:pt idx="4">
                  <c:v>0.28870000000000001</c:v>
                </c:pt>
              </c:numCache>
            </c:numRef>
          </c:val>
          <c:extLst>
            <c:ext xmlns:c16="http://schemas.microsoft.com/office/drawing/2014/chart" uri="{C3380CC4-5D6E-409C-BE32-E72D297353CC}">
              <c16:uniqueId val="{00000000-E86D-4461-A22D-9ECA5E340A71}"/>
            </c:ext>
          </c:extLst>
        </c:ser>
        <c:ser>
          <c:idx val="1"/>
          <c:order val="1"/>
          <c:tx>
            <c:strRef>
              <c:f>'Profitability Ratios'!$H$7</c:f>
              <c:strCache>
                <c:ptCount val="1"/>
                <c:pt idx="0">
                  <c:v>Operating Profit Margin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Ratios'!$I$7:$M$7</c:f>
              <c:numCache>
                <c:formatCode>0.00%</c:formatCode>
                <c:ptCount val="5"/>
                <c:pt idx="0">
                  <c:v>6.0600000000000001E-2</c:v>
                </c:pt>
                <c:pt idx="1">
                  <c:v>3.8699999999999998E-2</c:v>
                </c:pt>
                <c:pt idx="2">
                  <c:v>2.6800000000000001E-2</c:v>
                </c:pt>
                <c:pt idx="3" formatCode="General">
                  <c:v>0</c:v>
                </c:pt>
                <c:pt idx="4" formatCode="General">
                  <c:v>0</c:v>
                </c:pt>
              </c:numCache>
            </c:numRef>
          </c:val>
          <c:extLst>
            <c:ext xmlns:c16="http://schemas.microsoft.com/office/drawing/2014/chart" uri="{C3380CC4-5D6E-409C-BE32-E72D297353CC}">
              <c16:uniqueId val="{00000001-E86D-4461-A22D-9ECA5E340A71}"/>
            </c:ext>
          </c:extLst>
        </c:ser>
        <c:ser>
          <c:idx val="2"/>
          <c:order val="2"/>
          <c:tx>
            <c:strRef>
              <c:f>'Profitability Ratios'!$H$8</c:f>
              <c:strCache>
                <c:ptCount val="1"/>
                <c:pt idx="0">
                  <c:v>Net Profit Margin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Ratios'!$I$8:$M$8</c:f>
              <c:numCache>
                <c:formatCode>0.00%</c:formatCode>
                <c:ptCount val="5"/>
                <c:pt idx="0">
                  <c:v>6.2799999999999995E-2</c:v>
                </c:pt>
                <c:pt idx="1">
                  <c:v>8.8000000000000005E-3</c:v>
                </c:pt>
                <c:pt idx="2">
                  <c:v>8.0000000000000004E-4</c:v>
                </c:pt>
                <c:pt idx="3" formatCode="General">
                  <c:v>0</c:v>
                </c:pt>
                <c:pt idx="4" formatCode="General">
                  <c:v>0</c:v>
                </c:pt>
              </c:numCache>
            </c:numRef>
          </c:val>
          <c:extLst>
            <c:ext xmlns:c16="http://schemas.microsoft.com/office/drawing/2014/chart" uri="{C3380CC4-5D6E-409C-BE32-E72D297353CC}">
              <c16:uniqueId val="{00000002-E86D-4461-A22D-9ECA5E340A71}"/>
            </c:ext>
          </c:extLst>
        </c:ser>
        <c:ser>
          <c:idx val="3"/>
          <c:order val="3"/>
          <c:tx>
            <c:strRef>
              <c:f>'Profitability Ratios'!$H$9</c:f>
              <c:strCache>
                <c:ptCount val="1"/>
                <c:pt idx="0">
                  <c:v>Return on Assets (ROA)</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Ratios'!$I$9:$M$9</c:f>
              <c:numCache>
                <c:formatCode>0.00%</c:formatCode>
                <c:ptCount val="5"/>
                <c:pt idx="0">
                  <c:v>7.5600000000000001E-2</c:v>
                </c:pt>
                <c:pt idx="1">
                  <c:v>1.04E-2</c:v>
                </c:pt>
                <c:pt idx="2">
                  <c:v>8.0000000000000004E-4</c:v>
                </c:pt>
                <c:pt idx="3" formatCode="General">
                  <c:v>0</c:v>
                </c:pt>
                <c:pt idx="4" formatCode="General">
                  <c:v>0</c:v>
                </c:pt>
              </c:numCache>
            </c:numRef>
          </c:val>
          <c:extLst>
            <c:ext xmlns:c16="http://schemas.microsoft.com/office/drawing/2014/chart" uri="{C3380CC4-5D6E-409C-BE32-E72D297353CC}">
              <c16:uniqueId val="{00000003-E86D-4461-A22D-9ECA5E340A71}"/>
            </c:ext>
          </c:extLst>
        </c:ser>
        <c:ser>
          <c:idx val="4"/>
          <c:order val="4"/>
          <c:tx>
            <c:strRef>
              <c:f>'Profitability Ratios'!$H$10</c:f>
              <c:strCache>
                <c:ptCount val="1"/>
                <c:pt idx="0">
                  <c:v>Return on Equity (ROE)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'Profitability Ratios'!$I$5:$M$5</c:f>
              <c:numCache>
                <c:formatCode>General</c:formatCode>
                <c:ptCount val="5"/>
                <c:pt idx="0">
                  <c:v>2020</c:v>
                </c:pt>
                <c:pt idx="1">
                  <c:v>2021</c:v>
                </c:pt>
                <c:pt idx="2">
                  <c:v>2022</c:v>
                </c:pt>
                <c:pt idx="3">
                  <c:v>2023</c:v>
                </c:pt>
                <c:pt idx="4">
                  <c:v>2024</c:v>
                </c:pt>
              </c:numCache>
            </c:numRef>
          </c:cat>
          <c:val>
            <c:numRef>
              <c:f>'Profitability Ratios'!$I$10:$M$10</c:f>
              <c:numCache>
                <c:formatCode>0.00%</c:formatCode>
                <c:ptCount val="5"/>
                <c:pt idx="0">
                  <c:v>0.1231</c:v>
                </c:pt>
                <c:pt idx="1">
                  <c:v>1.9199999999999998E-2</c:v>
                </c:pt>
                <c:pt idx="2">
                  <c:v>1.5E-3</c:v>
                </c:pt>
                <c:pt idx="3" formatCode="General">
                  <c:v>0</c:v>
                </c:pt>
                <c:pt idx="4" formatCode="General">
                  <c:v>0</c:v>
                </c:pt>
              </c:numCache>
            </c:numRef>
          </c:val>
          <c:extLst>
            <c:ext xmlns:c16="http://schemas.microsoft.com/office/drawing/2014/chart" uri="{C3380CC4-5D6E-409C-BE32-E72D297353CC}">
              <c16:uniqueId val="{00000004-E86D-4461-A22D-9ECA5E340A71}"/>
            </c:ext>
          </c:extLst>
        </c:ser>
        <c:dLbls>
          <c:showLegendKey val="0"/>
          <c:showVal val="0"/>
          <c:showCatName val="0"/>
          <c:showSerName val="0"/>
          <c:showPercent val="0"/>
          <c:showBubbleSize val="0"/>
        </c:dLbls>
        <c:gapWidth val="150"/>
        <c:overlap val="100"/>
        <c:axId val="756698848"/>
        <c:axId val="756702592"/>
      </c:barChart>
      <c:catAx>
        <c:axId val="75669884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6702592"/>
        <c:crosses val="autoZero"/>
        <c:auto val="1"/>
        <c:lblAlgn val="ctr"/>
        <c:lblOffset val="100"/>
        <c:noMultiLvlLbl val="0"/>
      </c:catAx>
      <c:valAx>
        <c:axId val="756702592"/>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6698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'Liquidity Ratios'!$I$7</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'Liquidity Ratios'!$J$6:$N$6</c:f>
              <c:numCache>
                <c:formatCode>General</c:formatCode>
                <c:ptCount val="5"/>
                <c:pt idx="0">
                  <c:v>2020</c:v>
                </c:pt>
                <c:pt idx="1">
                  <c:v>2021</c:v>
                </c:pt>
                <c:pt idx="2">
                  <c:v>2022</c:v>
                </c:pt>
                <c:pt idx="3">
                  <c:v>2023</c:v>
                </c:pt>
                <c:pt idx="4">
                  <c:v>2024</c:v>
                </c:pt>
              </c:numCache>
            </c:numRef>
          </c:cat>
          <c:val>
            <c:numRef>
              <c:f>'Liquidity Ratios'!$J$7:$N$7</c:f>
              <c:numCache>
                <c:formatCode>General</c:formatCode>
                <c:ptCount val="5"/>
                <c:pt idx="0">
                  <c:v>1.82</c:v>
                </c:pt>
                <c:pt idx="1">
                  <c:v>1.56</c:v>
                </c:pt>
                <c:pt idx="2">
                  <c:v>1.56</c:v>
                </c:pt>
                <c:pt idx="3">
                  <c:v>1.61</c:v>
                </c:pt>
                <c:pt idx="4">
                  <c:v>1.53</c:v>
                </c:pt>
              </c:numCache>
            </c:numRef>
          </c:val>
          <c:extLst>
            <c:ext xmlns:c16="http://schemas.microsoft.com/office/drawing/2014/chart" uri="{C3380CC4-5D6E-409C-BE32-E72D297353CC}">
              <c16:uniqueId val="{00000000-A960-4508-B04B-DE046F8DBC90}"/>
            </c:ext>
          </c:extLst>
        </c:ser>
        <c:ser>
          <c:idx val="1"/>
          <c:order val="1"/>
          <c:tx>
            <c:strRef>
              <c:f>'Liquidity Ratios'!$I$8</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'Liquidity Ratios'!$J$6:$N$6</c:f>
              <c:numCache>
                <c:formatCode>General</c:formatCode>
                <c:ptCount val="5"/>
                <c:pt idx="0">
                  <c:v>2020</c:v>
                </c:pt>
                <c:pt idx="1">
                  <c:v>2021</c:v>
                </c:pt>
                <c:pt idx="2">
                  <c:v>2022</c:v>
                </c:pt>
                <c:pt idx="3">
                  <c:v>2023</c:v>
                </c:pt>
                <c:pt idx="4">
                  <c:v>2024</c:v>
                </c:pt>
              </c:numCache>
            </c:numRef>
          </c:cat>
          <c:val>
            <c:numRef>
              <c:f>'Liquidity Ratios'!$J$8:$N$8</c:f>
              <c:numCache>
                <c:formatCode>General</c:formatCode>
                <c:ptCount val="5"/>
                <c:pt idx="0">
                  <c:v>1.1499999999999999</c:v>
                </c:pt>
                <c:pt idx="1">
                  <c:v>0.93</c:v>
                </c:pt>
                <c:pt idx="2">
                  <c:v>0.91</c:v>
                </c:pt>
                <c:pt idx="3">
                  <c:v>1.06</c:v>
                </c:pt>
                <c:pt idx="4">
                  <c:v>1.03</c:v>
                </c:pt>
              </c:numCache>
            </c:numRef>
          </c:val>
          <c:extLst>
            <c:ext xmlns:c16="http://schemas.microsoft.com/office/drawing/2014/chart" uri="{C3380CC4-5D6E-409C-BE32-E72D297353CC}">
              <c16:uniqueId val="{00000001-A960-4508-B04B-DE046F8DBC90}"/>
            </c:ext>
          </c:extLst>
        </c:ser>
        <c:ser>
          <c:idx val="2"/>
          <c:order val="2"/>
          <c:tx>
            <c:strRef>
              <c:f>'Liquidity Ratios'!$I$9</c:f>
              <c:strCache>
                <c:ptCount val="1"/>
                <c:pt idx="0">
                  <c:v>Cash Ratio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'Liquidity Ratios'!$J$6:$N$6</c:f>
              <c:numCache>
                <c:formatCode>General</c:formatCode>
                <c:ptCount val="5"/>
                <c:pt idx="0">
                  <c:v>2020</c:v>
                </c:pt>
                <c:pt idx="1">
                  <c:v>2021</c:v>
                </c:pt>
                <c:pt idx="2">
                  <c:v>2022</c:v>
                </c:pt>
                <c:pt idx="3">
                  <c:v>2023</c:v>
                </c:pt>
                <c:pt idx="4">
                  <c:v>2024</c:v>
                </c:pt>
              </c:numCache>
            </c:numRef>
          </c:cat>
          <c:val>
            <c:numRef>
              <c:f>'Liquidity Ratios'!$J$9:$N$9</c:f>
              <c:numCache>
                <c:formatCode>General</c:formatCode>
                <c:ptCount val="5"/>
                <c:pt idx="0">
                  <c:v>0.32</c:v>
                </c:pt>
                <c:pt idx="1">
                  <c:v>0.28000000000000003</c:v>
                </c:pt>
                <c:pt idx="2">
                  <c:v>0.31</c:v>
                </c:pt>
                <c:pt idx="3">
                  <c:v>0.27</c:v>
                </c:pt>
                <c:pt idx="4">
                  <c:v>0.17</c:v>
                </c:pt>
              </c:numCache>
            </c:numRef>
          </c:val>
          <c:extLst>
            <c:ext xmlns:c16="http://schemas.microsoft.com/office/drawing/2014/chart" uri="{C3380CC4-5D6E-409C-BE32-E72D297353CC}">
              <c16:uniqueId val="{00000002-A960-4508-B04B-DE046F8DBC90}"/>
            </c:ext>
          </c:extLst>
        </c:ser>
        <c:dLbls>
          <c:showLegendKey val="0"/>
          <c:showVal val="0"/>
          <c:showCatName val="0"/>
          <c:showSerName val="0"/>
          <c:showPercent val="0"/>
          <c:showBubbleSize val="0"/>
        </c:dLbls>
        <c:gapWidth val="100"/>
        <c:overlap val="-24"/>
        <c:axId val="629858896"/>
        <c:axId val="604033984"/>
      </c:barChart>
      <c:catAx>
        <c:axId val="6298588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4033984"/>
        <c:crosses val="autoZero"/>
        <c:auto val="1"/>
        <c:lblAlgn val="ctr"/>
        <c:lblOffset val="100"/>
        <c:noMultiLvlLbl val="0"/>
      </c:catAx>
      <c:valAx>
        <c:axId val="60403398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29858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Efficiency Ratios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percentStacked"/>
        <c:varyColors val="0"/>
        <c:ser>
          <c:idx val="0"/>
          <c:order val="0"/>
          <c:tx>
            <c:strRef>
              <c:f>'Efficiency Ratios'!$I$7</c:f>
              <c:strCache>
                <c:ptCount val="1"/>
                <c:pt idx="0">
                  <c:v>Asset Turnover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Ratios'!$J$7:$N$7</c:f>
              <c:numCache>
                <c:formatCode>General</c:formatCode>
                <c:ptCount val="5"/>
                <c:pt idx="0">
                  <c:v>1.2</c:v>
                </c:pt>
                <c:pt idx="1">
                  <c:v>1.18</c:v>
                </c:pt>
                <c:pt idx="2">
                  <c:v>1.08</c:v>
                </c:pt>
                <c:pt idx="3">
                  <c:v>1.18</c:v>
                </c:pt>
                <c:pt idx="4">
                  <c:v>1.22</c:v>
                </c:pt>
              </c:numCache>
            </c:numRef>
          </c:val>
          <c:extLst>
            <c:ext xmlns:c16="http://schemas.microsoft.com/office/drawing/2014/chart" uri="{C3380CC4-5D6E-409C-BE32-E72D297353CC}">
              <c16:uniqueId val="{00000000-720B-4539-8850-B463E7E2320A}"/>
            </c:ext>
          </c:extLst>
        </c:ser>
        <c:ser>
          <c:idx val="1"/>
          <c:order val="1"/>
          <c:tx>
            <c:strRef>
              <c:f>'Efficiency Ratios'!$I$8</c:f>
              <c:strCache>
                <c:ptCount val="1"/>
                <c:pt idx="0">
                  <c:v>Fixed Asset Turnover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Ratios'!$J$8:$N$8</c:f>
              <c:numCache>
                <c:formatCode>General</c:formatCode>
                <c:ptCount val="5"/>
                <c:pt idx="0">
                  <c:v>7.04</c:v>
                </c:pt>
                <c:pt idx="1">
                  <c:v>8.06</c:v>
                </c:pt>
                <c:pt idx="2">
                  <c:v>8.64</c:v>
                </c:pt>
                <c:pt idx="3">
                  <c:v>9.42</c:v>
                </c:pt>
                <c:pt idx="4">
                  <c:v>11.54</c:v>
                </c:pt>
              </c:numCache>
            </c:numRef>
          </c:val>
          <c:extLst>
            <c:ext xmlns:c16="http://schemas.microsoft.com/office/drawing/2014/chart" uri="{C3380CC4-5D6E-409C-BE32-E72D297353CC}">
              <c16:uniqueId val="{00000001-720B-4539-8850-B463E7E2320A}"/>
            </c:ext>
          </c:extLst>
        </c:ser>
        <c:ser>
          <c:idx val="2"/>
          <c:order val="2"/>
          <c:tx>
            <c:strRef>
              <c:f>'Efficiency Ratios'!$I$9</c:f>
              <c:strCache>
                <c:ptCount val="1"/>
                <c:pt idx="0">
                  <c:v>Receivables Days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Ratios'!$J$9:$N$9</c:f>
              <c:numCache>
                <c:formatCode>General</c:formatCode>
                <c:ptCount val="5"/>
                <c:pt idx="0">
                  <c:v>76.86</c:v>
                </c:pt>
                <c:pt idx="1">
                  <c:v>78.400000000000006</c:v>
                </c:pt>
                <c:pt idx="2">
                  <c:v>75.55</c:v>
                </c:pt>
                <c:pt idx="3">
                  <c:v>97.74</c:v>
                </c:pt>
                <c:pt idx="4">
                  <c:v>105.54</c:v>
                </c:pt>
              </c:numCache>
            </c:numRef>
          </c:val>
          <c:extLst>
            <c:ext xmlns:c16="http://schemas.microsoft.com/office/drawing/2014/chart" uri="{C3380CC4-5D6E-409C-BE32-E72D297353CC}">
              <c16:uniqueId val="{00000002-720B-4539-8850-B463E7E2320A}"/>
            </c:ext>
          </c:extLst>
        </c:ser>
        <c:ser>
          <c:idx val="3"/>
          <c:order val="3"/>
          <c:tx>
            <c:strRef>
              <c:f>'Efficiency Ratios'!$I$10</c:f>
              <c:strCache>
                <c:ptCount val="1"/>
                <c:pt idx="0">
                  <c:v>Inventory Days</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cat>
            <c:numRef>
              <c:f>'Efficiency Ratios'!$J$6:$N$6</c:f>
              <c:numCache>
                <c:formatCode>General</c:formatCode>
                <c:ptCount val="5"/>
                <c:pt idx="0">
                  <c:v>2020</c:v>
                </c:pt>
                <c:pt idx="1">
                  <c:v>2021</c:v>
                </c:pt>
                <c:pt idx="2">
                  <c:v>2022</c:v>
                </c:pt>
                <c:pt idx="3">
                  <c:v>2023</c:v>
                </c:pt>
                <c:pt idx="4">
                  <c:v>2024</c:v>
                </c:pt>
              </c:numCache>
            </c:numRef>
          </c:cat>
          <c:val>
            <c:numRef>
              <c:f>'Efficiency Ratios'!$J$10:$N$10</c:f>
              <c:numCache>
                <c:formatCode>General</c:formatCode>
                <c:ptCount val="5"/>
                <c:pt idx="0">
                  <c:v>100.26</c:v>
                </c:pt>
                <c:pt idx="1">
                  <c:v>114.52</c:v>
                </c:pt>
                <c:pt idx="2">
                  <c:v>131.04</c:v>
                </c:pt>
                <c:pt idx="3">
                  <c:v>99.78</c:v>
                </c:pt>
                <c:pt idx="4">
                  <c:v>103.12</c:v>
                </c:pt>
              </c:numCache>
            </c:numRef>
          </c:val>
          <c:extLst>
            <c:ext xmlns:c16="http://schemas.microsoft.com/office/drawing/2014/chart" uri="{C3380CC4-5D6E-409C-BE32-E72D297353CC}">
              <c16:uniqueId val="{00000003-720B-4539-8850-B463E7E2320A}"/>
            </c:ext>
          </c:extLst>
        </c:ser>
        <c:dLbls>
          <c:showLegendKey val="0"/>
          <c:showVal val="0"/>
          <c:showCatName val="0"/>
          <c:showSerName val="0"/>
          <c:showPercent val="0"/>
          <c:showBubbleSize val="0"/>
        </c:dLbls>
        <c:gapWidth val="150"/>
        <c:overlap val="100"/>
        <c:axId val="766235440"/>
        <c:axId val="766248336"/>
      </c:barChart>
      <c:catAx>
        <c:axId val="76623544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66248336"/>
        <c:crosses val="autoZero"/>
        <c:auto val="1"/>
        <c:lblAlgn val="ctr"/>
        <c:lblOffset val="100"/>
        <c:noMultiLvlLbl val="0"/>
      </c:catAx>
      <c:valAx>
        <c:axId val="76624833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6623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Gearing Ratios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stacked"/>
        <c:varyColors val="0"/>
        <c:ser>
          <c:idx val="0"/>
          <c:order val="0"/>
          <c:tx>
            <c:strRef>
              <c:f>'Gearing Ratios'!$K$7</c:f>
              <c:strCache>
                <c:ptCount val="1"/>
                <c:pt idx="0">
                  <c:v>Interest Coverage Ratio</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Ratios'!$L$7:$P$7</c:f>
              <c:numCache>
                <c:formatCode>General</c:formatCode>
                <c:ptCount val="5"/>
                <c:pt idx="0">
                  <c:v>26.21</c:v>
                </c:pt>
                <c:pt idx="1">
                  <c:v>41.08</c:v>
                </c:pt>
                <c:pt idx="2">
                  <c:v>6.61</c:v>
                </c:pt>
                <c:pt idx="3">
                  <c:v>0</c:v>
                </c:pt>
                <c:pt idx="4">
                  <c:v>0</c:v>
                </c:pt>
              </c:numCache>
            </c:numRef>
          </c:val>
          <c:extLst>
            <c:ext xmlns:c16="http://schemas.microsoft.com/office/drawing/2014/chart" uri="{C3380CC4-5D6E-409C-BE32-E72D297353CC}">
              <c16:uniqueId val="{00000000-7782-4E44-910F-4CAC4B6317E0}"/>
            </c:ext>
          </c:extLst>
        </c:ser>
        <c:ser>
          <c:idx val="1"/>
          <c:order val="1"/>
          <c:tx>
            <c:strRef>
              <c:f>'Gearing Ratios'!$K$8</c:f>
              <c:strCache>
                <c:ptCount val="1"/>
                <c:pt idx="0">
                  <c:v>Debt to Equity Ratio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Ratios'!$L$8:$P$8</c:f>
              <c:numCache>
                <c:formatCode>General</c:formatCode>
                <c:ptCount val="5"/>
                <c:pt idx="0">
                  <c:v>0.63</c:v>
                </c:pt>
                <c:pt idx="1">
                  <c:v>0.85</c:v>
                </c:pt>
                <c:pt idx="2">
                  <c:v>0.88</c:v>
                </c:pt>
                <c:pt idx="3">
                  <c:v>0.99</c:v>
                </c:pt>
                <c:pt idx="4">
                  <c:v>1.1100000000000001</c:v>
                </c:pt>
              </c:numCache>
            </c:numRef>
          </c:val>
          <c:extLst>
            <c:ext xmlns:c16="http://schemas.microsoft.com/office/drawing/2014/chart" uri="{C3380CC4-5D6E-409C-BE32-E72D297353CC}">
              <c16:uniqueId val="{00000001-7782-4E44-910F-4CAC4B6317E0}"/>
            </c:ext>
          </c:extLst>
        </c:ser>
        <c:ser>
          <c:idx val="2"/>
          <c:order val="2"/>
          <c:tx>
            <c:strRef>
              <c:f>'Gearing Ratios'!$K$9</c:f>
              <c:strCache>
                <c:ptCount val="1"/>
                <c:pt idx="0">
                  <c:v>Debt to Capital Ratio</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Ratios'!$L$9:$P$9</c:f>
              <c:numCache>
                <c:formatCode>General</c:formatCode>
                <c:ptCount val="5"/>
                <c:pt idx="0">
                  <c:v>0.39</c:v>
                </c:pt>
                <c:pt idx="1">
                  <c:v>0.46</c:v>
                </c:pt>
                <c:pt idx="2">
                  <c:v>0.47</c:v>
                </c:pt>
                <c:pt idx="3">
                  <c:v>0.5</c:v>
                </c:pt>
                <c:pt idx="4">
                  <c:v>0.53</c:v>
                </c:pt>
              </c:numCache>
            </c:numRef>
          </c:val>
          <c:extLst>
            <c:ext xmlns:c16="http://schemas.microsoft.com/office/drawing/2014/chart" uri="{C3380CC4-5D6E-409C-BE32-E72D297353CC}">
              <c16:uniqueId val="{00000002-7782-4E44-910F-4CAC4B6317E0}"/>
            </c:ext>
          </c:extLst>
        </c:ser>
        <c:ser>
          <c:idx val="3"/>
          <c:order val="3"/>
          <c:tx>
            <c:strRef>
              <c:f>'Gearing Ratios'!$K$10</c:f>
              <c:strCache>
                <c:ptCount val="1"/>
                <c:pt idx="0">
                  <c:v>Equity Multiplier</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cat>
            <c:numRef>
              <c:f>'Gearing Ratios'!$L$6:$P$6</c:f>
              <c:numCache>
                <c:formatCode>General</c:formatCode>
                <c:ptCount val="5"/>
                <c:pt idx="0">
                  <c:v>2020</c:v>
                </c:pt>
                <c:pt idx="1">
                  <c:v>2021</c:v>
                </c:pt>
                <c:pt idx="2">
                  <c:v>2022</c:v>
                </c:pt>
                <c:pt idx="3">
                  <c:v>2023</c:v>
                </c:pt>
                <c:pt idx="4">
                  <c:v>2024</c:v>
                </c:pt>
              </c:numCache>
            </c:numRef>
          </c:cat>
          <c:val>
            <c:numRef>
              <c:f>'Gearing Ratios'!$L$10:$P$10</c:f>
              <c:numCache>
                <c:formatCode>General</c:formatCode>
                <c:ptCount val="5"/>
                <c:pt idx="0">
                  <c:v>1.63</c:v>
                </c:pt>
                <c:pt idx="1">
                  <c:v>1.85</c:v>
                </c:pt>
                <c:pt idx="2">
                  <c:v>1.88</c:v>
                </c:pt>
                <c:pt idx="3">
                  <c:v>1.99</c:v>
                </c:pt>
                <c:pt idx="4">
                  <c:v>2.11</c:v>
                </c:pt>
              </c:numCache>
            </c:numRef>
          </c:val>
          <c:extLst>
            <c:ext xmlns:c16="http://schemas.microsoft.com/office/drawing/2014/chart" uri="{C3380CC4-5D6E-409C-BE32-E72D297353CC}">
              <c16:uniqueId val="{00000003-7782-4E44-910F-4CAC4B6317E0}"/>
            </c:ext>
          </c:extLst>
        </c:ser>
        <c:dLbls>
          <c:showLegendKey val="0"/>
          <c:showVal val="0"/>
          <c:showCatName val="0"/>
          <c:showSerName val="0"/>
          <c:showPercent val="0"/>
          <c:showBubbleSize val="0"/>
        </c:dLbls>
        <c:gapWidth val="150"/>
        <c:overlap val="100"/>
        <c:axId val="835098656"/>
        <c:axId val="835110720"/>
      </c:barChart>
      <c:catAx>
        <c:axId val="83509865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35110720"/>
        <c:crosses val="autoZero"/>
        <c:auto val="1"/>
        <c:lblAlgn val="ctr"/>
        <c:lblOffset val="100"/>
        <c:noMultiLvlLbl val="0"/>
      </c:catAx>
      <c:valAx>
        <c:axId val="835110720"/>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35098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Investment Ratios (2020–2024)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'Investment Ratio '!$L$9</c:f>
              <c:strCache>
                <c:ptCount val="1"/>
                <c:pt idx="0">
                  <c:v>Return on Equity (ROE)</c:v>
                </c:pt>
              </c:strCache>
            </c:strRef>
          </c:tx>
          <c:spPr>
            <a:solidFill>
              <a:schemeClr val="accent6"/>
            </a:solidFill>
            <a:ln>
              <a:noFill/>
            </a:ln>
            <a:effectLst/>
            <a:sp3d/>
          </c:spPr>
          <c:invertIfNegative val="0"/>
          <c:cat>
            <c:multiLvlStrRef>
              <c:f>'Investment Ratio '!$M$4:$Q$8</c:f>
              <c:multiLvlStrCache>
                <c:ptCount val="5"/>
                <c:lvl>
                  <c:pt idx="0">
                    <c:v>17.99</c:v>
                  </c:pt>
                  <c:pt idx="1">
                    <c:v>153.85</c:v>
                  </c:pt>
                  <c:pt idx="2">
                    <c:v>1,500.00</c:v>
                  </c:pt>
                  <c:pt idx="3">
                    <c:v>N/A*</c:v>
                  </c:pt>
                  <c:pt idx="4">
                    <c:v>N/A*</c:v>
                  </c:pt>
                </c:lvl>
                <c:lvl>
                  <c:pt idx="0">
                    <c:v>2.78</c:v>
                  </c:pt>
                  <c:pt idx="1">
                    <c:v>0.39</c:v>
                  </c:pt>
                  <c:pt idx="2">
                    <c:v>0.03</c:v>
                  </c:pt>
                  <c:pt idx="3">
                    <c:v>-7.64</c:v>
                  </c:pt>
                  <c:pt idx="4">
                    <c:v>-1.85</c:v>
                  </c:pt>
                </c:lvl>
                <c:lvl>
                  <c:pt idx="0">
                    <c:v>2020</c:v>
                  </c:pt>
                  <c:pt idx="1">
                    <c:v>2021</c:v>
                  </c:pt>
                  <c:pt idx="2">
                    <c:v>2022</c:v>
                  </c:pt>
                  <c:pt idx="3">
                    <c:v>2023</c:v>
                  </c:pt>
                  <c:pt idx="4">
                    <c:v>2024</c:v>
                  </c:pt>
                </c:lvl>
              </c:multiLvlStrCache>
            </c:multiLvlStrRef>
          </c:cat>
          <c:val>
            <c:numRef>
              <c:f>'Investment Ratio '!$M$9:$Q$9</c:f>
              <c:numCache>
                <c:formatCode>0.00%</c:formatCode>
                <c:ptCount val="5"/>
                <c:pt idx="0">
                  <c:v>0.1231</c:v>
                </c:pt>
                <c:pt idx="1">
                  <c:v>1.9199999999999998E-2</c:v>
                </c:pt>
                <c:pt idx="2">
                  <c:v>1.5E-3</c:v>
                </c:pt>
                <c:pt idx="3" formatCode="General">
                  <c:v>-0.54910000000000003</c:v>
                </c:pt>
                <c:pt idx="4" formatCode="General">
                  <c:v>-0.15690000000000001</c:v>
                </c:pt>
              </c:numCache>
            </c:numRef>
          </c:val>
          <c:extLst>
            <c:ext xmlns:c16="http://schemas.microsoft.com/office/drawing/2014/chart" uri="{C3380CC4-5D6E-409C-BE32-E72D297353CC}">
              <c16:uniqueId val="{00000000-8071-4964-803C-7950A49DE78F}"/>
            </c:ext>
          </c:extLst>
        </c:ser>
        <c:ser>
          <c:idx val="1"/>
          <c:order val="1"/>
          <c:tx>
            <c:strRef>
              <c:f>'Investment Ratio '!$L$10</c:f>
              <c:strCache>
                <c:ptCount val="1"/>
                <c:pt idx="0">
                  <c:v>Return on Assets (ROA)</c:v>
                </c:pt>
              </c:strCache>
            </c:strRef>
          </c:tx>
          <c:spPr>
            <a:solidFill>
              <a:schemeClr val="accent5"/>
            </a:solidFill>
            <a:ln>
              <a:noFill/>
            </a:ln>
            <a:effectLst/>
            <a:sp3d/>
          </c:spPr>
          <c:invertIfNegative val="0"/>
          <c:cat>
            <c:multiLvlStrRef>
              <c:f>'Investment Ratio '!$M$4:$Q$8</c:f>
              <c:multiLvlStrCache>
                <c:ptCount val="5"/>
                <c:lvl>
                  <c:pt idx="0">
                    <c:v>17.99</c:v>
                  </c:pt>
                  <c:pt idx="1">
                    <c:v>153.85</c:v>
                  </c:pt>
                  <c:pt idx="2">
                    <c:v>1,500.00</c:v>
                  </c:pt>
                  <c:pt idx="3">
                    <c:v>N/A*</c:v>
                  </c:pt>
                  <c:pt idx="4">
                    <c:v>N/A*</c:v>
                  </c:pt>
                </c:lvl>
                <c:lvl>
                  <c:pt idx="0">
                    <c:v>2.78</c:v>
                  </c:pt>
                  <c:pt idx="1">
                    <c:v>0.39</c:v>
                  </c:pt>
                  <c:pt idx="2">
                    <c:v>0.03</c:v>
                  </c:pt>
                  <c:pt idx="3">
                    <c:v>-7.64</c:v>
                  </c:pt>
                  <c:pt idx="4">
                    <c:v>-1.85</c:v>
                  </c:pt>
                </c:lvl>
                <c:lvl>
                  <c:pt idx="0">
                    <c:v>2020</c:v>
                  </c:pt>
                  <c:pt idx="1">
                    <c:v>2021</c:v>
                  </c:pt>
                  <c:pt idx="2">
                    <c:v>2022</c:v>
                  </c:pt>
                  <c:pt idx="3">
                    <c:v>2023</c:v>
                  </c:pt>
                  <c:pt idx="4">
                    <c:v>2024</c:v>
                  </c:pt>
                </c:lvl>
              </c:multiLvlStrCache>
            </c:multiLvlStrRef>
          </c:cat>
          <c:val>
            <c:numRef>
              <c:f>'Investment Ratio '!$M$10:$Q$10</c:f>
              <c:numCache>
                <c:formatCode>General</c:formatCode>
                <c:ptCount val="5"/>
                <c:pt idx="0">
                  <c:v>7.5600000000000001E-2</c:v>
                </c:pt>
                <c:pt idx="1">
                  <c:v>1.04E-2</c:v>
                </c:pt>
                <c:pt idx="2">
                  <c:v>8.0000000000000004E-4</c:v>
                </c:pt>
                <c:pt idx="3">
                  <c:v>-0.27600000000000002</c:v>
                </c:pt>
                <c:pt idx="4">
                  <c:v>-7.4300000000000005E-2</c:v>
                </c:pt>
              </c:numCache>
            </c:numRef>
          </c:val>
          <c:extLst>
            <c:ext xmlns:c16="http://schemas.microsoft.com/office/drawing/2014/chart" uri="{C3380CC4-5D6E-409C-BE32-E72D297353CC}">
              <c16:uniqueId val="{00000001-8071-4964-803C-7950A49DE78F}"/>
            </c:ext>
          </c:extLst>
        </c:ser>
        <c:ser>
          <c:idx val="2"/>
          <c:order val="2"/>
          <c:tx>
            <c:strRef>
              <c:f>'Investment Ratio '!$L$7</c:f>
              <c:strCache>
                <c:ptCount val="1"/>
                <c:pt idx="0">
                  <c:v>Earnings per Share (EPS) (£)</c:v>
                </c:pt>
              </c:strCache>
            </c:strRef>
          </c:tx>
          <c:spPr>
            <a:solidFill>
              <a:schemeClr val="accent4"/>
            </a:solidFill>
            <a:ln>
              <a:noFill/>
            </a:ln>
            <a:effectLst/>
            <a:sp3d/>
          </c:spPr>
          <c:invertIfNegative val="0"/>
          <c:val>
            <c:numLit>
              <c:formatCode>General</c:formatCode>
              <c:ptCount val="1"/>
              <c:pt idx="0">
                <c:v>1</c:v>
              </c:pt>
            </c:numLit>
          </c:val>
          <c:extLst>
            <c:ext xmlns:c16="http://schemas.microsoft.com/office/drawing/2014/chart" uri="{C3380CC4-5D6E-409C-BE32-E72D297353CC}">
              <c16:uniqueId val="{00000002-8071-4964-803C-7950A49DE78F}"/>
            </c:ext>
          </c:extLst>
        </c:ser>
        <c:ser>
          <c:idx val="3"/>
          <c:order val="3"/>
          <c:tx>
            <c:strRef>
              <c:f>'Investment Ratio '!$L$8</c:f>
              <c:strCache>
                <c:ptCount val="1"/>
                <c:pt idx="0">
                  <c:v>Price–Earnings Ratio</c:v>
                </c:pt>
              </c:strCache>
            </c:strRef>
          </c:tx>
          <c:spPr>
            <a:solidFill>
              <a:schemeClr val="accent6">
                <a:lumMod val="60000"/>
              </a:schemeClr>
            </a:solidFill>
            <a:ln>
              <a:noFill/>
            </a:ln>
            <a:effectLst/>
            <a:sp3d/>
          </c:spPr>
          <c:invertIfNegative val="0"/>
          <c:val>
            <c:numRef>
              <c:f>'Investment Ratio '!$M$8:$Q$8</c:f>
              <c:numCache>
                <c:formatCode>General</c:formatCode>
                <c:ptCount val="5"/>
                <c:pt idx="0">
                  <c:v>17.989999999999998</c:v>
                </c:pt>
                <c:pt idx="1">
                  <c:v>153.85</c:v>
                </c:pt>
                <c:pt idx="2" formatCode="#,##0.00">
                  <c:v>1500</c:v>
                </c:pt>
                <c:pt idx="3">
                  <c:v>0</c:v>
                </c:pt>
                <c:pt idx="4">
                  <c:v>0</c:v>
                </c:pt>
              </c:numCache>
            </c:numRef>
          </c:val>
          <c:extLst>
            <c:ext xmlns:c16="http://schemas.microsoft.com/office/drawing/2014/chart" uri="{C3380CC4-5D6E-409C-BE32-E72D297353CC}">
              <c16:uniqueId val="{00000003-8071-4964-803C-7950A49DE78F}"/>
            </c:ext>
          </c:extLst>
        </c:ser>
        <c:dLbls>
          <c:showLegendKey val="0"/>
          <c:showVal val="0"/>
          <c:showCatName val="0"/>
          <c:showSerName val="0"/>
          <c:showPercent val="0"/>
          <c:showBubbleSize val="0"/>
        </c:dLbls>
        <c:gapWidth val="150"/>
        <c:shape val="box"/>
        <c:axId val="1332363839"/>
        <c:axId val="1332364319"/>
        <c:axId val="0"/>
      </c:bar3DChart>
      <c:catAx>
        <c:axId val="13323638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364319"/>
        <c:crosses val="autoZero"/>
        <c:auto val="1"/>
        <c:lblAlgn val="ctr"/>
        <c:lblOffset val="100"/>
        <c:noMultiLvlLbl val="0"/>
      </c:catAx>
      <c:valAx>
        <c:axId val="13323643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363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1" i="0" u="none" strike="noStrike" baseline="0">
                <a:effectLst/>
              </a:rPr>
              <a:t>Cash Flow Ratios (2020–2024) </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'Cash Flow Ratios'!$I$8</c:f>
              <c:strCache>
                <c:ptCount val="1"/>
                <c:pt idx="0">
                  <c:v>Operating Cash Flow Ratio</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'Cash Flow Ratios'!$J$7:$N$7</c:f>
              <c:numCache>
                <c:formatCode>General</c:formatCode>
                <c:ptCount val="5"/>
                <c:pt idx="0">
                  <c:v>2020</c:v>
                </c:pt>
                <c:pt idx="1">
                  <c:v>2021</c:v>
                </c:pt>
                <c:pt idx="2">
                  <c:v>2022</c:v>
                </c:pt>
                <c:pt idx="3">
                  <c:v>2023</c:v>
                </c:pt>
                <c:pt idx="4">
                  <c:v>2024</c:v>
                </c:pt>
              </c:numCache>
            </c:numRef>
          </c:cat>
          <c:val>
            <c:numRef>
              <c:f>'Cash Flow Ratios'!$J$8:$N$8</c:f>
              <c:numCache>
                <c:formatCode>General</c:formatCode>
                <c:ptCount val="5"/>
                <c:pt idx="0">
                  <c:v>0.41</c:v>
                </c:pt>
                <c:pt idx="1">
                  <c:v>0.19</c:v>
                </c:pt>
                <c:pt idx="2">
                  <c:v>0.05</c:v>
                </c:pt>
                <c:pt idx="3">
                  <c:v>0.16</c:v>
                </c:pt>
                <c:pt idx="4">
                  <c:v>0.09</c:v>
                </c:pt>
              </c:numCache>
            </c:numRef>
          </c:val>
          <c:extLst>
            <c:ext xmlns:c16="http://schemas.microsoft.com/office/drawing/2014/chart" uri="{C3380CC4-5D6E-409C-BE32-E72D297353CC}">
              <c16:uniqueId val="{00000000-CCE5-4CEC-A65E-D05CDE33A630}"/>
            </c:ext>
          </c:extLst>
        </c:ser>
        <c:ser>
          <c:idx val="1"/>
          <c:order val="1"/>
          <c:tx>
            <c:strRef>
              <c:f>'Cash Flow Ratios'!$I$9</c:f>
              <c:strCache>
                <c:ptCount val="1"/>
                <c:pt idx="0">
                  <c:v>Cash Flow to Debt Ratio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'Cash Flow Ratios'!$J$7:$N$7</c:f>
              <c:numCache>
                <c:formatCode>General</c:formatCode>
                <c:ptCount val="5"/>
                <c:pt idx="0">
                  <c:v>2020</c:v>
                </c:pt>
                <c:pt idx="1">
                  <c:v>2021</c:v>
                </c:pt>
                <c:pt idx="2">
                  <c:v>2022</c:v>
                </c:pt>
                <c:pt idx="3">
                  <c:v>2023</c:v>
                </c:pt>
                <c:pt idx="4">
                  <c:v>2024</c:v>
                </c:pt>
              </c:numCache>
            </c:numRef>
          </c:cat>
          <c:val>
            <c:numRef>
              <c:f>'Cash Flow Ratios'!$J$9:$N$9</c:f>
              <c:numCache>
                <c:formatCode>General</c:formatCode>
                <c:ptCount val="5"/>
                <c:pt idx="0">
                  <c:v>0.37</c:v>
                </c:pt>
                <c:pt idx="1">
                  <c:v>0.17</c:v>
                </c:pt>
                <c:pt idx="2">
                  <c:v>0.05</c:v>
                </c:pt>
                <c:pt idx="3">
                  <c:v>0.14000000000000001</c:v>
                </c:pt>
                <c:pt idx="4">
                  <c:v>0.09</c:v>
                </c:pt>
              </c:numCache>
            </c:numRef>
          </c:val>
          <c:extLst>
            <c:ext xmlns:c16="http://schemas.microsoft.com/office/drawing/2014/chart" uri="{C3380CC4-5D6E-409C-BE32-E72D297353CC}">
              <c16:uniqueId val="{00000001-CCE5-4CEC-A65E-D05CDE33A630}"/>
            </c:ext>
          </c:extLst>
        </c:ser>
        <c:ser>
          <c:idx val="2"/>
          <c:order val="2"/>
          <c:tx>
            <c:strRef>
              <c:f>'Cash Flow Ratios'!$I$10</c:f>
              <c:strCache>
                <c:ptCount val="1"/>
                <c:pt idx="0">
                  <c:v>Cash Flow Margin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'Cash Flow Ratios'!$J$7:$N$7</c:f>
              <c:numCache>
                <c:formatCode>General</c:formatCode>
                <c:ptCount val="5"/>
                <c:pt idx="0">
                  <c:v>2020</c:v>
                </c:pt>
                <c:pt idx="1">
                  <c:v>2021</c:v>
                </c:pt>
                <c:pt idx="2">
                  <c:v>2022</c:v>
                </c:pt>
                <c:pt idx="3">
                  <c:v>2023</c:v>
                </c:pt>
                <c:pt idx="4">
                  <c:v>2024</c:v>
                </c:pt>
              </c:numCache>
            </c:numRef>
          </c:cat>
          <c:val>
            <c:numRef>
              <c:f>'Cash Flow Ratios'!$J$10:$N$10</c:f>
              <c:numCache>
                <c:formatCode>0.00%</c:formatCode>
                <c:ptCount val="5"/>
                <c:pt idx="0">
                  <c:v>0.11940000000000001</c:v>
                </c:pt>
                <c:pt idx="1">
                  <c:v>6.7000000000000004E-2</c:v>
                </c:pt>
                <c:pt idx="2">
                  <c:v>2.01E-2</c:v>
                </c:pt>
                <c:pt idx="3">
                  <c:v>5.9900000000000002E-2</c:v>
                </c:pt>
                <c:pt idx="4">
                  <c:v>3.7499999999999999E-2</c:v>
                </c:pt>
              </c:numCache>
            </c:numRef>
          </c:val>
          <c:extLst>
            <c:ext xmlns:c16="http://schemas.microsoft.com/office/drawing/2014/chart" uri="{C3380CC4-5D6E-409C-BE32-E72D297353CC}">
              <c16:uniqueId val="{00000002-CCE5-4CEC-A65E-D05CDE33A630}"/>
            </c:ext>
          </c:extLst>
        </c:ser>
        <c:dLbls>
          <c:showLegendKey val="0"/>
          <c:showVal val="0"/>
          <c:showCatName val="0"/>
          <c:showSerName val="0"/>
          <c:showPercent val="0"/>
          <c:showBubbleSize val="0"/>
        </c:dLbls>
        <c:gapWidth val="150"/>
        <c:shape val="box"/>
        <c:axId val="756703008"/>
        <c:axId val="756697600"/>
        <c:axId val="0"/>
      </c:bar3DChart>
      <c:catAx>
        <c:axId val="75670300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6697600"/>
        <c:crosses val="autoZero"/>
        <c:auto val="1"/>
        <c:lblAlgn val="ctr"/>
        <c:lblOffset val="100"/>
        <c:noMultiLvlLbl val="0"/>
      </c:catAx>
      <c:valAx>
        <c:axId val="75669760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56703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lgn="ju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49ACF-2FC2-466C-B178-651309086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8888</Words>
  <Characters>50663</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moinul hasan</dc:creator>
  <cp:keywords/>
  <dc:description/>
  <cp:lastModifiedBy>moinul hasan</cp:lastModifiedBy>
  <cp:revision>2</cp:revision>
  <dcterms:created xsi:type="dcterms:W3CDTF">2025-12-22T01:26:00Z</dcterms:created>
  <dcterms:modified xsi:type="dcterms:W3CDTF">2025-12-22T01:26:00Z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b834bfa0-8fd9-4f34-85d9-78e28c19fcb5</vt:lpwstr>
  </property>
</Properties>
</file>