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151F1" w14:textId="77777777" w:rsidR="00DF073A" w:rsidRPr="00027219" w:rsidRDefault="00DF073A" w:rsidP="00027219">
      <w:pPr>
        <w:spacing w:line="240" w:lineRule="auto"/>
      </w:pPr>
    </w:p>
    <w:p w14:paraId="6B2E47C8" w14:textId="77777777" w:rsidR="00CE4CA0" w:rsidRPr="00027219" w:rsidRDefault="00CE4CA0" w:rsidP="00027219">
      <w:pPr>
        <w:spacing w:line="240" w:lineRule="auto"/>
        <w:rPr>
          <w:b/>
          <w:bCs/>
        </w:rPr>
      </w:pPr>
      <w:r w:rsidRPr="00027219">
        <w:rPr>
          <w:b/>
          <w:bCs/>
        </w:rPr>
        <w:t>Level 3 Foundation Certificate in People Practice</w:t>
      </w:r>
    </w:p>
    <w:p w14:paraId="6984A8A8" w14:textId="7EBDE20C" w:rsidR="00CE4CA0" w:rsidRPr="00027219" w:rsidRDefault="00CE4CA0" w:rsidP="00027219">
      <w:pPr>
        <w:spacing w:line="240" w:lineRule="auto"/>
        <w:rPr>
          <w:u w:val="single"/>
        </w:rPr>
      </w:pPr>
      <w:r w:rsidRPr="00027219">
        <w:rPr>
          <w:sz w:val="22"/>
          <w:szCs w:val="22"/>
        </w:rPr>
        <w:t>3CO02</w:t>
      </w:r>
      <w:r w:rsidRPr="00027219">
        <w:rPr>
          <w:u w:val="single"/>
        </w:rPr>
        <w:t xml:space="preserve"> </w:t>
      </w:r>
      <w:r w:rsidRPr="00027219">
        <w:rPr>
          <w:sz w:val="22"/>
          <w:szCs w:val="22"/>
        </w:rPr>
        <w:t xml:space="preserve">Principles of Analytics </w:t>
      </w:r>
    </w:p>
    <w:p w14:paraId="5C4B6A4B" w14:textId="0485C4C7" w:rsidR="00CE4CA0" w:rsidRPr="00027219" w:rsidRDefault="00CE4CA0" w:rsidP="00027219">
      <w:pPr>
        <w:spacing w:after="0" w:line="240" w:lineRule="auto"/>
        <w:contextualSpacing/>
      </w:pPr>
      <w:r w:rsidRPr="00027219">
        <w:rPr>
          <w:b/>
          <w:bCs/>
        </w:rPr>
        <w:t>Q1.</w:t>
      </w:r>
      <w:r w:rsidRPr="00027219">
        <w:t xml:space="preserve"> Explain what evidence-based practice is and provide </w:t>
      </w:r>
      <w:r w:rsidRPr="00027219">
        <w:rPr>
          <w:b/>
          <w:bCs/>
        </w:rPr>
        <w:t>two</w:t>
      </w:r>
      <w:r w:rsidRPr="00027219">
        <w:t xml:space="preserve"> examples of how Company X could apply it.  (AC 1.1)</w:t>
      </w:r>
    </w:p>
    <w:p w14:paraId="567CB090" w14:textId="77777777" w:rsidR="00CE4CA0" w:rsidRPr="00027219" w:rsidRDefault="00CE4CA0" w:rsidP="00027219">
      <w:pPr>
        <w:spacing w:after="0" w:line="240" w:lineRule="auto"/>
        <w:contextualSpacing/>
      </w:pPr>
    </w:p>
    <w:p w14:paraId="58BECFD7" w14:textId="78A181D8" w:rsidR="00CE4CA0" w:rsidRPr="00027219" w:rsidRDefault="00CE4CA0" w:rsidP="00027219">
      <w:pPr>
        <w:spacing w:after="0" w:line="240" w:lineRule="auto"/>
        <w:contextualSpacing/>
      </w:pPr>
      <w:r w:rsidRPr="00027219">
        <w:t>Evidence based practice</w:t>
      </w:r>
      <w:r w:rsidR="00C409BE" w:rsidRPr="00027219">
        <w:t xml:space="preserve"> (EBP)</w:t>
      </w:r>
      <w:r w:rsidRPr="00027219">
        <w:t xml:space="preserve"> involves making informed decisions using reliable evidence rather than intuition or gut feeling. This is likely to involve using multiple sources of information and applying critical thinking before making decisions based on fact and best available evidence. </w:t>
      </w:r>
      <w:r w:rsidR="009305EA" w:rsidRPr="00027219">
        <w:t>Barends</w:t>
      </w:r>
      <w:r w:rsidR="00C409BE" w:rsidRPr="00027219">
        <w:t>,</w:t>
      </w:r>
      <w:r w:rsidR="009305EA" w:rsidRPr="00027219">
        <w:t xml:space="preserve"> Rousseau and Briner (2014)</w:t>
      </w:r>
      <w:r w:rsidR="000109BC" w:rsidRPr="00027219">
        <w:t xml:space="preserve"> identify four sources of evidence to review. Scientific such as empirical studies and that published in academic journals; organisational- data from the organisation itself; professional - knowledge accumulated over time from people within an organisation; and stakeholder- the values and concerns of people affected by decisions which could include employees, customers or the wider community.</w:t>
      </w:r>
    </w:p>
    <w:p w14:paraId="49D5C7AF" w14:textId="77777777" w:rsidR="00AB7401" w:rsidRPr="00027219" w:rsidRDefault="00AB7401" w:rsidP="00027219">
      <w:pPr>
        <w:spacing w:after="0" w:line="240" w:lineRule="auto"/>
        <w:contextualSpacing/>
      </w:pPr>
    </w:p>
    <w:p w14:paraId="7121D980" w14:textId="7457E9A3" w:rsidR="00AB7401" w:rsidRPr="00027219" w:rsidRDefault="00AB7401" w:rsidP="00027219">
      <w:pPr>
        <w:spacing w:after="0" w:line="240" w:lineRule="auto"/>
        <w:contextualSpacing/>
      </w:pPr>
      <w:r w:rsidRPr="00027219">
        <w:t xml:space="preserve">Briner (2019) further provides a six-step approach </w:t>
      </w:r>
      <w:r w:rsidR="003409B2" w:rsidRPr="00027219">
        <w:t>to EBP</w:t>
      </w:r>
    </w:p>
    <w:p w14:paraId="1C02AF3A" w14:textId="77777777" w:rsidR="003409B2" w:rsidRPr="00027219" w:rsidRDefault="003409B2" w:rsidP="00027219">
      <w:pPr>
        <w:spacing w:after="0" w:line="240" w:lineRule="auto"/>
        <w:contextualSpacing/>
      </w:pPr>
    </w:p>
    <w:p w14:paraId="28F0C8D4" w14:textId="7AF0B35A" w:rsidR="003409B2" w:rsidRPr="00027219" w:rsidRDefault="003409B2" w:rsidP="00027219">
      <w:pPr>
        <w:pStyle w:val="ListParagraph"/>
        <w:numPr>
          <w:ilvl w:val="0"/>
          <w:numId w:val="1"/>
        </w:numPr>
        <w:spacing w:after="0" w:line="240" w:lineRule="auto"/>
      </w:pPr>
      <w:r w:rsidRPr="00027219">
        <w:t>Asking- turning an issue into a question</w:t>
      </w:r>
    </w:p>
    <w:p w14:paraId="270FA645" w14:textId="302423E3" w:rsidR="003409B2" w:rsidRPr="00027219" w:rsidRDefault="003409B2" w:rsidP="00027219">
      <w:pPr>
        <w:pStyle w:val="ListParagraph"/>
        <w:numPr>
          <w:ilvl w:val="0"/>
          <w:numId w:val="1"/>
        </w:numPr>
        <w:spacing w:after="0" w:line="240" w:lineRule="auto"/>
      </w:pPr>
      <w:r w:rsidRPr="00027219">
        <w:t>Acquiring- retrieving evidence</w:t>
      </w:r>
    </w:p>
    <w:p w14:paraId="03D44AD8" w14:textId="642A817F" w:rsidR="003409B2" w:rsidRPr="00027219" w:rsidRDefault="003409B2" w:rsidP="00027219">
      <w:pPr>
        <w:pStyle w:val="ListParagraph"/>
        <w:numPr>
          <w:ilvl w:val="0"/>
          <w:numId w:val="1"/>
        </w:numPr>
        <w:spacing w:after="0" w:line="240" w:lineRule="auto"/>
      </w:pPr>
      <w:r w:rsidRPr="00027219">
        <w:t>Appraising- quality checking</w:t>
      </w:r>
    </w:p>
    <w:p w14:paraId="76E60D32" w14:textId="7AD4E5AC" w:rsidR="003409B2" w:rsidRPr="00027219" w:rsidRDefault="003409B2" w:rsidP="00027219">
      <w:pPr>
        <w:pStyle w:val="ListParagraph"/>
        <w:numPr>
          <w:ilvl w:val="0"/>
          <w:numId w:val="1"/>
        </w:numPr>
        <w:spacing w:after="0" w:line="240" w:lineRule="auto"/>
      </w:pPr>
      <w:r w:rsidRPr="00027219">
        <w:t>Aggregating- w</w:t>
      </w:r>
      <w:r w:rsidR="005A29E8" w:rsidRPr="00027219">
        <w:t>e</w:t>
      </w:r>
      <w:r w:rsidRPr="00027219">
        <w:t>ighing up the evidence</w:t>
      </w:r>
    </w:p>
    <w:p w14:paraId="6F38066E" w14:textId="2B4A41CB" w:rsidR="003409B2" w:rsidRPr="00027219" w:rsidRDefault="003409B2" w:rsidP="00027219">
      <w:pPr>
        <w:pStyle w:val="ListParagraph"/>
        <w:numPr>
          <w:ilvl w:val="0"/>
          <w:numId w:val="1"/>
        </w:numPr>
        <w:spacing w:after="0" w:line="240" w:lineRule="auto"/>
      </w:pPr>
      <w:r w:rsidRPr="00027219">
        <w:t>Applying- incorporating the evidence</w:t>
      </w:r>
    </w:p>
    <w:p w14:paraId="2F729F12" w14:textId="3998DFAF" w:rsidR="003409B2" w:rsidRPr="00027219" w:rsidRDefault="003409B2" w:rsidP="00027219">
      <w:pPr>
        <w:pStyle w:val="ListParagraph"/>
        <w:numPr>
          <w:ilvl w:val="0"/>
          <w:numId w:val="1"/>
        </w:numPr>
        <w:spacing w:after="0" w:line="240" w:lineRule="auto"/>
      </w:pPr>
      <w:r w:rsidRPr="00027219">
        <w:t>Assessing- evaluating</w:t>
      </w:r>
    </w:p>
    <w:p w14:paraId="6367BCCA" w14:textId="77777777" w:rsidR="00C409BE" w:rsidRPr="00027219" w:rsidRDefault="00C409BE" w:rsidP="00027219">
      <w:pPr>
        <w:spacing w:after="0" w:line="240" w:lineRule="auto"/>
        <w:contextualSpacing/>
      </w:pPr>
    </w:p>
    <w:p w14:paraId="4A836E3E" w14:textId="420CA9A5" w:rsidR="00C409BE" w:rsidRPr="00027219" w:rsidRDefault="00C409BE" w:rsidP="00027219">
      <w:pPr>
        <w:spacing w:after="0" w:line="240" w:lineRule="auto"/>
        <w:contextualSpacing/>
      </w:pPr>
      <w:r w:rsidRPr="00027219">
        <w:t>Company X could apply EBP to review and analyse customer satisfaction surveys to refine o</w:t>
      </w:r>
      <w:r w:rsidR="005A29E8" w:rsidRPr="00027219">
        <w:t>r</w:t>
      </w:r>
      <w:r w:rsidRPr="00027219">
        <w:t xml:space="preserve"> redesign services that better meet client needs rather than relying on assumptions about what customers want.</w:t>
      </w:r>
    </w:p>
    <w:p w14:paraId="5BF1C1F9" w14:textId="77777777" w:rsidR="00C409BE" w:rsidRPr="00027219" w:rsidRDefault="00C409BE" w:rsidP="00027219">
      <w:pPr>
        <w:spacing w:after="0" w:line="240" w:lineRule="auto"/>
        <w:contextualSpacing/>
      </w:pPr>
    </w:p>
    <w:p w14:paraId="6FE643F1" w14:textId="12075FC4" w:rsidR="009305EA" w:rsidRPr="00027219" w:rsidRDefault="00C409BE" w:rsidP="00027219">
      <w:pPr>
        <w:spacing w:after="0" w:line="240" w:lineRule="auto"/>
        <w:contextualSpacing/>
      </w:pPr>
      <w:r w:rsidRPr="00027219">
        <w:t xml:space="preserve">A second example could be using organisational data to support recommendations made to clients about absence management. </w:t>
      </w:r>
      <w:r w:rsidR="001C56D6" w:rsidRPr="00027219">
        <w:t>A</w:t>
      </w:r>
      <w:r w:rsidRPr="00027219">
        <w:t>nalysing absence records, patterns and trends</w:t>
      </w:r>
      <w:r w:rsidR="001C56D6" w:rsidRPr="00027219">
        <w:t xml:space="preserve"> could allow </w:t>
      </w:r>
      <w:r w:rsidRPr="00027219">
        <w:t xml:space="preserve">Company X </w:t>
      </w:r>
      <w:r w:rsidR="001C56D6" w:rsidRPr="00027219">
        <w:t>to</w:t>
      </w:r>
      <w:r w:rsidRPr="00027219">
        <w:t xml:space="preserve"> provide data-driven advice to clients. This could </w:t>
      </w:r>
      <w:r w:rsidR="001C56D6" w:rsidRPr="00027219">
        <w:t xml:space="preserve">then </w:t>
      </w:r>
      <w:r w:rsidRPr="00027219">
        <w:t>be supported by academic research on absence reduction strategies and professional experience to recommend targeted interventions, such as wellbeing initiatives or management training.</w:t>
      </w:r>
    </w:p>
    <w:p w14:paraId="06CD496D" w14:textId="77777777" w:rsidR="00CE4CA0" w:rsidRPr="00027219" w:rsidRDefault="00CE4CA0" w:rsidP="00027219">
      <w:pPr>
        <w:spacing w:after="0" w:line="240" w:lineRule="auto"/>
        <w:contextualSpacing/>
        <w:rPr>
          <w:rFonts w:ascii="Trebuchet MS" w:hAnsi="Trebuchet MS"/>
        </w:rPr>
      </w:pPr>
    </w:p>
    <w:p w14:paraId="2214A9D8" w14:textId="1F7CD031" w:rsidR="00BC6E2E" w:rsidRPr="00027219" w:rsidRDefault="00BC6E2E" w:rsidP="00027219">
      <w:pPr>
        <w:spacing w:after="0" w:line="240" w:lineRule="auto"/>
        <w:contextualSpacing/>
      </w:pPr>
      <w:r w:rsidRPr="00027219">
        <w:rPr>
          <w:b/>
          <w:bCs/>
        </w:rPr>
        <w:t>Q2.</w:t>
      </w:r>
      <w:r w:rsidRPr="00027219">
        <w:t xml:space="preserve"> Explain the importance of using data at Company X to accurately determine problems and issues. (AC 1.2)</w:t>
      </w:r>
    </w:p>
    <w:p w14:paraId="7DFA7775" w14:textId="77777777" w:rsidR="001041DB" w:rsidRDefault="001041DB" w:rsidP="00027219">
      <w:pPr>
        <w:spacing w:line="240" w:lineRule="auto"/>
      </w:pPr>
    </w:p>
    <w:p w14:paraId="387BDAAD" w14:textId="3E708711" w:rsidR="000E6C05" w:rsidRPr="00027219" w:rsidRDefault="000E6C05" w:rsidP="00027219">
      <w:pPr>
        <w:spacing w:line="240" w:lineRule="auto"/>
      </w:pPr>
      <w:r w:rsidRPr="00027219">
        <w:t xml:space="preserve">As a provider of HR solutions, it is important that Company X bases its advice and decision-making on </w:t>
      </w:r>
      <w:r w:rsidR="00D63844" w:rsidRPr="00027219">
        <w:t xml:space="preserve">valid and </w:t>
      </w:r>
      <w:r w:rsidRPr="00027219">
        <w:t>reliable data to ensure recommendations are credible, objective and effective. Using accurate data allows issues to be identified based on evidence rather than assumptions, gut feeling, opinions or anecdotal evidence, reducing bias and supporting rational decisions.</w:t>
      </w:r>
    </w:p>
    <w:p w14:paraId="4E45BC4B" w14:textId="4878F996" w:rsidR="000E6C05" w:rsidRPr="00027219" w:rsidRDefault="000E6C05" w:rsidP="00027219">
      <w:pPr>
        <w:spacing w:line="240" w:lineRule="auto"/>
      </w:pPr>
      <w:r w:rsidRPr="00027219">
        <w:lastRenderedPageBreak/>
        <w:t>Accurate data helps to highlight patterns and trends that may not be immediately visible. For example, analysing absence data can reveal whether high absence levels are linked to specific teams, roles or time periods. This enables Company X to address root causes rather than treat symptoms. Using measures such as turnover rates, engagement survey results or performance data also allows comparisons over time or against benchmarks, supporting consistent, evidence-based decisions across clients and teams.</w:t>
      </w:r>
      <w:r w:rsidR="00D63844" w:rsidRPr="00027219">
        <w:t xml:space="preserve"> </w:t>
      </w:r>
      <w:r w:rsidRPr="00027219">
        <w:t>Poor-quality data could lead to inaccurate conclusions, ineffective recommendations and potential loss of reputation.</w:t>
      </w:r>
    </w:p>
    <w:p w14:paraId="3C70DF92" w14:textId="190ACC21" w:rsidR="00113DB2" w:rsidRPr="00027219" w:rsidRDefault="00113DB2" w:rsidP="00027219">
      <w:pPr>
        <w:spacing w:line="240" w:lineRule="auto"/>
      </w:pPr>
      <w:r w:rsidRPr="00027219">
        <w:t>The importance of using data to challenge assumptions can be demonstrated through my own experience. In my current organisation, concerns were raised that one supervisor’s team had higher attrition than other teams, leading to questions about their management capability. Rather than proceeding directly with performance management, resignation data from the previous 12 months was analysed to identify trends across all teams. While there had been a short-term increase in resignations from this supervisor’s team, longer-term data showed that overall attrition was consistent with other teams. Further analysis of exit interviews demonstrated that the resignations were due to factors outside the supervisor’s control, such as an employee relocating following their partner’s promotion. This evidence prevented an unfair conclusion being drawn and avoided unnecessary disciplinary action.</w:t>
      </w:r>
    </w:p>
    <w:p w14:paraId="60928D3A" w14:textId="2884B085" w:rsidR="00225C1C" w:rsidRPr="00027219" w:rsidRDefault="00225C1C" w:rsidP="00027219">
      <w:pPr>
        <w:spacing w:line="240" w:lineRule="auto"/>
      </w:pPr>
      <w:r w:rsidRPr="00027219">
        <w:t xml:space="preserve">By using data effectively Company X can demonstrate how critically analysing a combination of data, research, expertise and stakeholder views leads to effective evidence-based practice, and ultimately adds value, reduces costs and strengthens the integrity of the </w:t>
      </w:r>
      <w:r w:rsidR="000E6C05" w:rsidRPr="00027219">
        <w:t>organisation.</w:t>
      </w:r>
    </w:p>
    <w:p w14:paraId="4B4B2A21" w14:textId="77777777" w:rsidR="004B78D1" w:rsidRPr="00027219" w:rsidRDefault="00E17007" w:rsidP="00027219">
      <w:pPr>
        <w:spacing w:after="0" w:line="240" w:lineRule="auto"/>
        <w:contextualSpacing/>
      </w:pPr>
      <w:r w:rsidRPr="00027219">
        <w:rPr>
          <w:b/>
          <w:bCs/>
        </w:rPr>
        <w:t>Q3.</w:t>
      </w:r>
      <w:r w:rsidRPr="00027219">
        <w:t xml:space="preserve"> Explain the different types of data measurements that people professionals at Company X could use. (AC 1.3)</w:t>
      </w:r>
    </w:p>
    <w:p w14:paraId="0A29A8E5" w14:textId="77777777" w:rsidR="004B78D1" w:rsidRPr="00027219" w:rsidRDefault="004B78D1" w:rsidP="00027219">
      <w:pPr>
        <w:spacing w:after="0" w:line="240" w:lineRule="auto"/>
        <w:contextualSpacing/>
      </w:pPr>
    </w:p>
    <w:p w14:paraId="2585C835" w14:textId="66987D93" w:rsidR="00E1114C" w:rsidRPr="00027219" w:rsidRDefault="00464DD6" w:rsidP="00027219">
      <w:pPr>
        <w:spacing w:after="0" w:line="240" w:lineRule="auto"/>
        <w:contextualSpacing/>
      </w:pPr>
      <w:r w:rsidRPr="00027219">
        <w:t xml:space="preserve">People professionals at Company X could use a range of data measurements to support effective decision-making and improve people practices. </w:t>
      </w:r>
      <w:r w:rsidR="00530B8C" w:rsidRPr="00027219">
        <w:t>The data could be either quantitative or qualitative.</w:t>
      </w:r>
      <w:r w:rsidR="00AB7629" w:rsidRPr="00027219">
        <w:t xml:space="preserve"> </w:t>
      </w:r>
      <w:r w:rsidR="00530B8C" w:rsidRPr="00027219">
        <w:t>Quantitative data</w:t>
      </w:r>
      <w:r w:rsidR="004B78D1" w:rsidRPr="00027219">
        <w:t xml:space="preserve"> is statistical numerical data that could be either discrete or continuous. This type of data measures trends or patterns over time in areas including absences, diversity representation, attrition and recruitment. Specific examples may include time to hire, absence rates during bad weather</w:t>
      </w:r>
      <w:r w:rsidR="00530B8C" w:rsidRPr="00027219">
        <w:t xml:space="preserve"> or</w:t>
      </w:r>
      <w:r w:rsidR="004B78D1" w:rsidRPr="00027219">
        <w:t xml:space="preserve"> </w:t>
      </w:r>
      <w:r w:rsidR="00530B8C" w:rsidRPr="00027219">
        <w:t>conversion rates of people visiting a website who then make a purchase.</w:t>
      </w:r>
      <w:r w:rsidR="00AB7629" w:rsidRPr="00027219">
        <w:t xml:space="preserve"> </w:t>
      </w:r>
      <w:r w:rsidR="00530B8C" w:rsidRPr="00027219">
        <w:t>Qualitative data is descriptive, opinion-based data. This data may come from exit interviews, grievance statements or employee surveys amongst others. This data is non-statistical and is used to understand feelings or perceptions.</w:t>
      </w:r>
      <w:r w:rsidR="00E1114C" w:rsidRPr="00027219">
        <w:t xml:space="preserve"> Using a combination of different data measurements would allow Company X to build a fuller picture of workforce issues, improving the accuracy of insights and supporting more informed and balanced people-related decisions.</w:t>
      </w:r>
    </w:p>
    <w:p w14:paraId="67C0C7D7" w14:textId="185E5247" w:rsidR="00C00C13" w:rsidRPr="00027219" w:rsidRDefault="00C00C13" w:rsidP="00027219">
      <w:pPr>
        <w:spacing w:after="0" w:line="240" w:lineRule="auto"/>
        <w:contextualSpacing/>
      </w:pPr>
    </w:p>
    <w:p w14:paraId="710F3709" w14:textId="77777777" w:rsidR="00C00C13" w:rsidRPr="00027219" w:rsidRDefault="00C00C13" w:rsidP="00027219">
      <w:pPr>
        <w:spacing w:after="0" w:line="240" w:lineRule="auto"/>
        <w:contextualSpacing/>
      </w:pPr>
    </w:p>
    <w:p w14:paraId="61DAA64A" w14:textId="705F4FB5" w:rsidR="00AB7629" w:rsidRPr="00027219" w:rsidRDefault="00AB7629" w:rsidP="00027219">
      <w:pPr>
        <w:spacing w:after="0" w:line="240" w:lineRule="auto"/>
        <w:contextualSpacing/>
      </w:pPr>
      <w:r w:rsidRPr="00027219">
        <w:t xml:space="preserve">All types of data need to be appraised and analysed, </w:t>
      </w:r>
      <w:proofErr w:type="gramStart"/>
      <w:r w:rsidRPr="00027219">
        <w:t>in order to</w:t>
      </w:r>
      <w:proofErr w:type="gramEnd"/>
      <w:r w:rsidRPr="00027219">
        <w:t xml:space="preserve"> draw conclusions. Appraisal of data ensures data is the best available and there is sufficient data to reach conclusions. </w:t>
      </w:r>
      <w:r w:rsidR="005753F6" w:rsidRPr="00027219">
        <w:t xml:space="preserve">Company X needs to ensure that any data is analysed objectively and consistently to avoid cognitive bias, such as confirmation bias: looking for information </w:t>
      </w:r>
      <w:r w:rsidR="005753F6" w:rsidRPr="00027219">
        <w:lastRenderedPageBreak/>
        <w:t xml:space="preserve">that supports your perception </w:t>
      </w:r>
      <w:r w:rsidRPr="00027219">
        <w:t>or anchoring bias</w:t>
      </w:r>
      <w:r w:rsidR="005753F6" w:rsidRPr="00027219">
        <w:t>:</w:t>
      </w:r>
      <w:r w:rsidRPr="00027219">
        <w:t xml:space="preserve"> relying too heavily on the first piece of information received.</w:t>
      </w:r>
    </w:p>
    <w:p w14:paraId="750E439D" w14:textId="77777777" w:rsidR="005753F6" w:rsidRPr="00027219" w:rsidRDefault="005753F6" w:rsidP="00027219">
      <w:pPr>
        <w:spacing w:after="0" w:line="240" w:lineRule="auto"/>
        <w:contextualSpacing/>
      </w:pPr>
    </w:p>
    <w:p w14:paraId="5067B7F9" w14:textId="329354D9" w:rsidR="005753F6" w:rsidRPr="00027219" w:rsidRDefault="005753F6" w:rsidP="00027219">
      <w:pPr>
        <w:spacing w:after="0" w:line="240" w:lineRule="auto"/>
        <w:contextualSpacing/>
      </w:pPr>
      <w:r w:rsidRPr="00027219">
        <w:t>When collecting and using data measurements, Company X must also ensure data is handled appropriately and in line with data protection legislation, including the Data Protection Act 2018 and GDPR.</w:t>
      </w:r>
    </w:p>
    <w:p w14:paraId="4972C372" w14:textId="77777777" w:rsidR="00E1114C" w:rsidRPr="00027219" w:rsidRDefault="00E1114C" w:rsidP="00027219">
      <w:pPr>
        <w:spacing w:after="0" w:line="240" w:lineRule="auto"/>
        <w:contextualSpacing/>
      </w:pPr>
    </w:p>
    <w:p w14:paraId="11503367" w14:textId="4F11716C" w:rsidR="00E1114C" w:rsidRPr="00027219" w:rsidRDefault="00E1114C" w:rsidP="00027219">
      <w:pPr>
        <w:spacing w:after="0" w:line="240" w:lineRule="auto"/>
        <w:contextualSpacing/>
      </w:pPr>
      <w:r w:rsidRPr="00027219">
        <w:rPr>
          <w:b/>
          <w:bCs/>
        </w:rPr>
        <w:t>Q4.</w:t>
      </w:r>
      <w:r w:rsidRPr="00027219">
        <w:t xml:space="preserve"> Explain how the application of policies and procedures can inform Company X’s decisions. (AC 1.6)</w:t>
      </w:r>
    </w:p>
    <w:p w14:paraId="40234F9E" w14:textId="77777777" w:rsidR="00C20A29" w:rsidRPr="00027219" w:rsidRDefault="00C20A29" w:rsidP="00027219">
      <w:pPr>
        <w:spacing w:after="0" w:line="240" w:lineRule="auto"/>
        <w:contextualSpacing/>
      </w:pPr>
    </w:p>
    <w:p w14:paraId="04EBA62C" w14:textId="62703FB2" w:rsidR="00BF3C93" w:rsidRPr="00027219" w:rsidRDefault="00855197" w:rsidP="00027219">
      <w:pPr>
        <w:spacing w:after="0" w:line="240" w:lineRule="auto"/>
        <w:contextualSpacing/>
      </w:pPr>
      <w:r w:rsidRPr="00027219">
        <w:t>CIPD (2025</w:t>
      </w:r>
      <w:r w:rsidR="005842D3" w:rsidRPr="00027219">
        <w:t>)</w:t>
      </w:r>
      <w:r w:rsidRPr="00027219">
        <w:t xml:space="preserve"> states that, “HR policies provide written guidance on how a wide range of issues are handled within an organisation.” </w:t>
      </w:r>
      <w:r w:rsidR="00611707" w:rsidRPr="00027219">
        <w:t xml:space="preserve">Company X’s policies and procedures define their philosophies, values and organisational culture. </w:t>
      </w:r>
      <w:r w:rsidR="00BF3C93" w:rsidRPr="00027219">
        <w:t>They are a means of achieving expected behaviours, ensuring consistency and legal compliance and providing guidance for making decisions</w:t>
      </w:r>
      <w:r w:rsidR="00C20A29" w:rsidRPr="00027219">
        <w:t xml:space="preserve"> and creating trust between employer and employee. </w:t>
      </w:r>
      <w:r w:rsidR="00BF3C93" w:rsidRPr="00027219">
        <w:t>They inform decision making by providing a framework for handling issues fairly</w:t>
      </w:r>
      <w:r w:rsidR="004E35E7" w:rsidRPr="00027219">
        <w:t>, reducing risk and supporting ethical practice.</w:t>
      </w:r>
      <w:r w:rsidR="008E06D6" w:rsidRPr="00027219">
        <w:t xml:space="preserve"> </w:t>
      </w:r>
      <w:r w:rsidR="002B48E6" w:rsidRPr="00027219">
        <w:t>For example, a disciplinary policy outlines the steps managers must follow when addressing misconduct, ensuring decisions are proportionate, evidence-based and applied consistently. This reduces the risk of unfair treatment and supports compliance with employment legislation. Similarly, grievance procedures guide how employee concerns are raised, investigated and resolved, helping Company X make informed decisions while maintaining trust and transparency.</w:t>
      </w:r>
      <w:r w:rsidR="0018157D" w:rsidRPr="00027219">
        <w:t xml:space="preserve"> Company X’s d</w:t>
      </w:r>
      <w:r w:rsidRPr="00027219">
        <w:t xml:space="preserve">ata protection policies </w:t>
      </w:r>
      <w:r w:rsidR="0018157D" w:rsidRPr="00027219">
        <w:t xml:space="preserve">can </w:t>
      </w:r>
      <w:r w:rsidRPr="00027219">
        <w:t>guid</w:t>
      </w:r>
      <w:r w:rsidR="002B48E6" w:rsidRPr="00027219">
        <w:t>e</w:t>
      </w:r>
      <w:r w:rsidRPr="00027219">
        <w:t xml:space="preserve"> how data is stored and shared </w:t>
      </w:r>
      <w:r w:rsidR="002B48E6" w:rsidRPr="00027219">
        <w:t>ensuring compliance with the Data Protection Act and GDPR.</w:t>
      </w:r>
      <w:r w:rsidR="0018157D" w:rsidRPr="00027219">
        <w:t xml:space="preserve"> Company X’s e</w:t>
      </w:r>
      <w:r w:rsidR="002B48E6" w:rsidRPr="00027219">
        <w:t xml:space="preserve">quality, diversity and inclusion (EDI) policies </w:t>
      </w:r>
      <w:r w:rsidR="0018157D" w:rsidRPr="00027219">
        <w:t xml:space="preserve">can </w:t>
      </w:r>
      <w:r w:rsidR="002B48E6" w:rsidRPr="00027219">
        <w:t>influence decision-making by ensuring recruitment, promotion and reward decisions are fair, objective</w:t>
      </w:r>
      <w:r w:rsidR="0018157D" w:rsidRPr="00027219">
        <w:t>, inclusive</w:t>
      </w:r>
      <w:r w:rsidR="002B48E6" w:rsidRPr="00027219">
        <w:t xml:space="preserve"> and free from discrimination.</w:t>
      </w:r>
    </w:p>
    <w:p w14:paraId="041E72C5" w14:textId="77777777" w:rsidR="002B48E6" w:rsidRPr="00027219" w:rsidRDefault="002B48E6" w:rsidP="00027219">
      <w:pPr>
        <w:spacing w:after="0" w:line="240" w:lineRule="auto"/>
        <w:contextualSpacing/>
      </w:pPr>
    </w:p>
    <w:p w14:paraId="00B07CE6" w14:textId="3CD8C125" w:rsidR="002B48E6" w:rsidRPr="00027219" w:rsidRDefault="0018157D" w:rsidP="00027219">
      <w:pPr>
        <w:spacing w:after="0" w:line="240" w:lineRule="auto"/>
        <w:contextualSpacing/>
      </w:pPr>
      <w:r w:rsidRPr="00027219">
        <w:t xml:space="preserve">By adhering to company policies and procedures Company X can ensure bias is avoided. </w:t>
      </w:r>
      <w:r w:rsidR="002B48E6" w:rsidRPr="00027219">
        <w:t xml:space="preserve">Rousseau </w:t>
      </w:r>
      <w:r w:rsidR="00223109" w:rsidRPr="00027219">
        <w:t>(2020)</w:t>
      </w:r>
      <w:r w:rsidR="00027219" w:rsidRPr="00027219">
        <w:t xml:space="preserve"> states</w:t>
      </w:r>
      <w:r w:rsidR="00223109" w:rsidRPr="00027219">
        <w:t>, “</w:t>
      </w:r>
      <w:r w:rsidR="002B48E6" w:rsidRPr="00027219">
        <w:t>using appropriate organizational decision practices helps overcome both well-established individual biases and biases peculiar to organizations.</w:t>
      </w:r>
      <w:r w:rsidR="00223109" w:rsidRPr="00027219">
        <w:t>”</w:t>
      </w:r>
    </w:p>
    <w:p w14:paraId="0E865625" w14:textId="77777777" w:rsidR="00A50D40" w:rsidRPr="00027219" w:rsidRDefault="00A50D40" w:rsidP="00027219">
      <w:pPr>
        <w:spacing w:after="0" w:line="240" w:lineRule="auto"/>
        <w:contextualSpacing/>
      </w:pPr>
    </w:p>
    <w:p w14:paraId="5D1D0369" w14:textId="46C166C8" w:rsidR="00223109" w:rsidRPr="00027219" w:rsidRDefault="00223109" w:rsidP="00027219">
      <w:pPr>
        <w:spacing w:after="0" w:line="240" w:lineRule="auto"/>
        <w:contextualSpacing/>
      </w:pPr>
      <w:r w:rsidRPr="00027219">
        <w:t>Therefore, the application of policies and procedures can enable Company X to make consistent and well-informed decisions. This protects the organisation from risk and strengthens confidence among employees, clients and wider stakeholders.</w:t>
      </w:r>
    </w:p>
    <w:p w14:paraId="03779966" w14:textId="77777777" w:rsidR="00611707" w:rsidRPr="00027219" w:rsidRDefault="00611707" w:rsidP="00027219">
      <w:pPr>
        <w:spacing w:after="0" w:line="240" w:lineRule="auto"/>
        <w:contextualSpacing/>
      </w:pPr>
    </w:p>
    <w:p w14:paraId="2C22671B" w14:textId="1A658378" w:rsidR="00611707" w:rsidRPr="00027219" w:rsidRDefault="00611707" w:rsidP="00027219">
      <w:pPr>
        <w:spacing w:after="0" w:line="240" w:lineRule="auto"/>
        <w:contextualSpacing/>
      </w:pPr>
      <w:r w:rsidRPr="00027219">
        <w:rPr>
          <w:b/>
          <w:bCs/>
        </w:rPr>
        <w:t>Q5.</w:t>
      </w:r>
      <w:r w:rsidRPr="00027219">
        <w:t xml:space="preserve"> Explain how the people professionals at Company X can create value for their people, their organisation and their wider stakeholders. (AC 2.1)</w:t>
      </w:r>
    </w:p>
    <w:p w14:paraId="799FB7E1" w14:textId="77777777" w:rsidR="00EF0764" w:rsidRPr="00027219" w:rsidRDefault="00EF0764" w:rsidP="00027219">
      <w:pPr>
        <w:spacing w:after="0" w:line="240" w:lineRule="auto"/>
        <w:contextualSpacing/>
      </w:pPr>
    </w:p>
    <w:p w14:paraId="582643B7" w14:textId="48DB08DD" w:rsidR="00EF0764" w:rsidRPr="00027219" w:rsidRDefault="00EF0764" w:rsidP="00027219">
      <w:pPr>
        <w:spacing w:after="0" w:line="240" w:lineRule="auto"/>
        <w:contextualSpacing/>
      </w:pPr>
      <w:r w:rsidRPr="00027219">
        <w:t xml:space="preserve">People professionals at Company X can create value for their people by supporting fair, inclusive and engaging people practices. The development and application of robust recruitment and selection policies, alongside effective onboarding, helps ensure new employees feel supported and are more likely to remain with the organisation. Transparent learning and development policies also add value by enabling employees to understand how they can access development and progression opportunities, increasing motivation, job satisfaction and engagement. In addition, focusing on </w:t>
      </w:r>
      <w:r w:rsidRPr="00027219">
        <w:lastRenderedPageBreak/>
        <w:t xml:space="preserve">employee wellbeing and engagement through methods such as staff surveys or employee consultation groups gives employees a voice, helping </w:t>
      </w:r>
      <w:r w:rsidR="00C55F57">
        <w:t>all colleagues to</w:t>
      </w:r>
      <w:r w:rsidRPr="00027219">
        <w:t xml:space="preserve"> feel valued and supported.</w:t>
      </w:r>
    </w:p>
    <w:p w14:paraId="23C52D17" w14:textId="77777777" w:rsidR="00DA1F97" w:rsidRPr="00027219" w:rsidRDefault="00DA1F97" w:rsidP="00027219">
      <w:pPr>
        <w:spacing w:after="0" w:line="240" w:lineRule="auto"/>
        <w:contextualSpacing/>
      </w:pPr>
    </w:p>
    <w:p w14:paraId="51F208C0" w14:textId="1A7E7EC9" w:rsidR="00244BDC" w:rsidRPr="00027219" w:rsidRDefault="00EF0764" w:rsidP="00027219">
      <w:pPr>
        <w:spacing w:after="0" w:line="240" w:lineRule="auto"/>
        <w:contextualSpacing/>
      </w:pPr>
      <w:r w:rsidRPr="00027219">
        <w:t>For the organisation, people professionals add value by improving workforce capability and performance. A skilled, engaged workforce is more productive, makes fewer errors, has increased efficiency and is better able to meet organisational objectives. Robust policies and procedures can also reduce risk by supporting consistent management practices, lowering employee turnover and absence, and avoiding costly employment tribunal claims. These practices contribute to a positive employer brand and can help Company X become an employer of choice.</w:t>
      </w:r>
    </w:p>
    <w:p w14:paraId="639ECC3E" w14:textId="77777777" w:rsidR="00EF0764" w:rsidRPr="00027219" w:rsidRDefault="00EF0764" w:rsidP="00027219">
      <w:pPr>
        <w:spacing w:after="0" w:line="240" w:lineRule="auto"/>
        <w:contextualSpacing/>
      </w:pPr>
    </w:p>
    <w:p w14:paraId="5A37D965" w14:textId="00668E16" w:rsidR="00C20A29" w:rsidRPr="00027219" w:rsidRDefault="00EF0764" w:rsidP="00027219">
      <w:pPr>
        <w:spacing w:after="0" w:line="240" w:lineRule="auto"/>
        <w:contextualSpacing/>
      </w:pPr>
      <w:r w:rsidRPr="00027219">
        <w:t>People professionals at Company X also create value for wider stakeholders, including clients and the wider community. By providing accurate, ethical and evidence-based HR advice, Company X supports its clients in meeting legal and best practice standards. This strengthens client relationships, protects organisational reputations and contributes to sustainable and responsible business practices.</w:t>
      </w:r>
    </w:p>
    <w:p w14:paraId="0B2D83E7" w14:textId="77777777" w:rsidR="00EF0764" w:rsidRPr="00027219" w:rsidRDefault="00EF0764" w:rsidP="00027219">
      <w:pPr>
        <w:spacing w:line="240" w:lineRule="auto"/>
      </w:pPr>
    </w:p>
    <w:p w14:paraId="20B7C935" w14:textId="47943947" w:rsidR="002D609F" w:rsidRPr="00027219" w:rsidRDefault="002D609F" w:rsidP="00027219">
      <w:pPr>
        <w:spacing w:after="0" w:line="240" w:lineRule="auto"/>
        <w:contextualSpacing/>
      </w:pPr>
      <w:r w:rsidRPr="00027219">
        <w:rPr>
          <w:b/>
          <w:bCs/>
        </w:rPr>
        <w:t>Q6.</w:t>
      </w:r>
      <w:r w:rsidRPr="00027219">
        <w:t xml:space="preserve"> Imagine that you have been successful in your application for the role at Company X. Summarise the ways that you could be customer focused and standards driven in your new role, drawing on your previous experience, as necessary. (AC 2.2)</w:t>
      </w:r>
    </w:p>
    <w:p w14:paraId="766766CA" w14:textId="77777777" w:rsidR="002F6509" w:rsidRPr="00027219" w:rsidRDefault="002F6509" w:rsidP="00027219">
      <w:pPr>
        <w:spacing w:after="0" w:line="240" w:lineRule="auto"/>
        <w:contextualSpacing/>
      </w:pPr>
    </w:p>
    <w:p w14:paraId="4A88966A" w14:textId="6D5A2644" w:rsidR="002F6509" w:rsidRPr="00027219" w:rsidRDefault="002F6509" w:rsidP="00027219">
      <w:pPr>
        <w:spacing w:after="0" w:line="240" w:lineRule="auto"/>
        <w:contextualSpacing/>
      </w:pPr>
      <w:r w:rsidRPr="00027219">
        <w:t>In my role as People Analytics Administrator at Company X, I will take a customer-focused and standards-driven approach, drawing on my previous experience as a training and recruitment manager</w:t>
      </w:r>
      <w:r w:rsidR="00D76209">
        <w:t xml:space="preserve"> in a hospitality business meant the customer was at the heart of our business. I had to</w:t>
      </w:r>
      <w:r w:rsidRPr="00027219">
        <w:t xml:space="preserve"> understand the needs</w:t>
      </w:r>
      <w:r w:rsidR="00D76209">
        <w:t xml:space="preserve"> and expectations</w:t>
      </w:r>
      <w:r w:rsidRPr="00027219">
        <w:t xml:space="preserve"> of </w:t>
      </w:r>
      <w:r w:rsidR="00D76209">
        <w:t>customers and recruit and train teams accordingly. This involved analysing guest feedback with regards to housekeeping and conducting audits of cleanliness. A</w:t>
      </w:r>
      <w:r w:rsidRPr="00027219">
        <w:t>ccurate, timely and relevant data support</w:t>
      </w:r>
      <w:r w:rsidR="00D76209">
        <w:t>ed</w:t>
      </w:r>
      <w:r w:rsidRPr="00027219">
        <w:t xml:space="preserve"> informed decision-making. </w:t>
      </w:r>
      <w:r w:rsidR="00D76209">
        <w:t xml:space="preserve">This </w:t>
      </w:r>
      <w:r w:rsidR="009A390F">
        <w:t>led</w:t>
      </w:r>
      <w:r w:rsidR="00D76209">
        <w:t xml:space="preserve"> to the creation of a housekeeping specific onboarding and training process and efficiency driven training for all housekeepers. </w:t>
      </w:r>
      <w:r w:rsidRPr="00027219">
        <w:t xml:space="preserve">My previous experience has demonstrated that I can communicate clearly, manage expectations and deliver services within agreed timescales, and I </w:t>
      </w:r>
      <w:r w:rsidR="00D76209">
        <w:t>will</w:t>
      </w:r>
      <w:r w:rsidRPr="00027219">
        <w:t xml:space="preserve"> </w:t>
      </w:r>
      <w:r w:rsidR="00D76209">
        <w:t xml:space="preserve">continue to </w:t>
      </w:r>
      <w:r w:rsidRPr="00027219">
        <w:t>apply these skills when responding to data requests and producing reports for clients.</w:t>
      </w:r>
    </w:p>
    <w:p w14:paraId="01E6ED34" w14:textId="77777777" w:rsidR="002F6509" w:rsidRPr="00027219" w:rsidRDefault="002F6509" w:rsidP="00027219">
      <w:pPr>
        <w:spacing w:after="0" w:line="240" w:lineRule="auto"/>
        <w:contextualSpacing/>
      </w:pPr>
    </w:p>
    <w:p w14:paraId="3622255F" w14:textId="3761EE83" w:rsidR="00726C8E" w:rsidRDefault="00726C8E" w:rsidP="00027219">
      <w:pPr>
        <w:spacing w:after="0" w:line="240" w:lineRule="auto"/>
        <w:contextualSpacing/>
      </w:pPr>
      <w:r>
        <w:t xml:space="preserve">My previous role was standards driven. I implemented a new training and feedback system where housekeepers during their </w:t>
      </w:r>
      <w:r w:rsidR="009A390F">
        <w:t>8-week</w:t>
      </w:r>
      <w:r>
        <w:t xml:space="preserve"> training programme were given regular feedback on performance to keep standards high. For example, housekeepers were given a WAGOLL (what a good one looks like) booklet of expected outcomes such as what a </w:t>
      </w:r>
      <w:r w:rsidR="009A390F">
        <w:t>well-made</w:t>
      </w:r>
      <w:r>
        <w:t xml:space="preserve"> bed looks like. Housekeepers could then compare their work against expected standards. This enabled training needs to be identified quickly and staff to feel supported in continuous improvement.</w:t>
      </w:r>
    </w:p>
    <w:p w14:paraId="4AA0C1CA" w14:textId="3B44A791" w:rsidR="002F6509" w:rsidRPr="00027219" w:rsidRDefault="002F6509" w:rsidP="00027219">
      <w:pPr>
        <w:spacing w:after="0" w:line="240" w:lineRule="auto"/>
        <w:contextualSpacing/>
      </w:pPr>
      <w:r w:rsidRPr="00027219">
        <w:t xml:space="preserve">I ensure that my </w:t>
      </w:r>
      <w:r w:rsidR="00726C8E">
        <w:t xml:space="preserve">own </w:t>
      </w:r>
      <w:r w:rsidRPr="00027219">
        <w:t xml:space="preserve">work is standards driven by maintaining high levels of accuracy, confidentiality and professionalism when handling people data. Having previously managed recruitment and training records, I am experienced in working in line with organisational policies, data protection legislation and GDPR. I routinely check data for </w:t>
      </w:r>
      <w:r w:rsidRPr="00027219">
        <w:lastRenderedPageBreak/>
        <w:t>accuracy and completeness to ensure that information used for analysis is reliable and can be trusted by clients and colleagues.</w:t>
      </w:r>
    </w:p>
    <w:p w14:paraId="52B4D203" w14:textId="77777777" w:rsidR="00027219" w:rsidRDefault="00027219" w:rsidP="00027219">
      <w:pPr>
        <w:tabs>
          <w:tab w:val="left" w:pos="709"/>
        </w:tabs>
        <w:spacing w:after="0" w:line="240" w:lineRule="auto"/>
        <w:rPr>
          <w:b/>
        </w:rPr>
      </w:pPr>
    </w:p>
    <w:p w14:paraId="4005767F" w14:textId="27AA7E1C" w:rsidR="00C6049F" w:rsidRPr="00027219" w:rsidRDefault="00C6049F" w:rsidP="00027219">
      <w:pPr>
        <w:tabs>
          <w:tab w:val="left" w:pos="709"/>
        </w:tabs>
        <w:spacing w:after="0" w:line="240" w:lineRule="auto"/>
        <w:rPr>
          <w:rFonts w:eastAsia="Times New Roman" w:cs="Times New Roman"/>
          <w:lang w:eastAsia="en-GB"/>
        </w:rPr>
      </w:pPr>
      <w:r w:rsidRPr="00027219">
        <w:rPr>
          <w:b/>
        </w:rPr>
        <w:t>Q7.</w:t>
      </w:r>
      <w:r w:rsidRPr="00027219">
        <w:rPr>
          <w:rFonts w:eastAsia="Times New Roman" w:cs="Times New Roman"/>
          <w:lang w:eastAsia="en-GB"/>
        </w:rPr>
        <w:t xml:space="preserve"> The excel table shows the hours of overtime worked over a four-week period for one of Company X’s clients, Blue Mountain Patisserie. </w:t>
      </w:r>
    </w:p>
    <w:p w14:paraId="2C9FB8A2" w14:textId="77777777" w:rsidR="00C6049F" w:rsidRPr="00027219" w:rsidRDefault="00C6049F" w:rsidP="00027219">
      <w:pPr>
        <w:spacing w:before="100" w:beforeAutospacing="1" w:after="100" w:afterAutospacing="1" w:line="240" w:lineRule="auto"/>
        <w:rPr>
          <w:rFonts w:eastAsia="Times New Roman" w:cs="Times New Roman"/>
          <w:lang w:eastAsia="en-GB"/>
        </w:rPr>
      </w:pPr>
      <w:r w:rsidRPr="00027219">
        <w:rPr>
          <w:rFonts w:eastAsia="Times New Roman" w:cs="Times New Roman"/>
          <w:lang w:eastAsia="en-GB"/>
        </w:rPr>
        <w:t xml:space="preserve">      Your task is to:</w:t>
      </w:r>
    </w:p>
    <w:p w14:paraId="067AF82C" w14:textId="77777777" w:rsidR="00C6049F" w:rsidRPr="00027219" w:rsidRDefault="00C6049F" w:rsidP="00027219">
      <w:pPr>
        <w:numPr>
          <w:ilvl w:val="0"/>
          <w:numId w:val="2"/>
        </w:numPr>
        <w:tabs>
          <w:tab w:val="left" w:pos="426"/>
        </w:tabs>
        <w:spacing w:before="100" w:beforeAutospacing="1" w:after="100" w:afterAutospacing="1" w:line="240" w:lineRule="auto"/>
        <w:rPr>
          <w:rFonts w:eastAsia="Times New Roman" w:cs="Times New Roman"/>
          <w:lang w:eastAsia="en-GB"/>
        </w:rPr>
      </w:pPr>
      <w:r w:rsidRPr="00027219">
        <w:rPr>
          <w:rFonts w:eastAsia="Times New Roman" w:cs="Times New Roman"/>
          <w:lang w:eastAsia="en-GB"/>
        </w:rPr>
        <w:t>calculate the average number of overtime hours worked by each employee during the four-week period.</w:t>
      </w:r>
    </w:p>
    <w:p w14:paraId="368F50E1" w14:textId="77777777" w:rsidR="00C6049F" w:rsidRPr="00027219" w:rsidRDefault="00C6049F" w:rsidP="00027219">
      <w:pPr>
        <w:numPr>
          <w:ilvl w:val="0"/>
          <w:numId w:val="2"/>
        </w:numPr>
        <w:spacing w:before="100" w:beforeAutospacing="1" w:after="100" w:afterAutospacing="1" w:line="240" w:lineRule="auto"/>
        <w:rPr>
          <w:rFonts w:eastAsia="Times New Roman" w:cs="Times New Roman"/>
          <w:lang w:eastAsia="en-GB"/>
        </w:rPr>
      </w:pPr>
      <w:r w:rsidRPr="00027219">
        <w:rPr>
          <w:rFonts w:eastAsia="Times New Roman" w:cs="Times New Roman"/>
          <w:lang w:eastAsia="en-GB"/>
        </w:rPr>
        <w:t>calculate the average overtime hours as a percentage of the normal working hours.</w:t>
      </w:r>
    </w:p>
    <w:p w14:paraId="331E979D" w14:textId="77777777" w:rsidR="00C6049F" w:rsidRDefault="00C6049F" w:rsidP="00027219">
      <w:pPr>
        <w:numPr>
          <w:ilvl w:val="0"/>
          <w:numId w:val="2"/>
        </w:numPr>
        <w:spacing w:before="100" w:beforeAutospacing="1" w:after="100" w:afterAutospacing="1" w:line="240" w:lineRule="auto"/>
        <w:rPr>
          <w:rFonts w:eastAsia="Times New Roman" w:cs="Times New Roman"/>
          <w:lang w:eastAsia="en-GB"/>
        </w:rPr>
      </w:pPr>
      <w:r w:rsidRPr="00027219">
        <w:rPr>
          <w:rFonts w:eastAsia="Times New Roman" w:cs="Times New Roman"/>
          <w:lang w:eastAsia="en-GB"/>
        </w:rPr>
        <w:t>analyse the results and provide written comments on any issues that the data has revealed suggesting potential problems and solutions. (AC 1.4)</w:t>
      </w:r>
    </w:p>
    <w:p w14:paraId="5B17FEB5" w14:textId="29074317" w:rsidR="00027219" w:rsidRPr="0051105D" w:rsidRDefault="00027219" w:rsidP="0051105D">
      <w:pPr>
        <w:spacing w:before="100" w:beforeAutospacing="1" w:after="100" w:afterAutospacing="1" w:line="240" w:lineRule="auto"/>
        <w:rPr>
          <w:rFonts w:eastAsia="Times New Roman" w:cs="Times New Roman"/>
          <w:lang w:eastAsia="en-GB"/>
        </w:rPr>
      </w:pPr>
      <w:r w:rsidRPr="0051105D">
        <w:rPr>
          <w:rFonts w:eastAsia="Times New Roman" w:cs="Times New Roman"/>
          <w:lang w:eastAsia="en-GB"/>
        </w:rPr>
        <w:t xml:space="preserve">By inserting the formula below into column H and dragging it down the column I was able </w:t>
      </w:r>
      <w:r w:rsidR="0051105D" w:rsidRPr="0051105D">
        <w:rPr>
          <w:rFonts w:eastAsia="Times New Roman" w:cs="Times New Roman"/>
          <w:lang w:eastAsia="en-GB"/>
        </w:rPr>
        <w:t>to calculate the average number of overtime hours worked by each employee during the four-week period.</w:t>
      </w:r>
    </w:p>
    <w:p w14:paraId="710B8C83" w14:textId="1EDCB893" w:rsidR="00C6049F" w:rsidRDefault="00027219" w:rsidP="00027219">
      <w:pPr>
        <w:spacing w:before="100" w:beforeAutospacing="1" w:after="100" w:afterAutospacing="1" w:line="240" w:lineRule="auto"/>
        <w:rPr>
          <w:rFonts w:eastAsia="Times New Roman" w:cs="Times New Roman"/>
          <w:lang w:eastAsia="en-GB"/>
        </w:rPr>
      </w:pPr>
      <w:r w:rsidRPr="00027219">
        <w:rPr>
          <w:rFonts w:eastAsia="Times New Roman" w:cs="Times New Roman"/>
          <w:lang w:eastAsia="en-GB"/>
        </w:rPr>
        <w:drawing>
          <wp:inline distT="0" distB="0" distL="0" distR="0" wp14:anchorId="14A1AB3C" wp14:editId="3280EDC5">
            <wp:extent cx="1781424" cy="342948"/>
            <wp:effectExtent l="19050" t="19050" r="28575" b="19050"/>
            <wp:docPr id="2146484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84445" name=""/>
                    <pic:cNvPicPr/>
                  </pic:nvPicPr>
                  <pic:blipFill>
                    <a:blip r:embed="rId7"/>
                    <a:stretch>
                      <a:fillRect/>
                    </a:stretch>
                  </pic:blipFill>
                  <pic:spPr>
                    <a:xfrm>
                      <a:off x="0" y="0"/>
                      <a:ext cx="1781424" cy="342948"/>
                    </a:xfrm>
                    <a:prstGeom prst="rect">
                      <a:avLst/>
                    </a:prstGeom>
                    <a:ln w="15875">
                      <a:solidFill>
                        <a:schemeClr val="accent1"/>
                      </a:solidFill>
                    </a:ln>
                  </pic:spPr>
                </pic:pic>
              </a:graphicData>
            </a:graphic>
          </wp:inline>
        </w:drawing>
      </w:r>
    </w:p>
    <w:p w14:paraId="2946C029" w14:textId="77777777" w:rsidR="0051105D" w:rsidRDefault="0051105D" w:rsidP="0051105D">
      <w:pPr>
        <w:spacing w:before="100" w:beforeAutospacing="1" w:after="100" w:afterAutospacing="1" w:line="240" w:lineRule="auto"/>
        <w:rPr>
          <w:rFonts w:eastAsia="Times New Roman" w:cs="Times New Roman"/>
          <w:lang w:eastAsia="en-GB"/>
        </w:rPr>
      </w:pPr>
      <w:r>
        <w:rPr>
          <w:rFonts w:eastAsia="Times New Roman" w:cs="Times New Roman"/>
          <w:lang w:eastAsia="en-GB"/>
        </w:rPr>
        <w:t xml:space="preserve">By inserting the formula below into </w:t>
      </w:r>
      <w:proofErr w:type="gramStart"/>
      <w:r>
        <w:rPr>
          <w:rFonts w:eastAsia="Times New Roman" w:cs="Times New Roman"/>
          <w:lang w:eastAsia="en-GB"/>
        </w:rPr>
        <w:t>column</w:t>
      </w:r>
      <w:proofErr w:type="gramEnd"/>
      <w:r>
        <w:rPr>
          <w:rFonts w:eastAsia="Times New Roman" w:cs="Times New Roman"/>
          <w:lang w:eastAsia="en-GB"/>
        </w:rPr>
        <w:t xml:space="preserve"> I and dragging it down the column I was able to calculate </w:t>
      </w:r>
      <w:r w:rsidRPr="00027219">
        <w:rPr>
          <w:rFonts w:eastAsia="Times New Roman" w:cs="Times New Roman"/>
          <w:lang w:eastAsia="en-GB"/>
        </w:rPr>
        <w:t>the average overtime hours as a percentage of the normal working hours.</w:t>
      </w:r>
    </w:p>
    <w:p w14:paraId="53F4490B" w14:textId="377929F3" w:rsidR="0051105D" w:rsidRDefault="0051105D" w:rsidP="0051105D">
      <w:pPr>
        <w:spacing w:before="100" w:beforeAutospacing="1" w:after="100" w:afterAutospacing="1" w:line="240" w:lineRule="auto"/>
        <w:rPr>
          <w:rFonts w:eastAsia="Times New Roman" w:cs="Times New Roman"/>
          <w:lang w:eastAsia="en-GB"/>
        </w:rPr>
      </w:pPr>
      <w:r w:rsidRPr="0051105D">
        <w:rPr>
          <w:rFonts w:eastAsia="Times New Roman" w:cs="Times New Roman"/>
          <w:lang w:eastAsia="en-GB"/>
        </w:rPr>
        <w:drawing>
          <wp:inline distT="0" distB="0" distL="0" distR="0" wp14:anchorId="3E4B1D95" wp14:editId="30E51478">
            <wp:extent cx="905001" cy="295316"/>
            <wp:effectExtent l="19050" t="19050" r="28575" b="28575"/>
            <wp:docPr id="200595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54041" name=""/>
                    <pic:cNvPicPr/>
                  </pic:nvPicPr>
                  <pic:blipFill>
                    <a:blip r:embed="rId8"/>
                    <a:stretch>
                      <a:fillRect/>
                    </a:stretch>
                  </pic:blipFill>
                  <pic:spPr>
                    <a:xfrm>
                      <a:off x="0" y="0"/>
                      <a:ext cx="905001" cy="295316"/>
                    </a:xfrm>
                    <a:prstGeom prst="rect">
                      <a:avLst/>
                    </a:prstGeom>
                    <a:ln w="15875">
                      <a:solidFill>
                        <a:schemeClr val="accent1"/>
                      </a:solidFill>
                    </a:ln>
                  </pic:spPr>
                </pic:pic>
              </a:graphicData>
            </a:graphic>
          </wp:inline>
        </w:drawing>
      </w:r>
    </w:p>
    <w:p w14:paraId="7E8F1BE5" w14:textId="6E979835" w:rsidR="00027219" w:rsidRDefault="0051105D" w:rsidP="00027219">
      <w:pPr>
        <w:spacing w:before="100" w:beforeAutospacing="1" w:after="100" w:afterAutospacing="1" w:line="240" w:lineRule="auto"/>
        <w:rPr>
          <w:rFonts w:eastAsia="Times New Roman" w:cs="Times New Roman"/>
          <w:lang w:eastAsia="en-GB"/>
        </w:rPr>
      </w:pPr>
      <w:r>
        <w:rPr>
          <w:rFonts w:eastAsia="Times New Roman" w:cs="Times New Roman"/>
          <w:lang w:eastAsia="en-GB"/>
        </w:rPr>
        <w:t>I represented the result as a percentage by formatting the cells, thus:</w:t>
      </w:r>
      <w:r w:rsidR="00027219" w:rsidRPr="00027219">
        <w:rPr>
          <w:rFonts w:eastAsia="Times New Roman" w:cs="Times New Roman"/>
          <w:lang w:eastAsia="en-GB"/>
        </w:rPr>
        <w:drawing>
          <wp:inline distT="0" distB="0" distL="0" distR="0" wp14:anchorId="1D45BD55" wp14:editId="00D82E86">
            <wp:extent cx="3486150" cy="3476882"/>
            <wp:effectExtent l="19050" t="19050" r="19050" b="28575"/>
            <wp:docPr id="10104153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15374" name="Picture 1" descr="A screenshot of a computer&#10;&#10;AI-generated content may be incorrect."/>
                    <pic:cNvPicPr/>
                  </pic:nvPicPr>
                  <pic:blipFill>
                    <a:blip r:embed="rId9"/>
                    <a:stretch>
                      <a:fillRect/>
                    </a:stretch>
                  </pic:blipFill>
                  <pic:spPr>
                    <a:xfrm>
                      <a:off x="0" y="0"/>
                      <a:ext cx="3504917" cy="3495599"/>
                    </a:xfrm>
                    <a:prstGeom prst="rect">
                      <a:avLst/>
                    </a:prstGeom>
                    <a:ln w="15875">
                      <a:solidFill>
                        <a:schemeClr val="accent1"/>
                      </a:solidFill>
                    </a:ln>
                  </pic:spPr>
                </pic:pic>
              </a:graphicData>
            </a:graphic>
          </wp:inline>
        </w:drawing>
      </w:r>
    </w:p>
    <w:p w14:paraId="4971EAA6" w14:textId="77777777" w:rsidR="002B6EA7" w:rsidRDefault="002B6EA7" w:rsidP="002B6EA7">
      <w:pPr>
        <w:spacing w:before="100" w:beforeAutospacing="1" w:after="100" w:afterAutospacing="1" w:line="240" w:lineRule="auto"/>
        <w:rPr>
          <w:rFonts w:eastAsia="Times New Roman" w:cs="Times New Roman"/>
          <w:lang w:eastAsia="en-GB"/>
        </w:rPr>
        <w:sectPr w:rsidR="002B6EA7" w:rsidSect="002B6EA7">
          <w:headerReference w:type="default" r:id="rId10"/>
          <w:pgSz w:w="11906" w:h="16838"/>
          <w:pgMar w:top="1440" w:right="1440" w:bottom="1440" w:left="1440" w:header="708" w:footer="708" w:gutter="0"/>
          <w:cols w:space="708"/>
          <w:docGrid w:linePitch="360"/>
        </w:sectPr>
      </w:pPr>
    </w:p>
    <w:p w14:paraId="56FD6943" w14:textId="02E0BE77" w:rsidR="0051105D" w:rsidRDefault="0051105D" w:rsidP="002B6EA7">
      <w:pPr>
        <w:spacing w:before="100" w:beforeAutospacing="1" w:after="100" w:afterAutospacing="1" w:line="240" w:lineRule="auto"/>
        <w:rPr>
          <w:rFonts w:eastAsia="Times New Roman" w:cs="Times New Roman"/>
          <w:lang w:eastAsia="en-GB"/>
        </w:rPr>
      </w:pPr>
      <w:r>
        <w:rPr>
          <w:rFonts w:eastAsia="Times New Roman" w:cs="Times New Roman"/>
          <w:lang w:eastAsia="en-GB"/>
        </w:rPr>
        <w:lastRenderedPageBreak/>
        <w:t>The resultant sheet now looks like this:</w:t>
      </w:r>
    </w:p>
    <w:tbl>
      <w:tblPr>
        <w:tblW w:w="14754" w:type="dxa"/>
        <w:tblLook w:val="04A0" w:firstRow="1" w:lastRow="0" w:firstColumn="1" w:lastColumn="0" w:noHBand="0" w:noVBand="1"/>
      </w:tblPr>
      <w:tblGrid>
        <w:gridCol w:w="1901"/>
        <w:gridCol w:w="1733"/>
        <w:gridCol w:w="1184"/>
        <w:gridCol w:w="1184"/>
        <w:gridCol w:w="1184"/>
        <w:gridCol w:w="1184"/>
        <w:gridCol w:w="1606"/>
        <w:gridCol w:w="2105"/>
        <w:gridCol w:w="2673"/>
      </w:tblGrid>
      <w:tr w:rsidR="004332A7" w:rsidRPr="0051105D" w14:paraId="373CA4F8" w14:textId="77777777" w:rsidTr="004332A7">
        <w:trPr>
          <w:trHeight w:val="426"/>
        </w:trPr>
        <w:tc>
          <w:tcPr>
            <w:tcW w:w="14754" w:type="dxa"/>
            <w:gridSpan w:val="9"/>
            <w:vMerge w:val="restart"/>
            <w:tcBorders>
              <w:top w:val="nil"/>
              <w:left w:val="nil"/>
              <w:bottom w:val="nil"/>
              <w:right w:val="single" w:sz="4" w:space="0" w:color="520D5D"/>
            </w:tcBorders>
            <w:shd w:val="clear" w:color="000000" w:fill="DDCCE6"/>
            <w:noWrap/>
            <w:vAlign w:val="center"/>
            <w:hideMark/>
          </w:tcPr>
          <w:p w14:paraId="0AA0006A" w14:textId="77777777" w:rsidR="004332A7" w:rsidRPr="0051105D" w:rsidRDefault="004332A7" w:rsidP="0051105D">
            <w:pPr>
              <w:spacing w:after="0" w:line="240" w:lineRule="auto"/>
              <w:jc w:val="center"/>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 xml:space="preserve">Hours of overtime worked over a </w:t>
            </w:r>
            <w:proofErr w:type="gramStart"/>
            <w:r w:rsidRPr="0051105D">
              <w:rPr>
                <w:rFonts w:ascii="Calibri" w:eastAsia="Times New Roman" w:hAnsi="Calibri" w:cs="Calibri"/>
                <w:b/>
                <w:bCs/>
                <w:color w:val="520D5D"/>
                <w:kern w:val="0"/>
                <w:lang w:eastAsia="en-GB"/>
                <w14:ligatures w14:val="none"/>
              </w:rPr>
              <w:t>four week</w:t>
            </w:r>
            <w:proofErr w:type="gramEnd"/>
            <w:r w:rsidRPr="0051105D">
              <w:rPr>
                <w:rFonts w:ascii="Calibri" w:eastAsia="Times New Roman" w:hAnsi="Calibri" w:cs="Calibri"/>
                <w:b/>
                <w:bCs/>
                <w:color w:val="520D5D"/>
                <w:kern w:val="0"/>
                <w:lang w:eastAsia="en-GB"/>
                <w14:ligatures w14:val="none"/>
              </w:rPr>
              <w:t xml:space="preserve"> period for Blue Mountain Patisserie</w:t>
            </w:r>
          </w:p>
        </w:tc>
      </w:tr>
      <w:tr w:rsidR="004332A7" w:rsidRPr="0051105D" w14:paraId="41DBB213" w14:textId="77777777" w:rsidTr="004332A7">
        <w:trPr>
          <w:trHeight w:val="426"/>
        </w:trPr>
        <w:tc>
          <w:tcPr>
            <w:tcW w:w="14754" w:type="dxa"/>
            <w:gridSpan w:val="9"/>
            <w:vMerge/>
            <w:tcBorders>
              <w:top w:val="nil"/>
              <w:left w:val="nil"/>
              <w:bottom w:val="nil"/>
              <w:right w:val="single" w:sz="4" w:space="0" w:color="520D5D"/>
            </w:tcBorders>
            <w:vAlign w:val="center"/>
            <w:hideMark/>
          </w:tcPr>
          <w:p w14:paraId="2C919C5B"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r>
      <w:tr w:rsidR="004332A7" w:rsidRPr="0051105D" w14:paraId="6D2CBFC9" w14:textId="77777777" w:rsidTr="004332A7">
        <w:trPr>
          <w:trHeight w:val="1244"/>
        </w:trPr>
        <w:tc>
          <w:tcPr>
            <w:tcW w:w="1901" w:type="dxa"/>
            <w:tcBorders>
              <w:top w:val="single" w:sz="4" w:space="0" w:color="520D5D"/>
              <w:left w:val="single" w:sz="4" w:space="0" w:color="520D5D"/>
              <w:bottom w:val="single" w:sz="4" w:space="0" w:color="520D5D"/>
              <w:right w:val="single" w:sz="4" w:space="0" w:color="520D5D"/>
            </w:tcBorders>
            <w:shd w:val="clear" w:color="000000" w:fill="DDCCE6"/>
            <w:noWrap/>
            <w:vAlign w:val="center"/>
            <w:hideMark/>
          </w:tcPr>
          <w:p w14:paraId="244B673C"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Department</w:t>
            </w:r>
          </w:p>
        </w:tc>
        <w:tc>
          <w:tcPr>
            <w:tcW w:w="1733" w:type="dxa"/>
            <w:tcBorders>
              <w:top w:val="single" w:sz="4" w:space="0" w:color="520D5D"/>
              <w:left w:val="nil"/>
              <w:bottom w:val="single" w:sz="4" w:space="0" w:color="520D5D"/>
              <w:right w:val="single" w:sz="4" w:space="0" w:color="520D5D"/>
            </w:tcBorders>
            <w:shd w:val="clear" w:color="000000" w:fill="DDCCE6"/>
            <w:noWrap/>
            <w:vAlign w:val="center"/>
            <w:hideMark/>
          </w:tcPr>
          <w:p w14:paraId="7BC42496"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Name</w:t>
            </w:r>
          </w:p>
        </w:tc>
        <w:tc>
          <w:tcPr>
            <w:tcW w:w="1184" w:type="dxa"/>
            <w:tcBorders>
              <w:top w:val="single" w:sz="4" w:space="0" w:color="520D5D"/>
              <w:left w:val="nil"/>
              <w:bottom w:val="single" w:sz="4" w:space="0" w:color="520D5D"/>
              <w:right w:val="single" w:sz="4" w:space="0" w:color="520D5D"/>
            </w:tcBorders>
            <w:shd w:val="clear" w:color="000000" w:fill="DDCCE6"/>
            <w:noWrap/>
            <w:vAlign w:val="center"/>
            <w:hideMark/>
          </w:tcPr>
          <w:p w14:paraId="2EBC8CBF"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Week 1</w:t>
            </w:r>
          </w:p>
        </w:tc>
        <w:tc>
          <w:tcPr>
            <w:tcW w:w="1184" w:type="dxa"/>
            <w:tcBorders>
              <w:top w:val="single" w:sz="4" w:space="0" w:color="520D5D"/>
              <w:left w:val="nil"/>
              <w:bottom w:val="single" w:sz="4" w:space="0" w:color="520D5D"/>
              <w:right w:val="single" w:sz="4" w:space="0" w:color="520D5D"/>
            </w:tcBorders>
            <w:shd w:val="clear" w:color="000000" w:fill="DDCCE6"/>
            <w:noWrap/>
            <w:vAlign w:val="center"/>
            <w:hideMark/>
          </w:tcPr>
          <w:p w14:paraId="127057C7"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Week 2</w:t>
            </w:r>
          </w:p>
        </w:tc>
        <w:tc>
          <w:tcPr>
            <w:tcW w:w="1184" w:type="dxa"/>
            <w:tcBorders>
              <w:top w:val="single" w:sz="4" w:space="0" w:color="520D5D"/>
              <w:left w:val="nil"/>
              <w:bottom w:val="single" w:sz="4" w:space="0" w:color="520D5D"/>
              <w:right w:val="single" w:sz="4" w:space="0" w:color="520D5D"/>
            </w:tcBorders>
            <w:shd w:val="clear" w:color="000000" w:fill="DDCCE6"/>
            <w:noWrap/>
            <w:vAlign w:val="center"/>
            <w:hideMark/>
          </w:tcPr>
          <w:p w14:paraId="7AE41F58"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Week 3</w:t>
            </w:r>
          </w:p>
        </w:tc>
        <w:tc>
          <w:tcPr>
            <w:tcW w:w="1184" w:type="dxa"/>
            <w:tcBorders>
              <w:top w:val="single" w:sz="4" w:space="0" w:color="520D5D"/>
              <w:left w:val="nil"/>
              <w:bottom w:val="single" w:sz="4" w:space="0" w:color="520D5D"/>
              <w:right w:val="single" w:sz="4" w:space="0" w:color="520D5D"/>
            </w:tcBorders>
            <w:shd w:val="clear" w:color="000000" w:fill="DDCCE6"/>
            <w:noWrap/>
            <w:vAlign w:val="center"/>
            <w:hideMark/>
          </w:tcPr>
          <w:p w14:paraId="1C9359B3"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Week 4</w:t>
            </w:r>
          </w:p>
        </w:tc>
        <w:tc>
          <w:tcPr>
            <w:tcW w:w="1606" w:type="dxa"/>
            <w:tcBorders>
              <w:top w:val="single" w:sz="4" w:space="0" w:color="520D5D"/>
              <w:left w:val="nil"/>
              <w:bottom w:val="single" w:sz="4" w:space="0" w:color="520D5D"/>
              <w:right w:val="single" w:sz="4" w:space="0" w:color="520D5D"/>
            </w:tcBorders>
            <w:shd w:val="clear" w:color="000000" w:fill="DDCCE6"/>
            <w:vAlign w:val="center"/>
            <w:hideMark/>
          </w:tcPr>
          <w:p w14:paraId="5BE4DCB3"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Normal working hours</w:t>
            </w:r>
          </w:p>
        </w:tc>
        <w:tc>
          <w:tcPr>
            <w:tcW w:w="2105" w:type="dxa"/>
            <w:tcBorders>
              <w:top w:val="single" w:sz="4" w:space="0" w:color="520D5D"/>
              <w:left w:val="nil"/>
              <w:bottom w:val="single" w:sz="4" w:space="0" w:color="520D5D"/>
              <w:right w:val="single" w:sz="4" w:space="0" w:color="520D5D"/>
            </w:tcBorders>
            <w:shd w:val="clear" w:color="000000" w:fill="DDCCE6"/>
            <w:vAlign w:val="center"/>
            <w:hideMark/>
          </w:tcPr>
          <w:p w14:paraId="75F3B377"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 xml:space="preserve">Average number of overtime hours </w:t>
            </w:r>
            <w:proofErr w:type="gramStart"/>
            <w:r w:rsidRPr="0051105D">
              <w:rPr>
                <w:rFonts w:ascii="Calibri" w:eastAsia="Times New Roman" w:hAnsi="Calibri" w:cs="Calibri"/>
                <w:b/>
                <w:bCs/>
                <w:color w:val="520D5D"/>
                <w:kern w:val="0"/>
                <w:lang w:eastAsia="en-GB"/>
                <w14:ligatures w14:val="none"/>
              </w:rPr>
              <w:t>worked  per</w:t>
            </w:r>
            <w:proofErr w:type="gramEnd"/>
            <w:r w:rsidRPr="0051105D">
              <w:rPr>
                <w:rFonts w:ascii="Calibri" w:eastAsia="Times New Roman" w:hAnsi="Calibri" w:cs="Calibri"/>
                <w:b/>
                <w:bCs/>
                <w:color w:val="520D5D"/>
                <w:kern w:val="0"/>
                <w:lang w:eastAsia="en-GB"/>
                <w14:ligatures w14:val="none"/>
              </w:rPr>
              <w:t xml:space="preserve"> week over 4 weeks </w:t>
            </w:r>
          </w:p>
        </w:tc>
        <w:tc>
          <w:tcPr>
            <w:tcW w:w="2673" w:type="dxa"/>
            <w:tcBorders>
              <w:top w:val="single" w:sz="4" w:space="0" w:color="520D5D"/>
              <w:left w:val="nil"/>
              <w:bottom w:val="single" w:sz="4" w:space="0" w:color="520D5D"/>
              <w:right w:val="single" w:sz="4" w:space="0" w:color="520D5D"/>
            </w:tcBorders>
            <w:shd w:val="clear" w:color="000000" w:fill="DDCCE6"/>
            <w:vAlign w:val="center"/>
            <w:hideMark/>
          </w:tcPr>
          <w:p w14:paraId="2138C069"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Average overtime worked as a percentage against normal working hours</w:t>
            </w:r>
          </w:p>
        </w:tc>
      </w:tr>
      <w:tr w:rsidR="004332A7" w:rsidRPr="0051105D" w14:paraId="189452DE" w14:textId="77777777" w:rsidTr="004332A7">
        <w:trPr>
          <w:trHeight w:val="247"/>
        </w:trPr>
        <w:tc>
          <w:tcPr>
            <w:tcW w:w="1901" w:type="dxa"/>
            <w:vMerge w:val="restart"/>
            <w:tcBorders>
              <w:top w:val="nil"/>
              <w:left w:val="single" w:sz="4" w:space="0" w:color="520D5D"/>
              <w:bottom w:val="single" w:sz="4" w:space="0" w:color="520D5D"/>
              <w:right w:val="single" w:sz="4" w:space="0" w:color="520D5D"/>
            </w:tcBorders>
            <w:shd w:val="clear" w:color="000000" w:fill="F5EEF8"/>
            <w:noWrap/>
            <w:vAlign w:val="center"/>
            <w:hideMark/>
          </w:tcPr>
          <w:p w14:paraId="68C67FD2"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Shop Staff</w:t>
            </w:r>
          </w:p>
        </w:tc>
        <w:tc>
          <w:tcPr>
            <w:tcW w:w="1733" w:type="dxa"/>
            <w:tcBorders>
              <w:top w:val="nil"/>
              <w:left w:val="nil"/>
              <w:bottom w:val="nil"/>
              <w:right w:val="single" w:sz="4" w:space="0" w:color="520D5D"/>
            </w:tcBorders>
            <w:shd w:val="clear" w:color="000000" w:fill="F5EEF8"/>
            <w:noWrap/>
            <w:vAlign w:val="bottom"/>
            <w:hideMark/>
          </w:tcPr>
          <w:p w14:paraId="22229A98"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J Scott</w:t>
            </w:r>
          </w:p>
        </w:tc>
        <w:tc>
          <w:tcPr>
            <w:tcW w:w="1184" w:type="dxa"/>
            <w:tcBorders>
              <w:top w:val="nil"/>
              <w:left w:val="nil"/>
              <w:bottom w:val="nil"/>
              <w:right w:val="single" w:sz="4" w:space="0" w:color="520D5D"/>
            </w:tcBorders>
            <w:shd w:val="clear" w:color="000000" w:fill="F5EEF8"/>
            <w:noWrap/>
            <w:vAlign w:val="bottom"/>
            <w:hideMark/>
          </w:tcPr>
          <w:p w14:paraId="2491840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1184" w:type="dxa"/>
            <w:tcBorders>
              <w:top w:val="nil"/>
              <w:left w:val="nil"/>
              <w:bottom w:val="nil"/>
              <w:right w:val="single" w:sz="4" w:space="0" w:color="520D5D"/>
            </w:tcBorders>
            <w:shd w:val="clear" w:color="000000" w:fill="F5EEF8"/>
            <w:noWrap/>
            <w:vAlign w:val="bottom"/>
            <w:hideMark/>
          </w:tcPr>
          <w:p w14:paraId="7D81B21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739AF2A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184" w:type="dxa"/>
            <w:tcBorders>
              <w:top w:val="nil"/>
              <w:left w:val="nil"/>
              <w:bottom w:val="nil"/>
              <w:right w:val="single" w:sz="4" w:space="0" w:color="520D5D"/>
            </w:tcBorders>
            <w:shd w:val="clear" w:color="000000" w:fill="F5EEF8"/>
            <w:noWrap/>
            <w:vAlign w:val="bottom"/>
            <w:hideMark/>
          </w:tcPr>
          <w:p w14:paraId="1A5ADA2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606" w:type="dxa"/>
            <w:tcBorders>
              <w:top w:val="nil"/>
              <w:left w:val="nil"/>
              <w:bottom w:val="nil"/>
              <w:right w:val="single" w:sz="4" w:space="0" w:color="520D5D"/>
            </w:tcBorders>
            <w:shd w:val="clear" w:color="000000" w:fill="F5EEF8"/>
            <w:noWrap/>
            <w:vAlign w:val="bottom"/>
            <w:hideMark/>
          </w:tcPr>
          <w:p w14:paraId="2A6F4DD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37.5</w:t>
            </w:r>
          </w:p>
        </w:tc>
        <w:tc>
          <w:tcPr>
            <w:tcW w:w="2105" w:type="dxa"/>
            <w:tcBorders>
              <w:top w:val="nil"/>
              <w:left w:val="nil"/>
              <w:bottom w:val="nil"/>
              <w:right w:val="single" w:sz="4" w:space="0" w:color="520D5D"/>
            </w:tcBorders>
            <w:shd w:val="clear" w:color="000000" w:fill="FFFFFF"/>
            <w:noWrap/>
            <w:vAlign w:val="bottom"/>
            <w:hideMark/>
          </w:tcPr>
          <w:p w14:paraId="0B0A759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w:t>
            </w:r>
          </w:p>
        </w:tc>
        <w:tc>
          <w:tcPr>
            <w:tcW w:w="2673" w:type="dxa"/>
            <w:tcBorders>
              <w:top w:val="nil"/>
              <w:left w:val="nil"/>
              <w:bottom w:val="nil"/>
              <w:right w:val="single" w:sz="4" w:space="0" w:color="520D5D"/>
            </w:tcBorders>
            <w:shd w:val="clear" w:color="000000" w:fill="FFFFFF"/>
            <w:noWrap/>
            <w:vAlign w:val="bottom"/>
            <w:hideMark/>
          </w:tcPr>
          <w:p w14:paraId="2B4D1F8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29.33%</w:t>
            </w:r>
          </w:p>
        </w:tc>
      </w:tr>
      <w:tr w:rsidR="004332A7" w:rsidRPr="0051105D" w14:paraId="1C0A14B9"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0D3BC25A"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489BB6E9"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P Mean</w:t>
            </w:r>
          </w:p>
        </w:tc>
        <w:tc>
          <w:tcPr>
            <w:tcW w:w="1184" w:type="dxa"/>
            <w:tcBorders>
              <w:top w:val="nil"/>
              <w:left w:val="nil"/>
              <w:bottom w:val="nil"/>
              <w:right w:val="single" w:sz="4" w:space="0" w:color="520D5D"/>
            </w:tcBorders>
            <w:shd w:val="clear" w:color="000000" w:fill="F5EEF8"/>
            <w:noWrap/>
            <w:vAlign w:val="bottom"/>
            <w:hideMark/>
          </w:tcPr>
          <w:p w14:paraId="18C4D5A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5245F6D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14</w:t>
            </w:r>
          </w:p>
        </w:tc>
        <w:tc>
          <w:tcPr>
            <w:tcW w:w="1184" w:type="dxa"/>
            <w:tcBorders>
              <w:top w:val="nil"/>
              <w:left w:val="nil"/>
              <w:bottom w:val="nil"/>
              <w:right w:val="single" w:sz="4" w:space="0" w:color="520D5D"/>
            </w:tcBorders>
            <w:shd w:val="clear" w:color="000000" w:fill="F5EEF8"/>
            <w:noWrap/>
            <w:vAlign w:val="bottom"/>
            <w:hideMark/>
          </w:tcPr>
          <w:p w14:paraId="611B30E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nil"/>
              <w:right w:val="single" w:sz="4" w:space="0" w:color="520D5D"/>
            </w:tcBorders>
            <w:shd w:val="clear" w:color="000000" w:fill="F5EEF8"/>
            <w:noWrap/>
            <w:vAlign w:val="bottom"/>
            <w:hideMark/>
          </w:tcPr>
          <w:p w14:paraId="6B30F559"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606" w:type="dxa"/>
            <w:tcBorders>
              <w:top w:val="nil"/>
              <w:left w:val="nil"/>
              <w:bottom w:val="nil"/>
              <w:right w:val="single" w:sz="4" w:space="0" w:color="520D5D"/>
            </w:tcBorders>
            <w:shd w:val="clear" w:color="000000" w:fill="F5EEF8"/>
            <w:noWrap/>
            <w:vAlign w:val="bottom"/>
            <w:hideMark/>
          </w:tcPr>
          <w:p w14:paraId="50413DD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71EE00C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9.25</w:t>
            </w:r>
          </w:p>
        </w:tc>
        <w:tc>
          <w:tcPr>
            <w:tcW w:w="2673" w:type="dxa"/>
            <w:tcBorders>
              <w:top w:val="single" w:sz="4" w:space="0" w:color="520D5D"/>
              <w:left w:val="nil"/>
              <w:bottom w:val="nil"/>
              <w:right w:val="single" w:sz="4" w:space="0" w:color="520D5D"/>
            </w:tcBorders>
            <w:shd w:val="clear" w:color="000000" w:fill="FFFFFF"/>
            <w:noWrap/>
            <w:vAlign w:val="bottom"/>
            <w:hideMark/>
          </w:tcPr>
          <w:p w14:paraId="52A18BF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46.25%</w:t>
            </w:r>
          </w:p>
        </w:tc>
      </w:tr>
      <w:tr w:rsidR="004332A7" w:rsidRPr="0051105D" w14:paraId="080019F2"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49C9C9B5"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5D4C100D"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S Kidding</w:t>
            </w:r>
          </w:p>
        </w:tc>
        <w:tc>
          <w:tcPr>
            <w:tcW w:w="1184" w:type="dxa"/>
            <w:tcBorders>
              <w:top w:val="nil"/>
              <w:left w:val="nil"/>
              <w:bottom w:val="nil"/>
              <w:right w:val="single" w:sz="4" w:space="0" w:color="520D5D"/>
            </w:tcBorders>
            <w:shd w:val="clear" w:color="000000" w:fill="F5EEF8"/>
            <w:noWrap/>
            <w:vAlign w:val="bottom"/>
            <w:hideMark/>
          </w:tcPr>
          <w:p w14:paraId="4A10A0C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7AF40AB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7F4CF3C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184" w:type="dxa"/>
            <w:tcBorders>
              <w:top w:val="nil"/>
              <w:left w:val="nil"/>
              <w:bottom w:val="nil"/>
              <w:right w:val="single" w:sz="4" w:space="0" w:color="520D5D"/>
            </w:tcBorders>
            <w:shd w:val="clear" w:color="000000" w:fill="F5EEF8"/>
            <w:noWrap/>
            <w:vAlign w:val="bottom"/>
            <w:hideMark/>
          </w:tcPr>
          <w:p w14:paraId="463255D8"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606" w:type="dxa"/>
            <w:tcBorders>
              <w:top w:val="nil"/>
              <w:left w:val="nil"/>
              <w:bottom w:val="nil"/>
              <w:right w:val="single" w:sz="4" w:space="0" w:color="520D5D"/>
            </w:tcBorders>
            <w:shd w:val="clear" w:color="000000" w:fill="F5EEF8"/>
            <w:noWrap/>
            <w:vAlign w:val="bottom"/>
            <w:hideMark/>
          </w:tcPr>
          <w:p w14:paraId="14140CD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603E92D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9.25</w:t>
            </w:r>
          </w:p>
        </w:tc>
        <w:tc>
          <w:tcPr>
            <w:tcW w:w="2673" w:type="dxa"/>
            <w:tcBorders>
              <w:top w:val="single" w:sz="4" w:space="0" w:color="520D5D"/>
              <w:left w:val="nil"/>
              <w:bottom w:val="nil"/>
              <w:right w:val="single" w:sz="4" w:space="0" w:color="520D5D"/>
            </w:tcBorders>
            <w:shd w:val="clear" w:color="000000" w:fill="FFFFFF"/>
            <w:noWrap/>
            <w:vAlign w:val="bottom"/>
            <w:hideMark/>
          </w:tcPr>
          <w:p w14:paraId="5B94150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46.25%</w:t>
            </w:r>
          </w:p>
        </w:tc>
      </w:tr>
      <w:tr w:rsidR="004332A7" w:rsidRPr="0051105D" w14:paraId="10D8FD31"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06F004AD"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40F01752"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D Jaques </w:t>
            </w:r>
          </w:p>
        </w:tc>
        <w:tc>
          <w:tcPr>
            <w:tcW w:w="1184" w:type="dxa"/>
            <w:tcBorders>
              <w:top w:val="nil"/>
              <w:left w:val="nil"/>
              <w:bottom w:val="nil"/>
              <w:right w:val="single" w:sz="4" w:space="0" w:color="520D5D"/>
            </w:tcBorders>
            <w:shd w:val="clear" w:color="000000" w:fill="F5EEF8"/>
            <w:noWrap/>
            <w:vAlign w:val="bottom"/>
            <w:hideMark/>
          </w:tcPr>
          <w:p w14:paraId="55BB80A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184" w:type="dxa"/>
            <w:tcBorders>
              <w:top w:val="nil"/>
              <w:left w:val="nil"/>
              <w:bottom w:val="nil"/>
              <w:right w:val="single" w:sz="4" w:space="0" w:color="520D5D"/>
            </w:tcBorders>
            <w:shd w:val="clear" w:color="000000" w:fill="F5EEF8"/>
            <w:noWrap/>
            <w:vAlign w:val="bottom"/>
            <w:hideMark/>
          </w:tcPr>
          <w:p w14:paraId="154354A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nil"/>
              <w:right w:val="single" w:sz="4" w:space="0" w:color="520D5D"/>
            </w:tcBorders>
            <w:shd w:val="clear" w:color="000000" w:fill="F5EEF8"/>
            <w:noWrap/>
            <w:vAlign w:val="bottom"/>
            <w:hideMark/>
          </w:tcPr>
          <w:p w14:paraId="5314015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21</w:t>
            </w:r>
          </w:p>
        </w:tc>
        <w:tc>
          <w:tcPr>
            <w:tcW w:w="1184" w:type="dxa"/>
            <w:tcBorders>
              <w:top w:val="nil"/>
              <w:left w:val="nil"/>
              <w:bottom w:val="nil"/>
              <w:right w:val="single" w:sz="4" w:space="0" w:color="520D5D"/>
            </w:tcBorders>
            <w:shd w:val="clear" w:color="000000" w:fill="F5EEF8"/>
            <w:noWrap/>
            <w:vAlign w:val="bottom"/>
            <w:hideMark/>
          </w:tcPr>
          <w:p w14:paraId="4183F238"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w:t>
            </w:r>
          </w:p>
        </w:tc>
        <w:tc>
          <w:tcPr>
            <w:tcW w:w="1606" w:type="dxa"/>
            <w:tcBorders>
              <w:top w:val="nil"/>
              <w:left w:val="nil"/>
              <w:bottom w:val="nil"/>
              <w:right w:val="single" w:sz="4" w:space="0" w:color="520D5D"/>
            </w:tcBorders>
            <w:shd w:val="clear" w:color="000000" w:fill="F5EEF8"/>
            <w:noWrap/>
            <w:vAlign w:val="bottom"/>
            <w:hideMark/>
          </w:tcPr>
          <w:p w14:paraId="7DF02E19"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37.5</w:t>
            </w:r>
          </w:p>
        </w:tc>
        <w:tc>
          <w:tcPr>
            <w:tcW w:w="2105" w:type="dxa"/>
            <w:tcBorders>
              <w:top w:val="single" w:sz="4" w:space="0" w:color="520D5D"/>
              <w:left w:val="nil"/>
              <w:bottom w:val="nil"/>
              <w:right w:val="single" w:sz="4" w:space="0" w:color="520D5D"/>
            </w:tcBorders>
            <w:shd w:val="clear" w:color="000000" w:fill="FFFFFF"/>
            <w:noWrap/>
            <w:vAlign w:val="bottom"/>
            <w:hideMark/>
          </w:tcPr>
          <w:p w14:paraId="02257A89"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11.75</w:t>
            </w:r>
          </w:p>
        </w:tc>
        <w:tc>
          <w:tcPr>
            <w:tcW w:w="2673" w:type="dxa"/>
            <w:tcBorders>
              <w:top w:val="single" w:sz="4" w:space="0" w:color="520D5D"/>
              <w:left w:val="nil"/>
              <w:bottom w:val="nil"/>
              <w:right w:val="single" w:sz="4" w:space="0" w:color="520D5D"/>
            </w:tcBorders>
            <w:shd w:val="clear" w:color="000000" w:fill="FFFFFF"/>
            <w:noWrap/>
            <w:vAlign w:val="bottom"/>
            <w:hideMark/>
          </w:tcPr>
          <w:p w14:paraId="72DA7A3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31.33%</w:t>
            </w:r>
          </w:p>
        </w:tc>
      </w:tr>
      <w:tr w:rsidR="004332A7" w:rsidRPr="0051105D" w14:paraId="31505101"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6F75FA7E"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1C17AEBC"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K Ritter</w:t>
            </w:r>
          </w:p>
        </w:tc>
        <w:tc>
          <w:tcPr>
            <w:tcW w:w="1184" w:type="dxa"/>
            <w:tcBorders>
              <w:top w:val="nil"/>
              <w:left w:val="nil"/>
              <w:bottom w:val="nil"/>
              <w:right w:val="single" w:sz="4" w:space="0" w:color="520D5D"/>
            </w:tcBorders>
            <w:shd w:val="clear" w:color="000000" w:fill="F5EEF8"/>
            <w:noWrap/>
            <w:vAlign w:val="bottom"/>
            <w:hideMark/>
          </w:tcPr>
          <w:p w14:paraId="5397189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669859A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184" w:type="dxa"/>
            <w:tcBorders>
              <w:top w:val="nil"/>
              <w:left w:val="nil"/>
              <w:bottom w:val="nil"/>
              <w:right w:val="single" w:sz="4" w:space="0" w:color="520D5D"/>
            </w:tcBorders>
            <w:shd w:val="clear" w:color="000000" w:fill="F5EEF8"/>
            <w:noWrap/>
            <w:vAlign w:val="bottom"/>
            <w:hideMark/>
          </w:tcPr>
          <w:p w14:paraId="7DB58B2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184" w:type="dxa"/>
            <w:tcBorders>
              <w:top w:val="nil"/>
              <w:left w:val="nil"/>
              <w:bottom w:val="nil"/>
              <w:right w:val="single" w:sz="4" w:space="0" w:color="520D5D"/>
            </w:tcBorders>
            <w:shd w:val="clear" w:color="000000" w:fill="F5EEF8"/>
            <w:noWrap/>
            <w:vAlign w:val="bottom"/>
            <w:hideMark/>
          </w:tcPr>
          <w:p w14:paraId="38A9402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606" w:type="dxa"/>
            <w:tcBorders>
              <w:top w:val="nil"/>
              <w:left w:val="nil"/>
              <w:bottom w:val="nil"/>
              <w:right w:val="single" w:sz="4" w:space="0" w:color="520D5D"/>
            </w:tcBorders>
            <w:shd w:val="clear" w:color="000000" w:fill="F5EEF8"/>
            <w:noWrap/>
            <w:vAlign w:val="bottom"/>
            <w:hideMark/>
          </w:tcPr>
          <w:p w14:paraId="500FB78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0600338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7.5</w:t>
            </w:r>
          </w:p>
        </w:tc>
        <w:tc>
          <w:tcPr>
            <w:tcW w:w="2673" w:type="dxa"/>
            <w:tcBorders>
              <w:top w:val="single" w:sz="4" w:space="0" w:color="520D5D"/>
              <w:left w:val="nil"/>
              <w:bottom w:val="nil"/>
              <w:right w:val="single" w:sz="4" w:space="0" w:color="520D5D"/>
            </w:tcBorders>
            <w:shd w:val="clear" w:color="000000" w:fill="FFFFFF"/>
            <w:noWrap/>
            <w:vAlign w:val="bottom"/>
            <w:hideMark/>
          </w:tcPr>
          <w:p w14:paraId="50C4623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46.88%</w:t>
            </w:r>
          </w:p>
        </w:tc>
      </w:tr>
      <w:tr w:rsidR="004332A7" w:rsidRPr="0051105D" w14:paraId="5550E143"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7140663B"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4E9EE197"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H Barrel </w:t>
            </w:r>
          </w:p>
        </w:tc>
        <w:tc>
          <w:tcPr>
            <w:tcW w:w="1184" w:type="dxa"/>
            <w:tcBorders>
              <w:top w:val="nil"/>
              <w:left w:val="nil"/>
              <w:bottom w:val="nil"/>
              <w:right w:val="single" w:sz="4" w:space="0" w:color="520D5D"/>
            </w:tcBorders>
            <w:shd w:val="clear" w:color="000000" w:fill="F5EEF8"/>
            <w:noWrap/>
            <w:vAlign w:val="bottom"/>
            <w:hideMark/>
          </w:tcPr>
          <w:p w14:paraId="404136F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184" w:type="dxa"/>
            <w:tcBorders>
              <w:top w:val="nil"/>
              <w:left w:val="nil"/>
              <w:bottom w:val="nil"/>
              <w:right w:val="single" w:sz="4" w:space="0" w:color="520D5D"/>
            </w:tcBorders>
            <w:shd w:val="clear" w:color="000000" w:fill="F5EEF8"/>
            <w:noWrap/>
            <w:vAlign w:val="bottom"/>
            <w:hideMark/>
          </w:tcPr>
          <w:p w14:paraId="20E5BAA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184" w:type="dxa"/>
            <w:tcBorders>
              <w:top w:val="nil"/>
              <w:left w:val="nil"/>
              <w:bottom w:val="nil"/>
              <w:right w:val="single" w:sz="4" w:space="0" w:color="520D5D"/>
            </w:tcBorders>
            <w:shd w:val="clear" w:color="000000" w:fill="F5EEF8"/>
            <w:noWrap/>
            <w:vAlign w:val="bottom"/>
            <w:hideMark/>
          </w:tcPr>
          <w:p w14:paraId="28358EB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w:t>
            </w:r>
          </w:p>
        </w:tc>
        <w:tc>
          <w:tcPr>
            <w:tcW w:w="1184" w:type="dxa"/>
            <w:tcBorders>
              <w:top w:val="nil"/>
              <w:left w:val="nil"/>
              <w:bottom w:val="nil"/>
              <w:right w:val="single" w:sz="4" w:space="0" w:color="520D5D"/>
            </w:tcBorders>
            <w:shd w:val="clear" w:color="000000" w:fill="F5EEF8"/>
            <w:noWrap/>
            <w:vAlign w:val="bottom"/>
            <w:hideMark/>
          </w:tcPr>
          <w:p w14:paraId="29B1400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606" w:type="dxa"/>
            <w:tcBorders>
              <w:top w:val="nil"/>
              <w:left w:val="nil"/>
              <w:bottom w:val="nil"/>
              <w:right w:val="single" w:sz="4" w:space="0" w:color="520D5D"/>
            </w:tcBorders>
            <w:shd w:val="clear" w:color="000000" w:fill="F5EEF8"/>
            <w:noWrap/>
            <w:vAlign w:val="bottom"/>
            <w:hideMark/>
          </w:tcPr>
          <w:p w14:paraId="0FF2FB5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77A09FB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2673" w:type="dxa"/>
            <w:tcBorders>
              <w:top w:val="single" w:sz="4" w:space="0" w:color="520D5D"/>
              <w:left w:val="nil"/>
              <w:bottom w:val="nil"/>
              <w:right w:val="single" w:sz="4" w:space="0" w:color="520D5D"/>
            </w:tcBorders>
            <w:shd w:val="clear" w:color="000000" w:fill="FFFFFF"/>
            <w:noWrap/>
            <w:vAlign w:val="bottom"/>
            <w:hideMark/>
          </w:tcPr>
          <w:p w14:paraId="681C971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62.50%</w:t>
            </w:r>
          </w:p>
        </w:tc>
      </w:tr>
      <w:tr w:rsidR="004332A7" w:rsidRPr="0051105D" w14:paraId="5BA0B6B1"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1ADEA3BB"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6A3BEEFC"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L Guarani </w:t>
            </w:r>
          </w:p>
        </w:tc>
        <w:tc>
          <w:tcPr>
            <w:tcW w:w="1184" w:type="dxa"/>
            <w:tcBorders>
              <w:top w:val="nil"/>
              <w:left w:val="nil"/>
              <w:bottom w:val="nil"/>
              <w:right w:val="single" w:sz="4" w:space="0" w:color="520D5D"/>
            </w:tcBorders>
            <w:shd w:val="clear" w:color="000000" w:fill="F5EEF8"/>
            <w:noWrap/>
            <w:vAlign w:val="bottom"/>
            <w:hideMark/>
          </w:tcPr>
          <w:p w14:paraId="184C204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w:t>
            </w:r>
          </w:p>
        </w:tc>
        <w:tc>
          <w:tcPr>
            <w:tcW w:w="1184" w:type="dxa"/>
            <w:tcBorders>
              <w:top w:val="nil"/>
              <w:left w:val="nil"/>
              <w:bottom w:val="nil"/>
              <w:right w:val="single" w:sz="4" w:space="0" w:color="520D5D"/>
            </w:tcBorders>
            <w:shd w:val="clear" w:color="000000" w:fill="F5EEF8"/>
            <w:noWrap/>
            <w:vAlign w:val="bottom"/>
            <w:hideMark/>
          </w:tcPr>
          <w:p w14:paraId="3B7EF86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110C01C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14ADD76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606" w:type="dxa"/>
            <w:tcBorders>
              <w:top w:val="nil"/>
              <w:left w:val="nil"/>
              <w:bottom w:val="nil"/>
              <w:right w:val="single" w:sz="4" w:space="0" w:color="520D5D"/>
            </w:tcBorders>
            <w:shd w:val="clear" w:color="000000" w:fill="F5EEF8"/>
            <w:noWrap/>
            <w:vAlign w:val="bottom"/>
            <w:hideMark/>
          </w:tcPr>
          <w:p w14:paraId="6C2DAAF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37.5</w:t>
            </w:r>
          </w:p>
        </w:tc>
        <w:tc>
          <w:tcPr>
            <w:tcW w:w="2105" w:type="dxa"/>
            <w:tcBorders>
              <w:top w:val="single" w:sz="4" w:space="0" w:color="520D5D"/>
              <w:left w:val="nil"/>
              <w:bottom w:val="nil"/>
              <w:right w:val="single" w:sz="4" w:space="0" w:color="520D5D"/>
            </w:tcBorders>
            <w:shd w:val="clear" w:color="000000" w:fill="FFFFFF"/>
            <w:noWrap/>
            <w:vAlign w:val="bottom"/>
            <w:hideMark/>
          </w:tcPr>
          <w:p w14:paraId="2F058F9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8.5</w:t>
            </w:r>
          </w:p>
        </w:tc>
        <w:tc>
          <w:tcPr>
            <w:tcW w:w="2673" w:type="dxa"/>
            <w:tcBorders>
              <w:top w:val="single" w:sz="4" w:space="0" w:color="520D5D"/>
              <w:left w:val="nil"/>
              <w:bottom w:val="nil"/>
              <w:right w:val="single" w:sz="4" w:space="0" w:color="520D5D"/>
            </w:tcBorders>
            <w:shd w:val="clear" w:color="000000" w:fill="FFFFFF"/>
            <w:noWrap/>
            <w:vAlign w:val="bottom"/>
            <w:hideMark/>
          </w:tcPr>
          <w:p w14:paraId="036177A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22.67%</w:t>
            </w:r>
          </w:p>
        </w:tc>
      </w:tr>
      <w:tr w:rsidR="004332A7" w:rsidRPr="0051105D" w14:paraId="0BCBA5F2"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3F8D9631"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35C7B33D"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K Pathos </w:t>
            </w:r>
          </w:p>
        </w:tc>
        <w:tc>
          <w:tcPr>
            <w:tcW w:w="1184" w:type="dxa"/>
            <w:tcBorders>
              <w:top w:val="nil"/>
              <w:left w:val="nil"/>
              <w:bottom w:val="nil"/>
              <w:right w:val="single" w:sz="4" w:space="0" w:color="520D5D"/>
            </w:tcBorders>
            <w:shd w:val="clear" w:color="000000" w:fill="F5EEF8"/>
            <w:noWrap/>
            <w:vAlign w:val="bottom"/>
            <w:hideMark/>
          </w:tcPr>
          <w:p w14:paraId="4933F20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68D9636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11</w:t>
            </w:r>
          </w:p>
        </w:tc>
        <w:tc>
          <w:tcPr>
            <w:tcW w:w="1184" w:type="dxa"/>
            <w:tcBorders>
              <w:top w:val="nil"/>
              <w:left w:val="nil"/>
              <w:bottom w:val="nil"/>
              <w:right w:val="single" w:sz="4" w:space="0" w:color="520D5D"/>
            </w:tcBorders>
            <w:shd w:val="clear" w:color="000000" w:fill="F5EEF8"/>
            <w:noWrap/>
            <w:vAlign w:val="bottom"/>
            <w:hideMark/>
          </w:tcPr>
          <w:p w14:paraId="76C6D388"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15</w:t>
            </w:r>
          </w:p>
        </w:tc>
        <w:tc>
          <w:tcPr>
            <w:tcW w:w="1184" w:type="dxa"/>
            <w:tcBorders>
              <w:top w:val="nil"/>
              <w:left w:val="nil"/>
              <w:bottom w:val="nil"/>
              <w:right w:val="single" w:sz="4" w:space="0" w:color="520D5D"/>
            </w:tcBorders>
            <w:shd w:val="clear" w:color="000000" w:fill="F5EEF8"/>
            <w:noWrap/>
            <w:vAlign w:val="bottom"/>
            <w:hideMark/>
          </w:tcPr>
          <w:p w14:paraId="44AE114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606" w:type="dxa"/>
            <w:tcBorders>
              <w:top w:val="nil"/>
              <w:left w:val="nil"/>
              <w:bottom w:val="nil"/>
              <w:right w:val="single" w:sz="4" w:space="0" w:color="520D5D"/>
            </w:tcBorders>
            <w:shd w:val="clear" w:color="000000" w:fill="F5EEF8"/>
            <w:noWrap/>
            <w:vAlign w:val="bottom"/>
            <w:hideMark/>
          </w:tcPr>
          <w:p w14:paraId="64DA8B6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2F23568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2673" w:type="dxa"/>
            <w:tcBorders>
              <w:top w:val="single" w:sz="4" w:space="0" w:color="520D5D"/>
              <w:left w:val="nil"/>
              <w:bottom w:val="nil"/>
              <w:right w:val="single" w:sz="4" w:space="0" w:color="520D5D"/>
            </w:tcBorders>
            <w:shd w:val="clear" w:color="000000" w:fill="FFFFFF"/>
            <w:noWrap/>
            <w:vAlign w:val="bottom"/>
            <w:hideMark/>
          </w:tcPr>
          <w:p w14:paraId="79BC080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60.00%</w:t>
            </w:r>
          </w:p>
        </w:tc>
      </w:tr>
      <w:tr w:rsidR="004332A7" w:rsidRPr="0051105D" w14:paraId="18FB55A5"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1EA9F44E"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790E216F"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B Sykes </w:t>
            </w:r>
          </w:p>
        </w:tc>
        <w:tc>
          <w:tcPr>
            <w:tcW w:w="1184" w:type="dxa"/>
            <w:tcBorders>
              <w:top w:val="nil"/>
              <w:left w:val="nil"/>
              <w:bottom w:val="nil"/>
              <w:right w:val="single" w:sz="4" w:space="0" w:color="520D5D"/>
            </w:tcBorders>
            <w:shd w:val="clear" w:color="000000" w:fill="F5EEF8"/>
            <w:noWrap/>
            <w:vAlign w:val="bottom"/>
            <w:hideMark/>
          </w:tcPr>
          <w:p w14:paraId="2E259C0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73DEB5C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14</w:t>
            </w:r>
          </w:p>
        </w:tc>
        <w:tc>
          <w:tcPr>
            <w:tcW w:w="1184" w:type="dxa"/>
            <w:tcBorders>
              <w:top w:val="nil"/>
              <w:left w:val="nil"/>
              <w:bottom w:val="nil"/>
              <w:right w:val="single" w:sz="4" w:space="0" w:color="520D5D"/>
            </w:tcBorders>
            <w:shd w:val="clear" w:color="000000" w:fill="F5EEF8"/>
            <w:noWrap/>
            <w:vAlign w:val="bottom"/>
            <w:hideMark/>
          </w:tcPr>
          <w:p w14:paraId="41F1080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13</w:t>
            </w:r>
          </w:p>
        </w:tc>
        <w:tc>
          <w:tcPr>
            <w:tcW w:w="1184" w:type="dxa"/>
            <w:tcBorders>
              <w:top w:val="nil"/>
              <w:left w:val="nil"/>
              <w:bottom w:val="nil"/>
              <w:right w:val="single" w:sz="4" w:space="0" w:color="520D5D"/>
            </w:tcBorders>
            <w:shd w:val="clear" w:color="000000" w:fill="F5EEF8"/>
            <w:noWrap/>
            <w:vAlign w:val="bottom"/>
            <w:hideMark/>
          </w:tcPr>
          <w:p w14:paraId="56CD17D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14</w:t>
            </w:r>
          </w:p>
        </w:tc>
        <w:tc>
          <w:tcPr>
            <w:tcW w:w="1606" w:type="dxa"/>
            <w:tcBorders>
              <w:top w:val="nil"/>
              <w:left w:val="nil"/>
              <w:bottom w:val="nil"/>
              <w:right w:val="single" w:sz="4" w:space="0" w:color="520D5D"/>
            </w:tcBorders>
            <w:shd w:val="clear" w:color="000000" w:fill="F5EEF8"/>
            <w:noWrap/>
            <w:vAlign w:val="bottom"/>
            <w:hideMark/>
          </w:tcPr>
          <w:p w14:paraId="1519125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7DE05429"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12.75</w:t>
            </w:r>
          </w:p>
        </w:tc>
        <w:tc>
          <w:tcPr>
            <w:tcW w:w="2673" w:type="dxa"/>
            <w:tcBorders>
              <w:top w:val="single" w:sz="4" w:space="0" w:color="520D5D"/>
              <w:left w:val="nil"/>
              <w:bottom w:val="nil"/>
              <w:right w:val="single" w:sz="4" w:space="0" w:color="520D5D"/>
            </w:tcBorders>
            <w:shd w:val="clear" w:color="000000" w:fill="FFFFFF"/>
            <w:noWrap/>
            <w:vAlign w:val="bottom"/>
            <w:hideMark/>
          </w:tcPr>
          <w:p w14:paraId="2209A59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63.75%</w:t>
            </w:r>
          </w:p>
        </w:tc>
      </w:tr>
      <w:tr w:rsidR="004332A7" w:rsidRPr="0051105D" w14:paraId="4755F0C8"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7D11578E"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1D58E0C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S Grant </w:t>
            </w:r>
          </w:p>
        </w:tc>
        <w:tc>
          <w:tcPr>
            <w:tcW w:w="1184" w:type="dxa"/>
            <w:tcBorders>
              <w:top w:val="nil"/>
              <w:left w:val="nil"/>
              <w:bottom w:val="nil"/>
              <w:right w:val="single" w:sz="4" w:space="0" w:color="520D5D"/>
            </w:tcBorders>
            <w:shd w:val="clear" w:color="000000" w:fill="F5EEF8"/>
            <w:noWrap/>
            <w:vAlign w:val="bottom"/>
            <w:hideMark/>
          </w:tcPr>
          <w:p w14:paraId="75B3948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14</w:t>
            </w:r>
          </w:p>
        </w:tc>
        <w:tc>
          <w:tcPr>
            <w:tcW w:w="1184" w:type="dxa"/>
            <w:tcBorders>
              <w:top w:val="nil"/>
              <w:left w:val="nil"/>
              <w:bottom w:val="nil"/>
              <w:right w:val="single" w:sz="4" w:space="0" w:color="520D5D"/>
            </w:tcBorders>
            <w:shd w:val="clear" w:color="000000" w:fill="F5EEF8"/>
            <w:noWrap/>
            <w:vAlign w:val="bottom"/>
            <w:hideMark/>
          </w:tcPr>
          <w:p w14:paraId="0556946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65890438"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184" w:type="dxa"/>
            <w:tcBorders>
              <w:top w:val="nil"/>
              <w:left w:val="nil"/>
              <w:bottom w:val="nil"/>
              <w:right w:val="single" w:sz="4" w:space="0" w:color="520D5D"/>
            </w:tcBorders>
            <w:shd w:val="clear" w:color="000000" w:fill="F5EEF8"/>
            <w:noWrap/>
            <w:vAlign w:val="bottom"/>
            <w:hideMark/>
          </w:tcPr>
          <w:p w14:paraId="5473C46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w:t>
            </w:r>
          </w:p>
        </w:tc>
        <w:tc>
          <w:tcPr>
            <w:tcW w:w="1606" w:type="dxa"/>
            <w:tcBorders>
              <w:top w:val="nil"/>
              <w:left w:val="nil"/>
              <w:bottom w:val="nil"/>
              <w:right w:val="single" w:sz="4" w:space="0" w:color="520D5D"/>
            </w:tcBorders>
            <w:shd w:val="clear" w:color="000000" w:fill="F5EEF8"/>
            <w:noWrap/>
            <w:vAlign w:val="bottom"/>
            <w:hideMark/>
          </w:tcPr>
          <w:p w14:paraId="7842075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181FAA3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8.5</w:t>
            </w:r>
          </w:p>
        </w:tc>
        <w:tc>
          <w:tcPr>
            <w:tcW w:w="2673" w:type="dxa"/>
            <w:tcBorders>
              <w:top w:val="single" w:sz="4" w:space="0" w:color="520D5D"/>
              <w:left w:val="nil"/>
              <w:bottom w:val="nil"/>
              <w:right w:val="single" w:sz="4" w:space="0" w:color="520D5D"/>
            </w:tcBorders>
            <w:shd w:val="clear" w:color="000000" w:fill="FFFFFF"/>
            <w:noWrap/>
            <w:vAlign w:val="bottom"/>
            <w:hideMark/>
          </w:tcPr>
          <w:p w14:paraId="11D18FC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53.13%</w:t>
            </w:r>
          </w:p>
        </w:tc>
      </w:tr>
      <w:tr w:rsidR="004332A7" w:rsidRPr="0051105D" w14:paraId="6D778B58"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4703045E"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59CB7093"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P Perfect </w:t>
            </w:r>
          </w:p>
        </w:tc>
        <w:tc>
          <w:tcPr>
            <w:tcW w:w="1184" w:type="dxa"/>
            <w:tcBorders>
              <w:top w:val="nil"/>
              <w:left w:val="nil"/>
              <w:bottom w:val="nil"/>
              <w:right w:val="single" w:sz="4" w:space="0" w:color="520D5D"/>
            </w:tcBorders>
            <w:shd w:val="clear" w:color="000000" w:fill="F5EEF8"/>
            <w:noWrap/>
            <w:vAlign w:val="bottom"/>
            <w:hideMark/>
          </w:tcPr>
          <w:p w14:paraId="6CAA9CD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184" w:type="dxa"/>
            <w:tcBorders>
              <w:top w:val="nil"/>
              <w:left w:val="nil"/>
              <w:bottom w:val="nil"/>
              <w:right w:val="single" w:sz="4" w:space="0" w:color="520D5D"/>
            </w:tcBorders>
            <w:shd w:val="clear" w:color="000000" w:fill="F5EEF8"/>
            <w:noWrap/>
            <w:vAlign w:val="bottom"/>
            <w:hideMark/>
          </w:tcPr>
          <w:p w14:paraId="6850552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6CDF79A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544BF11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606" w:type="dxa"/>
            <w:tcBorders>
              <w:top w:val="nil"/>
              <w:left w:val="nil"/>
              <w:bottom w:val="nil"/>
              <w:right w:val="single" w:sz="4" w:space="0" w:color="520D5D"/>
            </w:tcBorders>
            <w:shd w:val="clear" w:color="000000" w:fill="F5EEF8"/>
            <w:noWrap/>
            <w:vAlign w:val="bottom"/>
            <w:hideMark/>
          </w:tcPr>
          <w:p w14:paraId="006DA46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0948C61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8.75</w:t>
            </w:r>
          </w:p>
        </w:tc>
        <w:tc>
          <w:tcPr>
            <w:tcW w:w="2673" w:type="dxa"/>
            <w:tcBorders>
              <w:top w:val="single" w:sz="4" w:space="0" w:color="520D5D"/>
              <w:left w:val="nil"/>
              <w:bottom w:val="nil"/>
              <w:right w:val="single" w:sz="4" w:space="0" w:color="520D5D"/>
            </w:tcBorders>
            <w:shd w:val="clear" w:color="000000" w:fill="FFFFFF"/>
            <w:noWrap/>
            <w:vAlign w:val="bottom"/>
            <w:hideMark/>
          </w:tcPr>
          <w:p w14:paraId="47E4C69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54.69%</w:t>
            </w:r>
          </w:p>
        </w:tc>
      </w:tr>
      <w:tr w:rsidR="004332A7" w:rsidRPr="0051105D" w14:paraId="2A1F3B13"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1E2998D8"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3CD9634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H Dumpty </w:t>
            </w:r>
          </w:p>
        </w:tc>
        <w:tc>
          <w:tcPr>
            <w:tcW w:w="1184" w:type="dxa"/>
            <w:tcBorders>
              <w:top w:val="nil"/>
              <w:left w:val="nil"/>
              <w:bottom w:val="nil"/>
              <w:right w:val="single" w:sz="4" w:space="0" w:color="520D5D"/>
            </w:tcBorders>
            <w:shd w:val="clear" w:color="000000" w:fill="F5EEF8"/>
            <w:noWrap/>
            <w:vAlign w:val="bottom"/>
            <w:hideMark/>
          </w:tcPr>
          <w:p w14:paraId="7AC22ED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w:t>
            </w:r>
          </w:p>
        </w:tc>
        <w:tc>
          <w:tcPr>
            <w:tcW w:w="1184" w:type="dxa"/>
            <w:tcBorders>
              <w:top w:val="nil"/>
              <w:left w:val="nil"/>
              <w:bottom w:val="nil"/>
              <w:right w:val="single" w:sz="4" w:space="0" w:color="520D5D"/>
            </w:tcBorders>
            <w:shd w:val="clear" w:color="000000" w:fill="F5EEF8"/>
            <w:noWrap/>
            <w:vAlign w:val="bottom"/>
            <w:hideMark/>
          </w:tcPr>
          <w:p w14:paraId="068D14E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6D68A1E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621945D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606" w:type="dxa"/>
            <w:tcBorders>
              <w:top w:val="nil"/>
              <w:left w:val="nil"/>
              <w:bottom w:val="nil"/>
              <w:right w:val="single" w:sz="4" w:space="0" w:color="520D5D"/>
            </w:tcBorders>
            <w:shd w:val="clear" w:color="000000" w:fill="F5EEF8"/>
            <w:noWrap/>
            <w:vAlign w:val="bottom"/>
            <w:hideMark/>
          </w:tcPr>
          <w:p w14:paraId="7E99E27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7091A50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6.25</w:t>
            </w:r>
          </w:p>
        </w:tc>
        <w:tc>
          <w:tcPr>
            <w:tcW w:w="2673" w:type="dxa"/>
            <w:tcBorders>
              <w:top w:val="single" w:sz="4" w:space="0" w:color="520D5D"/>
              <w:left w:val="nil"/>
              <w:bottom w:val="nil"/>
              <w:right w:val="single" w:sz="4" w:space="0" w:color="520D5D"/>
            </w:tcBorders>
            <w:shd w:val="clear" w:color="000000" w:fill="FFFFFF"/>
            <w:noWrap/>
            <w:vAlign w:val="bottom"/>
            <w:hideMark/>
          </w:tcPr>
          <w:p w14:paraId="1E74E79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31.25%</w:t>
            </w:r>
          </w:p>
        </w:tc>
      </w:tr>
      <w:tr w:rsidR="004332A7" w:rsidRPr="0051105D" w14:paraId="34DEF0D2"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0B2A1635"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68A29B9C"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R Rickson</w:t>
            </w:r>
          </w:p>
        </w:tc>
        <w:tc>
          <w:tcPr>
            <w:tcW w:w="1184" w:type="dxa"/>
            <w:tcBorders>
              <w:top w:val="nil"/>
              <w:left w:val="nil"/>
              <w:bottom w:val="nil"/>
              <w:right w:val="single" w:sz="4" w:space="0" w:color="520D5D"/>
            </w:tcBorders>
            <w:shd w:val="clear" w:color="000000" w:fill="F5EEF8"/>
            <w:noWrap/>
            <w:vAlign w:val="bottom"/>
            <w:hideMark/>
          </w:tcPr>
          <w:p w14:paraId="41389DE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w:t>
            </w:r>
          </w:p>
        </w:tc>
        <w:tc>
          <w:tcPr>
            <w:tcW w:w="1184" w:type="dxa"/>
            <w:tcBorders>
              <w:top w:val="nil"/>
              <w:left w:val="nil"/>
              <w:bottom w:val="nil"/>
              <w:right w:val="single" w:sz="4" w:space="0" w:color="520D5D"/>
            </w:tcBorders>
            <w:shd w:val="clear" w:color="000000" w:fill="F5EEF8"/>
            <w:noWrap/>
            <w:vAlign w:val="bottom"/>
            <w:hideMark/>
          </w:tcPr>
          <w:p w14:paraId="340E151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w:t>
            </w:r>
          </w:p>
        </w:tc>
        <w:tc>
          <w:tcPr>
            <w:tcW w:w="1184" w:type="dxa"/>
            <w:tcBorders>
              <w:top w:val="nil"/>
              <w:left w:val="nil"/>
              <w:bottom w:val="nil"/>
              <w:right w:val="single" w:sz="4" w:space="0" w:color="520D5D"/>
            </w:tcBorders>
            <w:shd w:val="clear" w:color="000000" w:fill="F5EEF8"/>
            <w:noWrap/>
            <w:vAlign w:val="bottom"/>
            <w:hideMark/>
          </w:tcPr>
          <w:p w14:paraId="1B4BBDF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184" w:type="dxa"/>
            <w:tcBorders>
              <w:top w:val="nil"/>
              <w:left w:val="nil"/>
              <w:bottom w:val="nil"/>
              <w:right w:val="single" w:sz="4" w:space="0" w:color="520D5D"/>
            </w:tcBorders>
            <w:shd w:val="clear" w:color="000000" w:fill="F5EEF8"/>
            <w:noWrap/>
            <w:vAlign w:val="bottom"/>
            <w:hideMark/>
          </w:tcPr>
          <w:p w14:paraId="43C47A5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606" w:type="dxa"/>
            <w:tcBorders>
              <w:top w:val="nil"/>
              <w:left w:val="nil"/>
              <w:bottom w:val="nil"/>
              <w:right w:val="single" w:sz="4" w:space="0" w:color="520D5D"/>
            </w:tcBorders>
            <w:shd w:val="clear" w:color="000000" w:fill="F5EEF8"/>
            <w:noWrap/>
            <w:vAlign w:val="bottom"/>
            <w:hideMark/>
          </w:tcPr>
          <w:p w14:paraId="63951C0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6A608DD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4.75</w:t>
            </w:r>
          </w:p>
        </w:tc>
        <w:tc>
          <w:tcPr>
            <w:tcW w:w="2673" w:type="dxa"/>
            <w:tcBorders>
              <w:top w:val="single" w:sz="4" w:space="0" w:color="520D5D"/>
              <w:left w:val="nil"/>
              <w:bottom w:val="nil"/>
              <w:right w:val="single" w:sz="4" w:space="0" w:color="520D5D"/>
            </w:tcBorders>
            <w:shd w:val="clear" w:color="000000" w:fill="FFFFFF"/>
            <w:noWrap/>
            <w:vAlign w:val="bottom"/>
            <w:hideMark/>
          </w:tcPr>
          <w:p w14:paraId="152E100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29.69%</w:t>
            </w:r>
          </w:p>
        </w:tc>
      </w:tr>
      <w:tr w:rsidR="004332A7" w:rsidRPr="0051105D" w14:paraId="3E9BD071" w14:textId="77777777" w:rsidTr="004332A7">
        <w:trPr>
          <w:trHeight w:val="247"/>
        </w:trPr>
        <w:tc>
          <w:tcPr>
            <w:tcW w:w="1901" w:type="dxa"/>
            <w:tcBorders>
              <w:top w:val="nil"/>
              <w:left w:val="single" w:sz="4" w:space="0" w:color="520D5D"/>
              <w:bottom w:val="single" w:sz="4" w:space="0" w:color="520D5D"/>
              <w:right w:val="single" w:sz="4" w:space="0" w:color="520D5D"/>
            </w:tcBorders>
            <w:shd w:val="clear" w:color="000000" w:fill="DDCCE6"/>
            <w:noWrap/>
            <w:vAlign w:val="bottom"/>
            <w:hideMark/>
          </w:tcPr>
          <w:p w14:paraId="67C982F3"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733" w:type="dxa"/>
            <w:tcBorders>
              <w:top w:val="single" w:sz="4" w:space="0" w:color="520D5D"/>
              <w:left w:val="nil"/>
              <w:bottom w:val="single" w:sz="4" w:space="0" w:color="520D5D"/>
              <w:right w:val="single" w:sz="4" w:space="0" w:color="520D5D"/>
            </w:tcBorders>
            <w:shd w:val="clear" w:color="000000" w:fill="DDCCE6"/>
            <w:noWrap/>
            <w:vAlign w:val="bottom"/>
            <w:hideMark/>
          </w:tcPr>
          <w:p w14:paraId="38B19C3D"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10C3A296"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3C41007A"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24BC13B3"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5E4C8986"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606" w:type="dxa"/>
            <w:tcBorders>
              <w:top w:val="single" w:sz="4" w:space="0" w:color="520D5D"/>
              <w:left w:val="nil"/>
              <w:bottom w:val="single" w:sz="4" w:space="0" w:color="520D5D"/>
              <w:right w:val="single" w:sz="4" w:space="0" w:color="520D5D"/>
            </w:tcBorders>
            <w:shd w:val="clear" w:color="000000" w:fill="DDCCE6"/>
            <w:noWrap/>
            <w:vAlign w:val="bottom"/>
            <w:hideMark/>
          </w:tcPr>
          <w:p w14:paraId="3944CF2B"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2105" w:type="dxa"/>
            <w:tcBorders>
              <w:top w:val="single" w:sz="4" w:space="0" w:color="520D5D"/>
              <w:left w:val="nil"/>
              <w:bottom w:val="single" w:sz="4" w:space="0" w:color="520D5D"/>
              <w:right w:val="single" w:sz="4" w:space="0" w:color="520D5D"/>
            </w:tcBorders>
            <w:shd w:val="clear" w:color="000000" w:fill="DDCCE6"/>
            <w:noWrap/>
            <w:vAlign w:val="bottom"/>
            <w:hideMark/>
          </w:tcPr>
          <w:p w14:paraId="1FCC774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2673" w:type="dxa"/>
            <w:tcBorders>
              <w:top w:val="single" w:sz="4" w:space="0" w:color="520D5D"/>
              <w:left w:val="nil"/>
              <w:bottom w:val="single" w:sz="4" w:space="0" w:color="520D5D"/>
              <w:right w:val="single" w:sz="4" w:space="0" w:color="520D5D"/>
            </w:tcBorders>
            <w:shd w:val="clear" w:color="000000" w:fill="DDCCE6"/>
            <w:noWrap/>
            <w:vAlign w:val="bottom"/>
            <w:hideMark/>
          </w:tcPr>
          <w:p w14:paraId="020852F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r>
      <w:tr w:rsidR="004332A7" w:rsidRPr="0051105D" w14:paraId="1B7E7816" w14:textId="77777777" w:rsidTr="004332A7">
        <w:trPr>
          <w:trHeight w:val="247"/>
        </w:trPr>
        <w:tc>
          <w:tcPr>
            <w:tcW w:w="1901" w:type="dxa"/>
            <w:vMerge w:val="restart"/>
            <w:tcBorders>
              <w:top w:val="nil"/>
              <w:left w:val="single" w:sz="4" w:space="0" w:color="520D5D"/>
              <w:bottom w:val="single" w:sz="4" w:space="0" w:color="520D5D"/>
              <w:right w:val="single" w:sz="4" w:space="0" w:color="520D5D"/>
            </w:tcBorders>
            <w:shd w:val="clear" w:color="000000" w:fill="F5EEF8"/>
            <w:noWrap/>
            <w:vAlign w:val="center"/>
            <w:hideMark/>
          </w:tcPr>
          <w:p w14:paraId="7A985A9C"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Baristas </w:t>
            </w:r>
          </w:p>
        </w:tc>
        <w:tc>
          <w:tcPr>
            <w:tcW w:w="1733" w:type="dxa"/>
            <w:tcBorders>
              <w:top w:val="nil"/>
              <w:left w:val="nil"/>
              <w:bottom w:val="nil"/>
              <w:right w:val="single" w:sz="4" w:space="0" w:color="520D5D"/>
            </w:tcBorders>
            <w:shd w:val="clear" w:color="000000" w:fill="F5EEF8"/>
            <w:noWrap/>
            <w:vAlign w:val="bottom"/>
            <w:hideMark/>
          </w:tcPr>
          <w:p w14:paraId="41D91187"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K Gerbil </w:t>
            </w:r>
          </w:p>
        </w:tc>
        <w:tc>
          <w:tcPr>
            <w:tcW w:w="1184" w:type="dxa"/>
            <w:tcBorders>
              <w:top w:val="nil"/>
              <w:left w:val="nil"/>
              <w:bottom w:val="nil"/>
              <w:right w:val="single" w:sz="4" w:space="0" w:color="520D5D"/>
            </w:tcBorders>
            <w:shd w:val="clear" w:color="000000" w:fill="F5EEF8"/>
            <w:noWrap/>
            <w:vAlign w:val="bottom"/>
            <w:hideMark/>
          </w:tcPr>
          <w:p w14:paraId="3F822F7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12</w:t>
            </w:r>
          </w:p>
        </w:tc>
        <w:tc>
          <w:tcPr>
            <w:tcW w:w="1184" w:type="dxa"/>
            <w:tcBorders>
              <w:top w:val="nil"/>
              <w:left w:val="nil"/>
              <w:bottom w:val="nil"/>
              <w:right w:val="single" w:sz="4" w:space="0" w:color="520D5D"/>
            </w:tcBorders>
            <w:shd w:val="clear" w:color="000000" w:fill="F5EEF8"/>
            <w:noWrap/>
            <w:vAlign w:val="bottom"/>
            <w:hideMark/>
          </w:tcPr>
          <w:p w14:paraId="00632C9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77B2603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w:t>
            </w:r>
          </w:p>
        </w:tc>
        <w:tc>
          <w:tcPr>
            <w:tcW w:w="1184" w:type="dxa"/>
            <w:tcBorders>
              <w:top w:val="nil"/>
              <w:left w:val="nil"/>
              <w:bottom w:val="nil"/>
              <w:right w:val="single" w:sz="4" w:space="0" w:color="520D5D"/>
            </w:tcBorders>
            <w:shd w:val="clear" w:color="000000" w:fill="F5EEF8"/>
            <w:noWrap/>
            <w:vAlign w:val="bottom"/>
            <w:hideMark/>
          </w:tcPr>
          <w:p w14:paraId="1122032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w:t>
            </w:r>
          </w:p>
        </w:tc>
        <w:tc>
          <w:tcPr>
            <w:tcW w:w="1606" w:type="dxa"/>
            <w:tcBorders>
              <w:top w:val="nil"/>
              <w:left w:val="nil"/>
              <w:bottom w:val="nil"/>
              <w:right w:val="single" w:sz="4" w:space="0" w:color="520D5D"/>
            </w:tcBorders>
            <w:shd w:val="clear" w:color="000000" w:fill="F5EEF8"/>
            <w:noWrap/>
            <w:vAlign w:val="bottom"/>
            <w:hideMark/>
          </w:tcPr>
          <w:p w14:paraId="60DF1FD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37.5</w:t>
            </w:r>
          </w:p>
        </w:tc>
        <w:tc>
          <w:tcPr>
            <w:tcW w:w="2105" w:type="dxa"/>
            <w:tcBorders>
              <w:top w:val="nil"/>
              <w:left w:val="nil"/>
              <w:bottom w:val="nil"/>
              <w:right w:val="single" w:sz="4" w:space="0" w:color="520D5D"/>
            </w:tcBorders>
            <w:shd w:val="clear" w:color="000000" w:fill="FFFFFF"/>
            <w:noWrap/>
            <w:vAlign w:val="bottom"/>
            <w:hideMark/>
          </w:tcPr>
          <w:p w14:paraId="6AD4876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6.25</w:t>
            </w:r>
          </w:p>
        </w:tc>
        <w:tc>
          <w:tcPr>
            <w:tcW w:w="2673" w:type="dxa"/>
            <w:tcBorders>
              <w:top w:val="nil"/>
              <w:left w:val="nil"/>
              <w:bottom w:val="nil"/>
              <w:right w:val="single" w:sz="4" w:space="0" w:color="520D5D"/>
            </w:tcBorders>
            <w:shd w:val="clear" w:color="000000" w:fill="FFFFFF"/>
            <w:noWrap/>
            <w:vAlign w:val="bottom"/>
            <w:hideMark/>
          </w:tcPr>
          <w:p w14:paraId="765BDC5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16.67%</w:t>
            </w:r>
          </w:p>
        </w:tc>
      </w:tr>
      <w:tr w:rsidR="004332A7" w:rsidRPr="0051105D" w14:paraId="18DAC98A"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5DD1AADF"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4F9526C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S Lund </w:t>
            </w:r>
          </w:p>
        </w:tc>
        <w:tc>
          <w:tcPr>
            <w:tcW w:w="1184" w:type="dxa"/>
            <w:tcBorders>
              <w:top w:val="nil"/>
              <w:left w:val="nil"/>
              <w:bottom w:val="nil"/>
              <w:right w:val="single" w:sz="4" w:space="0" w:color="520D5D"/>
            </w:tcBorders>
            <w:shd w:val="clear" w:color="000000" w:fill="F5EEF8"/>
            <w:noWrap/>
            <w:vAlign w:val="bottom"/>
            <w:hideMark/>
          </w:tcPr>
          <w:p w14:paraId="27FD33C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10</w:t>
            </w:r>
          </w:p>
        </w:tc>
        <w:tc>
          <w:tcPr>
            <w:tcW w:w="1184" w:type="dxa"/>
            <w:tcBorders>
              <w:top w:val="nil"/>
              <w:left w:val="nil"/>
              <w:bottom w:val="nil"/>
              <w:right w:val="single" w:sz="4" w:space="0" w:color="520D5D"/>
            </w:tcBorders>
            <w:shd w:val="clear" w:color="000000" w:fill="F5EEF8"/>
            <w:noWrap/>
            <w:vAlign w:val="bottom"/>
            <w:hideMark/>
          </w:tcPr>
          <w:p w14:paraId="37B8157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2C1C243D"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4EA6FFD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606" w:type="dxa"/>
            <w:tcBorders>
              <w:top w:val="nil"/>
              <w:left w:val="nil"/>
              <w:bottom w:val="nil"/>
              <w:right w:val="single" w:sz="4" w:space="0" w:color="520D5D"/>
            </w:tcBorders>
            <w:shd w:val="clear" w:color="000000" w:fill="F5EEF8"/>
            <w:noWrap/>
            <w:vAlign w:val="bottom"/>
            <w:hideMark/>
          </w:tcPr>
          <w:p w14:paraId="77B2BAF7"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1EBB955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8.5</w:t>
            </w:r>
          </w:p>
        </w:tc>
        <w:tc>
          <w:tcPr>
            <w:tcW w:w="2673" w:type="dxa"/>
            <w:tcBorders>
              <w:top w:val="single" w:sz="4" w:space="0" w:color="520D5D"/>
              <w:left w:val="nil"/>
              <w:bottom w:val="nil"/>
              <w:right w:val="single" w:sz="4" w:space="0" w:color="520D5D"/>
            </w:tcBorders>
            <w:shd w:val="clear" w:color="000000" w:fill="FFFFFF"/>
            <w:noWrap/>
            <w:vAlign w:val="bottom"/>
            <w:hideMark/>
          </w:tcPr>
          <w:p w14:paraId="1D5CC49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42.50%</w:t>
            </w:r>
          </w:p>
        </w:tc>
      </w:tr>
      <w:tr w:rsidR="004332A7" w:rsidRPr="0051105D" w14:paraId="71DEC527"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1C727512"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6E020762"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xml:space="preserve">B </w:t>
            </w:r>
            <w:proofErr w:type="spellStart"/>
            <w:r w:rsidRPr="0051105D">
              <w:rPr>
                <w:rFonts w:ascii="Calibri" w:eastAsia="Times New Roman" w:hAnsi="Calibri" w:cs="Calibri"/>
                <w:color w:val="520D5D"/>
                <w:kern w:val="0"/>
                <w:lang w:eastAsia="en-GB"/>
                <w14:ligatures w14:val="none"/>
              </w:rPr>
              <w:t>Bathbun</w:t>
            </w:r>
            <w:proofErr w:type="spellEnd"/>
          </w:p>
        </w:tc>
        <w:tc>
          <w:tcPr>
            <w:tcW w:w="1184" w:type="dxa"/>
            <w:tcBorders>
              <w:top w:val="nil"/>
              <w:left w:val="nil"/>
              <w:bottom w:val="nil"/>
              <w:right w:val="single" w:sz="4" w:space="0" w:color="520D5D"/>
            </w:tcBorders>
            <w:shd w:val="clear" w:color="000000" w:fill="F5EEF8"/>
            <w:noWrap/>
            <w:vAlign w:val="bottom"/>
            <w:hideMark/>
          </w:tcPr>
          <w:p w14:paraId="5EE21E4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184" w:type="dxa"/>
            <w:tcBorders>
              <w:top w:val="nil"/>
              <w:left w:val="nil"/>
              <w:bottom w:val="nil"/>
              <w:right w:val="single" w:sz="4" w:space="0" w:color="520D5D"/>
            </w:tcBorders>
            <w:shd w:val="clear" w:color="000000" w:fill="F5EEF8"/>
            <w:noWrap/>
            <w:vAlign w:val="bottom"/>
            <w:hideMark/>
          </w:tcPr>
          <w:p w14:paraId="23AF93E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21CAF60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nil"/>
              <w:right w:val="single" w:sz="4" w:space="0" w:color="520D5D"/>
            </w:tcBorders>
            <w:shd w:val="clear" w:color="000000" w:fill="F5EEF8"/>
            <w:noWrap/>
            <w:vAlign w:val="bottom"/>
            <w:hideMark/>
          </w:tcPr>
          <w:p w14:paraId="024CC828"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606" w:type="dxa"/>
            <w:tcBorders>
              <w:top w:val="nil"/>
              <w:left w:val="nil"/>
              <w:bottom w:val="nil"/>
              <w:right w:val="single" w:sz="4" w:space="0" w:color="520D5D"/>
            </w:tcBorders>
            <w:shd w:val="clear" w:color="000000" w:fill="F5EEF8"/>
            <w:noWrap/>
            <w:vAlign w:val="bottom"/>
            <w:hideMark/>
          </w:tcPr>
          <w:p w14:paraId="56A74BB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16</w:t>
            </w:r>
          </w:p>
        </w:tc>
        <w:tc>
          <w:tcPr>
            <w:tcW w:w="2105" w:type="dxa"/>
            <w:tcBorders>
              <w:top w:val="single" w:sz="4" w:space="0" w:color="520D5D"/>
              <w:left w:val="nil"/>
              <w:bottom w:val="nil"/>
              <w:right w:val="single" w:sz="4" w:space="0" w:color="520D5D"/>
            </w:tcBorders>
            <w:shd w:val="clear" w:color="000000" w:fill="FFFFFF"/>
            <w:noWrap/>
            <w:vAlign w:val="bottom"/>
            <w:hideMark/>
          </w:tcPr>
          <w:p w14:paraId="6B0FC91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6.25</w:t>
            </w:r>
          </w:p>
        </w:tc>
        <w:tc>
          <w:tcPr>
            <w:tcW w:w="2673" w:type="dxa"/>
            <w:tcBorders>
              <w:top w:val="single" w:sz="4" w:space="0" w:color="520D5D"/>
              <w:left w:val="nil"/>
              <w:bottom w:val="nil"/>
              <w:right w:val="single" w:sz="4" w:space="0" w:color="520D5D"/>
            </w:tcBorders>
            <w:shd w:val="clear" w:color="000000" w:fill="FFFFFF"/>
            <w:noWrap/>
            <w:vAlign w:val="bottom"/>
            <w:hideMark/>
          </w:tcPr>
          <w:p w14:paraId="57A2C85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39.06%</w:t>
            </w:r>
          </w:p>
        </w:tc>
      </w:tr>
      <w:tr w:rsidR="004332A7" w:rsidRPr="0051105D" w14:paraId="7EBEE3AA"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0A3E6DDF"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1809AB80"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H John </w:t>
            </w:r>
          </w:p>
        </w:tc>
        <w:tc>
          <w:tcPr>
            <w:tcW w:w="1184" w:type="dxa"/>
            <w:tcBorders>
              <w:top w:val="nil"/>
              <w:left w:val="nil"/>
              <w:bottom w:val="nil"/>
              <w:right w:val="single" w:sz="4" w:space="0" w:color="520D5D"/>
            </w:tcBorders>
            <w:shd w:val="clear" w:color="000000" w:fill="F5EEF8"/>
            <w:noWrap/>
            <w:vAlign w:val="bottom"/>
            <w:hideMark/>
          </w:tcPr>
          <w:p w14:paraId="46051CC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w:t>
            </w:r>
          </w:p>
        </w:tc>
        <w:tc>
          <w:tcPr>
            <w:tcW w:w="1184" w:type="dxa"/>
            <w:tcBorders>
              <w:top w:val="nil"/>
              <w:left w:val="nil"/>
              <w:bottom w:val="nil"/>
              <w:right w:val="single" w:sz="4" w:space="0" w:color="520D5D"/>
            </w:tcBorders>
            <w:shd w:val="clear" w:color="000000" w:fill="F5EEF8"/>
            <w:noWrap/>
            <w:vAlign w:val="bottom"/>
            <w:hideMark/>
          </w:tcPr>
          <w:p w14:paraId="4D2DB88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184" w:type="dxa"/>
            <w:tcBorders>
              <w:top w:val="nil"/>
              <w:left w:val="nil"/>
              <w:bottom w:val="nil"/>
              <w:right w:val="single" w:sz="4" w:space="0" w:color="520D5D"/>
            </w:tcBorders>
            <w:shd w:val="clear" w:color="000000" w:fill="F5EEF8"/>
            <w:noWrap/>
            <w:vAlign w:val="bottom"/>
            <w:hideMark/>
          </w:tcPr>
          <w:p w14:paraId="6E0C5899"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w:t>
            </w:r>
          </w:p>
        </w:tc>
        <w:tc>
          <w:tcPr>
            <w:tcW w:w="1184" w:type="dxa"/>
            <w:tcBorders>
              <w:top w:val="nil"/>
              <w:left w:val="nil"/>
              <w:bottom w:val="nil"/>
              <w:right w:val="single" w:sz="4" w:space="0" w:color="520D5D"/>
            </w:tcBorders>
            <w:shd w:val="clear" w:color="000000" w:fill="F5EEF8"/>
            <w:noWrap/>
            <w:vAlign w:val="bottom"/>
            <w:hideMark/>
          </w:tcPr>
          <w:p w14:paraId="6AAFCBB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606" w:type="dxa"/>
            <w:tcBorders>
              <w:top w:val="nil"/>
              <w:left w:val="nil"/>
              <w:bottom w:val="nil"/>
              <w:right w:val="single" w:sz="4" w:space="0" w:color="520D5D"/>
            </w:tcBorders>
            <w:shd w:val="clear" w:color="000000" w:fill="F5EEF8"/>
            <w:noWrap/>
            <w:vAlign w:val="bottom"/>
            <w:hideMark/>
          </w:tcPr>
          <w:p w14:paraId="7526CEC5"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2105" w:type="dxa"/>
            <w:tcBorders>
              <w:top w:val="single" w:sz="4" w:space="0" w:color="520D5D"/>
              <w:left w:val="nil"/>
              <w:bottom w:val="nil"/>
              <w:right w:val="single" w:sz="4" w:space="0" w:color="520D5D"/>
            </w:tcBorders>
            <w:shd w:val="clear" w:color="000000" w:fill="FFFFFF"/>
            <w:noWrap/>
            <w:vAlign w:val="bottom"/>
            <w:hideMark/>
          </w:tcPr>
          <w:p w14:paraId="6CD74A9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4.75</w:t>
            </w:r>
          </w:p>
        </w:tc>
        <w:tc>
          <w:tcPr>
            <w:tcW w:w="2673" w:type="dxa"/>
            <w:tcBorders>
              <w:top w:val="single" w:sz="4" w:space="0" w:color="520D5D"/>
              <w:left w:val="nil"/>
              <w:bottom w:val="nil"/>
              <w:right w:val="single" w:sz="4" w:space="0" w:color="520D5D"/>
            </w:tcBorders>
            <w:shd w:val="clear" w:color="000000" w:fill="FFFFFF"/>
            <w:noWrap/>
            <w:vAlign w:val="bottom"/>
            <w:hideMark/>
          </w:tcPr>
          <w:p w14:paraId="1A56240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59.38%</w:t>
            </w:r>
          </w:p>
        </w:tc>
      </w:tr>
      <w:tr w:rsidR="004332A7" w:rsidRPr="0051105D" w14:paraId="04A78396"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7C30E079"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7A207B90"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R Rabbitt </w:t>
            </w:r>
          </w:p>
        </w:tc>
        <w:tc>
          <w:tcPr>
            <w:tcW w:w="1184" w:type="dxa"/>
            <w:tcBorders>
              <w:top w:val="nil"/>
              <w:left w:val="nil"/>
              <w:bottom w:val="nil"/>
              <w:right w:val="single" w:sz="4" w:space="0" w:color="520D5D"/>
            </w:tcBorders>
            <w:shd w:val="clear" w:color="000000" w:fill="F5EEF8"/>
            <w:noWrap/>
            <w:vAlign w:val="bottom"/>
            <w:hideMark/>
          </w:tcPr>
          <w:p w14:paraId="4B313C0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w:t>
            </w:r>
          </w:p>
        </w:tc>
        <w:tc>
          <w:tcPr>
            <w:tcW w:w="1184" w:type="dxa"/>
            <w:tcBorders>
              <w:top w:val="nil"/>
              <w:left w:val="nil"/>
              <w:bottom w:val="nil"/>
              <w:right w:val="single" w:sz="4" w:space="0" w:color="520D5D"/>
            </w:tcBorders>
            <w:shd w:val="clear" w:color="000000" w:fill="F5EEF8"/>
            <w:noWrap/>
            <w:vAlign w:val="bottom"/>
            <w:hideMark/>
          </w:tcPr>
          <w:p w14:paraId="3AD87DA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w:t>
            </w:r>
          </w:p>
        </w:tc>
        <w:tc>
          <w:tcPr>
            <w:tcW w:w="1184" w:type="dxa"/>
            <w:tcBorders>
              <w:top w:val="nil"/>
              <w:left w:val="nil"/>
              <w:bottom w:val="nil"/>
              <w:right w:val="single" w:sz="4" w:space="0" w:color="520D5D"/>
            </w:tcBorders>
            <w:shd w:val="clear" w:color="000000" w:fill="F5EEF8"/>
            <w:noWrap/>
            <w:vAlign w:val="bottom"/>
            <w:hideMark/>
          </w:tcPr>
          <w:p w14:paraId="1E58865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w:t>
            </w:r>
          </w:p>
        </w:tc>
        <w:tc>
          <w:tcPr>
            <w:tcW w:w="1184" w:type="dxa"/>
            <w:tcBorders>
              <w:top w:val="nil"/>
              <w:left w:val="nil"/>
              <w:bottom w:val="nil"/>
              <w:right w:val="single" w:sz="4" w:space="0" w:color="520D5D"/>
            </w:tcBorders>
            <w:shd w:val="clear" w:color="000000" w:fill="F5EEF8"/>
            <w:noWrap/>
            <w:vAlign w:val="bottom"/>
            <w:hideMark/>
          </w:tcPr>
          <w:p w14:paraId="4525C2C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w:t>
            </w:r>
          </w:p>
        </w:tc>
        <w:tc>
          <w:tcPr>
            <w:tcW w:w="1606" w:type="dxa"/>
            <w:tcBorders>
              <w:top w:val="nil"/>
              <w:left w:val="nil"/>
              <w:bottom w:val="nil"/>
              <w:right w:val="single" w:sz="4" w:space="0" w:color="520D5D"/>
            </w:tcBorders>
            <w:shd w:val="clear" w:color="000000" w:fill="F5EEF8"/>
            <w:noWrap/>
            <w:vAlign w:val="bottom"/>
            <w:hideMark/>
          </w:tcPr>
          <w:p w14:paraId="54AEB8C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2105" w:type="dxa"/>
            <w:tcBorders>
              <w:top w:val="single" w:sz="4" w:space="0" w:color="520D5D"/>
              <w:left w:val="nil"/>
              <w:bottom w:val="nil"/>
              <w:right w:val="single" w:sz="4" w:space="0" w:color="520D5D"/>
            </w:tcBorders>
            <w:shd w:val="clear" w:color="000000" w:fill="FFFFFF"/>
            <w:noWrap/>
            <w:vAlign w:val="bottom"/>
            <w:hideMark/>
          </w:tcPr>
          <w:p w14:paraId="4DF31AE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2.25</w:t>
            </w:r>
          </w:p>
        </w:tc>
        <w:tc>
          <w:tcPr>
            <w:tcW w:w="2673" w:type="dxa"/>
            <w:tcBorders>
              <w:top w:val="single" w:sz="4" w:space="0" w:color="520D5D"/>
              <w:left w:val="nil"/>
              <w:bottom w:val="nil"/>
              <w:right w:val="single" w:sz="4" w:space="0" w:color="520D5D"/>
            </w:tcBorders>
            <w:shd w:val="clear" w:color="000000" w:fill="FFFFFF"/>
            <w:noWrap/>
            <w:vAlign w:val="bottom"/>
            <w:hideMark/>
          </w:tcPr>
          <w:p w14:paraId="025D139A"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28.13%</w:t>
            </w:r>
          </w:p>
        </w:tc>
      </w:tr>
      <w:tr w:rsidR="004332A7" w:rsidRPr="0051105D" w14:paraId="3787FFFE" w14:textId="77777777" w:rsidTr="004332A7">
        <w:trPr>
          <w:trHeight w:val="247"/>
        </w:trPr>
        <w:tc>
          <w:tcPr>
            <w:tcW w:w="1901" w:type="dxa"/>
            <w:tcBorders>
              <w:top w:val="nil"/>
              <w:left w:val="single" w:sz="4" w:space="0" w:color="520D5D"/>
              <w:bottom w:val="single" w:sz="4" w:space="0" w:color="520D5D"/>
              <w:right w:val="single" w:sz="4" w:space="0" w:color="520D5D"/>
            </w:tcBorders>
            <w:shd w:val="clear" w:color="000000" w:fill="DDCCE6"/>
            <w:noWrap/>
            <w:vAlign w:val="bottom"/>
            <w:hideMark/>
          </w:tcPr>
          <w:p w14:paraId="296FC964"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733" w:type="dxa"/>
            <w:tcBorders>
              <w:top w:val="single" w:sz="4" w:space="0" w:color="520D5D"/>
              <w:left w:val="nil"/>
              <w:bottom w:val="single" w:sz="4" w:space="0" w:color="520D5D"/>
              <w:right w:val="single" w:sz="4" w:space="0" w:color="520D5D"/>
            </w:tcBorders>
            <w:shd w:val="clear" w:color="000000" w:fill="DDCCE6"/>
            <w:noWrap/>
            <w:vAlign w:val="bottom"/>
            <w:hideMark/>
          </w:tcPr>
          <w:p w14:paraId="408DC823"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1A43B32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323C5069"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4EE587F0"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184" w:type="dxa"/>
            <w:tcBorders>
              <w:top w:val="single" w:sz="4" w:space="0" w:color="520D5D"/>
              <w:left w:val="nil"/>
              <w:bottom w:val="single" w:sz="4" w:space="0" w:color="520D5D"/>
              <w:right w:val="single" w:sz="4" w:space="0" w:color="520D5D"/>
            </w:tcBorders>
            <w:shd w:val="clear" w:color="000000" w:fill="DDCCE6"/>
            <w:noWrap/>
            <w:vAlign w:val="bottom"/>
            <w:hideMark/>
          </w:tcPr>
          <w:p w14:paraId="569CDA14"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1606" w:type="dxa"/>
            <w:tcBorders>
              <w:top w:val="single" w:sz="4" w:space="0" w:color="520D5D"/>
              <w:left w:val="nil"/>
              <w:bottom w:val="single" w:sz="4" w:space="0" w:color="520D5D"/>
              <w:right w:val="single" w:sz="4" w:space="0" w:color="520D5D"/>
            </w:tcBorders>
            <w:shd w:val="clear" w:color="000000" w:fill="DDCCE6"/>
            <w:noWrap/>
            <w:vAlign w:val="bottom"/>
            <w:hideMark/>
          </w:tcPr>
          <w:p w14:paraId="5A670D93"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2105" w:type="dxa"/>
            <w:tcBorders>
              <w:top w:val="single" w:sz="4" w:space="0" w:color="520D5D"/>
              <w:left w:val="nil"/>
              <w:bottom w:val="single" w:sz="4" w:space="0" w:color="520D5D"/>
              <w:right w:val="single" w:sz="4" w:space="0" w:color="520D5D"/>
            </w:tcBorders>
            <w:shd w:val="clear" w:color="000000" w:fill="DDCCE6"/>
            <w:noWrap/>
            <w:vAlign w:val="bottom"/>
            <w:hideMark/>
          </w:tcPr>
          <w:p w14:paraId="3E80B837"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c>
          <w:tcPr>
            <w:tcW w:w="2673" w:type="dxa"/>
            <w:tcBorders>
              <w:top w:val="single" w:sz="4" w:space="0" w:color="520D5D"/>
              <w:left w:val="nil"/>
              <w:bottom w:val="single" w:sz="4" w:space="0" w:color="520D5D"/>
              <w:right w:val="single" w:sz="4" w:space="0" w:color="520D5D"/>
            </w:tcBorders>
            <w:shd w:val="clear" w:color="000000" w:fill="DDCCE6"/>
            <w:noWrap/>
            <w:vAlign w:val="bottom"/>
            <w:hideMark/>
          </w:tcPr>
          <w:p w14:paraId="6B27DA76"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w:t>
            </w:r>
          </w:p>
        </w:tc>
      </w:tr>
      <w:tr w:rsidR="004332A7" w:rsidRPr="0051105D" w14:paraId="1B38AF01" w14:textId="77777777" w:rsidTr="004332A7">
        <w:trPr>
          <w:trHeight w:val="247"/>
        </w:trPr>
        <w:tc>
          <w:tcPr>
            <w:tcW w:w="1901" w:type="dxa"/>
            <w:vMerge w:val="restart"/>
            <w:tcBorders>
              <w:top w:val="nil"/>
              <w:left w:val="single" w:sz="4" w:space="0" w:color="520D5D"/>
              <w:bottom w:val="single" w:sz="4" w:space="0" w:color="520D5D"/>
              <w:right w:val="single" w:sz="4" w:space="0" w:color="520D5D"/>
            </w:tcBorders>
            <w:shd w:val="clear" w:color="000000" w:fill="F5EEF8"/>
            <w:noWrap/>
            <w:vAlign w:val="center"/>
            <w:hideMark/>
          </w:tcPr>
          <w:p w14:paraId="777490DB"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r w:rsidRPr="0051105D">
              <w:rPr>
                <w:rFonts w:ascii="Calibri" w:eastAsia="Times New Roman" w:hAnsi="Calibri" w:cs="Calibri"/>
                <w:b/>
                <w:bCs/>
                <w:color w:val="520D5D"/>
                <w:kern w:val="0"/>
                <w:lang w:eastAsia="en-GB"/>
                <w14:ligatures w14:val="none"/>
              </w:rPr>
              <w:t>Bakery </w:t>
            </w:r>
          </w:p>
        </w:tc>
        <w:tc>
          <w:tcPr>
            <w:tcW w:w="1733" w:type="dxa"/>
            <w:tcBorders>
              <w:top w:val="nil"/>
              <w:left w:val="nil"/>
              <w:bottom w:val="nil"/>
              <w:right w:val="single" w:sz="4" w:space="0" w:color="520D5D"/>
            </w:tcBorders>
            <w:shd w:val="clear" w:color="000000" w:fill="F5EEF8"/>
            <w:noWrap/>
            <w:vAlign w:val="bottom"/>
            <w:hideMark/>
          </w:tcPr>
          <w:p w14:paraId="4DE61CBD"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 xml:space="preserve">P </w:t>
            </w:r>
            <w:proofErr w:type="spellStart"/>
            <w:r w:rsidRPr="0051105D">
              <w:rPr>
                <w:rFonts w:ascii="Calibri" w:eastAsia="Times New Roman" w:hAnsi="Calibri" w:cs="Calibri"/>
                <w:color w:val="520D5D"/>
                <w:kern w:val="0"/>
                <w:lang w:eastAsia="en-GB"/>
                <w14:ligatures w14:val="none"/>
              </w:rPr>
              <w:t>Harlum</w:t>
            </w:r>
            <w:proofErr w:type="spellEnd"/>
            <w:r w:rsidRPr="0051105D">
              <w:rPr>
                <w:rFonts w:ascii="Calibri" w:eastAsia="Times New Roman" w:hAnsi="Calibri" w:cs="Calibri"/>
                <w:color w:val="520D5D"/>
                <w:kern w:val="0"/>
                <w:lang w:eastAsia="en-GB"/>
                <w14:ligatures w14:val="none"/>
              </w:rPr>
              <w:t> </w:t>
            </w:r>
          </w:p>
        </w:tc>
        <w:tc>
          <w:tcPr>
            <w:tcW w:w="1184" w:type="dxa"/>
            <w:tcBorders>
              <w:top w:val="nil"/>
              <w:left w:val="nil"/>
              <w:bottom w:val="nil"/>
              <w:right w:val="single" w:sz="4" w:space="0" w:color="520D5D"/>
            </w:tcBorders>
            <w:shd w:val="clear" w:color="000000" w:fill="F5EEF8"/>
            <w:noWrap/>
            <w:vAlign w:val="bottom"/>
            <w:hideMark/>
          </w:tcPr>
          <w:p w14:paraId="0FE9702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nil"/>
              <w:right w:val="single" w:sz="4" w:space="0" w:color="520D5D"/>
            </w:tcBorders>
            <w:shd w:val="clear" w:color="000000" w:fill="F5EEF8"/>
            <w:noWrap/>
            <w:vAlign w:val="bottom"/>
            <w:hideMark/>
          </w:tcPr>
          <w:p w14:paraId="09814F4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40CC3ED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184" w:type="dxa"/>
            <w:tcBorders>
              <w:top w:val="nil"/>
              <w:left w:val="nil"/>
              <w:bottom w:val="nil"/>
              <w:right w:val="single" w:sz="4" w:space="0" w:color="520D5D"/>
            </w:tcBorders>
            <w:shd w:val="clear" w:color="000000" w:fill="F5EEF8"/>
            <w:noWrap/>
            <w:vAlign w:val="bottom"/>
            <w:hideMark/>
          </w:tcPr>
          <w:p w14:paraId="7692F62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9</w:t>
            </w:r>
          </w:p>
        </w:tc>
        <w:tc>
          <w:tcPr>
            <w:tcW w:w="1606" w:type="dxa"/>
            <w:tcBorders>
              <w:top w:val="nil"/>
              <w:left w:val="nil"/>
              <w:bottom w:val="nil"/>
              <w:right w:val="single" w:sz="4" w:space="0" w:color="520D5D"/>
            </w:tcBorders>
            <w:shd w:val="clear" w:color="000000" w:fill="F5EEF8"/>
            <w:noWrap/>
            <w:vAlign w:val="bottom"/>
            <w:hideMark/>
          </w:tcPr>
          <w:p w14:paraId="7EFAE7C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37.5</w:t>
            </w:r>
          </w:p>
        </w:tc>
        <w:tc>
          <w:tcPr>
            <w:tcW w:w="2105" w:type="dxa"/>
            <w:tcBorders>
              <w:top w:val="nil"/>
              <w:left w:val="nil"/>
              <w:bottom w:val="nil"/>
              <w:right w:val="single" w:sz="4" w:space="0" w:color="520D5D"/>
            </w:tcBorders>
            <w:shd w:val="clear" w:color="000000" w:fill="FFFFFF"/>
            <w:noWrap/>
            <w:vAlign w:val="bottom"/>
            <w:hideMark/>
          </w:tcPr>
          <w:p w14:paraId="7A9B7A0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2673" w:type="dxa"/>
            <w:tcBorders>
              <w:top w:val="nil"/>
              <w:left w:val="nil"/>
              <w:bottom w:val="nil"/>
              <w:right w:val="single" w:sz="4" w:space="0" w:color="520D5D"/>
            </w:tcBorders>
            <w:shd w:val="clear" w:color="000000" w:fill="FFFFFF"/>
            <w:noWrap/>
            <w:vAlign w:val="bottom"/>
            <w:hideMark/>
          </w:tcPr>
          <w:p w14:paraId="39A4BD80"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21.33%</w:t>
            </w:r>
          </w:p>
        </w:tc>
      </w:tr>
      <w:tr w:rsidR="004332A7" w:rsidRPr="0051105D" w14:paraId="0B5F995F"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689E82DE"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nil"/>
              <w:right w:val="single" w:sz="4" w:space="0" w:color="520D5D"/>
            </w:tcBorders>
            <w:shd w:val="clear" w:color="000000" w:fill="F5EEF8"/>
            <w:noWrap/>
            <w:vAlign w:val="bottom"/>
            <w:hideMark/>
          </w:tcPr>
          <w:p w14:paraId="240F6D65"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M Hubbard</w:t>
            </w:r>
          </w:p>
        </w:tc>
        <w:tc>
          <w:tcPr>
            <w:tcW w:w="1184" w:type="dxa"/>
            <w:tcBorders>
              <w:top w:val="nil"/>
              <w:left w:val="nil"/>
              <w:bottom w:val="nil"/>
              <w:right w:val="single" w:sz="4" w:space="0" w:color="520D5D"/>
            </w:tcBorders>
            <w:shd w:val="clear" w:color="000000" w:fill="F5EEF8"/>
            <w:noWrap/>
            <w:vAlign w:val="bottom"/>
            <w:hideMark/>
          </w:tcPr>
          <w:p w14:paraId="7EE480F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nil"/>
              <w:right w:val="single" w:sz="4" w:space="0" w:color="520D5D"/>
            </w:tcBorders>
            <w:shd w:val="clear" w:color="000000" w:fill="F5EEF8"/>
            <w:noWrap/>
            <w:vAlign w:val="bottom"/>
            <w:hideMark/>
          </w:tcPr>
          <w:p w14:paraId="1F35B784"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nil"/>
              <w:right w:val="single" w:sz="4" w:space="0" w:color="520D5D"/>
            </w:tcBorders>
            <w:shd w:val="clear" w:color="000000" w:fill="F5EEF8"/>
            <w:noWrap/>
            <w:vAlign w:val="bottom"/>
            <w:hideMark/>
          </w:tcPr>
          <w:p w14:paraId="6ACE069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7</w:t>
            </w:r>
          </w:p>
        </w:tc>
        <w:tc>
          <w:tcPr>
            <w:tcW w:w="1184" w:type="dxa"/>
            <w:tcBorders>
              <w:top w:val="nil"/>
              <w:left w:val="nil"/>
              <w:bottom w:val="nil"/>
              <w:right w:val="single" w:sz="4" w:space="0" w:color="520D5D"/>
            </w:tcBorders>
            <w:shd w:val="clear" w:color="000000" w:fill="F5EEF8"/>
            <w:noWrap/>
            <w:vAlign w:val="bottom"/>
            <w:hideMark/>
          </w:tcPr>
          <w:p w14:paraId="7CE08FB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5</w:t>
            </w:r>
          </w:p>
        </w:tc>
        <w:tc>
          <w:tcPr>
            <w:tcW w:w="1606" w:type="dxa"/>
            <w:tcBorders>
              <w:top w:val="nil"/>
              <w:left w:val="nil"/>
              <w:bottom w:val="nil"/>
              <w:right w:val="single" w:sz="4" w:space="0" w:color="520D5D"/>
            </w:tcBorders>
            <w:shd w:val="clear" w:color="000000" w:fill="F5EEF8"/>
            <w:noWrap/>
            <w:vAlign w:val="bottom"/>
            <w:hideMark/>
          </w:tcPr>
          <w:p w14:paraId="4DF597C6"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nil"/>
              <w:right w:val="single" w:sz="4" w:space="0" w:color="520D5D"/>
            </w:tcBorders>
            <w:shd w:val="clear" w:color="000000" w:fill="FFFFFF"/>
            <w:noWrap/>
            <w:vAlign w:val="bottom"/>
            <w:hideMark/>
          </w:tcPr>
          <w:p w14:paraId="61CC675C"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6.5</w:t>
            </w:r>
          </w:p>
        </w:tc>
        <w:tc>
          <w:tcPr>
            <w:tcW w:w="2673" w:type="dxa"/>
            <w:tcBorders>
              <w:top w:val="single" w:sz="4" w:space="0" w:color="520D5D"/>
              <w:left w:val="nil"/>
              <w:bottom w:val="nil"/>
              <w:right w:val="single" w:sz="4" w:space="0" w:color="520D5D"/>
            </w:tcBorders>
            <w:shd w:val="clear" w:color="000000" w:fill="FFFFFF"/>
            <w:noWrap/>
            <w:vAlign w:val="bottom"/>
            <w:hideMark/>
          </w:tcPr>
          <w:p w14:paraId="79A62BD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32.50%</w:t>
            </w:r>
          </w:p>
        </w:tc>
      </w:tr>
      <w:tr w:rsidR="004332A7" w:rsidRPr="0051105D" w14:paraId="0B75F323" w14:textId="77777777" w:rsidTr="004332A7">
        <w:trPr>
          <w:trHeight w:val="247"/>
        </w:trPr>
        <w:tc>
          <w:tcPr>
            <w:tcW w:w="1901" w:type="dxa"/>
            <w:vMerge/>
            <w:tcBorders>
              <w:top w:val="nil"/>
              <w:left w:val="single" w:sz="4" w:space="0" w:color="520D5D"/>
              <w:bottom w:val="single" w:sz="4" w:space="0" w:color="520D5D"/>
              <w:right w:val="single" w:sz="4" w:space="0" w:color="520D5D"/>
            </w:tcBorders>
            <w:vAlign w:val="center"/>
            <w:hideMark/>
          </w:tcPr>
          <w:p w14:paraId="6D8B7AF2" w14:textId="77777777" w:rsidR="004332A7" w:rsidRPr="0051105D" w:rsidRDefault="004332A7" w:rsidP="0051105D">
            <w:pPr>
              <w:spacing w:after="0" w:line="240" w:lineRule="auto"/>
              <w:rPr>
                <w:rFonts w:ascii="Calibri" w:eastAsia="Times New Roman" w:hAnsi="Calibri" w:cs="Calibri"/>
                <w:b/>
                <w:bCs/>
                <w:color w:val="520D5D"/>
                <w:kern w:val="0"/>
                <w:lang w:eastAsia="en-GB"/>
                <w14:ligatures w14:val="none"/>
              </w:rPr>
            </w:pPr>
          </w:p>
        </w:tc>
        <w:tc>
          <w:tcPr>
            <w:tcW w:w="1733" w:type="dxa"/>
            <w:tcBorders>
              <w:top w:val="nil"/>
              <w:left w:val="nil"/>
              <w:bottom w:val="single" w:sz="4" w:space="0" w:color="520D5D"/>
              <w:right w:val="single" w:sz="4" w:space="0" w:color="520D5D"/>
            </w:tcBorders>
            <w:shd w:val="clear" w:color="000000" w:fill="F5EEF8"/>
            <w:noWrap/>
            <w:vAlign w:val="bottom"/>
            <w:hideMark/>
          </w:tcPr>
          <w:p w14:paraId="1AF880EA" w14:textId="77777777" w:rsidR="004332A7" w:rsidRPr="0051105D" w:rsidRDefault="004332A7" w:rsidP="0051105D">
            <w:pPr>
              <w:spacing w:after="0" w:line="240" w:lineRule="auto"/>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P Boots</w:t>
            </w:r>
          </w:p>
        </w:tc>
        <w:tc>
          <w:tcPr>
            <w:tcW w:w="1184" w:type="dxa"/>
            <w:tcBorders>
              <w:top w:val="nil"/>
              <w:left w:val="nil"/>
              <w:bottom w:val="single" w:sz="4" w:space="0" w:color="520D5D"/>
              <w:right w:val="single" w:sz="4" w:space="0" w:color="520D5D"/>
            </w:tcBorders>
            <w:shd w:val="clear" w:color="000000" w:fill="F5EEF8"/>
            <w:noWrap/>
            <w:vAlign w:val="bottom"/>
            <w:hideMark/>
          </w:tcPr>
          <w:p w14:paraId="4A76532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8</w:t>
            </w:r>
          </w:p>
        </w:tc>
        <w:tc>
          <w:tcPr>
            <w:tcW w:w="1184" w:type="dxa"/>
            <w:tcBorders>
              <w:top w:val="nil"/>
              <w:left w:val="nil"/>
              <w:bottom w:val="single" w:sz="4" w:space="0" w:color="520D5D"/>
              <w:right w:val="single" w:sz="4" w:space="0" w:color="520D5D"/>
            </w:tcBorders>
            <w:shd w:val="clear" w:color="000000" w:fill="F5EEF8"/>
            <w:noWrap/>
            <w:vAlign w:val="bottom"/>
            <w:hideMark/>
          </w:tcPr>
          <w:p w14:paraId="3861815F"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single" w:sz="4" w:space="0" w:color="520D5D"/>
              <w:right w:val="single" w:sz="4" w:space="0" w:color="520D5D"/>
            </w:tcBorders>
            <w:shd w:val="clear" w:color="000000" w:fill="F5EEF8"/>
            <w:noWrap/>
            <w:vAlign w:val="bottom"/>
            <w:hideMark/>
          </w:tcPr>
          <w:p w14:paraId="0FACF0CE"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184" w:type="dxa"/>
            <w:tcBorders>
              <w:top w:val="nil"/>
              <w:left w:val="nil"/>
              <w:bottom w:val="single" w:sz="4" w:space="0" w:color="520D5D"/>
              <w:right w:val="single" w:sz="4" w:space="0" w:color="520D5D"/>
            </w:tcBorders>
            <w:shd w:val="clear" w:color="000000" w:fill="F5EEF8"/>
            <w:noWrap/>
            <w:vAlign w:val="bottom"/>
            <w:hideMark/>
          </w:tcPr>
          <w:p w14:paraId="789ED9C3"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w:t>
            </w:r>
          </w:p>
        </w:tc>
        <w:tc>
          <w:tcPr>
            <w:tcW w:w="1606" w:type="dxa"/>
            <w:tcBorders>
              <w:top w:val="nil"/>
              <w:left w:val="nil"/>
              <w:bottom w:val="single" w:sz="4" w:space="0" w:color="520D5D"/>
              <w:right w:val="single" w:sz="4" w:space="0" w:color="520D5D"/>
            </w:tcBorders>
            <w:shd w:val="clear" w:color="000000" w:fill="F5EEF8"/>
            <w:noWrap/>
            <w:vAlign w:val="bottom"/>
            <w:hideMark/>
          </w:tcPr>
          <w:p w14:paraId="01150042"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20</w:t>
            </w:r>
          </w:p>
        </w:tc>
        <w:tc>
          <w:tcPr>
            <w:tcW w:w="2105" w:type="dxa"/>
            <w:tcBorders>
              <w:top w:val="single" w:sz="4" w:space="0" w:color="520D5D"/>
              <w:left w:val="nil"/>
              <w:bottom w:val="single" w:sz="4" w:space="0" w:color="auto"/>
              <w:right w:val="single" w:sz="4" w:space="0" w:color="520D5D"/>
            </w:tcBorders>
            <w:shd w:val="clear" w:color="000000" w:fill="FFFFFF"/>
            <w:noWrap/>
            <w:vAlign w:val="bottom"/>
            <w:hideMark/>
          </w:tcPr>
          <w:p w14:paraId="1DB7A58B"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6.5</w:t>
            </w:r>
          </w:p>
        </w:tc>
        <w:tc>
          <w:tcPr>
            <w:tcW w:w="2673" w:type="dxa"/>
            <w:tcBorders>
              <w:top w:val="single" w:sz="4" w:space="0" w:color="520D5D"/>
              <w:left w:val="nil"/>
              <w:bottom w:val="single" w:sz="4" w:space="0" w:color="auto"/>
              <w:right w:val="single" w:sz="4" w:space="0" w:color="520D5D"/>
            </w:tcBorders>
            <w:shd w:val="clear" w:color="000000" w:fill="FFFFFF"/>
            <w:noWrap/>
            <w:vAlign w:val="bottom"/>
            <w:hideMark/>
          </w:tcPr>
          <w:p w14:paraId="29567681" w14:textId="77777777" w:rsidR="004332A7" w:rsidRPr="0051105D" w:rsidRDefault="004332A7" w:rsidP="0051105D">
            <w:pPr>
              <w:spacing w:after="0" w:line="240" w:lineRule="auto"/>
              <w:jc w:val="right"/>
              <w:rPr>
                <w:rFonts w:ascii="Calibri" w:eastAsia="Times New Roman" w:hAnsi="Calibri" w:cs="Calibri"/>
                <w:color w:val="520D5D"/>
                <w:kern w:val="0"/>
                <w:lang w:eastAsia="en-GB"/>
                <w14:ligatures w14:val="none"/>
              </w:rPr>
            </w:pPr>
            <w:r w:rsidRPr="0051105D">
              <w:rPr>
                <w:rFonts w:ascii="Calibri" w:eastAsia="Times New Roman" w:hAnsi="Calibri" w:cs="Calibri"/>
                <w:color w:val="520D5D"/>
                <w:kern w:val="0"/>
                <w:lang w:eastAsia="en-GB"/>
                <w14:ligatures w14:val="none"/>
              </w:rPr>
              <w:t>32.50%</w:t>
            </w:r>
          </w:p>
        </w:tc>
      </w:tr>
    </w:tbl>
    <w:p w14:paraId="02F78784" w14:textId="77777777" w:rsidR="002B6EA7" w:rsidRDefault="002B6EA7" w:rsidP="002B6EA7">
      <w:pPr>
        <w:spacing w:before="100" w:beforeAutospacing="1" w:after="100" w:afterAutospacing="1" w:line="240" w:lineRule="auto"/>
        <w:rPr>
          <w:rFonts w:eastAsia="Times New Roman" w:cs="Times New Roman"/>
          <w:lang w:eastAsia="en-GB"/>
        </w:rPr>
        <w:sectPr w:rsidR="002B6EA7" w:rsidSect="002B6EA7">
          <w:pgSz w:w="16838" w:h="11906" w:orient="landscape"/>
          <w:pgMar w:top="720" w:right="720" w:bottom="720" w:left="720" w:header="708" w:footer="708" w:gutter="0"/>
          <w:cols w:space="708"/>
          <w:docGrid w:linePitch="360"/>
        </w:sectPr>
      </w:pPr>
    </w:p>
    <w:p w14:paraId="68C00D80" w14:textId="4CBA57CF" w:rsidR="00AA45CE" w:rsidRDefault="002B6EA7" w:rsidP="0082523D">
      <w:pPr>
        <w:spacing w:before="100" w:beforeAutospacing="1" w:after="100" w:afterAutospacing="1" w:line="240" w:lineRule="auto"/>
        <w:rPr>
          <w:rFonts w:eastAsia="Times New Roman" w:cs="Times New Roman"/>
          <w:lang w:eastAsia="en-GB"/>
        </w:rPr>
      </w:pPr>
      <w:r>
        <w:rPr>
          <w:rFonts w:eastAsia="Times New Roman" w:cs="Times New Roman"/>
          <w:lang w:eastAsia="en-GB"/>
        </w:rPr>
        <w:lastRenderedPageBreak/>
        <w:t xml:space="preserve">The results demonstrate that all staff are working more than expected hours. </w:t>
      </w:r>
      <w:r w:rsidR="00AA45CE">
        <w:rPr>
          <w:rFonts w:eastAsia="Times New Roman" w:cs="Times New Roman"/>
          <w:lang w:eastAsia="en-GB"/>
        </w:rPr>
        <w:t xml:space="preserve">If this were to continue the </w:t>
      </w:r>
      <w:r w:rsidR="00C55F57">
        <w:rPr>
          <w:rFonts w:eastAsia="Times New Roman" w:cs="Times New Roman"/>
          <w:lang w:eastAsia="en-GB"/>
        </w:rPr>
        <w:t xml:space="preserve">patisserie </w:t>
      </w:r>
      <w:r w:rsidR="00AA45CE">
        <w:rPr>
          <w:rFonts w:eastAsia="Times New Roman" w:cs="Times New Roman"/>
          <w:lang w:eastAsia="en-GB"/>
        </w:rPr>
        <w:t>staff could be at risk of burnout</w:t>
      </w:r>
      <w:r w:rsidR="0082523D">
        <w:rPr>
          <w:rFonts w:eastAsia="Times New Roman" w:cs="Times New Roman"/>
          <w:lang w:eastAsia="en-GB"/>
        </w:rPr>
        <w:t xml:space="preserve">, </w:t>
      </w:r>
      <w:r w:rsidR="0082523D" w:rsidRPr="0082523D">
        <w:rPr>
          <w:rFonts w:eastAsia="Times New Roman" w:cs="Times New Roman"/>
          <w:lang w:eastAsia="en-GB"/>
        </w:rPr>
        <w:t>which could lead to reduced wellbeing, lower engagement, increased absence and higher staff turnover. This would also have a negative impact on productivity, service quality and overall business performanc</w:t>
      </w:r>
      <w:r w:rsidR="0082523D">
        <w:rPr>
          <w:rFonts w:eastAsia="Times New Roman" w:cs="Times New Roman"/>
          <w:lang w:eastAsia="en-GB"/>
        </w:rPr>
        <w:t>e.</w:t>
      </w:r>
      <w:r w:rsidR="00AA45CE">
        <w:rPr>
          <w:rFonts w:eastAsia="Times New Roman" w:cs="Times New Roman"/>
          <w:lang w:eastAsia="en-GB"/>
        </w:rPr>
        <w:t xml:space="preserve"> I would advise that the company </w:t>
      </w:r>
      <w:r w:rsidR="0082523D">
        <w:rPr>
          <w:rFonts w:eastAsia="Times New Roman" w:cs="Times New Roman"/>
          <w:lang w:eastAsia="en-GB"/>
        </w:rPr>
        <w:t>investigate</w:t>
      </w:r>
      <w:r w:rsidR="00AA45CE">
        <w:rPr>
          <w:rFonts w:eastAsia="Times New Roman" w:cs="Times New Roman"/>
          <w:lang w:eastAsia="en-GB"/>
        </w:rPr>
        <w:t xml:space="preserve"> the reasons behind staff working over their hours. Is this to cover staff holidays for example? Are they covering absences or is this just the expected culture at this company</w:t>
      </w:r>
      <w:r w:rsidR="00D97AC2">
        <w:rPr>
          <w:rFonts w:eastAsia="Times New Roman" w:cs="Times New Roman"/>
          <w:lang w:eastAsia="en-GB"/>
        </w:rPr>
        <w:t xml:space="preserve">? </w:t>
      </w:r>
      <w:r w:rsidR="0082523D" w:rsidRPr="0082523D">
        <w:rPr>
          <w:rFonts w:eastAsia="Times New Roman" w:cs="Times New Roman"/>
          <w:lang w:eastAsia="en-GB"/>
        </w:rPr>
        <w:t>Analysing rotas, absence data and staff feedback would help identify the underlying causes.</w:t>
      </w:r>
      <w:r w:rsidR="0082523D">
        <w:rPr>
          <w:rFonts w:eastAsia="Times New Roman" w:cs="Times New Roman"/>
          <w:lang w:eastAsia="en-GB"/>
        </w:rPr>
        <w:t xml:space="preserve"> A solution would then be suggested based on further investigation. </w:t>
      </w:r>
      <w:r w:rsidR="00D97AC2">
        <w:rPr>
          <w:rFonts w:eastAsia="Times New Roman" w:cs="Times New Roman"/>
          <w:lang w:eastAsia="en-GB"/>
        </w:rPr>
        <w:t xml:space="preserve">One </w:t>
      </w:r>
      <w:r w:rsidR="0082523D">
        <w:rPr>
          <w:rFonts w:eastAsia="Times New Roman" w:cs="Times New Roman"/>
          <w:lang w:eastAsia="en-GB"/>
        </w:rPr>
        <w:t>potential</w:t>
      </w:r>
      <w:r w:rsidR="00EC4980">
        <w:rPr>
          <w:rFonts w:eastAsia="Times New Roman" w:cs="Times New Roman"/>
          <w:lang w:eastAsia="en-GB"/>
        </w:rPr>
        <w:t xml:space="preserve"> </w:t>
      </w:r>
      <w:r w:rsidR="00D97AC2">
        <w:rPr>
          <w:rFonts w:eastAsia="Times New Roman" w:cs="Times New Roman"/>
          <w:lang w:eastAsia="en-GB"/>
        </w:rPr>
        <w:t xml:space="preserve">solution could be to employ an extra member of staff in the shop as </w:t>
      </w:r>
      <w:r w:rsidR="00EC4980">
        <w:rPr>
          <w:rFonts w:eastAsia="Times New Roman" w:cs="Times New Roman"/>
          <w:lang w:eastAsia="en-GB"/>
        </w:rPr>
        <w:t>t</w:t>
      </w:r>
      <w:r w:rsidR="00EC4980">
        <w:rPr>
          <w:rFonts w:eastAsia="Times New Roman" w:cs="Times New Roman"/>
          <w:lang w:eastAsia="en-GB"/>
        </w:rPr>
        <w:t xml:space="preserve">he total number of average overtime hours in the shop is 120.25 hours. </w:t>
      </w:r>
      <w:r w:rsidR="00EC4980">
        <w:rPr>
          <w:rFonts w:eastAsia="Times New Roman" w:cs="Times New Roman"/>
          <w:lang w:eastAsia="en-GB"/>
        </w:rPr>
        <w:t>This</w:t>
      </w:r>
      <w:r w:rsidR="00EC4980">
        <w:rPr>
          <w:rFonts w:eastAsia="Times New Roman" w:cs="Times New Roman"/>
          <w:lang w:eastAsia="en-GB"/>
        </w:rPr>
        <w:t xml:space="preserve"> equates to 30.0625 hours per week over a </w:t>
      </w:r>
      <w:r w:rsidR="009A390F">
        <w:rPr>
          <w:rFonts w:eastAsia="Times New Roman" w:cs="Times New Roman"/>
          <w:lang w:eastAsia="en-GB"/>
        </w:rPr>
        <w:t>4-week</w:t>
      </w:r>
      <w:r w:rsidR="00EC4980">
        <w:rPr>
          <w:rFonts w:eastAsia="Times New Roman" w:cs="Times New Roman"/>
          <w:lang w:eastAsia="en-GB"/>
        </w:rPr>
        <w:t xml:space="preserve"> period</w:t>
      </w:r>
      <w:r w:rsidR="0082523D">
        <w:rPr>
          <w:rFonts w:eastAsia="Times New Roman" w:cs="Times New Roman"/>
          <w:lang w:eastAsia="en-GB"/>
        </w:rPr>
        <w:t xml:space="preserve">, </w:t>
      </w:r>
      <w:r w:rsidR="0082523D" w:rsidRPr="0082523D">
        <w:rPr>
          <w:rFonts w:eastAsia="Times New Roman" w:cs="Times New Roman"/>
          <w:lang w:eastAsia="en-GB"/>
        </w:rPr>
        <w:t>which supports the business case for an additional role. This approach could reduce pressure on existing staff, improve wellbeing and support more sustainable working practices.</w:t>
      </w:r>
    </w:p>
    <w:p w14:paraId="4A26122C" w14:textId="37E23991" w:rsidR="00EC4980" w:rsidRDefault="00EC4980" w:rsidP="0082523D">
      <w:pPr>
        <w:spacing w:before="100" w:beforeAutospacing="1" w:after="100" w:afterAutospacing="1" w:line="240" w:lineRule="auto"/>
        <w:rPr>
          <w:rFonts w:eastAsia="Times New Roman" w:cs="Times New Roman"/>
          <w:lang w:eastAsia="en-GB"/>
        </w:rPr>
      </w:pPr>
      <w:r>
        <w:rPr>
          <w:rFonts w:eastAsia="Times New Roman" w:cs="Times New Roman"/>
          <w:lang w:eastAsia="en-GB"/>
        </w:rPr>
        <w:t>I have calculated that the shop staff are working on average 9.25 hours more than expected, whereas the figure for baristas is 5.6 more than average. This disparity could create friction between teams</w:t>
      </w:r>
      <w:r w:rsidR="00693AC8" w:rsidRPr="00693AC8">
        <w:t xml:space="preserve"> </w:t>
      </w:r>
      <w:r w:rsidR="00693AC8" w:rsidRPr="00693AC8">
        <w:rPr>
          <w:rFonts w:eastAsia="Times New Roman" w:cs="Times New Roman"/>
          <w:lang w:eastAsia="en-GB"/>
        </w:rPr>
        <w:t>and may negatively impact morale, engagement and perceptions of fairness. If one group consistently feels under greater pressure, this could lead to dissatisfaction, increased absence or higher turnover.</w:t>
      </w:r>
      <w:r w:rsidR="00693AC8">
        <w:rPr>
          <w:rFonts w:eastAsia="Times New Roman" w:cs="Times New Roman"/>
          <w:lang w:eastAsia="en-GB"/>
        </w:rPr>
        <w:t xml:space="preserve"> The shop team could be poorly managed or poorly motivated meaning that they take longer to get their work done. This could be investigated further by reviewing staff turnover and absence rates or staff survey results to identify potential issues relating to workload, management support or skills gaps. A time and motion study could provide further information. Another reason could be systemic or equipment related. </w:t>
      </w:r>
      <w:r w:rsidR="0082523D" w:rsidRPr="0082523D">
        <w:rPr>
          <w:rFonts w:eastAsia="Times New Roman" w:cs="Times New Roman"/>
          <w:lang w:eastAsia="en-GB"/>
        </w:rPr>
        <w:t>Outdated or unreliable machinery could be slowing productivity and increasing pressure on staff.</w:t>
      </w:r>
      <w:r w:rsidR="0082523D">
        <w:rPr>
          <w:rFonts w:eastAsia="Times New Roman" w:cs="Times New Roman"/>
          <w:lang w:eastAsia="en-GB"/>
        </w:rPr>
        <w:t xml:space="preserve"> </w:t>
      </w:r>
      <w:r w:rsidR="00693AC8">
        <w:rPr>
          <w:rFonts w:eastAsia="Times New Roman" w:cs="Times New Roman"/>
          <w:lang w:eastAsia="en-GB"/>
        </w:rPr>
        <w:t>A business case could be put forward for investment in new machinery which would pay for itself in more efficient practices.</w:t>
      </w:r>
    </w:p>
    <w:p w14:paraId="6CF773DB" w14:textId="0E555C41" w:rsidR="0082523D" w:rsidRPr="00027219" w:rsidRDefault="0082523D" w:rsidP="0082523D">
      <w:pPr>
        <w:spacing w:before="100" w:beforeAutospacing="1" w:after="100" w:afterAutospacing="1" w:line="240" w:lineRule="auto"/>
        <w:rPr>
          <w:rFonts w:eastAsia="Times New Roman" w:cs="Times New Roman"/>
          <w:lang w:eastAsia="en-GB"/>
        </w:rPr>
      </w:pPr>
      <w:r w:rsidRPr="0082523D">
        <w:rPr>
          <w:rFonts w:eastAsia="Times New Roman" w:cs="Times New Roman"/>
          <w:lang w:eastAsia="en-GB"/>
        </w:rPr>
        <w:t>In addition to recruiting additional staff or investing in equipment, the organisation could also explore alternative solutions such as adjusting shift patterns, redistributing workloads or providing targeted training to improve efficiency. Trialling these options on a short-term basis and monitoring their impact through overtime levels, productivity data and staff feedback would support informed decision-making. Using data to evaluate the effectiveness of each intervention would enable the business to select the most cost-effective and sustainable solution, while demonstrating a commitment to employee wellbeing and evidence-based people management.</w:t>
      </w:r>
    </w:p>
    <w:p w14:paraId="193455E7" w14:textId="202AF8A3" w:rsidR="00C6049F" w:rsidRPr="00027219" w:rsidRDefault="00C6049F" w:rsidP="00027219">
      <w:pPr>
        <w:tabs>
          <w:tab w:val="left" w:pos="284"/>
          <w:tab w:val="left" w:pos="567"/>
        </w:tabs>
        <w:spacing w:after="0" w:line="240" w:lineRule="auto"/>
        <w:rPr>
          <w:rFonts w:eastAsia="Times New Roman" w:cs="Times New Roman"/>
          <w:lang w:eastAsia="en-GB"/>
        </w:rPr>
      </w:pPr>
      <w:r w:rsidRPr="00027219">
        <w:rPr>
          <w:b/>
          <w:bCs/>
        </w:rPr>
        <w:t>Q8</w:t>
      </w:r>
      <w:r w:rsidRPr="00027219">
        <w:rPr>
          <w:rFonts w:eastAsia="Times New Roman" w:cs="Times New Roman"/>
          <w:lang w:eastAsia="en-GB"/>
        </w:rPr>
        <w:t xml:space="preserve">. Finally, present your findings using at least </w:t>
      </w:r>
      <w:r w:rsidRPr="00027219">
        <w:rPr>
          <w:rFonts w:eastAsia="Times New Roman" w:cs="Times New Roman"/>
          <w:b/>
          <w:bCs/>
          <w:lang w:eastAsia="en-GB"/>
        </w:rPr>
        <w:t>two</w:t>
      </w:r>
      <w:r w:rsidRPr="00027219">
        <w:rPr>
          <w:rFonts w:eastAsia="Times New Roman" w:cs="Times New Roman"/>
          <w:lang w:eastAsia="en-GB"/>
        </w:rPr>
        <w:t xml:space="preserve"> different types of diagrammatic forms (for example, pie charts, bar graphs, or line graphs) to make the information easier </w:t>
      </w:r>
      <w:r w:rsidR="009A390F" w:rsidRPr="00027219">
        <w:rPr>
          <w:rFonts w:eastAsia="Times New Roman" w:cs="Times New Roman"/>
          <w:lang w:eastAsia="en-GB"/>
        </w:rPr>
        <w:t>to understand</w:t>
      </w:r>
      <w:r w:rsidRPr="00027219">
        <w:rPr>
          <w:rFonts w:eastAsia="Times New Roman" w:cs="Times New Roman"/>
          <w:lang w:eastAsia="en-GB"/>
        </w:rPr>
        <w:t>. (AC 1.5)</w:t>
      </w:r>
    </w:p>
    <w:p w14:paraId="59167CE2" w14:textId="77777777" w:rsidR="008F2CE5" w:rsidRDefault="008F2CE5" w:rsidP="00027219">
      <w:pPr>
        <w:spacing w:line="240" w:lineRule="auto"/>
        <w:rPr>
          <w:rFonts w:eastAsia="Times New Roman" w:cs="Times New Roman"/>
          <w:lang w:eastAsia="en-GB"/>
        </w:rPr>
      </w:pPr>
    </w:p>
    <w:p w14:paraId="16412161" w14:textId="0CC5AD02" w:rsidR="008A55BB" w:rsidRDefault="008A55BB" w:rsidP="00027219">
      <w:pPr>
        <w:spacing w:line="240" w:lineRule="auto"/>
        <w:rPr>
          <w:rFonts w:eastAsia="Times New Roman" w:cs="Times New Roman"/>
          <w:lang w:eastAsia="en-GB"/>
        </w:rPr>
      </w:pPr>
      <w:r>
        <w:rPr>
          <w:noProof/>
        </w:rPr>
        <w:lastRenderedPageBreak/>
        <w:drawing>
          <wp:inline distT="0" distB="0" distL="0" distR="0" wp14:anchorId="7D7CD90B" wp14:editId="2C9C4FEF">
            <wp:extent cx="4921251" cy="3228975"/>
            <wp:effectExtent l="0" t="0" r="12700" b="9525"/>
            <wp:docPr id="572579792" name="Chart 1">
              <a:extLst xmlns:a="http://schemas.openxmlformats.org/drawingml/2006/main">
                <a:ext uri="{FF2B5EF4-FFF2-40B4-BE49-F238E27FC236}">
                  <a16:creationId xmlns:a16="http://schemas.microsoft.com/office/drawing/2014/main" id="{20EDA920-AB3D-4C73-C26C-1775329379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B124EE" w14:textId="4605BC99" w:rsidR="008A55BB" w:rsidRDefault="008A55BB" w:rsidP="00027219">
      <w:pPr>
        <w:spacing w:line="240" w:lineRule="auto"/>
        <w:rPr>
          <w:rFonts w:eastAsia="Times New Roman" w:cs="Times New Roman"/>
          <w:lang w:eastAsia="en-GB"/>
        </w:rPr>
      </w:pPr>
      <w:r w:rsidRPr="008A55BB">
        <w:rPr>
          <w:rFonts w:eastAsia="Times New Roman" w:cs="Times New Roman"/>
          <w:lang w:eastAsia="en-GB"/>
        </w:rPr>
        <w:t>The stacked bar chart illustrates the proportion of overtime worked in addition to normal working hours across each department, clearly demonstrating that shop staff work the highest level of overtime relative to their contracted hours.</w:t>
      </w:r>
    </w:p>
    <w:p w14:paraId="35C4507E" w14:textId="77777777" w:rsidR="00B3115F" w:rsidRDefault="00B3115F" w:rsidP="00027219">
      <w:pPr>
        <w:spacing w:line="240" w:lineRule="auto"/>
        <w:rPr>
          <w:rFonts w:eastAsia="Times New Roman" w:cs="Times New Roman"/>
          <w:lang w:eastAsia="en-GB"/>
        </w:rPr>
      </w:pPr>
    </w:p>
    <w:p w14:paraId="00D400E5" w14:textId="28B35338" w:rsidR="00B3115F" w:rsidRDefault="00B3115F" w:rsidP="00027219">
      <w:pPr>
        <w:spacing w:line="240" w:lineRule="auto"/>
        <w:rPr>
          <w:rFonts w:eastAsia="Times New Roman" w:cs="Times New Roman"/>
          <w:lang w:eastAsia="en-GB"/>
        </w:rPr>
      </w:pPr>
      <w:r>
        <w:rPr>
          <w:noProof/>
        </w:rPr>
        <w:drawing>
          <wp:inline distT="0" distB="0" distL="0" distR="0" wp14:anchorId="028C42A5" wp14:editId="59E5695D">
            <wp:extent cx="5167312" cy="3175000"/>
            <wp:effectExtent l="0" t="0" r="14605" b="6350"/>
            <wp:docPr id="1155148852" name="Chart 1">
              <a:extLst xmlns:a="http://schemas.openxmlformats.org/drawingml/2006/main">
                <a:ext uri="{FF2B5EF4-FFF2-40B4-BE49-F238E27FC236}">
                  <a16:creationId xmlns:a16="http://schemas.microsoft.com/office/drawing/2014/main" id="{A37E34D5-58D9-25DF-7FD9-8C613D3C42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D7966DE" w14:textId="6D806A8D" w:rsidR="00B3115F" w:rsidRPr="00B3115F" w:rsidRDefault="00B3115F" w:rsidP="00B3115F">
      <w:pPr>
        <w:spacing w:line="240" w:lineRule="auto"/>
        <w:rPr>
          <w:rFonts w:eastAsia="Times New Roman"/>
          <w:lang w:val="en-US" w:eastAsia="en-GB"/>
        </w:rPr>
      </w:pPr>
      <w:r>
        <w:rPr>
          <w:rFonts w:eastAsia="Times New Roman" w:cs="Times New Roman"/>
          <w:lang w:eastAsia="en-GB"/>
        </w:rPr>
        <w:t>Th</w:t>
      </w:r>
      <w:r w:rsidR="001041DB">
        <w:rPr>
          <w:rFonts w:eastAsia="Times New Roman" w:cs="Times New Roman"/>
          <w:lang w:eastAsia="en-GB"/>
        </w:rPr>
        <w:t>e</w:t>
      </w:r>
      <w:r>
        <w:rPr>
          <w:rFonts w:eastAsia="Times New Roman" w:cs="Times New Roman"/>
          <w:lang w:eastAsia="en-GB"/>
        </w:rPr>
        <w:t xml:space="preserve"> clustered column chart illustrates the </w:t>
      </w:r>
      <w:r w:rsidR="001041DB" w:rsidRPr="00B3115F">
        <w:rPr>
          <w:rFonts w:eastAsia="Times New Roman"/>
          <w:lang w:val="en-US" w:eastAsia="en-GB"/>
        </w:rPr>
        <w:t>average</w:t>
      </w:r>
      <w:r w:rsidRPr="00B3115F">
        <w:rPr>
          <w:rFonts w:eastAsia="Times New Roman"/>
          <w:lang w:val="en-US" w:eastAsia="en-GB"/>
        </w:rPr>
        <w:t xml:space="preserve"> </w:t>
      </w:r>
      <w:r>
        <w:rPr>
          <w:rFonts w:eastAsia="Times New Roman"/>
          <w:lang w:val="en-US" w:eastAsia="en-GB"/>
        </w:rPr>
        <w:t>n</w:t>
      </w:r>
      <w:r w:rsidRPr="00B3115F">
        <w:rPr>
          <w:rFonts w:eastAsia="Times New Roman"/>
          <w:lang w:val="en-US" w:eastAsia="en-GB"/>
        </w:rPr>
        <w:t xml:space="preserve">umber of </w:t>
      </w:r>
      <w:r>
        <w:rPr>
          <w:rFonts w:eastAsia="Times New Roman"/>
          <w:lang w:val="en-US" w:eastAsia="en-GB"/>
        </w:rPr>
        <w:t>o</w:t>
      </w:r>
      <w:r w:rsidRPr="00B3115F">
        <w:rPr>
          <w:rFonts w:eastAsia="Times New Roman"/>
          <w:lang w:val="en-US" w:eastAsia="en-GB"/>
        </w:rPr>
        <w:t xml:space="preserve">vertime </w:t>
      </w:r>
      <w:r>
        <w:rPr>
          <w:rFonts w:eastAsia="Times New Roman"/>
          <w:lang w:val="en-US" w:eastAsia="en-GB"/>
        </w:rPr>
        <w:t>h</w:t>
      </w:r>
      <w:r w:rsidRPr="00B3115F">
        <w:rPr>
          <w:rFonts w:eastAsia="Times New Roman"/>
          <w:lang w:val="en-US" w:eastAsia="en-GB"/>
        </w:rPr>
        <w:t xml:space="preserve">ours </w:t>
      </w:r>
      <w:r w:rsidR="009A390F">
        <w:rPr>
          <w:rFonts w:eastAsia="Times New Roman"/>
          <w:lang w:val="en-US" w:eastAsia="en-GB"/>
        </w:rPr>
        <w:t>w</w:t>
      </w:r>
      <w:r w:rsidR="009A390F" w:rsidRPr="00B3115F">
        <w:rPr>
          <w:rFonts w:eastAsia="Times New Roman"/>
          <w:lang w:val="en-US" w:eastAsia="en-GB"/>
        </w:rPr>
        <w:t>orked per</w:t>
      </w:r>
      <w:r w:rsidRPr="00B3115F">
        <w:rPr>
          <w:rFonts w:eastAsia="Times New Roman"/>
          <w:lang w:val="en-US" w:eastAsia="en-GB"/>
        </w:rPr>
        <w:t xml:space="preserve"> </w:t>
      </w:r>
      <w:r>
        <w:rPr>
          <w:rFonts w:eastAsia="Times New Roman"/>
          <w:lang w:val="en-US" w:eastAsia="en-GB"/>
        </w:rPr>
        <w:t>w</w:t>
      </w:r>
      <w:r w:rsidRPr="00B3115F">
        <w:rPr>
          <w:rFonts w:eastAsia="Times New Roman"/>
          <w:lang w:val="en-US" w:eastAsia="en-GB"/>
        </w:rPr>
        <w:t xml:space="preserve">eek </w:t>
      </w:r>
      <w:r>
        <w:rPr>
          <w:rFonts w:eastAsia="Times New Roman"/>
          <w:lang w:val="en-US" w:eastAsia="en-GB"/>
        </w:rPr>
        <w:t>o</w:t>
      </w:r>
      <w:r w:rsidRPr="00B3115F">
        <w:rPr>
          <w:rFonts w:eastAsia="Times New Roman"/>
          <w:lang w:val="en-US" w:eastAsia="en-GB"/>
        </w:rPr>
        <w:t xml:space="preserve">ver 4 </w:t>
      </w:r>
      <w:r>
        <w:rPr>
          <w:rFonts w:eastAsia="Times New Roman"/>
          <w:lang w:val="en-US" w:eastAsia="en-GB"/>
        </w:rPr>
        <w:t>w</w:t>
      </w:r>
      <w:r w:rsidRPr="00B3115F">
        <w:rPr>
          <w:rFonts w:eastAsia="Times New Roman"/>
          <w:lang w:val="en-US" w:eastAsia="en-GB"/>
        </w:rPr>
        <w:t>eeks</w:t>
      </w:r>
      <w:r>
        <w:rPr>
          <w:rFonts w:eastAsia="Times New Roman"/>
          <w:lang w:val="en-US" w:eastAsia="en-GB"/>
        </w:rPr>
        <w:t xml:space="preserve"> by each member of staff, grouped by department. This chart clearly </w:t>
      </w:r>
      <w:r w:rsidR="00FB72FD">
        <w:rPr>
          <w:rFonts w:eastAsia="Times New Roman"/>
          <w:lang w:val="en-US" w:eastAsia="en-GB"/>
        </w:rPr>
        <w:t>h</w:t>
      </w:r>
      <w:r>
        <w:rPr>
          <w:rFonts w:eastAsia="Times New Roman"/>
          <w:lang w:val="en-US" w:eastAsia="en-GB"/>
        </w:rPr>
        <w:t>ighlight</w:t>
      </w:r>
      <w:r w:rsidR="00FB72FD">
        <w:rPr>
          <w:rFonts w:eastAsia="Times New Roman"/>
          <w:lang w:val="en-US" w:eastAsia="en-GB"/>
        </w:rPr>
        <w:t>s</w:t>
      </w:r>
      <w:r>
        <w:rPr>
          <w:rFonts w:eastAsia="Times New Roman"/>
          <w:lang w:val="en-US" w:eastAsia="en-GB"/>
        </w:rPr>
        <w:t xml:space="preserve"> which members of staff are work</w:t>
      </w:r>
      <w:r w:rsidR="00FB72FD">
        <w:rPr>
          <w:rFonts w:eastAsia="Times New Roman"/>
          <w:lang w:val="en-US" w:eastAsia="en-GB"/>
        </w:rPr>
        <w:t>ing the most hours.</w:t>
      </w:r>
    </w:p>
    <w:p w14:paraId="371AEF28" w14:textId="77777777" w:rsidR="009A390F" w:rsidRDefault="009A390F" w:rsidP="00027219">
      <w:pPr>
        <w:spacing w:line="240" w:lineRule="auto"/>
        <w:rPr>
          <w:b/>
          <w:bCs/>
        </w:rPr>
      </w:pPr>
    </w:p>
    <w:p w14:paraId="353D25F1" w14:textId="77777777" w:rsidR="009A390F" w:rsidRDefault="009A390F" w:rsidP="00027219">
      <w:pPr>
        <w:spacing w:line="240" w:lineRule="auto"/>
        <w:rPr>
          <w:b/>
          <w:bCs/>
        </w:rPr>
      </w:pPr>
    </w:p>
    <w:p w14:paraId="59080909" w14:textId="1F55AF92" w:rsidR="009866D3" w:rsidRPr="00027219" w:rsidRDefault="009866D3" w:rsidP="00027219">
      <w:pPr>
        <w:spacing w:line="240" w:lineRule="auto"/>
        <w:rPr>
          <w:b/>
          <w:bCs/>
        </w:rPr>
      </w:pPr>
      <w:r w:rsidRPr="00027219">
        <w:rPr>
          <w:b/>
          <w:bCs/>
        </w:rPr>
        <w:lastRenderedPageBreak/>
        <w:t>Reference list</w:t>
      </w:r>
    </w:p>
    <w:p w14:paraId="244F8898" w14:textId="77777777" w:rsidR="009866D3" w:rsidRPr="00027219" w:rsidRDefault="009866D3" w:rsidP="00027219">
      <w:pPr>
        <w:spacing w:line="240" w:lineRule="auto"/>
        <w:rPr>
          <w:b/>
          <w:bCs/>
        </w:rPr>
      </w:pPr>
      <w:r w:rsidRPr="00027219">
        <w:rPr>
          <w:b/>
          <w:bCs/>
        </w:rPr>
        <w:t xml:space="preserve">Briner, R. (2023). </w:t>
      </w:r>
      <w:r w:rsidRPr="00027219">
        <w:rPr>
          <w:b/>
          <w:bCs/>
          <w:i/>
          <w:iCs/>
        </w:rPr>
        <w:t>Evidence-based HR and people analytics are the same, right? Afraid not</w:t>
      </w:r>
      <w:r w:rsidRPr="00027219">
        <w:rPr>
          <w:b/>
          <w:bCs/>
        </w:rPr>
        <w:t>. [online] www.peoplemanagement.co.uk. Available at: https://www.peoplemanagement.co.uk/article/1851101/evidence-based-hr-people-analytics-same-right-afraid-not [Accessed 17 Dec. 2025].</w:t>
      </w:r>
    </w:p>
    <w:p w14:paraId="1A37FF65" w14:textId="77777777" w:rsidR="009866D3" w:rsidRPr="00027219" w:rsidRDefault="009866D3" w:rsidP="00027219">
      <w:pPr>
        <w:spacing w:line="240" w:lineRule="auto"/>
        <w:rPr>
          <w:b/>
          <w:bCs/>
        </w:rPr>
      </w:pPr>
      <w:r w:rsidRPr="00027219">
        <w:rPr>
          <w:b/>
          <w:bCs/>
        </w:rPr>
        <w:t xml:space="preserve">CIPD (2022). </w:t>
      </w:r>
      <w:r w:rsidRPr="00027219">
        <w:rPr>
          <w:b/>
          <w:bCs/>
          <w:i/>
          <w:iCs/>
        </w:rPr>
        <w:t>CIPD | People Analytics | Factsheets</w:t>
      </w:r>
      <w:r w:rsidRPr="00027219">
        <w:rPr>
          <w:b/>
          <w:bCs/>
        </w:rPr>
        <w:t>. [online] CIPD. Available at: https://www.cipd.org/uk/knowledge/factsheets/analytics-factsheet/#three [Accessed 17 Dec. 2025].</w:t>
      </w:r>
    </w:p>
    <w:p w14:paraId="714D86CD" w14:textId="77777777" w:rsidR="009866D3" w:rsidRPr="00027219" w:rsidRDefault="009866D3" w:rsidP="00027219">
      <w:pPr>
        <w:spacing w:line="240" w:lineRule="auto"/>
        <w:rPr>
          <w:b/>
          <w:bCs/>
        </w:rPr>
      </w:pPr>
      <w:r w:rsidRPr="00027219">
        <w:rPr>
          <w:b/>
          <w:bCs/>
        </w:rPr>
        <w:t xml:space="preserve">CIPD (2023a). </w:t>
      </w:r>
      <w:r w:rsidRPr="00027219">
        <w:rPr>
          <w:b/>
          <w:bCs/>
          <w:i/>
          <w:iCs/>
        </w:rPr>
        <w:t>CIPD | Data Protection</w:t>
      </w:r>
      <w:r w:rsidRPr="00027219">
        <w:rPr>
          <w:b/>
          <w:bCs/>
        </w:rPr>
        <w:t>. [online] CIPD. Available at: https://www.cipd.org/uk/knowledge/employment-law/data-protection/ [Accessed 17 Dec. 2025].</w:t>
      </w:r>
    </w:p>
    <w:p w14:paraId="463960C1" w14:textId="77777777" w:rsidR="009866D3" w:rsidRPr="00027219" w:rsidRDefault="009866D3" w:rsidP="00027219">
      <w:pPr>
        <w:spacing w:line="240" w:lineRule="auto"/>
        <w:rPr>
          <w:b/>
          <w:bCs/>
        </w:rPr>
      </w:pPr>
      <w:r w:rsidRPr="00027219">
        <w:rPr>
          <w:b/>
          <w:bCs/>
        </w:rPr>
        <w:t xml:space="preserve">CIPD (2023b). </w:t>
      </w:r>
      <w:r w:rsidRPr="00027219">
        <w:rPr>
          <w:b/>
          <w:bCs/>
          <w:i/>
          <w:iCs/>
        </w:rPr>
        <w:t>CIPD | Data Protection and GDPR in the Workplace | Factsheets</w:t>
      </w:r>
      <w:r w:rsidRPr="00027219">
        <w:rPr>
          <w:b/>
          <w:bCs/>
        </w:rPr>
        <w:t>. [online] CIPD. Available at: https://www.cipd.org/uk/knowledge/factsheets/data-protection-factsheet/ [Accessed 17 Dec. 2025].</w:t>
      </w:r>
    </w:p>
    <w:p w14:paraId="2241B6BD" w14:textId="77777777" w:rsidR="009866D3" w:rsidRPr="00027219" w:rsidRDefault="009866D3" w:rsidP="00027219">
      <w:pPr>
        <w:spacing w:line="240" w:lineRule="auto"/>
        <w:rPr>
          <w:b/>
          <w:bCs/>
        </w:rPr>
      </w:pPr>
      <w:r w:rsidRPr="00027219">
        <w:rPr>
          <w:b/>
          <w:bCs/>
        </w:rPr>
        <w:t xml:space="preserve">CIPD (2024). </w:t>
      </w:r>
      <w:r w:rsidRPr="00027219">
        <w:rPr>
          <w:b/>
          <w:bCs/>
          <w:i/>
          <w:iCs/>
        </w:rPr>
        <w:t>CIPD | HR Policies | Factsheets</w:t>
      </w:r>
      <w:r w:rsidRPr="00027219">
        <w:rPr>
          <w:b/>
          <w:bCs/>
        </w:rPr>
        <w:t>. [online] CIPD. Available at: https://www.cipd.org/uk/knowledge/factsheets/hr-policies-factsheet/ [Accessed 17 Dec. 2025].</w:t>
      </w:r>
    </w:p>
    <w:p w14:paraId="4E0C3658" w14:textId="77777777" w:rsidR="009866D3" w:rsidRPr="00027219" w:rsidRDefault="009866D3" w:rsidP="00027219">
      <w:pPr>
        <w:spacing w:line="240" w:lineRule="auto"/>
        <w:rPr>
          <w:b/>
          <w:bCs/>
        </w:rPr>
      </w:pPr>
      <w:r w:rsidRPr="00027219">
        <w:rPr>
          <w:b/>
          <w:bCs/>
        </w:rPr>
        <w:t xml:space="preserve">CIPD (2025). </w:t>
      </w:r>
      <w:r w:rsidRPr="00027219">
        <w:rPr>
          <w:b/>
          <w:bCs/>
          <w:i/>
          <w:iCs/>
        </w:rPr>
        <w:t>CIPD | Evidence-based Practice for Effective decision-making | Factsheets</w:t>
      </w:r>
      <w:r w:rsidRPr="00027219">
        <w:rPr>
          <w:b/>
          <w:bCs/>
        </w:rPr>
        <w:t>. [online] CIPD. Available at: https://www.cipd.org/uk/knowledge/factsheets/evidence-based-practice-factsheet/ [Accessed 17 Dec. 2025].</w:t>
      </w:r>
    </w:p>
    <w:p w14:paraId="458DA4F6" w14:textId="77777777" w:rsidR="009866D3" w:rsidRPr="00027219" w:rsidRDefault="009866D3" w:rsidP="00027219">
      <w:pPr>
        <w:spacing w:line="240" w:lineRule="auto"/>
        <w:rPr>
          <w:b/>
          <w:bCs/>
        </w:rPr>
      </w:pPr>
      <w:r w:rsidRPr="00027219">
        <w:rPr>
          <w:b/>
          <w:bCs/>
        </w:rPr>
        <w:t xml:space="preserve">Rousseau, D.M. (2020). Making Evidence-Based Organizational Decisions in an Uncertain World. </w:t>
      </w:r>
      <w:r w:rsidRPr="00027219">
        <w:rPr>
          <w:b/>
          <w:bCs/>
          <w:i/>
          <w:iCs/>
        </w:rPr>
        <w:t>Organizational Dynamics</w:t>
      </w:r>
      <w:r w:rsidRPr="00027219">
        <w:rPr>
          <w:b/>
          <w:bCs/>
        </w:rPr>
        <w:t xml:space="preserve">, [online] 49(1), p.100756. </w:t>
      </w:r>
      <w:proofErr w:type="spellStart"/>
      <w:proofErr w:type="gramStart"/>
      <w:r w:rsidRPr="00027219">
        <w:rPr>
          <w:b/>
          <w:bCs/>
        </w:rPr>
        <w:t>doi:https</w:t>
      </w:r>
      <w:proofErr w:type="spellEnd"/>
      <w:r w:rsidRPr="00027219">
        <w:rPr>
          <w:b/>
          <w:bCs/>
        </w:rPr>
        <w:t>://doi.org/10.1016/j.orgdyn.2020.100756</w:t>
      </w:r>
      <w:proofErr w:type="gramEnd"/>
      <w:r w:rsidRPr="00027219">
        <w:rPr>
          <w:b/>
          <w:bCs/>
        </w:rPr>
        <w:t>.</w:t>
      </w:r>
    </w:p>
    <w:p w14:paraId="65FE46C9" w14:textId="2B5DF37B" w:rsidR="009866D3" w:rsidRPr="00027219" w:rsidRDefault="009866D3" w:rsidP="00027219">
      <w:pPr>
        <w:spacing w:line="240" w:lineRule="auto"/>
        <w:rPr>
          <w:b/>
          <w:bCs/>
        </w:rPr>
      </w:pPr>
      <w:r w:rsidRPr="00027219">
        <w:rPr>
          <w:b/>
          <w:bCs/>
        </w:rPr>
        <w:t xml:space="preserve">Waite, K., Beevers, K., Small, N., Tomlinson, K. and Hussain, S. (2021). </w:t>
      </w:r>
      <w:r w:rsidRPr="00027219">
        <w:rPr>
          <w:b/>
          <w:bCs/>
          <w:i/>
          <w:iCs/>
        </w:rPr>
        <w:t xml:space="preserve">People </w:t>
      </w:r>
      <w:proofErr w:type="gramStart"/>
      <w:r w:rsidRPr="00027219">
        <w:rPr>
          <w:b/>
          <w:bCs/>
          <w:i/>
          <w:iCs/>
        </w:rPr>
        <w:t>Practice :</w:t>
      </w:r>
      <w:proofErr w:type="gramEnd"/>
      <w:r w:rsidRPr="00027219">
        <w:rPr>
          <w:b/>
          <w:bCs/>
          <w:i/>
          <w:iCs/>
        </w:rPr>
        <w:t xml:space="preserve"> A Complete Guide</w:t>
      </w:r>
      <w:r w:rsidRPr="00027219">
        <w:rPr>
          <w:b/>
          <w:bCs/>
        </w:rPr>
        <w:t xml:space="preserve">. 1st ed. London, United </w:t>
      </w:r>
      <w:proofErr w:type="gramStart"/>
      <w:r w:rsidRPr="00027219">
        <w:rPr>
          <w:b/>
          <w:bCs/>
        </w:rPr>
        <w:t>Kingdom :</w:t>
      </w:r>
      <w:proofErr w:type="gramEnd"/>
      <w:r w:rsidRPr="00027219">
        <w:rPr>
          <w:b/>
          <w:bCs/>
        </w:rPr>
        <w:t xml:space="preserve"> Kogan Page.</w:t>
      </w:r>
    </w:p>
    <w:p w14:paraId="4B8DB937" w14:textId="77777777" w:rsidR="005A506E" w:rsidRPr="00027219" w:rsidRDefault="005A506E" w:rsidP="00027219">
      <w:pPr>
        <w:spacing w:line="240" w:lineRule="auto"/>
      </w:pPr>
    </w:p>
    <w:sectPr w:rsidR="005A506E" w:rsidRPr="00027219" w:rsidSect="002B6E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94FC5" w14:textId="77777777" w:rsidR="00F737DC" w:rsidRDefault="00F737DC" w:rsidP="00CE4CA0">
      <w:pPr>
        <w:spacing w:after="0" w:line="240" w:lineRule="auto"/>
      </w:pPr>
      <w:r>
        <w:separator/>
      </w:r>
    </w:p>
  </w:endnote>
  <w:endnote w:type="continuationSeparator" w:id="0">
    <w:p w14:paraId="4D8ABDB9" w14:textId="77777777" w:rsidR="00F737DC" w:rsidRDefault="00F737DC" w:rsidP="00CE4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A30B7" w14:textId="77777777" w:rsidR="00F737DC" w:rsidRDefault="00F737DC" w:rsidP="00CE4CA0">
      <w:pPr>
        <w:spacing w:after="0" w:line="240" w:lineRule="auto"/>
      </w:pPr>
      <w:r>
        <w:separator/>
      </w:r>
    </w:p>
  </w:footnote>
  <w:footnote w:type="continuationSeparator" w:id="0">
    <w:p w14:paraId="5980E992" w14:textId="77777777" w:rsidR="00F737DC" w:rsidRDefault="00F737DC" w:rsidP="00CE4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92339" w14:textId="77777777" w:rsidR="00CE4CA0" w:rsidRDefault="00CE4CA0" w:rsidP="00CE4CA0">
    <w:pPr>
      <w:pStyle w:val="Header"/>
    </w:pPr>
    <w:r>
      <w:t>Helen Griffiths                      UWTSD: 2328942</w:t>
    </w:r>
    <w:r>
      <w:ptab w:relativeTo="margin" w:alignment="right" w:leader="none"/>
    </w:r>
    <w:r>
      <w:t xml:space="preserve">CIPD membership no. </w:t>
    </w:r>
    <w:r w:rsidRPr="00171001">
      <w:t>88859124</w:t>
    </w:r>
  </w:p>
  <w:p w14:paraId="0EA38234" w14:textId="77777777" w:rsidR="00CE4CA0" w:rsidRDefault="00CE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65389A"/>
    <w:multiLevelType w:val="hybridMultilevel"/>
    <w:tmpl w:val="415E0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711681">
    <w:abstractNumId w:val="1"/>
  </w:num>
  <w:num w:numId="2" w16cid:durableId="978922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CA0"/>
    <w:rsid w:val="000109BC"/>
    <w:rsid w:val="00027219"/>
    <w:rsid w:val="000E6C05"/>
    <w:rsid w:val="001041DB"/>
    <w:rsid w:val="00113DB2"/>
    <w:rsid w:val="0018157D"/>
    <w:rsid w:val="0018485B"/>
    <w:rsid w:val="001C56D6"/>
    <w:rsid w:val="00223109"/>
    <w:rsid w:val="00225C1C"/>
    <w:rsid w:val="00244BDC"/>
    <w:rsid w:val="002765AA"/>
    <w:rsid w:val="002B48E6"/>
    <w:rsid w:val="002B6EA7"/>
    <w:rsid w:val="002D609F"/>
    <w:rsid w:val="002F6509"/>
    <w:rsid w:val="00340204"/>
    <w:rsid w:val="003409B2"/>
    <w:rsid w:val="00413EF6"/>
    <w:rsid w:val="004332A7"/>
    <w:rsid w:val="00464DD6"/>
    <w:rsid w:val="004B78D1"/>
    <w:rsid w:val="004E35E7"/>
    <w:rsid w:val="0051105D"/>
    <w:rsid w:val="00530B8C"/>
    <w:rsid w:val="005753F6"/>
    <w:rsid w:val="005842D3"/>
    <w:rsid w:val="005A29E8"/>
    <w:rsid w:val="005A506E"/>
    <w:rsid w:val="005C6CA7"/>
    <w:rsid w:val="005F1418"/>
    <w:rsid w:val="00611707"/>
    <w:rsid w:val="00657D77"/>
    <w:rsid w:val="00693AC8"/>
    <w:rsid w:val="00726C8E"/>
    <w:rsid w:val="00743CFA"/>
    <w:rsid w:val="00772B13"/>
    <w:rsid w:val="00792D9E"/>
    <w:rsid w:val="007B3ECA"/>
    <w:rsid w:val="0082523D"/>
    <w:rsid w:val="00855197"/>
    <w:rsid w:val="008A55BB"/>
    <w:rsid w:val="008E06D6"/>
    <w:rsid w:val="008F2CE5"/>
    <w:rsid w:val="009305EA"/>
    <w:rsid w:val="00943880"/>
    <w:rsid w:val="0096401F"/>
    <w:rsid w:val="009866D3"/>
    <w:rsid w:val="009A390F"/>
    <w:rsid w:val="00A50D40"/>
    <w:rsid w:val="00AA45CE"/>
    <w:rsid w:val="00AB7401"/>
    <w:rsid w:val="00AB7629"/>
    <w:rsid w:val="00AF4454"/>
    <w:rsid w:val="00B3115F"/>
    <w:rsid w:val="00B41224"/>
    <w:rsid w:val="00B62B36"/>
    <w:rsid w:val="00BC6E2E"/>
    <w:rsid w:val="00BF3C93"/>
    <w:rsid w:val="00C00C13"/>
    <w:rsid w:val="00C20A29"/>
    <w:rsid w:val="00C409BE"/>
    <w:rsid w:val="00C55F57"/>
    <w:rsid w:val="00C6049F"/>
    <w:rsid w:val="00CE4CA0"/>
    <w:rsid w:val="00D57E4C"/>
    <w:rsid w:val="00D63844"/>
    <w:rsid w:val="00D76209"/>
    <w:rsid w:val="00D97AC2"/>
    <w:rsid w:val="00DA1F97"/>
    <w:rsid w:val="00DE032A"/>
    <w:rsid w:val="00DF073A"/>
    <w:rsid w:val="00DF0C33"/>
    <w:rsid w:val="00E1114C"/>
    <w:rsid w:val="00E17007"/>
    <w:rsid w:val="00E86E3D"/>
    <w:rsid w:val="00EC4980"/>
    <w:rsid w:val="00EF0764"/>
    <w:rsid w:val="00F737DC"/>
    <w:rsid w:val="00FB7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B3AD9"/>
  <w15:chartTrackingRefBased/>
  <w15:docId w15:val="{F56E9A36-2ECD-44A2-9517-B42BF5EA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CA0"/>
  </w:style>
  <w:style w:type="paragraph" w:styleId="Heading1">
    <w:name w:val="heading 1"/>
    <w:basedOn w:val="Normal"/>
    <w:next w:val="Normal"/>
    <w:link w:val="Heading1Char"/>
    <w:uiPriority w:val="9"/>
    <w:qFormat/>
    <w:rsid w:val="00CE4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CA0"/>
    <w:rPr>
      <w:rFonts w:eastAsiaTheme="majorEastAsia" w:cstheme="majorBidi"/>
      <w:color w:val="272727" w:themeColor="text1" w:themeTint="D8"/>
    </w:rPr>
  </w:style>
  <w:style w:type="paragraph" w:styleId="Title">
    <w:name w:val="Title"/>
    <w:basedOn w:val="Normal"/>
    <w:next w:val="Normal"/>
    <w:link w:val="TitleChar"/>
    <w:uiPriority w:val="10"/>
    <w:qFormat/>
    <w:rsid w:val="00CE4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CA0"/>
    <w:pPr>
      <w:spacing w:before="160"/>
      <w:jc w:val="center"/>
    </w:pPr>
    <w:rPr>
      <w:i/>
      <w:iCs/>
      <w:color w:val="404040" w:themeColor="text1" w:themeTint="BF"/>
    </w:rPr>
  </w:style>
  <w:style w:type="character" w:customStyle="1" w:styleId="QuoteChar">
    <w:name w:val="Quote Char"/>
    <w:basedOn w:val="DefaultParagraphFont"/>
    <w:link w:val="Quote"/>
    <w:uiPriority w:val="29"/>
    <w:rsid w:val="00CE4CA0"/>
    <w:rPr>
      <w:i/>
      <w:iCs/>
      <w:color w:val="404040" w:themeColor="text1" w:themeTint="BF"/>
    </w:rPr>
  </w:style>
  <w:style w:type="paragraph" w:styleId="ListParagraph">
    <w:name w:val="List Paragraph"/>
    <w:basedOn w:val="Normal"/>
    <w:uiPriority w:val="34"/>
    <w:qFormat/>
    <w:rsid w:val="00CE4CA0"/>
    <w:pPr>
      <w:ind w:left="720"/>
      <w:contextualSpacing/>
    </w:pPr>
  </w:style>
  <w:style w:type="character" w:styleId="IntenseEmphasis">
    <w:name w:val="Intense Emphasis"/>
    <w:basedOn w:val="DefaultParagraphFont"/>
    <w:uiPriority w:val="21"/>
    <w:qFormat/>
    <w:rsid w:val="00CE4CA0"/>
    <w:rPr>
      <w:i/>
      <w:iCs/>
      <w:color w:val="0F4761" w:themeColor="accent1" w:themeShade="BF"/>
    </w:rPr>
  </w:style>
  <w:style w:type="paragraph" w:styleId="IntenseQuote">
    <w:name w:val="Intense Quote"/>
    <w:basedOn w:val="Normal"/>
    <w:next w:val="Normal"/>
    <w:link w:val="IntenseQuoteChar"/>
    <w:uiPriority w:val="30"/>
    <w:qFormat/>
    <w:rsid w:val="00CE4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CA0"/>
    <w:rPr>
      <w:i/>
      <w:iCs/>
      <w:color w:val="0F4761" w:themeColor="accent1" w:themeShade="BF"/>
    </w:rPr>
  </w:style>
  <w:style w:type="character" w:styleId="IntenseReference">
    <w:name w:val="Intense Reference"/>
    <w:basedOn w:val="DefaultParagraphFont"/>
    <w:uiPriority w:val="32"/>
    <w:qFormat/>
    <w:rsid w:val="00CE4CA0"/>
    <w:rPr>
      <w:b/>
      <w:bCs/>
      <w:smallCaps/>
      <w:color w:val="0F4761" w:themeColor="accent1" w:themeShade="BF"/>
      <w:spacing w:val="5"/>
    </w:rPr>
  </w:style>
  <w:style w:type="paragraph" w:styleId="Header">
    <w:name w:val="header"/>
    <w:basedOn w:val="Normal"/>
    <w:link w:val="HeaderChar"/>
    <w:uiPriority w:val="99"/>
    <w:unhideWhenUsed/>
    <w:rsid w:val="00CE4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CA0"/>
  </w:style>
  <w:style w:type="paragraph" w:styleId="Footer">
    <w:name w:val="footer"/>
    <w:basedOn w:val="Normal"/>
    <w:link w:val="FooterChar"/>
    <w:uiPriority w:val="99"/>
    <w:unhideWhenUsed/>
    <w:rsid w:val="00CE4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CA0"/>
  </w:style>
  <w:style w:type="paragraph" w:styleId="NormalWeb">
    <w:name w:val="Normal (Web)"/>
    <w:basedOn w:val="Normal"/>
    <w:uiPriority w:val="99"/>
    <w:semiHidden/>
    <w:unhideWhenUsed/>
    <w:rsid w:val="001C56D6"/>
    <w:rPr>
      <w:rFonts w:ascii="Times New Roman" w:hAnsi="Times New Roman" w:cs="Times New Roman"/>
    </w:rPr>
  </w:style>
  <w:style w:type="character" w:styleId="Hyperlink">
    <w:name w:val="Hyperlink"/>
    <w:basedOn w:val="DefaultParagraphFont"/>
    <w:uiPriority w:val="99"/>
    <w:unhideWhenUsed/>
    <w:rsid w:val="00DF0C33"/>
    <w:rPr>
      <w:color w:val="467886" w:themeColor="hyperlink"/>
      <w:u w:val="single"/>
    </w:rPr>
  </w:style>
  <w:style w:type="character" w:styleId="UnresolvedMention">
    <w:name w:val="Unresolved Mention"/>
    <w:basedOn w:val="DefaultParagraphFont"/>
    <w:uiPriority w:val="99"/>
    <w:semiHidden/>
    <w:unhideWhenUsed/>
    <w:rsid w:val="00DF0C33"/>
    <w:rPr>
      <w:color w:val="605E5C"/>
      <w:shd w:val="clear" w:color="auto" w:fill="E1DFDD"/>
    </w:rPr>
  </w:style>
  <w:style w:type="character" w:styleId="FollowedHyperlink">
    <w:name w:val="FollowedHyperlink"/>
    <w:basedOn w:val="DefaultParagraphFont"/>
    <w:uiPriority w:val="99"/>
    <w:semiHidden/>
    <w:unhideWhenUsed/>
    <w:rsid w:val="005A50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griffiths\AppData\Local\Microsoft\Windows\INetCache\Content.Outlook\IO65V5UW\BLANK%20Worksheet%20in%20June%202025%20-%203CO02%20Principles%20of%20analytics%20(3).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griffiths\AppData\Local\Microsoft\Windows\INetCache\Content.Outlook\IO65V5UW\BLANK%20Worksheet%20in%20June%202025%20-%203CO02%20Principles%20of%20analytics%20(3).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Hours Vs Overtime Hours by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Sheet1!$M$3</c:f>
              <c:strCache>
                <c:ptCount val="1"/>
                <c:pt idx="0">
                  <c:v>Normal Hours</c:v>
                </c:pt>
              </c:strCache>
            </c:strRef>
          </c:tx>
          <c:spPr>
            <a:solidFill>
              <a:schemeClr val="accent1"/>
            </a:solidFill>
            <a:ln>
              <a:noFill/>
            </a:ln>
            <a:effectLst/>
          </c:spPr>
          <c:invertIfNegative val="0"/>
          <c:cat>
            <c:strRef>
              <c:f>Sheet1!$L$4:$L$6</c:f>
              <c:strCache>
                <c:ptCount val="3"/>
                <c:pt idx="0">
                  <c:v>Shop Staff</c:v>
                </c:pt>
                <c:pt idx="1">
                  <c:v>Baristas</c:v>
                </c:pt>
                <c:pt idx="2">
                  <c:v>Bakery</c:v>
                </c:pt>
              </c:strCache>
            </c:strRef>
          </c:cat>
          <c:val>
            <c:numRef>
              <c:f>Sheet1!$M$4:$M$6</c:f>
              <c:numCache>
                <c:formatCode>General</c:formatCode>
                <c:ptCount val="3"/>
                <c:pt idx="0">
                  <c:v>25.5</c:v>
                </c:pt>
                <c:pt idx="1">
                  <c:v>21.9</c:v>
                </c:pt>
                <c:pt idx="2">
                  <c:v>25.8</c:v>
                </c:pt>
              </c:numCache>
            </c:numRef>
          </c:val>
          <c:extLst>
            <c:ext xmlns:c16="http://schemas.microsoft.com/office/drawing/2014/chart" uri="{C3380CC4-5D6E-409C-BE32-E72D297353CC}">
              <c16:uniqueId val="{00000000-DB5C-43CB-B402-61526B4DAD97}"/>
            </c:ext>
          </c:extLst>
        </c:ser>
        <c:ser>
          <c:idx val="1"/>
          <c:order val="1"/>
          <c:tx>
            <c:strRef>
              <c:f>Sheet1!$N$3</c:f>
              <c:strCache>
                <c:ptCount val="1"/>
                <c:pt idx="0">
                  <c:v>Average Overtime</c:v>
                </c:pt>
              </c:strCache>
            </c:strRef>
          </c:tx>
          <c:spPr>
            <a:solidFill>
              <a:schemeClr val="accent2"/>
            </a:solidFill>
            <a:ln>
              <a:noFill/>
            </a:ln>
            <a:effectLst/>
          </c:spPr>
          <c:invertIfNegative val="0"/>
          <c:cat>
            <c:strRef>
              <c:f>Sheet1!$L$4:$L$6</c:f>
              <c:strCache>
                <c:ptCount val="3"/>
                <c:pt idx="0">
                  <c:v>Shop Staff</c:v>
                </c:pt>
                <c:pt idx="1">
                  <c:v>Baristas</c:v>
                </c:pt>
                <c:pt idx="2">
                  <c:v>Bakery</c:v>
                </c:pt>
              </c:strCache>
            </c:strRef>
          </c:cat>
          <c:val>
            <c:numRef>
              <c:f>Sheet1!$N$4:$N$6</c:f>
              <c:numCache>
                <c:formatCode>General</c:formatCode>
                <c:ptCount val="3"/>
                <c:pt idx="0">
                  <c:v>9.25</c:v>
                </c:pt>
                <c:pt idx="1">
                  <c:v>5.6</c:v>
                </c:pt>
                <c:pt idx="2">
                  <c:v>7</c:v>
                </c:pt>
              </c:numCache>
            </c:numRef>
          </c:val>
          <c:extLst>
            <c:ext xmlns:c16="http://schemas.microsoft.com/office/drawing/2014/chart" uri="{C3380CC4-5D6E-409C-BE32-E72D297353CC}">
              <c16:uniqueId val="{00000001-DB5C-43CB-B402-61526B4DAD97}"/>
            </c:ext>
          </c:extLst>
        </c:ser>
        <c:dLbls>
          <c:showLegendKey val="0"/>
          <c:showVal val="0"/>
          <c:showCatName val="0"/>
          <c:showSerName val="0"/>
          <c:showPercent val="0"/>
          <c:showBubbleSize val="0"/>
        </c:dLbls>
        <c:gapWidth val="150"/>
        <c:overlap val="100"/>
        <c:axId val="1285131280"/>
        <c:axId val="1285132720"/>
      </c:barChart>
      <c:catAx>
        <c:axId val="1285131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Department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132720"/>
        <c:crosses val="autoZero"/>
        <c:auto val="1"/>
        <c:lblAlgn val="ctr"/>
        <c:lblOffset val="100"/>
        <c:noMultiLvlLbl val="0"/>
      </c:catAx>
      <c:valAx>
        <c:axId val="1285132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131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Number of Overtime Hours Worked  per Week Over 4 Weeks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Sheet1!$R$11</c:f>
              <c:strCache>
                <c:ptCount val="1"/>
                <c:pt idx="0">
                  <c:v>Average number of overtime hours worked  per week over 4 weeks </c:v>
                </c:pt>
              </c:strCache>
            </c:strRef>
          </c:tx>
          <c:spPr>
            <a:solidFill>
              <a:schemeClr val="accent1"/>
            </a:solidFill>
            <a:ln>
              <a:noFill/>
            </a:ln>
            <a:effectLst/>
          </c:spPr>
          <c:invertIfNegative val="0"/>
          <c:cat>
            <c:strRef>
              <c:f>Sheet1!$Q$12:$Q$34</c:f>
              <c:strCache>
                <c:ptCount val="23"/>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4">
                  <c:v>K Gerbil </c:v>
                </c:pt>
                <c:pt idx="15">
                  <c:v>S Lund </c:v>
                </c:pt>
                <c:pt idx="16">
                  <c:v>B Bathbun</c:v>
                </c:pt>
                <c:pt idx="17">
                  <c:v>H John </c:v>
                </c:pt>
                <c:pt idx="18">
                  <c:v>R Rabbitt </c:v>
                </c:pt>
                <c:pt idx="20">
                  <c:v>P Harlum </c:v>
                </c:pt>
                <c:pt idx="21">
                  <c:v>M Hubbard</c:v>
                </c:pt>
                <c:pt idx="22">
                  <c:v>P Boots</c:v>
                </c:pt>
              </c:strCache>
            </c:strRef>
          </c:cat>
          <c:val>
            <c:numRef>
              <c:f>Sheet1!$R$12:$R$34</c:f>
              <c:numCache>
                <c:formatCode>General</c:formatCode>
                <c:ptCount val="23"/>
                <c:pt idx="0">
                  <c:v>11</c:v>
                </c:pt>
                <c:pt idx="1">
                  <c:v>9.25</c:v>
                </c:pt>
                <c:pt idx="2">
                  <c:v>9.25</c:v>
                </c:pt>
                <c:pt idx="3">
                  <c:v>11.75</c:v>
                </c:pt>
                <c:pt idx="4">
                  <c:v>7.5</c:v>
                </c:pt>
                <c:pt idx="5">
                  <c:v>10</c:v>
                </c:pt>
                <c:pt idx="6">
                  <c:v>8.5</c:v>
                </c:pt>
                <c:pt idx="7">
                  <c:v>12</c:v>
                </c:pt>
                <c:pt idx="8">
                  <c:v>12.75</c:v>
                </c:pt>
                <c:pt idx="9">
                  <c:v>8.5</c:v>
                </c:pt>
                <c:pt idx="10">
                  <c:v>8.75</c:v>
                </c:pt>
                <c:pt idx="11">
                  <c:v>6.25</c:v>
                </c:pt>
                <c:pt idx="12">
                  <c:v>4.75</c:v>
                </c:pt>
                <c:pt idx="14">
                  <c:v>6.25</c:v>
                </c:pt>
                <c:pt idx="15">
                  <c:v>8.5</c:v>
                </c:pt>
                <c:pt idx="16">
                  <c:v>6.25</c:v>
                </c:pt>
                <c:pt idx="17">
                  <c:v>4.75</c:v>
                </c:pt>
                <c:pt idx="18">
                  <c:v>2.25</c:v>
                </c:pt>
                <c:pt idx="20">
                  <c:v>8</c:v>
                </c:pt>
                <c:pt idx="21">
                  <c:v>6.5</c:v>
                </c:pt>
                <c:pt idx="22">
                  <c:v>6.5</c:v>
                </c:pt>
              </c:numCache>
            </c:numRef>
          </c:val>
          <c:extLst>
            <c:ext xmlns:c16="http://schemas.microsoft.com/office/drawing/2014/chart" uri="{C3380CC4-5D6E-409C-BE32-E72D297353CC}">
              <c16:uniqueId val="{00000000-E372-40DA-9353-D11BBACA7393}"/>
            </c:ext>
          </c:extLst>
        </c:ser>
        <c:dLbls>
          <c:showLegendKey val="0"/>
          <c:showVal val="0"/>
          <c:showCatName val="0"/>
          <c:showSerName val="0"/>
          <c:showPercent val="0"/>
          <c:showBubbleSize val="0"/>
        </c:dLbls>
        <c:gapWidth val="219"/>
        <c:overlap val="-27"/>
        <c:axId val="1285088080"/>
        <c:axId val="1285088560"/>
      </c:barChart>
      <c:catAx>
        <c:axId val="1285088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Staff Name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088560"/>
        <c:crosses val="autoZero"/>
        <c:auto val="1"/>
        <c:lblAlgn val="ctr"/>
        <c:lblOffset val="100"/>
        <c:noMultiLvlLbl val="0"/>
      </c:catAx>
      <c:valAx>
        <c:axId val="1285088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08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929</TotalTime>
  <Pages>9</Pages>
  <Words>2840</Words>
  <Characters>16189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Griffiths</dc:creator>
  <cp:keywords/>
  <dc:description/>
  <cp:lastModifiedBy>Helen Griffiths</cp:lastModifiedBy>
  <cp:revision>20</cp:revision>
  <dcterms:created xsi:type="dcterms:W3CDTF">2025-12-17T13:09:00Z</dcterms:created>
  <dcterms:modified xsi:type="dcterms:W3CDTF">2025-12-23T12:43:00Z</dcterms:modified>
</cp:coreProperties>
</file>