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98607504"/>
        <w:docPartObj>
          <w:docPartGallery w:val="Cover Pages"/>
          <w:docPartUnique/>
        </w:docPartObj>
      </w:sdtPr>
      <w:sdtEndPr>
        <w:rPr>
          <w:rFonts w:ascii="Arial" w:hAnsi="Arial" w:cs="Arial"/>
          <w:sz w:val="24"/>
          <w:szCs w:val="24"/>
        </w:rPr>
      </w:sdtEndPr>
      <w:sdtContent>
        <w:p w14:paraId="05A7505C" w14:textId="3D8B36B1" w:rsidR="00983FFF" w:rsidRDefault="007A2E79">
          <w:r>
            <w:rPr>
              <w:noProof/>
            </w:rPr>
            <w:pict w14:anchorId="32E4F2B4">
              <v:group id="Group 119" o:spid="_x0000_s1027" style="position:absolute;margin-left:36pt;margin-top:54.7pt;width:539.5pt;height:719.95pt;z-index:-251657216;mso-width-percent:882;mso-height-percent:909;mso-position-horizontal-relative:page;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style="mso-next-textbox:#Rectangle 121" inset="36pt,14.4pt,36pt,36pt">
                    <w:txbxContent>
                      <w:sdt>
                        <w:sdtPr>
                          <w:rPr>
                            <w:color w:val="FFFFFF" w:themeColor="background1"/>
                            <w:sz w:val="32"/>
                            <w:szCs w:val="32"/>
                          </w:rPr>
                          <w:alias w:val="Author"/>
                          <w:tag w:val=""/>
                          <w:id w:val="884141857"/>
                          <w:showingPlcHdr/>
                          <w:dataBinding w:prefixMappings="xmlns:ns0='http://purl.org/dc/elements/1.1/' xmlns:ns1='http://schemas.openxmlformats.org/package/2006/metadata/core-properties' " w:xpath="/ns1:coreProperties[1]/ns0:creator[1]" w:storeItemID="{6C3C8BC8-F283-45AE-878A-BAB7291924A1}"/>
                          <w:text/>
                        </w:sdtPr>
                        <w:sdtEndPr/>
                        <w:sdtContent>
                          <w:p w14:paraId="1C607360" w14:textId="7EC16AED" w:rsidR="00025563" w:rsidRDefault="00025563">
                            <w:pPr>
                              <w:pStyle w:val="NoSpacing"/>
                              <w:rPr>
                                <w:color w:val="FFFFFF" w:themeColor="background1"/>
                                <w:sz w:val="32"/>
                                <w:szCs w:val="32"/>
                              </w:rPr>
                            </w:pPr>
                            <w:r>
                              <w:rPr>
                                <w:color w:val="FFFFFF" w:themeColor="background1"/>
                                <w:sz w:val="32"/>
                                <w:szCs w:val="32"/>
                              </w:rPr>
                              <w:t xml:space="preserve">     </w:t>
                            </w:r>
                          </w:p>
                        </w:sdtContent>
                      </w:sdt>
                      <w:p w14:paraId="3B36EDD6" w14:textId="45360798" w:rsidR="00025563" w:rsidRDefault="007A2E79" w:rsidP="00983FFF">
                        <w:pPr>
                          <w:pStyle w:val="NoSpacing"/>
                          <w:rPr>
                            <w:caps/>
                            <w:color w:val="FFFFFF" w:themeColor="background1"/>
                          </w:rPr>
                        </w:pPr>
                        <w:sdt>
                          <w:sdtPr>
                            <w:rPr>
                              <w:rFonts w:ascii="Arial" w:eastAsiaTheme="majorEastAsia" w:hAnsi="Arial" w:cs="Arial"/>
                              <w:caps/>
                              <w:sz w:val="24"/>
                              <w:szCs w:val="24"/>
                            </w:rPr>
                            <w:alias w:val="Company"/>
                            <w:tag w:val=""/>
                            <w:id w:val="922067218"/>
                            <w:dataBinding w:prefixMappings="xmlns:ns0='http://schemas.openxmlformats.org/officeDocument/2006/extended-properties' " w:xpath="/ns0:Properties[1]/ns0:Company[1]" w:storeItemID="{6668398D-A668-4E3E-A5EB-62B293D839F1}"/>
                            <w:text/>
                          </w:sdtPr>
                          <w:sdtEndPr/>
                          <w:sdtContent>
                            <w:r w:rsidR="00025563" w:rsidRPr="00983FFF">
                              <w:rPr>
                                <w:rFonts w:ascii="Arial" w:eastAsiaTheme="majorEastAsia" w:hAnsi="Arial" w:cs="Arial"/>
                                <w:caps/>
                                <w:sz w:val="24"/>
                                <w:szCs w:val="24"/>
                              </w:rPr>
                              <w:t>AUGUST 2</w:t>
                            </w:r>
                            <w:r w:rsidR="00025563">
                              <w:rPr>
                                <w:rFonts w:ascii="Arial" w:eastAsiaTheme="majorEastAsia" w:hAnsi="Arial" w:cs="Arial"/>
                                <w:caps/>
                                <w:sz w:val="24"/>
                                <w:szCs w:val="24"/>
                              </w:rPr>
                              <w:t>5</w:t>
                            </w:r>
                            <w:r w:rsidR="00025563" w:rsidRPr="00983FFF">
                              <w:rPr>
                                <w:rFonts w:ascii="Arial" w:eastAsiaTheme="majorEastAsia" w:hAnsi="Arial" w:cs="Arial"/>
                                <w:caps/>
                                <w:sz w:val="24"/>
                                <w:szCs w:val="24"/>
                              </w:rPr>
                              <w:t>, 2020</w:t>
                            </w:r>
                            <w:r w:rsidR="00025563">
                              <w:rPr>
                                <w:rFonts w:ascii="Arial" w:eastAsiaTheme="majorEastAsia" w:hAnsi="Arial" w:cs="Arial"/>
                                <w:caps/>
                                <w:sz w:val="24"/>
                                <w:szCs w:val="24"/>
                              </w:rPr>
                              <w:t xml:space="preserve">                                                                                                       </w:t>
                            </w:r>
                            <w:r w:rsidR="00025563" w:rsidRPr="00983FFF">
                              <w:rPr>
                                <w:rFonts w:ascii="Arial" w:eastAsiaTheme="majorEastAsia" w:hAnsi="Arial" w:cs="Arial"/>
                                <w:caps/>
                                <w:sz w:val="24"/>
                                <w:szCs w:val="24"/>
                              </w:rPr>
                              <w:t>UNIVERSITY of WALES Trinity Saint David</w:t>
                            </w:r>
                            <w:r w:rsidR="00025563">
                              <w:rPr>
                                <w:rFonts w:ascii="Arial" w:eastAsiaTheme="majorEastAsia" w:hAnsi="Arial" w:cs="Arial"/>
                                <w:caps/>
                                <w:sz w:val="24"/>
                                <w:szCs w:val="24"/>
                              </w:rPr>
                              <w:t xml:space="preserve">                                                  </w:t>
                            </w:r>
                            <w:r w:rsidR="00025563" w:rsidRPr="00983FFF">
                              <w:rPr>
                                <w:rFonts w:ascii="Arial" w:eastAsiaTheme="majorEastAsia" w:hAnsi="Arial" w:cs="Arial"/>
                                <w:caps/>
                                <w:sz w:val="24"/>
                                <w:szCs w:val="24"/>
                              </w:rPr>
                              <w:t>STUDENT ID:1919080</w:t>
                            </w:r>
                          </w:sdtContent>
                        </w:sdt>
                        <w:r w:rsidR="00025563">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025563">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style="mso-next-textbox:#Text Box 122" inset="36pt,36pt,36pt,36pt">
                    <w:txbxContent>
                      <w:sdt>
                        <w:sdtPr>
                          <w:rPr>
                            <w:rFonts w:ascii="Arial" w:eastAsia="Times New Roman" w:hAnsi="Arial" w:cs="Arial"/>
                            <w:sz w:val="72"/>
                            <w:szCs w:val="72"/>
                            <w:lang w:val="en-GB"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54EFAEA" w14:textId="247013B7" w:rsidR="00025563" w:rsidRPr="00983FFF" w:rsidRDefault="00025563">
                            <w:pPr>
                              <w:pStyle w:val="NoSpacing"/>
                              <w:pBdr>
                                <w:bottom w:val="single" w:sz="6" w:space="4" w:color="7F7F7F" w:themeColor="text1" w:themeTint="80"/>
                              </w:pBdr>
                              <w:rPr>
                                <w:rFonts w:ascii="Arial" w:eastAsiaTheme="majorEastAsia" w:hAnsi="Arial" w:cs="Arial"/>
                                <w:color w:val="595959" w:themeColor="text1" w:themeTint="A6"/>
                                <w:sz w:val="72"/>
                                <w:szCs w:val="72"/>
                              </w:rPr>
                            </w:pPr>
                            <w:r w:rsidRPr="00983FFF">
                              <w:rPr>
                                <w:rFonts w:ascii="Arial" w:eastAsia="Times New Roman" w:hAnsi="Arial" w:cs="Arial"/>
                                <w:sz w:val="72"/>
                                <w:szCs w:val="72"/>
                                <w:lang w:val="en-GB" w:eastAsia="en-GB"/>
                              </w:rPr>
                              <w:t>Accounting Fundamentals</w:t>
                            </w:r>
                          </w:p>
                        </w:sdtContent>
                      </w:sdt>
                      <w:sdt>
                        <w:sdtPr>
                          <w:rPr>
                            <w:rFonts w:ascii="Arial" w:hAnsi="Arial" w:cs="Arial"/>
                            <w:caps/>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1FCCA7D" w14:textId="0A1D7404" w:rsidR="00025563" w:rsidRPr="00983FFF" w:rsidRDefault="00025563">
                            <w:pPr>
                              <w:pStyle w:val="NoSpacing"/>
                              <w:spacing w:before="240"/>
                              <w:rPr>
                                <w:rFonts w:ascii="Arial" w:hAnsi="Arial" w:cs="Arial"/>
                                <w:caps/>
                                <w:sz w:val="32"/>
                                <w:szCs w:val="32"/>
                              </w:rPr>
                            </w:pPr>
                            <w:r w:rsidRPr="00983FFF">
                              <w:rPr>
                                <w:rFonts w:ascii="Arial" w:hAnsi="Arial" w:cs="Arial"/>
                                <w:sz w:val="32"/>
                                <w:szCs w:val="32"/>
                              </w:rPr>
                              <w:t>By Cosmin Daniel Popa</w:t>
                            </w:r>
                          </w:p>
                        </w:sdtContent>
                      </w:sdt>
                    </w:txbxContent>
                  </v:textbox>
                </v:shape>
                <w10:wrap anchorx="page" anchory="page"/>
              </v:group>
            </w:pict>
          </w:r>
        </w:p>
        <w:p w14:paraId="592BA353" w14:textId="1EF43C1E" w:rsidR="00983FFF" w:rsidRDefault="00983FFF">
          <w:pPr>
            <w:rPr>
              <w:rFonts w:ascii="Arial" w:hAnsi="Arial" w:cs="Arial"/>
              <w:sz w:val="24"/>
              <w:szCs w:val="24"/>
            </w:rPr>
          </w:pPr>
          <w:r>
            <w:rPr>
              <w:rFonts w:ascii="Arial" w:hAnsi="Arial" w:cs="Arial"/>
              <w:sz w:val="24"/>
              <w:szCs w:val="24"/>
            </w:rPr>
            <w:br w:type="page"/>
          </w:r>
        </w:p>
      </w:sdtContent>
    </w:sdt>
    <w:p w14:paraId="29FAFA48" w14:textId="77777777" w:rsidR="00E9168E" w:rsidRPr="009465B6" w:rsidRDefault="00E9168E">
      <w:pPr>
        <w:rPr>
          <w:rFonts w:ascii="Arial" w:hAnsi="Arial" w:cs="Arial"/>
          <w:sz w:val="24"/>
          <w:szCs w:val="24"/>
        </w:rPr>
      </w:pPr>
    </w:p>
    <w:p w14:paraId="7A258CFA" w14:textId="77777777" w:rsidR="00E9168E" w:rsidRPr="009465B6" w:rsidRDefault="00E9168E">
      <w:pPr>
        <w:rPr>
          <w:rFonts w:ascii="Arial" w:hAnsi="Arial" w:cs="Arial"/>
          <w:sz w:val="24"/>
          <w:szCs w:val="24"/>
        </w:rPr>
      </w:pPr>
    </w:p>
    <w:p w14:paraId="0D9E4D42" w14:textId="77777777" w:rsidR="00E9168E" w:rsidRPr="009465B6" w:rsidRDefault="00E9168E">
      <w:pPr>
        <w:rPr>
          <w:rFonts w:ascii="Arial" w:hAnsi="Arial" w:cs="Arial"/>
          <w:sz w:val="24"/>
          <w:szCs w:val="24"/>
        </w:rPr>
      </w:pPr>
    </w:p>
    <w:sdt>
      <w:sdtPr>
        <w:rPr>
          <w:rFonts w:ascii="Arial" w:eastAsiaTheme="minorEastAsia" w:hAnsi="Arial" w:cs="Arial"/>
          <w:b w:val="0"/>
          <w:bCs w:val="0"/>
          <w:color w:val="auto"/>
          <w:sz w:val="24"/>
          <w:szCs w:val="24"/>
        </w:rPr>
        <w:id w:val="267587971"/>
        <w:docPartObj>
          <w:docPartGallery w:val="Table of Contents"/>
          <w:docPartUnique/>
        </w:docPartObj>
      </w:sdtPr>
      <w:sdtEndPr/>
      <w:sdtContent>
        <w:p w14:paraId="5AAA73B0" w14:textId="77777777" w:rsidR="00415D73" w:rsidRPr="009465B6" w:rsidRDefault="00415D73">
          <w:pPr>
            <w:pStyle w:val="TOCHeading"/>
            <w:rPr>
              <w:rFonts w:ascii="Arial" w:hAnsi="Arial" w:cs="Arial"/>
              <w:color w:val="auto"/>
              <w:sz w:val="24"/>
              <w:szCs w:val="24"/>
            </w:rPr>
          </w:pPr>
          <w:r w:rsidRPr="009465B6">
            <w:rPr>
              <w:rFonts w:ascii="Arial" w:hAnsi="Arial" w:cs="Arial"/>
              <w:color w:val="auto"/>
              <w:sz w:val="24"/>
              <w:szCs w:val="24"/>
            </w:rPr>
            <w:t>Table of Contents</w:t>
          </w:r>
        </w:p>
        <w:p w14:paraId="58250559" w14:textId="77777777" w:rsidR="00D07682" w:rsidRPr="009465B6" w:rsidRDefault="007A2E79">
          <w:pPr>
            <w:pStyle w:val="TOC1"/>
            <w:tabs>
              <w:tab w:val="right" w:leader="dot" w:pos="9350"/>
            </w:tabs>
            <w:rPr>
              <w:rFonts w:ascii="Arial" w:hAnsi="Arial" w:cs="Arial"/>
              <w:noProof/>
              <w:sz w:val="24"/>
              <w:szCs w:val="24"/>
            </w:rPr>
          </w:pPr>
          <w:hyperlink w:anchor="_Toc46062883" w:history="1">
            <w:r w:rsidR="00D07682" w:rsidRPr="009465B6">
              <w:rPr>
                <w:rStyle w:val="Hyperlink"/>
                <w:rFonts w:ascii="Arial" w:hAnsi="Arial" w:cs="Arial"/>
                <w:noProof/>
                <w:color w:val="auto"/>
                <w:sz w:val="24"/>
                <w:szCs w:val="24"/>
                <w:u w:val="none"/>
              </w:rPr>
              <w:t>Question 1: Financial statement:</w:t>
            </w:r>
            <w:r w:rsidR="00D07682" w:rsidRPr="009465B6">
              <w:rPr>
                <w:rFonts w:ascii="Arial" w:hAnsi="Arial" w:cs="Arial"/>
                <w:noProof/>
                <w:webHidden/>
                <w:sz w:val="24"/>
                <w:szCs w:val="24"/>
              </w:rPr>
              <w:tab/>
            </w:r>
            <w:r w:rsidR="001C147F" w:rsidRPr="009465B6">
              <w:rPr>
                <w:rFonts w:ascii="Arial" w:hAnsi="Arial" w:cs="Arial"/>
                <w:noProof/>
                <w:webHidden/>
                <w:sz w:val="24"/>
                <w:szCs w:val="24"/>
              </w:rPr>
              <w:fldChar w:fldCharType="begin"/>
            </w:r>
            <w:r w:rsidR="00D07682" w:rsidRPr="009465B6">
              <w:rPr>
                <w:rFonts w:ascii="Arial" w:hAnsi="Arial" w:cs="Arial"/>
                <w:noProof/>
                <w:webHidden/>
                <w:sz w:val="24"/>
                <w:szCs w:val="24"/>
              </w:rPr>
              <w:instrText xml:space="preserve"> PAGEREF _Toc46062883 \h </w:instrText>
            </w:r>
            <w:r w:rsidR="001C147F" w:rsidRPr="009465B6">
              <w:rPr>
                <w:rFonts w:ascii="Arial" w:hAnsi="Arial" w:cs="Arial"/>
                <w:noProof/>
                <w:webHidden/>
                <w:sz w:val="24"/>
                <w:szCs w:val="24"/>
              </w:rPr>
            </w:r>
            <w:r w:rsidR="001C147F" w:rsidRPr="009465B6">
              <w:rPr>
                <w:rFonts w:ascii="Arial" w:hAnsi="Arial" w:cs="Arial"/>
                <w:noProof/>
                <w:webHidden/>
                <w:sz w:val="24"/>
                <w:szCs w:val="24"/>
              </w:rPr>
              <w:fldChar w:fldCharType="separate"/>
            </w:r>
            <w:r w:rsidR="00D07682" w:rsidRPr="009465B6">
              <w:rPr>
                <w:rFonts w:ascii="Arial" w:hAnsi="Arial" w:cs="Arial"/>
                <w:noProof/>
                <w:webHidden/>
                <w:sz w:val="24"/>
                <w:szCs w:val="24"/>
              </w:rPr>
              <w:t>3</w:t>
            </w:r>
            <w:r w:rsidR="001C147F" w:rsidRPr="009465B6">
              <w:rPr>
                <w:rFonts w:ascii="Arial" w:hAnsi="Arial" w:cs="Arial"/>
                <w:noProof/>
                <w:webHidden/>
                <w:sz w:val="24"/>
                <w:szCs w:val="24"/>
              </w:rPr>
              <w:fldChar w:fldCharType="end"/>
            </w:r>
          </w:hyperlink>
        </w:p>
        <w:p w14:paraId="1F4AFC14" w14:textId="77777777" w:rsidR="00D07682" w:rsidRPr="009465B6" w:rsidRDefault="007A2E79">
          <w:pPr>
            <w:pStyle w:val="TOC1"/>
            <w:tabs>
              <w:tab w:val="right" w:leader="dot" w:pos="9350"/>
            </w:tabs>
            <w:rPr>
              <w:rFonts w:ascii="Arial" w:hAnsi="Arial" w:cs="Arial"/>
              <w:noProof/>
              <w:sz w:val="24"/>
              <w:szCs w:val="24"/>
            </w:rPr>
          </w:pPr>
          <w:hyperlink w:anchor="_Toc46062884" w:history="1">
            <w:r w:rsidR="00D07682" w:rsidRPr="009465B6">
              <w:rPr>
                <w:rStyle w:val="Hyperlink"/>
                <w:rFonts w:ascii="Arial" w:hAnsi="Arial" w:cs="Arial"/>
                <w:noProof/>
                <w:color w:val="auto"/>
                <w:sz w:val="24"/>
                <w:szCs w:val="24"/>
                <w:u w:val="none"/>
              </w:rPr>
              <w:t>Question 2: Ratio Analysis:</w:t>
            </w:r>
            <w:r w:rsidR="00D07682" w:rsidRPr="009465B6">
              <w:rPr>
                <w:rFonts w:ascii="Arial" w:hAnsi="Arial" w:cs="Arial"/>
                <w:noProof/>
                <w:webHidden/>
                <w:sz w:val="24"/>
                <w:szCs w:val="24"/>
              </w:rPr>
              <w:tab/>
              <w:t>5</w:t>
            </w:r>
          </w:hyperlink>
        </w:p>
        <w:p w14:paraId="1AB54F74" w14:textId="77777777" w:rsidR="00D07682" w:rsidRPr="009465B6" w:rsidRDefault="007A2E79">
          <w:pPr>
            <w:pStyle w:val="TOC1"/>
            <w:tabs>
              <w:tab w:val="right" w:leader="dot" w:pos="9350"/>
            </w:tabs>
            <w:rPr>
              <w:rFonts w:ascii="Arial" w:hAnsi="Arial" w:cs="Arial"/>
              <w:noProof/>
              <w:sz w:val="24"/>
              <w:szCs w:val="24"/>
            </w:rPr>
          </w:pPr>
          <w:hyperlink w:anchor="_Toc46062885" w:history="1">
            <w:r w:rsidR="00D07682" w:rsidRPr="009465B6">
              <w:rPr>
                <w:rStyle w:val="Hyperlink"/>
                <w:rFonts w:ascii="Arial" w:hAnsi="Arial" w:cs="Arial"/>
                <w:noProof/>
                <w:color w:val="auto"/>
                <w:sz w:val="24"/>
                <w:szCs w:val="24"/>
                <w:u w:val="none"/>
              </w:rPr>
              <w:t>Question 3:</w:t>
            </w:r>
            <w:r w:rsidR="00D07682" w:rsidRPr="009465B6">
              <w:rPr>
                <w:rFonts w:ascii="Arial" w:hAnsi="Arial" w:cs="Arial"/>
                <w:noProof/>
                <w:webHidden/>
                <w:sz w:val="24"/>
                <w:szCs w:val="24"/>
              </w:rPr>
              <w:tab/>
              <w:t>10</w:t>
            </w:r>
          </w:hyperlink>
        </w:p>
        <w:p w14:paraId="38B5D3DB" w14:textId="77777777" w:rsidR="00D07682" w:rsidRPr="009465B6" w:rsidRDefault="007A2E79">
          <w:pPr>
            <w:pStyle w:val="TOC2"/>
            <w:tabs>
              <w:tab w:val="right" w:leader="dot" w:pos="9350"/>
            </w:tabs>
            <w:rPr>
              <w:rFonts w:ascii="Arial" w:hAnsi="Arial" w:cs="Arial"/>
              <w:noProof/>
              <w:sz w:val="24"/>
              <w:szCs w:val="24"/>
            </w:rPr>
          </w:pPr>
          <w:hyperlink w:anchor="_Toc46062886" w:history="1">
            <w:r w:rsidR="00D07682" w:rsidRPr="009465B6">
              <w:rPr>
                <w:rStyle w:val="Hyperlink"/>
                <w:rFonts w:ascii="Arial" w:hAnsi="Arial" w:cs="Arial"/>
                <w:noProof/>
                <w:color w:val="auto"/>
                <w:sz w:val="24"/>
                <w:szCs w:val="24"/>
                <w:u w:val="none"/>
              </w:rPr>
              <w:t>Users of financial information:</w:t>
            </w:r>
            <w:r w:rsidR="00D07682" w:rsidRPr="009465B6">
              <w:rPr>
                <w:rFonts w:ascii="Arial" w:hAnsi="Arial" w:cs="Arial"/>
                <w:noProof/>
                <w:webHidden/>
                <w:sz w:val="24"/>
                <w:szCs w:val="24"/>
              </w:rPr>
              <w:tab/>
              <w:t>10</w:t>
            </w:r>
          </w:hyperlink>
        </w:p>
        <w:p w14:paraId="328D53AC" w14:textId="77777777" w:rsidR="00D07682" w:rsidRPr="009465B6" w:rsidRDefault="007A2E79">
          <w:pPr>
            <w:pStyle w:val="TOC2"/>
            <w:tabs>
              <w:tab w:val="right" w:leader="dot" w:pos="9350"/>
            </w:tabs>
            <w:rPr>
              <w:rFonts w:ascii="Arial" w:hAnsi="Arial" w:cs="Arial"/>
              <w:noProof/>
              <w:sz w:val="24"/>
              <w:szCs w:val="24"/>
            </w:rPr>
          </w:pPr>
          <w:hyperlink w:anchor="_Toc46062887" w:history="1">
            <w:r w:rsidR="00D07682" w:rsidRPr="009465B6">
              <w:rPr>
                <w:rStyle w:val="Hyperlink"/>
                <w:rFonts w:ascii="Arial" w:hAnsi="Arial" w:cs="Arial"/>
                <w:noProof/>
                <w:color w:val="auto"/>
                <w:sz w:val="24"/>
                <w:szCs w:val="24"/>
                <w:u w:val="none"/>
              </w:rPr>
              <w:t>Benefits and limitation of the regulated financial reporting regime:</w:t>
            </w:r>
            <w:r w:rsidR="00D07682" w:rsidRPr="009465B6">
              <w:rPr>
                <w:rFonts w:ascii="Arial" w:hAnsi="Arial" w:cs="Arial"/>
                <w:noProof/>
                <w:webHidden/>
                <w:sz w:val="24"/>
                <w:szCs w:val="24"/>
              </w:rPr>
              <w:tab/>
              <w:t>11</w:t>
            </w:r>
          </w:hyperlink>
        </w:p>
        <w:p w14:paraId="72CFC286" w14:textId="77777777" w:rsidR="00D07682" w:rsidRPr="009465B6" w:rsidRDefault="007A2E79">
          <w:pPr>
            <w:pStyle w:val="TOC2"/>
            <w:tabs>
              <w:tab w:val="right" w:leader="dot" w:pos="9350"/>
            </w:tabs>
            <w:rPr>
              <w:rFonts w:ascii="Arial" w:hAnsi="Arial" w:cs="Arial"/>
              <w:noProof/>
              <w:sz w:val="24"/>
              <w:szCs w:val="24"/>
            </w:rPr>
          </w:pPr>
          <w:hyperlink w:anchor="_Toc46062888" w:history="1">
            <w:r w:rsidR="00D07682" w:rsidRPr="009465B6">
              <w:rPr>
                <w:rStyle w:val="Hyperlink"/>
                <w:rFonts w:ascii="Arial" w:hAnsi="Arial" w:cs="Arial"/>
                <w:noProof/>
                <w:color w:val="auto"/>
                <w:sz w:val="24"/>
                <w:szCs w:val="24"/>
                <w:u w:val="none"/>
              </w:rPr>
              <w:t>Financial Statements’ Limitation:</w:t>
            </w:r>
            <w:r w:rsidR="00D07682" w:rsidRPr="009465B6">
              <w:rPr>
                <w:rFonts w:ascii="Arial" w:hAnsi="Arial" w:cs="Arial"/>
                <w:noProof/>
                <w:webHidden/>
                <w:sz w:val="24"/>
                <w:szCs w:val="24"/>
              </w:rPr>
              <w:tab/>
              <w:t>12</w:t>
            </w:r>
          </w:hyperlink>
        </w:p>
        <w:p w14:paraId="2766951A" w14:textId="77777777" w:rsidR="00D07682" w:rsidRPr="009465B6" w:rsidRDefault="007A2E79">
          <w:pPr>
            <w:pStyle w:val="TOC1"/>
            <w:tabs>
              <w:tab w:val="right" w:leader="dot" w:pos="9350"/>
            </w:tabs>
            <w:rPr>
              <w:rFonts w:ascii="Arial" w:hAnsi="Arial" w:cs="Arial"/>
              <w:noProof/>
              <w:sz w:val="24"/>
              <w:szCs w:val="24"/>
            </w:rPr>
          </w:pPr>
          <w:hyperlink w:anchor="_Toc46062889" w:history="1">
            <w:r w:rsidR="00D07682" w:rsidRPr="009465B6">
              <w:rPr>
                <w:rStyle w:val="Hyperlink"/>
                <w:rFonts w:ascii="Arial" w:hAnsi="Arial" w:cs="Arial"/>
                <w:noProof/>
                <w:color w:val="auto"/>
                <w:sz w:val="24"/>
                <w:szCs w:val="24"/>
                <w:u w:val="none"/>
              </w:rPr>
              <w:t>References:</w:t>
            </w:r>
            <w:r w:rsidR="00D07682" w:rsidRPr="009465B6">
              <w:rPr>
                <w:rFonts w:ascii="Arial" w:hAnsi="Arial" w:cs="Arial"/>
                <w:noProof/>
                <w:webHidden/>
                <w:sz w:val="24"/>
                <w:szCs w:val="24"/>
              </w:rPr>
              <w:tab/>
              <w:t>14</w:t>
            </w:r>
          </w:hyperlink>
        </w:p>
        <w:p w14:paraId="2572DB31" w14:textId="77777777" w:rsidR="00415D73" w:rsidRPr="009465B6" w:rsidRDefault="007A2E79">
          <w:pPr>
            <w:rPr>
              <w:rFonts w:ascii="Arial" w:hAnsi="Arial" w:cs="Arial"/>
              <w:sz w:val="24"/>
              <w:szCs w:val="24"/>
            </w:rPr>
          </w:pPr>
        </w:p>
      </w:sdtContent>
    </w:sdt>
    <w:p w14:paraId="424FAAFC" w14:textId="77777777" w:rsidR="00E9168E" w:rsidRPr="009465B6" w:rsidRDefault="00E9168E">
      <w:pPr>
        <w:rPr>
          <w:rFonts w:ascii="Arial" w:eastAsiaTheme="majorEastAsia" w:hAnsi="Arial" w:cs="Arial"/>
          <w:b/>
          <w:bCs/>
          <w:color w:val="365F91" w:themeColor="accent1" w:themeShade="BF"/>
          <w:sz w:val="24"/>
          <w:szCs w:val="24"/>
        </w:rPr>
      </w:pPr>
      <w:r w:rsidRPr="009465B6">
        <w:rPr>
          <w:rFonts w:ascii="Arial" w:hAnsi="Arial" w:cs="Arial"/>
          <w:sz w:val="24"/>
          <w:szCs w:val="24"/>
        </w:rPr>
        <w:br w:type="page"/>
      </w:r>
    </w:p>
    <w:p w14:paraId="0359C3D4" w14:textId="77777777" w:rsidR="00D92A2A" w:rsidRDefault="005414E8" w:rsidP="003278B3">
      <w:pPr>
        <w:pStyle w:val="Heading1"/>
        <w:spacing w:line="360" w:lineRule="auto"/>
        <w:jc w:val="both"/>
        <w:rPr>
          <w:rFonts w:ascii="Arial" w:hAnsi="Arial" w:cs="Arial"/>
          <w:sz w:val="24"/>
          <w:szCs w:val="24"/>
        </w:rPr>
      </w:pPr>
      <w:bookmarkStart w:id="0" w:name="_Toc46062883"/>
      <w:r w:rsidRPr="009465B6">
        <w:rPr>
          <w:rFonts w:ascii="Arial" w:hAnsi="Arial" w:cs="Arial"/>
          <w:sz w:val="24"/>
          <w:szCs w:val="24"/>
        </w:rPr>
        <w:lastRenderedPageBreak/>
        <w:t xml:space="preserve">Question 1: </w:t>
      </w:r>
    </w:p>
    <w:p w14:paraId="055F6AA1" w14:textId="66270E3A" w:rsidR="004C7554" w:rsidRDefault="005414E8" w:rsidP="003278B3">
      <w:pPr>
        <w:pStyle w:val="Heading1"/>
        <w:spacing w:line="360" w:lineRule="auto"/>
        <w:jc w:val="both"/>
        <w:rPr>
          <w:rFonts w:ascii="Arial" w:hAnsi="Arial" w:cs="Arial"/>
          <w:sz w:val="24"/>
          <w:szCs w:val="24"/>
        </w:rPr>
      </w:pPr>
      <w:r w:rsidRPr="009465B6">
        <w:rPr>
          <w:rFonts w:ascii="Arial" w:hAnsi="Arial" w:cs="Arial"/>
          <w:sz w:val="24"/>
          <w:szCs w:val="24"/>
        </w:rPr>
        <w:t>Financial statement</w:t>
      </w:r>
      <w:bookmarkEnd w:id="0"/>
    </w:p>
    <w:p w14:paraId="6D02ABFC" w14:textId="77777777" w:rsidR="009465B6" w:rsidRPr="009465B6" w:rsidRDefault="009465B6" w:rsidP="009465B6"/>
    <w:p w14:paraId="388A573D" w14:textId="128579D7" w:rsidR="005414E8" w:rsidRPr="003B3EF4" w:rsidRDefault="005414E8" w:rsidP="003278B3">
      <w:pPr>
        <w:spacing w:line="360" w:lineRule="auto"/>
        <w:jc w:val="both"/>
        <w:rPr>
          <w:rFonts w:ascii="Arial" w:hAnsi="Arial" w:cs="Arial"/>
          <w:b/>
          <w:sz w:val="24"/>
          <w:szCs w:val="24"/>
        </w:rPr>
      </w:pPr>
      <w:r w:rsidRPr="009465B6">
        <w:rPr>
          <w:rFonts w:ascii="Arial" w:hAnsi="Arial" w:cs="Arial"/>
          <w:b/>
          <w:sz w:val="24"/>
          <w:szCs w:val="24"/>
        </w:rPr>
        <w:t>Income Statement</w:t>
      </w:r>
      <w:r w:rsidR="003B3EF4">
        <w:rPr>
          <w:rFonts w:ascii="Arial" w:hAnsi="Arial" w:cs="Arial"/>
          <w:b/>
          <w:sz w:val="24"/>
          <w:szCs w:val="24"/>
        </w:rPr>
        <w:t xml:space="preserve">: </w:t>
      </w:r>
      <w:r w:rsidRPr="009465B6">
        <w:rPr>
          <w:rFonts w:ascii="Arial" w:hAnsi="Arial" w:cs="Arial"/>
          <w:sz w:val="24"/>
          <w:szCs w:val="24"/>
        </w:rPr>
        <w:t xml:space="preserve">It is an important kind of statement that may enable the firms to include the financial information regarding the income as well as </w:t>
      </w:r>
      <w:r w:rsidR="00C321B0" w:rsidRPr="009465B6">
        <w:rPr>
          <w:rFonts w:ascii="Arial" w:hAnsi="Arial" w:cs="Arial"/>
          <w:sz w:val="24"/>
          <w:szCs w:val="24"/>
        </w:rPr>
        <w:t xml:space="preserve">the </w:t>
      </w:r>
      <w:r w:rsidRPr="009465B6">
        <w:rPr>
          <w:rFonts w:ascii="Arial" w:hAnsi="Arial" w:cs="Arial"/>
          <w:sz w:val="24"/>
          <w:szCs w:val="24"/>
        </w:rPr>
        <w:t xml:space="preserve">expenditures of the firms. </w:t>
      </w:r>
      <w:r w:rsidR="00D360B9" w:rsidRPr="009465B6">
        <w:rPr>
          <w:rFonts w:ascii="Arial" w:hAnsi="Arial" w:cs="Arial"/>
          <w:sz w:val="24"/>
          <w:szCs w:val="24"/>
        </w:rPr>
        <w:t xml:space="preserve">The net income or profit or losses in the firm can be computed by using </w:t>
      </w:r>
      <w:r w:rsidR="00C321B0" w:rsidRPr="009465B6">
        <w:rPr>
          <w:rFonts w:ascii="Arial" w:hAnsi="Arial" w:cs="Arial"/>
          <w:sz w:val="24"/>
          <w:szCs w:val="24"/>
        </w:rPr>
        <w:t xml:space="preserve">a </w:t>
      </w:r>
      <w:r w:rsidR="00D360B9" w:rsidRPr="009465B6">
        <w:rPr>
          <w:rFonts w:ascii="Arial" w:hAnsi="Arial" w:cs="Arial"/>
          <w:sz w:val="24"/>
          <w:szCs w:val="24"/>
        </w:rPr>
        <w:t>profit or loss statement</w:t>
      </w:r>
      <w:r w:rsidR="00733DA9" w:rsidRPr="009465B6">
        <w:rPr>
          <w:rFonts w:ascii="Arial" w:hAnsi="Arial" w:cs="Arial"/>
          <w:sz w:val="24"/>
          <w:szCs w:val="24"/>
        </w:rPr>
        <w:t xml:space="preserve"> (</w:t>
      </w:r>
      <w:hyperlink r:id="rId7" w:history="1">
        <w:r w:rsidR="00733DA9" w:rsidRPr="009465B6">
          <w:rPr>
            <w:rStyle w:val="Hyperlink"/>
            <w:rFonts w:ascii="Arial" w:hAnsi="Arial" w:cs="Arial"/>
            <w:color w:val="000000" w:themeColor="text1"/>
            <w:sz w:val="24"/>
            <w:szCs w:val="24"/>
            <w:u w:val="none"/>
          </w:rPr>
          <w:t>Warren</w:t>
        </w:r>
      </w:hyperlink>
      <w:r w:rsidR="00733DA9" w:rsidRPr="009465B6">
        <w:rPr>
          <w:rFonts w:ascii="Arial" w:hAnsi="Arial" w:cs="Arial"/>
          <w:sz w:val="24"/>
          <w:szCs w:val="24"/>
        </w:rPr>
        <w:t xml:space="preserve"> et al., 2011)</w:t>
      </w:r>
      <w:r w:rsidR="00D360B9" w:rsidRPr="009465B6">
        <w:rPr>
          <w:rFonts w:ascii="Arial" w:hAnsi="Arial" w:cs="Arial"/>
          <w:sz w:val="24"/>
          <w:szCs w:val="24"/>
        </w:rPr>
        <w:t xml:space="preserve">. This may be helpful for measuring the financial performance and recording the historical information about the cost, expenses, income and revenues. </w:t>
      </w:r>
    </w:p>
    <w:tbl>
      <w:tblPr>
        <w:tblW w:w="9796" w:type="dxa"/>
        <w:tblInd w:w="93" w:type="dxa"/>
        <w:tblLook w:val="04A0" w:firstRow="1" w:lastRow="0" w:firstColumn="1" w:lastColumn="0" w:noHBand="0" w:noVBand="1"/>
      </w:tblPr>
      <w:tblGrid>
        <w:gridCol w:w="4155"/>
        <w:gridCol w:w="2806"/>
        <w:gridCol w:w="2835"/>
      </w:tblGrid>
      <w:tr w:rsidR="00532A51" w:rsidRPr="009465B6" w14:paraId="24DF6EF3" w14:textId="77777777" w:rsidTr="009465B6">
        <w:trPr>
          <w:trHeight w:val="315"/>
        </w:trPr>
        <w:tc>
          <w:tcPr>
            <w:tcW w:w="9796" w:type="dxa"/>
            <w:gridSpan w:val="3"/>
            <w:tcBorders>
              <w:top w:val="single" w:sz="4" w:space="0" w:color="auto"/>
              <w:left w:val="single" w:sz="4" w:space="0" w:color="auto"/>
              <w:bottom w:val="single" w:sz="4" w:space="0" w:color="auto"/>
              <w:right w:val="single" w:sz="4" w:space="0" w:color="auto"/>
            </w:tcBorders>
            <w:shd w:val="clear" w:color="000000" w:fill="DBE5F1"/>
            <w:noWrap/>
            <w:vAlign w:val="bottom"/>
            <w:hideMark/>
          </w:tcPr>
          <w:p w14:paraId="2E419435" w14:textId="77777777" w:rsidR="00532A51" w:rsidRPr="009465B6" w:rsidRDefault="00532A51" w:rsidP="00532A51">
            <w:pPr>
              <w:spacing w:after="0" w:line="240" w:lineRule="auto"/>
              <w:jc w:val="center"/>
              <w:rPr>
                <w:rFonts w:ascii="Arial" w:eastAsia="Times New Roman" w:hAnsi="Arial" w:cs="Arial"/>
                <w:b/>
                <w:bCs/>
                <w:color w:val="000000"/>
                <w:sz w:val="24"/>
                <w:szCs w:val="24"/>
              </w:rPr>
            </w:pPr>
            <w:r w:rsidRPr="009465B6">
              <w:rPr>
                <w:rFonts w:ascii="Arial" w:eastAsia="Times New Roman" w:hAnsi="Arial" w:cs="Arial"/>
                <w:b/>
                <w:bCs/>
                <w:color w:val="000000"/>
                <w:sz w:val="24"/>
                <w:szCs w:val="24"/>
              </w:rPr>
              <w:t>Income Statement As on 31st December 2019</w:t>
            </w:r>
          </w:p>
        </w:tc>
      </w:tr>
      <w:tr w:rsidR="00532A51" w:rsidRPr="009465B6" w14:paraId="40E1DFFE" w14:textId="77777777" w:rsidTr="009465B6">
        <w:trPr>
          <w:trHeight w:val="330"/>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2AB034DF" w14:textId="77777777" w:rsidR="00532A51" w:rsidRPr="003B3EF4" w:rsidRDefault="00532A51" w:rsidP="00532A51">
            <w:pPr>
              <w:spacing w:after="0" w:line="240" w:lineRule="auto"/>
              <w:jc w:val="center"/>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Particulars</w:t>
            </w:r>
          </w:p>
        </w:tc>
        <w:tc>
          <w:tcPr>
            <w:tcW w:w="2806" w:type="dxa"/>
            <w:tcBorders>
              <w:top w:val="nil"/>
              <w:left w:val="nil"/>
              <w:bottom w:val="single" w:sz="4" w:space="0" w:color="auto"/>
              <w:right w:val="single" w:sz="4" w:space="0" w:color="auto"/>
            </w:tcBorders>
            <w:shd w:val="clear" w:color="000000" w:fill="DBE5F1"/>
            <w:noWrap/>
            <w:vAlign w:val="bottom"/>
            <w:hideMark/>
          </w:tcPr>
          <w:p w14:paraId="44E92BA0" w14:textId="77777777" w:rsidR="00532A51" w:rsidRPr="003B3EF4" w:rsidRDefault="00532A51" w:rsidP="00532A51">
            <w:pPr>
              <w:spacing w:after="0" w:line="240" w:lineRule="auto"/>
              <w:jc w:val="center"/>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Amount (£)</w:t>
            </w:r>
          </w:p>
        </w:tc>
        <w:tc>
          <w:tcPr>
            <w:tcW w:w="2835" w:type="dxa"/>
            <w:tcBorders>
              <w:top w:val="nil"/>
              <w:left w:val="nil"/>
              <w:bottom w:val="single" w:sz="4" w:space="0" w:color="auto"/>
              <w:right w:val="single" w:sz="4" w:space="0" w:color="auto"/>
            </w:tcBorders>
            <w:shd w:val="clear" w:color="000000" w:fill="DBE5F1"/>
            <w:noWrap/>
            <w:vAlign w:val="bottom"/>
            <w:hideMark/>
          </w:tcPr>
          <w:p w14:paraId="403B6015" w14:textId="77777777" w:rsidR="00532A51" w:rsidRPr="003B3EF4" w:rsidRDefault="00532A51" w:rsidP="00532A51">
            <w:pPr>
              <w:spacing w:after="0" w:line="240" w:lineRule="auto"/>
              <w:jc w:val="center"/>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Amount (£)</w:t>
            </w:r>
          </w:p>
        </w:tc>
      </w:tr>
      <w:tr w:rsidR="00532A51" w:rsidRPr="009465B6" w14:paraId="130AEB41"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hideMark/>
          </w:tcPr>
          <w:p w14:paraId="345AEF5D" w14:textId="77777777" w:rsidR="00532A51" w:rsidRPr="00CE0254" w:rsidRDefault="00532A51" w:rsidP="003B3EF4">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Sales</w:t>
            </w:r>
          </w:p>
        </w:tc>
        <w:tc>
          <w:tcPr>
            <w:tcW w:w="2806" w:type="dxa"/>
            <w:tcBorders>
              <w:top w:val="nil"/>
              <w:left w:val="nil"/>
              <w:bottom w:val="single" w:sz="4" w:space="0" w:color="auto"/>
              <w:right w:val="single" w:sz="4" w:space="0" w:color="auto"/>
            </w:tcBorders>
            <w:shd w:val="clear" w:color="auto" w:fill="D6E3BC" w:themeFill="accent3" w:themeFillTint="66"/>
            <w:noWrap/>
            <w:vAlign w:val="bottom"/>
            <w:hideMark/>
          </w:tcPr>
          <w:p w14:paraId="1F9D7F54" w14:textId="77777777" w:rsidR="00532A51" w:rsidRPr="00CE0254" w:rsidRDefault="00532A51" w:rsidP="003B3EF4">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 </w:t>
            </w:r>
          </w:p>
        </w:tc>
        <w:tc>
          <w:tcPr>
            <w:tcW w:w="2835" w:type="dxa"/>
            <w:tcBorders>
              <w:top w:val="single" w:sz="8" w:space="0" w:color="auto"/>
              <w:left w:val="nil"/>
              <w:bottom w:val="single" w:sz="4" w:space="0" w:color="auto"/>
              <w:right w:val="single" w:sz="8" w:space="0" w:color="auto"/>
            </w:tcBorders>
            <w:shd w:val="clear" w:color="auto" w:fill="D6E3BC" w:themeFill="accent3" w:themeFillTint="66"/>
            <w:noWrap/>
            <w:vAlign w:val="bottom"/>
            <w:hideMark/>
          </w:tcPr>
          <w:p w14:paraId="782A8A5C" w14:textId="48CC266E" w:rsidR="00532A51" w:rsidRPr="00CE0254" w:rsidRDefault="00532A51" w:rsidP="003B3EF4">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30</w:t>
            </w:r>
            <w:r w:rsidR="002A19A4" w:rsidRPr="00CE0254">
              <w:rPr>
                <w:rFonts w:ascii="Arial" w:eastAsia="Times New Roman" w:hAnsi="Arial" w:cs="Arial"/>
                <w:color w:val="5F497A" w:themeColor="accent4" w:themeShade="BF"/>
                <w:sz w:val="24"/>
                <w:szCs w:val="24"/>
              </w:rPr>
              <w:t>,</w:t>
            </w:r>
            <w:r w:rsidRPr="00CE0254">
              <w:rPr>
                <w:rFonts w:ascii="Arial" w:eastAsia="Times New Roman" w:hAnsi="Arial" w:cs="Arial"/>
                <w:color w:val="5F497A" w:themeColor="accent4" w:themeShade="BF"/>
                <w:sz w:val="24"/>
                <w:szCs w:val="24"/>
              </w:rPr>
              <w:t>300</w:t>
            </w:r>
            <w:r w:rsidR="002A19A4" w:rsidRPr="00CE0254">
              <w:rPr>
                <w:rFonts w:ascii="Arial" w:eastAsia="Times New Roman" w:hAnsi="Arial" w:cs="Arial"/>
                <w:color w:val="5F497A" w:themeColor="accent4" w:themeShade="BF"/>
                <w:sz w:val="24"/>
                <w:szCs w:val="24"/>
              </w:rPr>
              <w:t>,</w:t>
            </w:r>
            <w:r w:rsidRPr="00CE0254">
              <w:rPr>
                <w:rFonts w:ascii="Arial" w:eastAsia="Times New Roman" w:hAnsi="Arial" w:cs="Arial"/>
                <w:color w:val="5F497A" w:themeColor="accent4" w:themeShade="BF"/>
                <w:sz w:val="24"/>
                <w:szCs w:val="24"/>
              </w:rPr>
              <w:t>000</w:t>
            </w:r>
          </w:p>
        </w:tc>
      </w:tr>
      <w:tr w:rsidR="00532A51" w:rsidRPr="009465B6" w14:paraId="3A8077E2" w14:textId="77777777" w:rsidTr="00CE0254">
        <w:trPr>
          <w:trHeight w:val="330"/>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hideMark/>
          </w:tcPr>
          <w:p w14:paraId="24EFCB98" w14:textId="77777777" w:rsidR="00532A51" w:rsidRPr="00CE0254" w:rsidRDefault="00532A51" w:rsidP="003B3EF4">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Cost of sales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hideMark/>
          </w:tcPr>
          <w:p w14:paraId="1E625BCA" w14:textId="7F65821A" w:rsidR="00532A51" w:rsidRPr="00CE0254" w:rsidRDefault="00532A51" w:rsidP="003B3EF4">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 </w:t>
            </w:r>
            <w:r w:rsidR="00932C2B" w:rsidRPr="00CE0254">
              <w:rPr>
                <w:rFonts w:ascii="Arial" w:eastAsia="Times New Roman" w:hAnsi="Arial" w:cs="Arial"/>
                <w:color w:val="5F497A" w:themeColor="accent4" w:themeShade="BF"/>
                <w:sz w:val="24"/>
                <w:szCs w:val="24"/>
              </w:rPr>
              <w:t>16,220,000</w:t>
            </w:r>
          </w:p>
        </w:tc>
        <w:tc>
          <w:tcPr>
            <w:tcW w:w="2835" w:type="dxa"/>
            <w:tcBorders>
              <w:top w:val="nil"/>
              <w:left w:val="nil"/>
              <w:bottom w:val="single" w:sz="8" w:space="0" w:color="auto"/>
              <w:right w:val="single" w:sz="8" w:space="0" w:color="auto"/>
            </w:tcBorders>
            <w:shd w:val="clear" w:color="auto" w:fill="D6E3BC" w:themeFill="accent3" w:themeFillTint="66"/>
            <w:noWrap/>
            <w:vAlign w:val="bottom"/>
            <w:hideMark/>
          </w:tcPr>
          <w:p w14:paraId="3E68187E" w14:textId="46D89F56" w:rsidR="00532A51" w:rsidRPr="00CE0254" w:rsidRDefault="00532A51" w:rsidP="003B3EF4">
            <w:pPr>
              <w:spacing w:after="0" w:line="240" w:lineRule="auto"/>
              <w:rPr>
                <w:rFonts w:ascii="Arial" w:eastAsia="Times New Roman" w:hAnsi="Arial" w:cs="Arial"/>
                <w:color w:val="5F497A" w:themeColor="accent4" w:themeShade="BF"/>
                <w:sz w:val="24"/>
                <w:szCs w:val="24"/>
              </w:rPr>
            </w:pPr>
          </w:p>
        </w:tc>
      </w:tr>
      <w:tr w:rsidR="00932C2B" w:rsidRPr="009465B6" w14:paraId="0F6B9B08"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hideMark/>
          </w:tcPr>
          <w:p w14:paraId="48A3D437" w14:textId="77777777" w:rsidR="00932C2B" w:rsidRPr="00CE0254" w:rsidRDefault="00932C2B" w:rsidP="00541CB3">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Distribution expenses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hideMark/>
          </w:tcPr>
          <w:p w14:paraId="50110B2F" w14:textId="77777777" w:rsidR="00932C2B" w:rsidRPr="00CE0254" w:rsidRDefault="00932C2B" w:rsidP="00541CB3">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2,160,000</w:t>
            </w:r>
          </w:p>
        </w:tc>
        <w:tc>
          <w:tcPr>
            <w:tcW w:w="2835" w:type="dxa"/>
            <w:tcBorders>
              <w:top w:val="nil"/>
              <w:left w:val="nil"/>
              <w:bottom w:val="single" w:sz="4" w:space="0" w:color="auto"/>
              <w:right w:val="single" w:sz="4" w:space="0" w:color="auto"/>
            </w:tcBorders>
            <w:shd w:val="clear" w:color="auto" w:fill="D6E3BC" w:themeFill="accent3" w:themeFillTint="66"/>
            <w:noWrap/>
            <w:vAlign w:val="bottom"/>
            <w:hideMark/>
          </w:tcPr>
          <w:p w14:paraId="38E6F5AC" w14:textId="77777777" w:rsidR="00932C2B" w:rsidRPr="00CE0254" w:rsidRDefault="00932C2B" w:rsidP="00541CB3">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 </w:t>
            </w:r>
          </w:p>
        </w:tc>
      </w:tr>
      <w:tr w:rsidR="00932C2B" w:rsidRPr="009465B6" w14:paraId="7D553374"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59F0133D" w14:textId="5658B5BC" w:rsidR="00932C2B" w:rsidRPr="00CE0254" w:rsidRDefault="00932C2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Administration expenses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6A1EEAC4" w14:textId="2440E050" w:rsidR="00932C2B" w:rsidRPr="00CE0254" w:rsidRDefault="00932C2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2,920,000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3F2158B7" w14:textId="67EA2FEE" w:rsidR="00932C2B" w:rsidRPr="00CE0254" w:rsidRDefault="00932C2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 </w:t>
            </w:r>
          </w:p>
        </w:tc>
      </w:tr>
      <w:tr w:rsidR="00932C2B" w:rsidRPr="009465B6" w14:paraId="54E62581"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4293D4F9" w14:textId="71847669" w:rsidR="00932C2B" w:rsidRPr="00CE0254" w:rsidRDefault="00932C2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Land at cost</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3C5E1E90" w14:textId="60959583" w:rsidR="00932C2B" w:rsidRPr="00CE0254" w:rsidRDefault="00932C2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15,000,000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01C74672" w14:textId="77777777" w:rsidR="00932C2B" w:rsidRPr="00CE0254" w:rsidRDefault="00932C2B" w:rsidP="00932C2B">
            <w:pPr>
              <w:spacing w:after="0" w:line="240" w:lineRule="auto"/>
              <w:rPr>
                <w:rFonts w:ascii="Arial" w:eastAsia="Times New Roman" w:hAnsi="Arial" w:cs="Arial"/>
                <w:color w:val="5F497A" w:themeColor="accent4" w:themeShade="BF"/>
                <w:sz w:val="24"/>
                <w:szCs w:val="24"/>
              </w:rPr>
            </w:pPr>
          </w:p>
        </w:tc>
      </w:tr>
      <w:tr w:rsidR="00932C2B" w:rsidRPr="009465B6" w14:paraId="31D74628"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39B0382A" w14:textId="2A658147" w:rsidR="00932C2B" w:rsidRPr="00CE0254" w:rsidRDefault="00932C2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Buildings at cost</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386777DA" w14:textId="5D6ED4A4" w:rsidR="00932C2B" w:rsidRPr="00CE0254" w:rsidRDefault="00932C2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16,000,000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746DC2CE" w14:textId="77777777" w:rsidR="00932C2B" w:rsidRPr="00CE0254" w:rsidRDefault="00932C2B" w:rsidP="00932C2B">
            <w:pPr>
              <w:spacing w:after="0" w:line="240" w:lineRule="auto"/>
              <w:rPr>
                <w:rFonts w:ascii="Arial" w:eastAsia="Times New Roman" w:hAnsi="Arial" w:cs="Arial"/>
                <w:color w:val="5F497A" w:themeColor="accent4" w:themeShade="BF"/>
                <w:sz w:val="24"/>
                <w:szCs w:val="24"/>
              </w:rPr>
            </w:pPr>
          </w:p>
        </w:tc>
      </w:tr>
      <w:tr w:rsidR="00932C2B" w:rsidRPr="009465B6" w14:paraId="7A909190"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2AAFF266" w14:textId="4F5D675D" w:rsidR="00932C2B" w:rsidRPr="00CE0254" w:rsidRDefault="00932C2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Buildings accumulated depreciation</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3AF2EC13" w14:textId="77777777" w:rsidR="00932C2B" w:rsidRPr="00CE0254" w:rsidRDefault="00932C2B"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14577783" w14:textId="0CE1E12F" w:rsidR="00932C2B" w:rsidRPr="00CE0254" w:rsidRDefault="00932C2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4,260,000</w:t>
            </w:r>
          </w:p>
        </w:tc>
      </w:tr>
      <w:tr w:rsidR="00250DFB" w:rsidRPr="009465B6" w14:paraId="38839D88"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4DCA40EE" w14:textId="52E539BB"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Plant at cost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6329DAC7" w14:textId="57EF9743" w:rsidR="00250DFB" w:rsidRPr="00CE0254" w:rsidRDefault="00250DF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25,600,000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57BAE8D8" w14:textId="7DEBBE4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r>
      <w:tr w:rsidR="00250DFB" w:rsidRPr="009465B6" w14:paraId="0DA101E9"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09FDAEEA" w14:textId="6074E52E"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Plant accumulated depreciation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642BFAB5" w14:textId="7777777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063DD856" w14:textId="5A53F2F2" w:rsidR="00250DFB" w:rsidRPr="00CE0254" w:rsidRDefault="00250DF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4,960,000</w:t>
            </w:r>
          </w:p>
        </w:tc>
      </w:tr>
      <w:tr w:rsidR="00250DFB" w:rsidRPr="009465B6" w14:paraId="09BBC08D"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4648DCA8" w14:textId="01DE164B"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Trade receivables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7445EDC6" w14:textId="7559EEDE" w:rsidR="00250DFB" w:rsidRPr="00CE0254" w:rsidRDefault="00250DF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8,240,000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39BFAF7A" w14:textId="7777777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r>
      <w:tr w:rsidR="00250DFB" w:rsidRPr="009465B6" w14:paraId="78B5CBE3"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02489526" w14:textId="7D5C3AB7"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Trade payables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358E7E6A" w14:textId="7777777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36947769" w14:textId="481EAF1C" w:rsidR="00250DFB" w:rsidRPr="00CE0254" w:rsidRDefault="00250DF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4,480,000</w:t>
            </w:r>
          </w:p>
        </w:tc>
      </w:tr>
      <w:tr w:rsidR="00250DFB" w:rsidRPr="009465B6" w14:paraId="1B151039"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3705848F" w14:textId="20E876F2"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Inventory at 31 December 2019</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69BB30FF" w14:textId="25558ED6" w:rsidR="00250DFB" w:rsidRPr="00CE0254" w:rsidRDefault="00250DF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3,120,000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4D5398AD" w14:textId="7777777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r>
      <w:tr w:rsidR="00250DFB" w:rsidRPr="009465B6" w14:paraId="580BE1BC"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528B5495" w14:textId="4915E231"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£1 ordinary shares</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4638B809" w14:textId="7777777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08F91E4B" w14:textId="422FD947" w:rsidR="00250DFB"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29,000,000</w:t>
            </w:r>
          </w:p>
        </w:tc>
      </w:tr>
      <w:tr w:rsidR="00250DFB" w:rsidRPr="009465B6" w14:paraId="5F4A83DD"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733BC702" w14:textId="56818EAB" w:rsidR="00250DFB" w:rsidRPr="00CE0254" w:rsidRDefault="00250DFB"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Bank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574E9DEC" w14:textId="003EDFE5" w:rsidR="00250DFB" w:rsidRPr="00CE0254" w:rsidRDefault="00250DFB"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320,000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7E0D4CDC" w14:textId="77777777" w:rsidR="00250DFB" w:rsidRPr="00CE0254" w:rsidRDefault="00250DFB" w:rsidP="00932C2B">
            <w:pPr>
              <w:spacing w:after="0" w:line="240" w:lineRule="auto"/>
              <w:rPr>
                <w:rFonts w:ascii="Arial" w:eastAsia="Times New Roman" w:hAnsi="Arial" w:cs="Arial"/>
                <w:color w:val="5F497A" w:themeColor="accent4" w:themeShade="BF"/>
                <w:sz w:val="24"/>
                <w:szCs w:val="24"/>
              </w:rPr>
            </w:pPr>
          </w:p>
        </w:tc>
      </w:tr>
      <w:tr w:rsidR="00D04D78" w:rsidRPr="009465B6" w14:paraId="43FC1374"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0D281613" w14:textId="03EF274C" w:rsidR="00D04D78" w:rsidRPr="00CE0254" w:rsidRDefault="00D04D78"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Share premium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55E3A0B5" w14:textId="77777777" w:rsidR="00D04D78" w:rsidRPr="00CE0254" w:rsidRDefault="00D04D78"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18991660" w14:textId="0C0C6724"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5,000,000</w:t>
            </w:r>
          </w:p>
        </w:tc>
      </w:tr>
      <w:tr w:rsidR="00D04D78" w:rsidRPr="009465B6" w14:paraId="30E615A8"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4FF76857" w14:textId="56E0D8A2" w:rsidR="00D04D78" w:rsidRPr="00CE0254" w:rsidRDefault="00D04D78"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Retained profits at 1 January 2019</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616ABBB4" w14:textId="77777777" w:rsidR="00D04D78" w:rsidRPr="00CE0254" w:rsidRDefault="00D04D78"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56AFCA05" w14:textId="35604D44"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8,380,000</w:t>
            </w:r>
          </w:p>
        </w:tc>
      </w:tr>
      <w:tr w:rsidR="00D04D78" w:rsidRPr="009465B6" w14:paraId="5F55A4A5"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55C64B53" w14:textId="0E6F9BA8" w:rsidR="00D04D78" w:rsidRPr="00CE0254" w:rsidRDefault="00D04D78"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12% debentures 2024</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334484A6" w14:textId="77777777" w:rsidR="00D04D78" w:rsidRPr="00CE0254" w:rsidRDefault="00D04D78" w:rsidP="00932C2B">
            <w:pPr>
              <w:spacing w:after="0" w:line="240" w:lineRule="auto"/>
              <w:rPr>
                <w:rFonts w:ascii="Arial" w:eastAsia="Times New Roman" w:hAnsi="Arial" w:cs="Arial"/>
                <w:color w:val="5F497A" w:themeColor="accent4" w:themeShade="BF"/>
                <w:sz w:val="24"/>
                <w:szCs w:val="24"/>
              </w:rPr>
            </w:pP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66A19172" w14:textId="44EE3112"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4,000,000</w:t>
            </w:r>
          </w:p>
        </w:tc>
      </w:tr>
      <w:tr w:rsidR="00D04D78" w:rsidRPr="009465B6" w14:paraId="32D2F7FD"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071FDE2F" w14:textId="5F5652D3" w:rsidR="00D04D78" w:rsidRPr="00CE0254" w:rsidRDefault="00D04D78"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Debenture interest paid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6C9B67B2" w14:textId="3FC02BF5"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240,000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20E60177" w14:textId="77777777" w:rsidR="00D04D78" w:rsidRPr="00CE0254" w:rsidRDefault="00D04D78" w:rsidP="00932C2B">
            <w:pPr>
              <w:spacing w:after="0" w:line="240" w:lineRule="auto"/>
              <w:rPr>
                <w:rFonts w:ascii="Arial" w:eastAsia="Times New Roman" w:hAnsi="Arial" w:cs="Arial"/>
                <w:color w:val="5F497A" w:themeColor="accent4" w:themeShade="BF"/>
                <w:sz w:val="24"/>
                <w:szCs w:val="24"/>
              </w:rPr>
            </w:pPr>
          </w:p>
        </w:tc>
      </w:tr>
      <w:tr w:rsidR="00D04D78" w:rsidRPr="009465B6" w14:paraId="012F0427" w14:textId="77777777" w:rsidTr="00CE0254">
        <w:trPr>
          <w:trHeight w:val="79"/>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7F8555BA" w14:textId="6384796C" w:rsidR="00D04D78" w:rsidRPr="00CE0254" w:rsidRDefault="00D04D78" w:rsidP="00932C2B">
            <w:pPr>
              <w:spacing w:after="0"/>
              <w:rPr>
                <w:rFonts w:ascii="Arial" w:eastAsia="Times New Roman" w:hAnsi="Arial" w:cs="Arial"/>
                <w:i/>
                <w:iCs/>
                <w:color w:val="5F497A" w:themeColor="accent4" w:themeShade="BF"/>
                <w:sz w:val="24"/>
                <w:szCs w:val="24"/>
              </w:rPr>
            </w:pPr>
            <w:r w:rsidRPr="00CE0254">
              <w:rPr>
                <w:rFonts w:ascii="Arial" w:eastAsia="Times New Roman" w:hAnsi="Arial" w:cs="Arial"/>
                <w:i/>
                <w:iCs/>
                <w:color w:val="5F497A" w:themeColor="accent4" w:themeShade="BF"/>
                <w:sz w:val="24"/>
                <w:szCs w:val="24"/>
              </w:rPr>
              <w:t xml:space="preserve">Dividends paid </w:t>
            </w: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3936C7AB" w14:textId="1932B5C6"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560,000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0596B1C8" w14:textId="77777777" w:rsidR="00D04D78" w:rsidRPr="00CE0254" w:rsidRDefault="00D04D78" w:rsidP="00932C2B">
            <w:pPr>
              <w:spacing w:after="0" w:line="240" w:lineRule="auto"/>
              <w:rPr>
                <w:rFonts w:ascii="Arial" w:eastAsia="Times New Roman" w:hAnsi="Arial" w:cs="Arial"/>
                <w:color w:val="5F497A" w:themeColor="accent4" w:themeShade="BF"/>
                <w:sz w:val="24"/>
                <w:szCs w:val="24"/>
              </w:rPr>
            </w:pPr>
          </w:p>
        </w:tc>
      </w:tr>
      <w:tr w:rsidR="00D04D78" w:rsidRPr="009465B6" w14:paraId="55EFBB0C" w14:textId="77777777" w:rsidTr="00CE0254">
        <w:trPr>
          <w:trHeight w:val="315"/>
        </w:trPr>
        <w:tc>
          <w:tcPr>
            <w:tcW w:w="4155" w:type="dxa"/>
            <w:tcBorders>
              <w:top w:val="nil"/>
              <w:left w:val="single" w:sz="4" w:space="0" w:color="auto"/>
              <w:bottom w:val="single" w:sz="4" w:space="0" w:color="auto"/>
              <w:right w:val="single" w:sz="4" w:space="0" w:color="auto"/>
            </w:tcBorders>
            <w:shd w:val="clear" w:color="auto" w:fill="D6E3BC" w:themeFill="accent3" w:themeFillTint="66"/>
            <w:noWrap/>
            <w:vAlign w:val="bottom"/>
          </w:tcPr>
          <w:p w14:paraId="7B2DD329" w14:textId="77777777" w:rsidR="00D04D78" w:rsidRPr="00CE0254" w:rsidRDefault="00D04D78" w:rsidP="00932C2B">
            <w:pPr>
              <w:spacing w:after="0"/>
              <w:rPr>
                <w:rFonts w:ascii="Arial" w:eastAsia="Times New Roman" w:hAnsi="Arial" w:cs="Arial"/>
                <w:i/>
                <w:iCs/>
                <w:color w:val="5F497A" w:themeColor="accent4" w:themeShade="BF"/>
                <w:sz w:val="24"/>
                <w:szCs w:val="24"/>
              </w:rPr>
            </w:pPr>
          </w:p>
        </w:tc>
        <w:tc>
          <w:tcPr>
            <w:tcW w:w="2806" w:type="dxa"/>
            <w:tcBorders>
              <w:top w:val="nil"/>
              <w:left w:val="nil"/>
              <w:bottom w:val="single" w:sz="4" w:space="0" w:color="auto"/>
              <w:right w:val="single" w:sz="4" w:space="0" w:color="auto"/>
            </w:tcBorders>
            <w:shd w:val="clear" w:color="auto" w:fill="D6E3BC" w:themeFill="accent3" w:themeFillTint="66"/>
            <w:noWrap/>
            <w:vAlign w:val="bottom"/>
          </w:tcPr>
          <w:p w14:paraId="280AB505" w14:textId="0C779290"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90,380,000</w:t>
            </w:r>
          </w:p>
        </w:tc>
        <w:tc>
          <w:tcPr>
            <w:tcW w:w="2835" w:type="dxa"/>
            <w:tcBorders>
              <w:top w:val="single" w:sz="4" w:space="0" w:color="auto"/>
              <w:left w:val="nil"/>
              <w:bottom w:val="single" w:sz="4" w:space="0" w:color="auto"/>
              <w:right w:val="single" w:sz="4" w:space="0" w:color="auto"/>
            </w:tcBorders>
            <w:shd w:val="clear" w:color="auto" w:fill="D6E3BC" w:themeFill="accent3" w:themeFillTint="66"/>
            <w:noWrap/>
            <w:vAlign w:val="bottom"/>
          </w:tcPr>
          <w:p w14:paraId="3DCF54A9" w14:textId="4499B600" w:rsidR="00D04D78" w:rsidRPr="00CE0254" w:rsidRDefault="00D04D78" w:rsidP="00932C2B">
            <w:pPr>
              <w:spacing w:after="0" w:line="240" w:lineRule="auto"/>
              <w:rPr>
                <w:rFonts w:ascii="Arial" w:eastAsia="Times New Roman" w:hAnsi="Arial" w:cs="Arial"/>
                <w:color w:val="5F497A" w:themeColor="accent4" w:themeShade="BF"/>
                <w:sz w:val="24"/>
                <w:szCs w:val="24"/>
              </w:rPr>
            </w:pPr>
            <w:r w:rsidRPr="00CE0254">
              <w:rPr>
                <w:rFonts w:ascii="Arial" w:eastAsia="Times New Roman" w:hAnsi="Arial" w:cs="Arial"/>
                <w:color w:val="5F497A" w:themeColor="accent4" w:themeShade="BF"/>
                <w:sz w:val="24"/>
                <w:szCs w:val="24"/>
              </w:rPr>
              <w:t>90,380,000</w:t>
            </w:r>
          </w:p>
        </w:tc>
      </w:tr>
      <w:tr w:rsidR="00D04D78" w:rsidRPr="009465B6" w14:paraId="59C55E76"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tcPr>
          <w:p w14:paraId="1FE44907" w14:textId="77777777" w:rsidR="00D04D78" w:rsidRPr="003B3EF4" w:rsidRDefault="00D04D78" w:rsidP="00932C2B">
            <w:pPr>
              <w:spacing w:after="0"/>
              <w:rPr>
                <w:rFonts w:ascii="Arial" w:eastAsia="Times New Roman" w:hAnsi="Arial" w:cs="Arial"/>
                <w:i/>
                <w:iCs/>
                <w:color w:val="000000"/>
                <w:sz w:val="24"/>
                <w:szCs w:val="24"/>
              </w:rPr>
            </w:pPr>
          </w:p>
        </w:tc>
        <w:tc>
          <w:tcPr>
            <w:tcW w:w="2806" w:type="dxa"/>
            <w:tcBorders>
              <w:top w:val="nil"/>
              <w:left w:val="nil"/>
              <w:bottom w:val="single" w:sz="4" w:space="0" w:color="auto"/>
              <w:right w:val="single" w:sz="4" w:space="0" w:color="auto"/>
            </w:tcBorders>
            <w:shd w:val="clear" w:color="000000" w:fill="DBE5F1"/>
            <w:noWrap/>
            <w:vAlign w:val="bottom"/>
          </w:tcPr>
          <w:p w14:paraId="13D252F5" w14:textId="77777777" w:rsidR="00D04D78" w:rsidRPr="009465B6" w:rsidRDefault="00D04D78" w:rsidP="00932C2B">
            <w:pPr>
              <w:spacing w:after="0" w:line="240" w:lineRule="auto"/>
              <w:rPr>
                <w:rFonts w:ascii="Arial" w:eastAsia="Times New Roman" w:hAnsi="Arial" w:cs="Arial"/>
                <w:color w:val="000000"/>
                <w:sz w:val="24"/>
                <w:szCs w:val="24"/>
              </w:rPr>
            </w:pPr>
          </w:p>
        </w:tc>
        <w:tc>
          <w:tcPr>
            <w:tcW w:w="2835" w:type="dxa"/>
            <w:tcBorders>
              <w:top w:val="single" w:sz="4" w:space="0" w:color="auto"/>
              <w:left w:val="nil"/>
              <w:bottom w:val="single" w:sz="4" w:space="0" w:color="auto"/>
              <w:right w:val="single" w:sz="4" w:space="0" w:color="auto"/>
            </w:tcBorders>
            <w:shd w:val="clear" w:color="000000" w:fill="DBE5F1"/>
            <w:noWrap/>
            <w:vAlign w:val="bottom"/>
          </w:tcPr>
          <w:p w14:paraId="06C54A70" w14:textId="77777777" w:rsidR="00D04D78" w:rsidRPr="009465B6" w:rsidRDefault="00D04D78" w:rsidP="00932C2B">
            <w:pPr>
              <w:spacing w:after="0" w:line="240" w:lineRule="auto"/>
              <w:rPr>
                <w:rFonts w:ascii="Arial" w:eastAsia="Times New Roman" w:hAnsi="Arial" w:cs="Arial"/>
                <w:color w:val="000000"/>
                <w:sz w:val="24"/>
                <w:szCs w:val="24"/>
              </w:rPr>
            </w:pPr>
          </w:p>
        </w:tc>
      </w:tr>
      <w:tr w:rsidR="00932C2B" w:rsidRPr="009465B6" w14:paraId="05AC90BA"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6D83F855"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Gross Profit</w:t>
            </w:r>
          </w:p>
        </w:tc>
        <w:tc>
          <w:tcPr>
            <w:tcW w:w="2806" w:type="dxa"/>
            <w:tcBorders>
              <w:top w:val="nil"/>
              <w:left w:val="nil"/>
              <w:bottom w:val="single" w:sz="4" w:space="0" w:color="auto"/>
              <w:right w:val="single" w:sz="4" w:space="0" w:color="auto"/>
            </w:tcBorders>
            <w:shd w:val="clear" w:color="000000" w:fill="DBE5F1"/>
            <w:noWrap/>
            <w:vAlign w:val="bottom"/>
            <w:hideMark/>
          </w:tcPr>
          <w:p w14:paraId="7ADACFE8"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2835" w:type="dxa"/>
            <w:tcBorders>
              <w:top w:val="single" w:sz="4" w:space="0" w:color="auto"/>
              <w:left w:val="nil"/>
              <w:bottom w:val="single" w:sz="4" w:space="0" w:color="auto"/>
              <w:right w:val="single" w:sz="4" w:space="0" w:color="auto"/>
            </w:tcBorders>
            <w:shd w:val="clear" w:color="000000" w:fill="DBE5F1"/>
            <w:noWrap/>
            <w:vAlign w:val="bottom"/>
            <w:hideMark/>
          </w:tcPr>
          <w:p w14:paraId="37670160"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14,080,000</w:t>
            </w:r>
          </w:p>
        </w:tc>
      </w:tr>
      <w:tr w:rsidR="00932C2B" w:rsidRPr="009465B6" w14:paraId="40F88154"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tcPr>
          <w:p w14:paraId="1F1A5392" w14:textId="7B8AA9BD" w:rsidR="00932C2B" w:rsidRPr="003B3EF4" w:rsidRDefault="00932C2B" w:rsidP="00932C2B">
            <w:pPr>
              <w:spacing w:after="0"/>
              <w:rPr>
                <w:rFonts w:ascii="Arial" w:eastAsia="Times New Roman" w:hAnsi="Arial" w:cs="Arial"/>
                <w:i/>
                <w:iCs/>
                <w:color w:val="000000"/>
                <w:sz w:val="24"/>
                <w:szCs w:val="24"/>
              </w:rPr>
            </w:pPr>
          </w:p>
        </w:tc>
        <w:tc>
          <w:tcPr>
            <w:tcW w:w="2806" w:type="dxa"/>
            <w:tcBorders>
              <w:top w:val="nil"/>
              <w:left w:val="nil"/>
              <w:bottom w:val="single" w:sz="4" w:space="0" w:color="auto"/>
              <w:right w:val="single" w:sz="4" w:space="0" w:color="auto"/>
            </w:tcBorders>
            <w:shd w:val="clear" w:color="000000" w:fill="DBE5F1"/>
            <w:noWrap/>
            <w:vAlign w:val="bottom"/>
          </w:tcPr>
          <w:p w14:paraId="5004BD03" w14:textId="77777777" w:rsidR="00932C2B" w:rsidRPr="009465B6" w:rsidRDefault="00932C2B" w:rsidP="00932C2B">
            <w:pPr>
              <w:spacing w:after="0" w:line="240" w:lineRule="auto"/>
              <w:rPr>
                <w:rFonts w:ascii="Arial" w:eastAsia="Times New Roman" w:hAnsi="Arial" w:cs="Arial"/>
                <w:color w:val="000000"/>
                <w:sz w:val="24"/>
                <w:szCs w:val="24"/>
              </w:rPr>
            </w:pPr>
          </w:p>
        </w:tc>
        <w:tc>
          <w:tcPr>
            <w:tcW w:w="2835" w:type="dxa"/>
            <w:tcBorders>
              <w:top w:val="nil"/>
              <w:left w:val="nil"/>
              <w:bottom w:val="single" w:sz="4" w:space="0" w:color="auto"/>
              <w:right w:val="single" w:sz="4" w:space="0" w:color="auto"/>
            </w:tcBorders>
            <w:shd w:val="clear" w:color="000000" w:fill="DBE5F1"/>
            <w:noWrap/>
            <w:vAlign w:val="bottom"/>
          </w:tcPr>
          <w:p w14:paraId="60D40609" w14:textId="77777777" w:rsidR="00932C2B" w:rsidRPr="009465B6" w:rsidRDefault="00932C2B" w:rsidP="00932C2B">
            <w:pPr>
              <w:spacing w:after="0" w:line="240" w:lineRule="auto"/>
              <w:rPr>
                <w:rFonts w:ascii="Arial" w:eastAsia="Times New Roman" w:hAnsi="Arial" w:cs="Arial"/>
                <w:color w:val="000000"/>
                <w:sz w:val="24"/>
                <w:szCs w:val="24"/>
              </w:rPr>
            </w:pPr>
          </w:p>
        </w:tc>
      </w:tr>
      <w:tr w:rsidR="00932C2B" w:rsidRPr="009465B6" w14:paraId="531179D2"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4838E2AC"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lastRenderedPageBreak/>
              <w:t xml:space="preserve">General and Administration expenses </w:t>
            </w:r>
          </w:p>
        </w:tc>
        <w:tc>
          <w:tcPr>
            <w:tcW w:w="2806" w:type="dxa"/>
            <w:tcBorders>
              <w:top w:val="nil"/>
              <w:left w:val="nil"/>
              <w:bottom w:val="single" w:sz="4" w:space="0" w:color="auto"/>
              <w:right w:val="single" w:sz="4" w:space="0" w:color="auto"/>
            </w:tcBorders>
            <w:shd w:val="clear" w:color="000000" w:fill="DBE5F1"/>
            <w:noWrap/>
            <w:vAlign w:val="bottom"/>
            <w:hideMark/>
          </w:tcPr>
          <w:p w14:paraId="495CB5AD"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2835" w:type="dxa"/>
            <w:tcBorders>
              <w:top w:val="nil"/>
              <w:left w:val="nil"/>
              <w:bottom w:val="single" w:sz="4" w:space="0" w:color="auto"/>
              <w:right w:val="single" w:sz="4" w:space="0" w:color="auto"/>
            </w:tcBorders>
            <w:shd w:val="clear" w:color="000000" w:fill="DBE5F1"/>
            <w:noWrap/>
            <w:vAlign w:val="bottom"/>
            <w:hideMark/>
          </w:tcPr>
          <w:p w14:paraId="04B29BD9"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4F5D20C6"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607B4AA6" w14:textId="123AD908"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Depreciation on Building (2% on cost)</w:t>
            </w:r>
          </w:p>
        </w:tc>
        <w:tc>
          <w:tcPr>
            <w:tcW w:w="2806" w:type="dxa"/>
            <w:tcBorders>
              <w:top w:val="nil"/>
              <w:left w:val="nil"/>
              <w:bottom w:val="single" w:sz="4" w:space="0" w:color="auto"/>
              <w:right w:val="single" w:sz="4" w:space="0" w:color="auto"/>
            </w:tcBorders>
            <w:shd w:val="clear" w:color="000000" w:fill="DBE5F1"/>
            <w:noWrap/>
            <w:vAlign w:val="bottom"/>
            <w:hideMark/>
          </w:tcPr>
          <w:p w14:paraId="74EBA894" w14:textId="4A06FD63"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320,000</w:t>
            </w:r>
          </w:p>
        </w:tc>
        <w:tc>
          <w:tcPr>
            <w:tcW w:w="2835" w:type="dxa"/>
            <w:tcBorders>
              <w:top w:val="nil"/>
              <w:left w:val="nil"/>
              <w:bottom w:val="single" w:sz="4" w:space="0" w:color="auto"/>
              <w:right w:val="single" w:sz="4" w:space="0" w:color="auto"/>
            </w:tcBorders>
            <w:shd w:val="clear" w:color="000000" w:fill="DBE5F1"/>
            <w:noWrap/>
            <w:vAlign w:val="bottom"/>
            <w:hideMark/>
          </w:tcPr>
          <w:p w14:paraId="0FAF33A6"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7060F17F" w14:textId="77777777" w:rsidTr="00932C2B">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tcPr>
          <w:p w14:paraId="42BF31FB" w14:textId="06CB94B4" w:rsidR="00932C2B" w:rsidRPr="00932C2B" w:rsidRDefault="00932C2B" w:rsidP="00932C2B">
            <w:pPr>
              <w:spacing w:after="0"/>
              <w:rPr>
                <w:rFonts w:ascii="Arial" w:eastAsia="Times New Roman" w:hAnsi="Arial" w:cs="Arial"/>
                <w:i/>
                <w:iCs/>
                <w:color w:val="FF0000"/>
                <w:sz w:val="24"/>
                <w:szCs w:val="24"/>
              </w:rPr>
            </w:pPr>
          </w:p>
        </w:tc>
        <w:tc>
          <w:tcPr>
            <w:tcW w:w="2806" w:type="dxa"/>
            <w:tcBorders>
              <w:top w:val="nil"/>
              <w:left w:val="nil"/>
              <w:bottom w:val="single" w:sz="4" w:space="0" w:color="auto"/>
              <w:right w:val="single" w:sz="4" w:space="0" w:color="auto"/>
            </w:tcBorders>
            <w:shd w:val="clear" w:color="000000" w:fill="DBE5F1"/>
            <w:noWrap/>
            <w:vAlign w:val="bottom"/>
          </w:tcPr>
          <w:p w14:paraId="3BED5329" w14:textId="16319270" w:rsidR="00932C2B" w:rsidRPr="00932C2B" w:rsidRDefault="00932C2B" w:rsidP="00932C2B">
            <w:pPr>
              <w:spacing w:after="0" w:line="240" w:lineRule="auto"/>
              <w:rPr>
                <w:rFonts w:ascii="Arial" w:eastAsia="Times New Roman" w:hAnsi="Arial" w:cs="Arial"/>
                <w:color w:val="FF0000"/>
                <w:sz w:val="24"/>
                <w:szCs w:val="24"/>
              </w:rPr>
            </w:pPr>
          </w:p>
        </w:tc>
        <w:tc>
          <w:tcPr>
            <w:tcW w:w="2835" w:type="dxa"/>
            <w:tcBorders>
              <w:top w:val="nil"/>
              <w:left w:val="nil"/>
              <w:bottom w:val="single" w:sz="4" w:space="0" w:color="auto"/>
              <w:right w:val="single" w:sz="4" w:space="0" w:color="auto"/>
            </w:tcBorders>
            <w:shd w:val="clear" w:color="000000" w:fill="DBE5F1"/>
            <w:noWrap/>
            <w:vAlign w:val="bottom"/>
          </w:tcPr>
          <w:p w14:paraId="1A9C11BB" w14:textId="31BC0C53" w:rsidR="00932C2B" w:rsidRPr="009465B6" w:rsidRDefault="00932C2B" w:rsidP="00932C2B">
            <w:pPr>
              <w:spacing w:after="0" w:line="240" w:lineRule="auto"/>
              <w:rPr>
                <w:rFonts w:ascii="Arial" w:eastAsia="Times New Roman" w:hAnsi="Arial" w:cs="Arial"/>
                <w:color w:val="000000"/>
                <w:sz w:val="24"/>
                <w:szCs w:val="24"/>
              </w:rPr>
            </w:pPr>
          </w:p>
        </w:tc>
      </w:tr>
      <w:tr w:rsidR="00932C2B" w:rsidRPr="009465B6" w14:paraId="674DFFD0"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521D88AD"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Outstanding Insurance Expenses </w:t>
            </w:r>
          </w:p>
        </w:tc>
        <w:tc>
          <w:tcPr>
            <w:tcW w:w="2806" w:type="dxa"/>
            <w:tcBorders>
              <w:top w:val="nil"/>
              <w:left w:val="nil"/>
              <w:bottom w:val="single" w:sz="4" w:space="0" w:color="auto"/>
              <w:right w:val="single" w:sz="4" w:space="0" w:color="auto"/>
            </w:tcBorders>
            <w:shd w:val="clear" w:color="000000" w:fill="DBE5F1"/>
            <w:noWrap/>
            <w:vAlign w:val="bottom"/>
            <w:hideMark/>
          </w:tcPr>
          <w:p w14:paraId="52113248" w14:textId="0593F41C"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500</w:t>
            </w:r>
          </w:p>
        </w:tc>
        <w:tc>
          <w:tcPr>
            <w:tcW w:w="2835" w:type="dxa"/>
            <w:tcBorders>
              <w:top w:val="nil"/>
              <w:left w:val="nil"/>
              <w:bottom w:val="single" w:sz="4" w:space="0" w:color="auto"/>
              <w:right w:val="single" w:sz="4" w:space="0" w:color="auto"/>
            </w:tcBorders>
            <w:shd w:val="clear" w:color="000000" w:fill="DBE5F1"/>
            <w:noWrap/>
            <w:vAlign w:val="bottom"/>
            <w:hideMark/>
          </w:tcPr>
          <w:p w14:paraId="78C2E166"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3E0FEF20"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365BAED9"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Irrecoverable debts</w:t>
            </w:r>
          </w:p>
        </w:tc>
        <w:tc>
          <w:tcPr>
            <w:tcW w:w="2806" w:type="dxa"/>
            <w:tcBorders>
              <w:top w:val="nil"/>
              <w:left w:val="nil"/>
              <w:bottom w:val="single" w:sz="4" w:space="0" w:color="auto"/>
              <w:right w:val="single" w:sz="4" w:space="0" w:color="auto"/>
            </w:tcBorders>
            <w:shd w:val="clear" w:color="000000" w:fill="DBE5F1"/>
            <w:noWrap/>
            <w:vAlign w:val="bottom"/>
            <w:hideMark/>
          </w:tcPr>
          <w:p w14:paraId="764F7DF7" w14:textId="636DB660"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240</w:t>
            </w:r>
          </w:p>
        </w:tc>
        <w:tc>
          <w:tcPr>
            <w:tcW w:w="2835" w:type="dxa"/>
            <w:tcBorders>
              <w:top w:val="nil"/>
              <w:left w:val="nil"/>
              <w:bottom w:val="single" w:sz="4" w:space="0" w:color="auto"/>
              <w:right w:val="single" w:sz="4" w:space="0" w:color="auto"/>
            </w:tcBorders>
            <w:shd w:val="clear" w:color="000000" w:fill="DBE5F1"/>
            <w:noWrap/>
            <w:vAlign w:val="bottom"/>
            <w:hideMark/>
          </w:tcPr>
          <w:p w14:paraId="62A06357"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08D1B59D"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04557565"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Allowance for receivables (2%)</w:t>
            </w:r>
          </w:p>
        </w:tc>
        <w:tc>
          <w:tcPr>
            <w:tcW w:w="2806" w:type="dxa"/>
            <w:tcBorders>
              <w:top w:val="nil"/>
              <w:left w:val="nil"/>
              <w:bottom w:val="single" w:sz="4" w:space="0" w:color="auto"/>
              <w:right w:val="single" w:sz="4" w:space="0" w:color="auto"/>
            </w:tcBorders>
            <w:shd w:val="clear" w:color="000000" w:fill="DBE5F1"/>
            <w:noWrap/>
            <w:vAlign w:val="bottom"/>
            <w:hideMark/>
          </w:tcPr>
          <w:p w14:paraId="5D856434"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164,800</w:t>
            </w:r>
          </w:p>
        </w:tc>
        <w:tc>
          <w:tcPr>
            <w:tcW w:w="2835" w:type="dxa"/>
            <w:tcBorders>
              <w:top w:val="nil"/>
              <w:left w:val="nil"/>
              <w:bottom w:val="single" w:sz="4" w:space="0" w:color="auto"/>
              <w:right w:val="single" w:sz="4" w:space="0" w:color="auto"/>
            </w:tcBorders>
            <w:shd w:val="clear" w:color="000000" w:fill="DBE5F1"/>
            <w:noWrap/>
            <w:vAlign w:val="bottom"/>
            <w:hideMark/>
          </w:tcPr>
          <w:p w14:paraId="616207CA"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5A1FF631" w14:textId="77777777" w:rsidTr="00932C2B">
        <w:trPr>
          <w:trHeight w:val="6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70310AB8"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Selling and distribution cost </w:t>
            </w:r>
          </w:p>
        </w:tc>
        <w:tc>
          <w:tcPr>
            <w:tcW w:w="2806" w:type="dxa"/>
            <w:tcBorders>
              <w:top w:val="nil"/>
              <w:left w:val="nil"/>
              <w:bottom w:val="single" w:sz="4" w:space="0" w:color="auto"/>
              <w:right w:val="single" w:sz="4" w:space="0" w:color="auto"/>
            </w:tcBorders>
            <w:shd w:val="clear" w:color="000000" w:fill="DBE5F1"/>
            <w:noWrap/>
            <w:vAlign w:val="bottom"/>
            <w:hideMark/>
          </w:tcPr>
          <w:p w14:paraId="24752803"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2835" w:type="dxa"/>
            <w:tcBorders>
              <w:top w:val="nil"/>
              <w:left w:val="nil"/>
              <w:bottom w:val="single" w:sz="4" w:space="0" w:color="auto"/>
              <w:right w:val="single" w:sz="4" w:space="0" w:color="auto"/>
            </w:tcBorders>
            <w:shd w:val="clear" w:color="000000" w:fill="DBE5F1"/>
            <w:noWrap/>
            <w:vAlign w:val="bottom"/>
            <w:hideMark/>
          </w:tcPr>
          <w:p w14:paraId="3D8CB59C"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35E69E73" w14:textId="77777777" w:rsidTr="00932C2B">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tcPr>
          <w:p w14:paraId="17348B72" w14:textId="3322FAF6" w:rsidR="00932C2B" w:rsidRPr="00932C2B" w:rsidRDefault="00932C2B" w:rsidP="00932C2B">
            <w:pPr>
              <w:spacing w:after="0"/>
              <w:rPr>
                <w:rFonts w:ascii="Arial" w:eastAsia="Times New Roman" w:hAnsi="Arial" w:cs="Arial"/>
                <w:i/>
                <w:iCs/>
                <w:color w:val="FF0000"/>
                <w:sz w:val="24"/>
                <w:szCs w:val="24"/>
              </w:rPr>
            </w:pPr>
          </w:p>
        </w:tc>
        <w:tc>
          <w:tcPr>
            <w:tcW w:w="2806" w:type="dxa"/>
            <w:tcBorders>
              <w:top w:val="nil"/>
              <w:left w:val="nil"/>
              <w:bottom w:val="single" w:sz="4" w:space="0" w:color="auto"/>
              <w:right w:val="single" w:sz="4" w:space="0" w:color="auto"/>
            </w:tcBorders>
            <w:shd w:val="clear" w:color="000000" w:fill="DBE5F1"/>
            <w:noWrap/>
            <w:vAlign w:val="bottom"/>
          </w:tcPr>
          <w:p w14:paraId="55D65F7E" w14:textId="093E3925" w:rsidR="00932C2B" w:rsidRPr="00932C2B" w:rsidRDefault="00932C2B" w:rsidP="00932C2B">
            <w:pPr>
              <w:spacing w:after="0" w:line="240" w:lineRule="auto"/>
              <w:rPr>
                <w:rFonts w:ascii="Arial" w:eastAsia="Times New Roman" w:hAnsi="Arial" w:cs="Arial"/>
                <w:color w:val="FF0000"/>
                <w:sz w:val="24"/>
                <w:szCs w:val="24"/>
              </w:rPr>
            </w:pPr>
          </w:p>
        </w:tc>
        <w:tc>
          <w:tcPr>
            <w:tcW w:w="2835" w:type="dxa"/>
            <w:tcBorders>
              <w:top w:val="nil"/>
              <w:left w:val="nil"/>
              <w:bottom w:val="single" w:sz="4" w:space="0" w:color="auto"/>
              <w:right w:val="single" w:sz="4" w:space="0" w:color="auto"/>
            </w:tcBorders>
            <w:shd w:val="clear" w:color="000000" w:fill="DBE5F1"/>
            <w:noWrap/>
            <w:vAlign w:val="bottom"/>
          </w:tcPr>
          <w:p w14:paraId="1C1A3EC4" w14:textId="3074BB32" w:rsidR="00932C2B" w:rsidRPr="009465B6" w:rsidRDefault="00932C2B" w:rsidP="00932C2B">
            <w:pPr>
              <w:spacing w:after="0" w:line="240" w:lineRule="auto"/>
              <w:rPr>
                <w:rFonts w:ascii="Arial" w:eastAsia="Times New Roman" w:hAnsi="Arial" w:cs="Arial"/>
                <w:color w:val="000000"/>
                <w:sz w:val="24"/>
                <w:szCs w:val="24"/>
              </w:rPr>
            </w:pPr>
          </w:p>
        </w:tc>
      </w:tr>
      <w:tr w:rsidR="00932C2B" w:rsidRPr="009465B6" w14:paraId="242B7DE9"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6B5972EC"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Depreciation on Plant (10% on cost)</w:t>
            </w:r>
          </w:p>
        </w:tc>
        <w:tc>
          <w:tcPr>
            <w:tcW w:w="2806" w:type="dxa"/>
            <w:tcBorders>
              <w:top w:val="nil"/>
              <w:left w:val="nil"/>
              <w:bottom w:val="single" w:sz="4" w:space="0" w:color="auto"/>
              <w:right w:val="single" w:sz="4" w:space="0" w:color="auto"/>
            </w:tcBorders>
            <w:shd w:val="clear" w:color="000000" w:fill="DBE5F1"/>
            <w:noWrap/>
            <w:vAlign w:val="bottom"/>
            <w:hideMark/>
          </w:tcPr>
          <w:p w14:paraId="619ABD12" w14:textId="18F4E710"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2,560,000</w:t>
            </w:r>
          </w:p>
        </w:tc>
        <w:tc>
          <w:tcPr>
            <w:tcW w:w="2835" w:type="dxa"/>
            <w:tcBorders>
              <w:top w:val="nil"/>
              <w:left w:val="nil"/>
              <w:bottom w:val="single" w:sz="4" w:space="0" w:color="auto"/>
              <w:right w:val="single" w:sz="4" w:space="0" w:color="auto"/>
            </w:tcBorders>
            <w:shd w:val="clear" w:color="000000" w:fill="DBE5F1"/>
            <w:noWrap/>
            <w:vAlign w:val="bottom"/>
            <w:hideMark/>
          </w:tcPr>
          <w:p w14:paraId="085446C4"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r>
      <w:tr w:rsidR="00932C2B" w:rsidRPr="009465B6" w14:paraId="701F3E19"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338A09AB"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Total expenses </w:t>
            </w:r>
          </w:p>
        </w:tc>
        <w:tc>
          <w:tcPr>
            <w:tcW w:w="2806" w:type="dxa"/>
            <w:tcBorders>
              <w:top w:val="nil"/>
              <w:left w:val="nil"/>
              <w:bottom w:val="nil"/>
              <w:right w:val="nil"/>
            </w:tcBorders>
            <w:shd w:val="clear" w:color="000000" w:fill="DBE5F1"/>
            <w:noWrap/>
            <w:vAlign w:val="bottom"/>
            <w:hideMark/>
          </w:tcPr>
          <w:p w14:paraId="51A1BD89"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2835" w:type="dxa"/>
            <w:tcBorders>
              <w:top w:val="nil"/>
              <w:left w:val="single" w:sz="4" w:space="0" w:color="auto"/>
              <w:bottom w:val="single" w:sz="4" w:space="0" w:color="auto"/>
              <w:right w:val="single" w:sz="4" w:space="0" w:color="auto"/>
            </w:tcBorders>
            <w:shd w:val="clear" w:color="000000" w:fill="DBE5F1"/>
            <w:noWrap/>
            <w:vAlign w:val="bottom"/>
            <w:hideMark/>
          </w:tcPr>
          <w:p w14:paraId="44F1177F"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8,125,540</w:t>
            </w:r>
          </w:p>
        </w:tc>
      </w:tr>
      <w:tr w:rsidR="00932C2B" w:rsidRPr="009465B6" w14:paraId="19539519"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799E328D"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EBIT</w:t>
            </w:r>
          </w:p>
        </w:tc>
        <w:tc>
          <w:tcPr>
            <w:tcW w:w="2806" w:type="dxa"/>
            <w:tcBorders>
              <w:top w:val="single" w:sz="4" w:space="0" w:color="auto"/>
              <w:left w:val="nil"/>
              <w:bottom w:val="single" w:sz="4" w:space="0" w:color="auto"/>
              <w:right w:val="single" w:sz="4" w:space="0" w:color="auto"/>
            </w:tcBorders>
            <w:shd w:val="clear" w:color="000000" w:fill="DBE5F1"/>
            <w:noWrap/>
            <w:vAlign w:val="bottom"/>
            <w:hideMark/>
          </w:tcPr>
          <w:p w14:paraId="45063399" w14:textId="77777777" w:rsidR="00932C2B" w:rsidRPr="009465B6" w:rsidRDefault="00932C2B" w:rsidP="00932C2B">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2835" w:type="dxa"/>
            <w:tcBorders>
              <w:top w:val="nil"/>
              <w:left w:val="nil"/>
              <w:bottom w:val="single" w:sz="4" w:space="0" w:color="auto"/>
              <w:right w:val="single" w:sz="4" w:space="0" w:color="auto"/>
            </w:tcBorders>
            <w:shd w:val="clear" w:color="000000" w:fill="DBE5F1"/>
            <w:noWrap/>
            <w:vAlign w:val="bottom"/>
            <w:hideMark/>
          </w:tcPr>
          <w:p w14:paraId="19F64F79"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5,954,460</w:t>
            </w:r>
          </w:p>
        </w:tc>
      </w:tr>
      <w:tr w:rsidR="00932C2B" w:rsidRPr="009465B6" w14:paraId="76F987AD" w14:textId="77777777" w:rsidTr="009465B6">
        <w:trPr>
          <w:trHeight w:val="315"/>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368BA624"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Interest </w:t>
            </w:r>
          </w:p>
        </w:tc>
        <w:tc>
          <w:tcPr>
            <w:tcW w:w="2806" w:type="dxa"/>
            <w:tcBorders>
              <w:top w:val="nil"/>
              <w:left w:val="nil"/>
              <w:bottom w:val="single" w:sz="4" w:space="0" w:color="auto"/>
              <w:right w:val="single" w:sz="4" w:space="0" w:color="auto"/>
            </w:tcBorders>
            <w:shd w:val="clear" w:color="000000" w:fill="DBE5F1"/>
            <w:noWrap/>
            <w:vAlign w:val="bottom"/>
            <w:hideMark/>
          </w:tcPr>
          <w:p w14:paraId="2671868D" w14:textId="77777777" w:rsidR="00932C2B" w:rsidRPr="009465B6" w:rsidRDefault="00932C2B" w:rsidP="00932C2B">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2835" w:type="dxa"/>
            <w:tcBorders>
              <w:top w:val="nil"/>
              <w:left w:val="nil"/>
              <w:bottom w:val="single" w:sz="4" w:space="0" w:color="auto"/>
              <w:right w:val="single" w:sz="4" w:space="0" w:color="auto"/>
            </w:tcBorders>
            <w:shd w:val="clear" w:color="000000" w:fill="DBE5F1"/>
            <w:noWrap/>
            <w:vAlign w:val="bottom"/>
            <w:hideMark/>
          </w:tcPr>
          <w:p w14:paraId="6C439009" w14:textId="77777777" w:rsidR="00932C2B" w:rsidRPr="009465B6" w:rsidRDefault="00932C2B" w:rsidP="00932C2B">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240,000</w:t>
            </w:r>
          </w:p>
        </w:tc>
      </w:tr>
      <w:tr w:rsidR="00932C2B" w:rsidRPr="009465B6" w14:paraId="39E257F5" w14:textId="77777777" w:rsidTr="003B3EF4">
        <w:trPr>
          <w:trHeight w:val="356"/>
        </w:trPr>
        <w:tc>
          <w:tcPr>
            <w:tcW w:w="4155" w:type="dxa"/>
            <w:tcBorders>
              <w:top w:val="nil"/>
              <w:left w:val="single" w:sz="4" w:space="0" w:color="auto"/>
              <w:bottom w:val="single" w:sz="4" w:space="0" w:color="auto"/>
              <w:right w:val="single" w:sz="4" w:space="0" w:color="auto"/>
            </w:tcBorders>
            <w:shd w:val="clear" w:color="000000" w:fill="DBE5F1"/>
            <w:noWrap/>
            <w:vAlign w:val="bottom"/>
            <w:hideMark/>
          </w:tcPr>
          <w:p w14:paraId="5DD6F2F4" w14:textId="77777777" w:rsidR="00932C2B" w:rsidRPr="003B3EF4" w:rsidRDefault="00932C2B" w:rsidP="00932C2B">
            <w:pPr>
              <w:spacing w:after="0"/>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Net income</w:t>
            </w:r>
          </w:p>
        </w:tc>
        <w:tc>
          <w:tcPr>
            <w:tcW w:w="2806" w:type="dxa"/>
            <w:tcBorders>
              <w:top w:val="nil"/>
              <w:left w:val="nil"/>
              <w:bottom w:val="single" w:sz="4" w:space="0" w:color="auto"/>
              <w:right w:val="single" w:sz="4" w:space="0" w:color="auto"/>
            </w:tcBorders>
            <w:shd w:val="clear" w:color="000000" w:fill="DBE5F1"/>
            <w:noWrap/>
            <w:vAlign w:val="bottom"/>
            <w:hideMark/>
          </w:tcPr>
          <w:p w14:paraId="1A336544" w14:textId="77777777" w:rsidR="00932C2B" w:rsidRPr="009465B6" w:rsidRDefault="00932C2B" w:rsidP="00932C2B">
            <w:pPr>
              <w:spacing w:after="0" w:line="240" w:lineRule="auto"/>
              <w:jc w:val="center"/>
              <w:rPr>
                <w:rFonts w:ascii="Arial" w:eastAsia="Times New Roman" w:hAnsi="Arial" w:cs="Arial"/>
                <w:b/>
                <w:bCs/>
                <w:color w:val="000000"/>
                <w:sz w:val="24"/>
                <w:szCs w:val="24"/>
              </w:rPr>
            </w:pPr>
            <w:r w:rsidRPr="009465B6">
              <w:rPr>
                <w:rFonts w:ascii="Arial" w:eastAsia="Times New Roman" w:hAnsi="Arial" w:cs="Arial"/>
                <w:b/>
                <w:bCs/>
                <w:color w:val="000000"/>
                <w:sz w:val="24"/>
                <w:szCs w:val="24"/>
              </w:rPr>
              <w:t> </w:t>
            </w:r>
          </w:p>
        </w:tc>
        <w:tc>
          <w:tcPr>
            <w:tcW w:w="2835" w:type="dxa"/>
            <w:tcBorders>
              <w:top w:val="nil"/>
              <w:left w:val="nil"/>
              <w:bottom w:val="single" w:sz="4" w:space="0" w:color="auto"/>
              <w:right w:val="single" w:sz="4" w:space="0" w:color="auto"/>
            </w:tcBorders>
            <w:shd w:val="clear" w:color="000000" w:fill="DBE5F1"/>
            <w:noWrap/>
            <w:vAlign w:val="bottom"/>
            <w:hideMark/>
          </w:tcPr>
          <w:p w14:paraId="40C0A763" w14:textId="77777777" w:rsidR="00932C2B" w:rsidRPr="003B3EF4" w:rsidRDefault="00932C2B" w:rsidP="00932C2B">
            <w:pPr>
              <w:spacing w:after="0" w:line="240" w:lineRule="auto"/>
              <w:rPr>
                <w:rFonts w:ascii="Arial" w:eastAsia="Times New Roman" w:hAnsi="Arial" w:cs="Arial"/>
                <w:color w:val="000000"/>
                <w:sz w:val="24"/>
                <w:szCs w:val="24"/>
              </w:rPr>
            </w:pPr>
            <w:r w:rsidRPr="003B3EF4">
              <w:rPr>
                <w:rFonts w:ascii="Arial" w:eastAsia="Times New Roman" w:hAnsi="Arial" w:cs="Arial"/>
                <w:color w:val="000000"/>
                <w:sz w:val="24"/>
                <w:szCs w:val="24"/>
              </w:rPr>
              <w:t>5,714,460</w:t>
            </w:r>
          </w:p>
        </w:tc>
      </w:tr>
    </w:tbl>
    <w:p w14:paraId="3B55276C" w14:textId="77777777" w:rsidR="00071AF0" w:rsidRPr="009465B6" w:rsidRDefault="00071AF0" w:rsidP="003278B3">
      <w:pPr>
        <w:spacing w:line="360" w:lineRule="auto"/>
        <w:jc w:val="both"/>
        <w:rPr>
          <w:rFonts w:ascii="Arial" w:hAnsi="Arial" w:cs="Arial"/>
          <w:sz w:val="24"/>
          <w:szCs w:val="24"/>
        </w:rPr>
      </w:pPr>
    </w:p>
    <w:p w14:paraId="50D53164" w14:textId="72616A77" w:rsidR="009465B6" w:rsidRPr="009465B6" w:rsidRDefault="005414E8" w:rsidP="003278B3">
      <w:pPr>
        <w:spacing w:line="360" w:lineRule="auto"/>
        <w:jc w:val="both"/>
        <w:rPr>
          <w:rFonts w:ascii="Arial" w:hAnsi="Arial" w:cs="Arial"/>
          <w:sz w:val="24"/>
          <w:szCs w:val="24"/>
        </w:rPr>
      </w:pPr>
      <w:r w:rsidRPr="009465B6">
        <w:rPr>
          <w:rFonts w:ascii="Arial" w:hAnsi="Arial" w:cs="Arial"/>
          <w:b/>
          <w:sz w:val="24"/>
          <w:szCs w:val="24"/>
        </w:rPr>
        <w:t>Balance Sheet:</w:t>
      </w:r>
      <w:r w:rsidR="00071AF0" w:rsidRPr="009465B6">
        <w:rPr>
          <w:rFonts w:ascii="Arial" w:hAnsi="Arial" w:cs="Arial"/>
          <w:sz w:val="24"/>
          <w:szCs w:val="24"/>
        </w:rPr>
        <w:t xml:space="preserve"> This statement may enable the company for recording the liabilities, shareholder’s equity</w:t>
      </w:r>
      <w:r w:rsidR="00C321B0" w:rsidRPr="009465B6">
        <w:rPr>
          <w:rFonts w:ascii="Arial" w:hAnsi="Arial" w:cs="Arial"/>
          <w:sz w:val="24"/>
          <w:szCs w:val="24"/>
        </w:rPr>
        <w:t>,</w:t>
      </w:r>
      <w:r w:rsidR="00071AF0" w:rsidRPr="009465B6">
        <w:rPr>
          <w:rFonts w:ascii="Arial" w:hAnsi="Arial" w:cs="Arial"/>
          <w:sz w:val="24"/>
          <w:szCs w:val="24"/>
        </w:rPr>
        <w:t xml:space="preserve"> and assets. Balance Sheet may include short terms as well as long term assets, long term and </w:t>
      </w:r>
      <w:r w:rsidR="009465B6" w:rsidRPr="009465B6">
        <w:rPr>
          <w:rFonts w:ascii="Arial" w:hAnsi="Arial" w:cs="Arial"/>
          <w:sz w:val="24"/>
          <w:szCs w:val="24"/>
        </w:rPr>
        <w:t>short-term</w:t>
      </w:r>
      <w:r w:rsidR="00071AF0" w:rsidRPr="009465B6">
        <w:rPr>
          <w:rFonts w:ascii="Arial" w:hAnsi="Arial" w:cs="Arial"/>
          <w:sz w:val="24"/>
          <w:szCs w:val="24"/>
        </w:rPr>
        <w:t xml:space="preserve"> liabilities and this may aid the stakeholder for measuring the information and financial performance as well as position</w:t>
      </w:r>
      <w:r w:rsidR="00733DA9" w:rsidRPr="009465B6">
        <w:rPr>
          <w:rFonts w:ascii="Arial" w:hAnsi="Arial" w:cs="Arial"/>
          <w:sz w:val="24"/>
          <w:szCs w:val="24"/>
        </w:rPr>
        <w:t xml:space="preserve"> (Robinson, 2020)</w:t>
      </w:r>
      <w:r w:rsidR="00071AF0" w:rsidRPr="009465B6">
        <w:rPr>
          <w:rFonts w:ascii="Arial" w:hAnsi="Arial" w:cs="Arial"/>
          <w:sz w:val="24"/>
          <w:szCs w:val="24"/>
        </w:rPr>
        <w:t xml:space="preserve">. </w:t>
      </w: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2673"/>
        <w:gridCol w:w="1843"/>
        <w:gridCol w:w="1985"/>
      </w:tblGrid>
      <w:tr w:rsidR="006374F9" w:rsidRPr="009465B6" w14:paraId="09895ADC" w14:textId="77777777" w:rsidTr="003B3EF4">
        <w:trPr>
          <w:trHeight w:val="330"/>
          <w:jc w:val="center"/>
        </w:trPr>
        <w:tc>
          <w:tcPr>
            <w:tcW w:w="9921" w:type="dxa"/>
            <w:gridSpan w:val="4"/>
            <w:shd w:val="clear" w:color="000000" w:fill="C2D69A"/>
            <w:noWrap/>
            <w:vAlign w:val="bottom"/>
            <w:hideMark/>
          </w:tcPr>
          <w:p w14:paraId="510009EB" w14:textId="77777777" w:rsidR="006374F9" w:rsidRPr="009465B6" w:rsidRDefault="006374F9" w:rsidP="009465B6">
            <w:pPr>
              <w:spacing w:after="0" w:line="240" w:lineRule="auto"/>
              <w:jc w:val="center"/>
              <w:rPr>
                <w:rFonts w:ascii="Arial" w:eastAsia="Times New Roman" w:hAnsi="Arial" w:cs="Arial"/>
                <w:b/>
                <w:bCs/>
                <w:color w:val="000000"/>
                <w:sz w:val="24"/>
                <w:szCs w:val="24"/>
              </w:rPr>
            </w:pPr>
            <w:r w:rsidRPr="009465B6">
              <w:rPr>
                <w:rFonts w:ascii="Arial" w:eastAsia="Times New Roman" w:hAnsi="Arial" w:cs="Arial"/>
                <w:b/>
                <w:bCs/>
                <w:color w:val="000000"/>
                <w:sz w:val="24"/>
                <w:szCs w:val="24"/>
              </w:rPr>
              <w:t>Balance Sheet Statement As on 31st December 2019</w:t>
            </w:r>
          </w:p>
        </w:tc>
      </w:tr>
      <w:tr w:rsidR="006374F9" w:rsidRPr="009465B6" w14:paraId="528F0B16" w14:textId="77777777" w:rsidTr="003B3EF4">
        <w:trPr>
          <w:trHeight w:val="315"/>
          <w:jc w:val="center"/>
        </w:trPr>
        <w:tc>
          <w:tcPr>
            <w:tcW w:w="3420" w:type="dxa"/>
            <w:shd w:val="clear" w:color="000000" w:fill="C2D69A"/>
            <w:noWrap/>
            <w:vAlign w:val="bottom"/>
            <w:hideMark/>
          </w:tcPr>
          <w:p w14:paraId="756F5F45" w14:textId="77777777" w:rsidR="006374F9" w:rsidRPr="003B3EF4" w:rsidRDefault="006374F9" w:rsidP="009465B6">
            <w:pPr>
              <w:spacing w:after="0" w:line="240" w:lineRule="auto"/>
              <w:jc w:val="center"/>
              <w:rPr>
                <w:rFonts w:ascii="Arial" w:eastAsia="Times New Roman" w:hAnsi="Arial" w:cs="Arial"/>
                <w:b/>
                <w:bCs/>
                <w:i/>
                <w:iCs/>
                <w:color w:val="000000"/>
                <w:sz w:val="24"/>
                <w:szCs w:val="24"/>
              </w:rPr>
            </w:pPr>
            <w:r w:rsidRPr="003B3EF4">
              <w:rPr>
                <w:rFonts w:ascii="Arial" w:eastAsia="Times New Roman" w:hAnsi="Arial" w:cs="Arial"/>
                <w:b/>
                <w:bCs/>
                <w:i/>
                <w:iCs/>
                <w:color w:val="000000"/>
                <w:sz w:val="24"/>
                <w:szCs w:val="24"/>
              </w:rPr>
              <w:t>Particulars</w:t>
            </w:r>
          </w:p>
        </w:tc>
        <w:tc>
          <w:tcPr>
            <w:tcW w:w="2673" w:type="dxa"/>
            <w:shd w:val="clear" w:color="000000" w:fill="C2D69A"/>
            <w:noWrap/>
            <w:vAlign w:val="bottom"/>
            <w:hideMark/>
          </w:tcPr>
          <w:p w14:paraId="4CA6C07E" w14:textId="77777777" w:rsidR="006374F9" w:rsidRPr="003B3EF4" w:rsidRDefault="006374F9" w:rsidP="009465B6">
            <w:pPr>
              <w:spacing w:after="0" w:line="240" w:lineRule="auto"/>
              <w:jc w:val="center"/>
              <w:rPr>
                <w:rFonts w:ascii="Arial" w:eastAsia="Times New Roman" w:hAnsi="Arial" w:cs="Arial"/>
                <w:b/>
                <w:bCs/>
                <w:i/>
                <w:iCs/>
                <w:color w:val="000000"/>
                <w:sz w:val="24"/>
                <w:szCs w:val="24"/>
              </w:rPr>
            </w:pPr>
            <w:r w:rsidRPr="003B3EF4">
              <w:rPr>
                <w:rFonts w:ascii="Arial" w:eastAsia="Times New Roman" w:hAnsi="Arial" w:cs="Arial"/>
                <w:b/>
                <w:bCs/>
                <w:i/>
                <w:iCs/>
                <w:color w:val="000000"/>
                <w:sz w:val="24"/>
                <w:szCs w:val="24"/>
              </w:rPr>
              <w:t> </w:t>
            </w:r>
          </w:p>
        </w:tc>
        <w:tc>
          <w:tcPr>
            <w:tcW w:w="1843" w:type="dxa"/>
            <w:shd w:val="clear" w:color="000000" w:fill="C2D69A"/>
            <w:noWrap/>
            <w:vAlign w:val="bottom"/>
            <w:hideMark/>
          </w:tcPr>
          <w:p w14:paraId="3433874D" w14:textId="77777777" w:rsidR="006374F9" w:rsidRPr="003B3EF4" w:rsidRDefault="006374F9" w:rsidP="009465B6">
            <w:pPr>
              <w:spacing w:after="0" w:line="240" w:lineRule="auto"/>
              <w:jc w:val="center"/>
              <w:rPr>
                <w:rFonts w:ascii="Arial" w:eastAsia="Times New Roman" w:hAnsi="Arial" w:cs="Arial"/>
                <w:b/>
                <w:bCs/>
                <w:i/>
                <w:iCs/>
                <w:color w:val="000000"/>
                <w:sz w:val="24"/>
                <w:szCs w:val="24"/>
              </w:rPr>
            </w:pPr>
            <w:r w:rsidRPr="003B3EF4">
              <w:rPr>
                <w:rFonts w:ascii="Arial" w:eastAsia="Times New Roman" w:hAnsi="Arial" w:cs="Arial"/>
                <w:b/>
                <w:bCs/>
                <w:i/>
                <w:iCs/>
                <w:color w:val="000000"/>
                <w:sz w:val="24"/>
                <w:szCs w:val="24"/>
              </w:rPr>
              <w:t>Amount (£)</w:t>
            </w:r>
          </w:p>
        </w:tc>
        <w:tc>
          <w:tcPr>
            <w:tcW w:w="1985" w:type="dxa"/>
            <w:shd w:val="clear" w:color="000000" w:fill="C2D69A"/>
            <w:noWrap/>
            <w:vAlign w:val="bottom"/>
            <w:hideMark/>
          </w:tcPr>
          <w:p w14:paraId="37DA7388" w14:textId="77777777" w:rsidR="006374F9" w:rsidRPr="003B3EF4" w:rsidRDefault="006374F9" w:rsidP="009465B6">
            <w:pPr>
              <w:spacing w:after="0" w:line="240" w:lineRule="auto"/>
              <w:jc w:val="center"/>
              <w:rPr>
                <w:rFonts w:ascii="Arial" w:eastAsia="Times New Roman" w:hAnsi="Arial" w:cs="Arial"/>
                <w:b/>
                <w:bCs/>
                <w:i/>
                <w:iCs/>
                <w:color w:val="000000"/>
                <w:sz w:val="24"/>
                <w:szCs w:val="24"/>
              </w:rPr>
            </w:pPr>
            <w:r w:rsidRPr="003B3EF4">
              <w:rPr>
                <w:rFonts w:ascii="Arial" w:eastAsia="Times New Roman" w:hAnsi="Arial" w:cs="Arial"/>
                <w:b/>
                <w:bCs/>
                <w:i/>
                <w:iCs/>
                <w:color w:val="000000"/>
                <w:sz w:val="24"/>
                <w:szCs w:val="24"/>
              </w:rPr>
              <w:t>Amount (£)</w:t>
            </w:r>
          </w:p>
        </w:tc>
      </w:tr>
      <w:tr w:rsidR="006374F9" w:rsidRPr="003B3EF4" w14:paraId="3661E41B" w14:textId="77777777" w:rsidTr="003B3EF4">
        <w:trPr>
          <w:trHeight w:val="315"/>
          <w:jc w:val="center"/>
        </w:trPr>
        <w:tc>
          <w:tcPr>
            <w:tcW w:w="3420" w:type="dxa"/>
            <w:shd w:val="clear" w:color="000000" w:fill="C2D69A"/>
            <w:noWrap/>
            <w:vAlign w:val="bottom"/>
            <w:hideMark/>
          </w:tcPr>
          <w:p w14:paraId="54A92D4C" w14:textId="77777777" w:rsidR="006374F9" w:rsidRPr="003B3EF4" w:rsidRDefault="006374F9" w:rsidP="003B3EF4">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Assets</w:t>
            </w:r>
          </w:p>
        </w:tc>
        <w:tc>
          <w:tcPr>
            <w:tcW w:w="2673" w:type="dxa"/>
            <w:shd w:val="clear" w:color="000000" w:fill="C2D69A"/>
            <w:noWrap/>
            <w:vAlign w:val="bottom"/>
            <w:hideMark/>
          </w:tcPr>
          <w:p w14:paraId="793BA26F"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7FD376C1" w14:textId="259FD74B"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6E7FC2D2" w14:textId="74A8AA18"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2DB0A4FD" w14:textId="77777777" w:rsidTr="003B3EF4">
        <w:trPr>
          <w:trHeight w:val="315"/>
          <w:jc w:val="center"/>
        </w:trPr>
        <w:tc>
          <w:tcPr>
            <w:tcW w:w="3420" w:type="dxa"/>
            <w:shd w:val="clear" w:color="000000" w:fill="C2D69A"/>
            <w:noWrap/>
            <w:vAlign w:val="bottom"/>
            <w:hideMark/>
          </w:tcPr>
          <w:p w14:paraId="6478B659"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Current Assets:</w:t>
            </w:r>
          </w:p>
        </w:tc>
        <w:tc>
          <w:tcPr>
            <w:tcW w:w="2673" w:type="dxa"/>
            <w:shd w:val="clear" w:color="000000" w:fill="C2D69A"/>
            <w:noWrap/>
            <w:vAlign w:val="bottom"/>
            <w:hideMark/>
          </w:tcPr>
          <w:p w14:paraId="05F86CAC" w14:textId="74D25B93"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266DAB06" w14:textId="001315D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5846C2EB" w14:textId="059246FE"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5C6CCFB4" w14:textId="77777777" w:rsidTr="003B3EF4">
        <w:trPr>
          <w:trHeight w:val="315"/>
          <w:jc w:val="center"/>
        </w:trPr>
        <w:tc>
          <w:tcPr>
            <w:tcW w:w="3420" w:type="dxa"/>
            <w:shd w:val="clear" w:color="000000" w:fill="C2D69A"/>
            <w:noWrap/>
            <w:vAlign w:val="bottom"/>
            <w:hideMark/>
          </w:tcPr>
          <w:p w14:paraId="6CB63BCC"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Closing Inventory</w:t>
            </w:r>
          </w:p>
        </w:tc>
        <w:tc>
          <w:tcPr>
            <w:tcW w:w="2673" w:type="dxa"/>
            <w:shd w:val="clear" w:color="000000" w:fill="C2D69A"/>
            <w:noWrap/>
            <w:vAlign w:val="bottom"/>
            <w:hideMark/>
          </w:tcPr>
          <w:p w14:paraId="262102AA" w14:textId="4510090B"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5B6FE97B"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3,120,000</w:t>
            </w:r>
          </w:p>
        </w:tc>
        <w:tc>
          <w:tcPr>
            <w:tcW w:w="1985" w:type="dxa"/>
            <w:shd w:val="clear" w:color="000000" w:fill="C2D69A"/>
            <w:noWrap/>
            <w:vAlign w:val="bottom"/>
            <w:hideMark/>
          </w:tcPr>
          <w:p w14:paraId="6F5CF696" w14:textId="57BA43E1"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6EF0C464" w14:textId="77777777" w:rsidTr="003B3EF4">
        <w:trPr>
          <w:trHeight w:val="315"/>
          <w:jc w:val="center"/>
        </w:trPr>
        <w:tc>
          <w:tcPr>
            <w:tcW w:w="3420" w:type="dxa"/>
            <w:shd w:val="clear" w:color="000000" w:fill="C2D69A"/>
            <w:noWrap/>
            <w:vAlign w:val="bottom"/>
            <w:hideMark/>
          </w:tcPr>
          <w:p w14:paraId="556905EE"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Receivables</w:t>
            </w:r>
          </w:p>
        </w:tc>
        <w:tc>
          <w:tcPr>
            <w:tcW w:w="2673" w:type="dxa"/>
            <w:shd w:val="clear" w:color="000000" w:fill="C2D69A"/>
            <w:noWrap/>
            <w:vAlign w:val="bottom"/>
            <w:hideMark/>
          </w:tcPr>
          <w:p w14:paraId="391557A0" w14:textId="2BA459CF"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8</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240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843" w:type="dxa"/>
            <w:shd w:val="clear" w:color="000000" w:fill="C2D69A"/>
            <w:noWrap/>
            <w:vAlign w:val="bottom"/>
            <w:hideMark/>
          </w:tcPr>
          <w:p w14:paraId="02CF58A4"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678831F0" w14:textId="1FCB0521"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38A1CC11" w14:textId="77777777" w:rsidTr="003B3EF4">
        <w:trPr>
          <w:trHeight w:val="315"/>
          <w:jc w:val="center"/>
        </w:trPr>
        <w:tc>
          <w:tcPr>
            <w:tcW w:w="3420" w:type="dxa"/>
            <w:shd w:val="clear" w:color="000000" w:fill="C2D69A"/>
            <w:noWrap/>
            <w:vAlign w:val="bottom"/>
            <w:hideMark/>
          </w:tcPr>
          <w:p w14:paraId="25AB1901"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2% allowance for receivables </w:t>
            </w:r>
          </w:p>
        </w:tc>
        <w:tc>
          <w:tcPr>
            <w:tcW w:w="2673" w:type="dxa"/>
            <w:shd w:val="clear" w:color="000000" w:fill="C2D69A"/>
            <w:noWrap/>
            <w:vAlign w:val="bottom"/>
            <w:hideMark/>
          </w:tcPr>
          <w:p w14:paraId="2FEB0BC3" w14:textId="5B162161"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-164</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800</w:t>
            </w:r>
          </w:p>
        </w:tc>
        <w:tc>
          <w:tcPr>
            <w:tcW w:w="1843" w:type="dxa"/>
            <w:shd w:val="clear" w:color="000000" w:fill="C2D69A"/>
            <w:noWrap/>
            <w:vAlign w:val="bottom"/>
            <w:hideMark/>
          </w:tcPr>
          <w:p w14:paraId="672F0DDB"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1333787B"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1821DF9B" w14:textId="77777777" w:rsidTr="003B3EF4">
        <w:trPr>
          <w:trHeight w:val="315"/>
          <w:jc w:val="center"/>
        </w:trPr>
        <w:tc>
          <w:tcPr>
            <w:tcW w:w="3420" w:type="dxa"/>
            <w:shd w:val="clear" w:color="000000" w:fill="C2D69A"/>
            <w:noWrap/>
            <w:vAlign w:val="bottom"/>
            <w:hideMark/>
          </w:tcPr>
          <w:p w14:paraId="321E89A9"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Bed debts </w:t>
            </w:r>
          </w:p>
        </w:tc>
        <w:tc>
          <w:tcPr>
            <w:tcW w:w="2673" w:type="dxa"/>
            <w:shd w:val="clear" w:color="000000" w:fill="C2D69A"/>
            <w:noWrap/>
            <w:vAlign w:val="bottom"/>
            <w:hideMark/>
          </w:tcPr>
          <w:p w14:paraId="5893D7EF"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-240</w:t>
            </w:r>
          </w:p>
        </w:tc>
        <w:tc>
          <w:tcPr>
            <w:tcW w:w="1843" w:type="dxa"/>
            <w:shd w:val="clear" w:color="000000" w:fill="C2D69A"/>
            <w:noWrap/>
            <w:vAlign w:val="bottom"/>
            <w:hideMark/>
          </w:tcPr>
          <w:p w14:paraId="3ACFC6DD"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8,074,960</w:t>
            </w:r>
          </w:p>
        </w:tc>
        <w:tc>
          <w:tcPr>
            <w:tcW w:w="1985" w:type="dxa"/>
            <w:shd w:val="clear" w:color="000000" w:fill="C2D69A"/>
            <w:noWrap/>
            <w:vAlign w:val="bottom"/>
            <w:hideMark/>
          </w:tcPr>
          <w:p w14:paraId="500CDA5C"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0AF5A933" w14:textId="77777777" w:rsidTr="003B3EF4">
        <w:trPr>
          <w:trHeight w:val="315"/>
          <w:jc w:val="center"/>
        </w:trPr>
        <w:tc>
          <w:tcPr>
            <w:tcW w:w="3420" w:type="dxa"/>
            <w:shd w:val="clear" w:color="000000" w:fill="C2D69A"/>
            <w:noWrap/>
            <w:vAlign w:val="bottom"/>
            <w:hideMark/>
          </w:tcPr>
          <w:p w14:paraId="668BEB2A"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Cash at Bank </w:t>
            </w:r>
          </w:p>
        </w:tc>
        <w:tc>
          <w:tcPr>
            <w:tcW w:w="2673" w:type="dxa"/>
            <w:shd w:val="clear" w:color="000000" w:fill="C2D69A"/>
            <w:noWrap/>
            <w:vAlign w:val="bottom"/>
            <w:hideMark/>
          </w:tcPr>
          <w:p w14:paraId="20C98A65" w14:textId="1337C18B"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6ECEF9E3"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320,000</w:t>
            </w:r>
          </w:p>
        </w:tc>
        <w:tc>
          <w:tcPr>
            <w:tcW w:w="1985" w:type="dxa"/>
            <w:shd w:val="clear" w:color="000000" w:fill="C2D69A"/>
            <w:noWrap/>
            <w:vAlign w:val="bottom"/>
            <w:hideMark/>
          </w:tcPr>
          <w:p w14:paraId="15557852" w14:textId="4A90762A"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4ECE9A12" w14:textId="77777777" w:rsidTr="003B3EF4">
        <w:trPr>
          <w:trHeight w:val="315"/>
          <w:jc w:val="center"/>
        </w:trPr>
        <w:tc>
          <w:tcPr>
            <w:tcW w:w="3420" w:type="dxa"/>
            <w:shd w:val="clear" w:color="000000" w:fill="C2D69A"/>
            <w:noWrap/>
            <w:vAlign w:val="bottom"/>
            <w:hideMark/>
          </w:tcPr>
          <w:p w14:paraId="0D68C0FA"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Total Current Assets</w:t>
            </w:r>
          </w:p>
        </w:tc>
        <w:tc>
          <w:tcPr>
            <w:tcW w:w="2673" w:type="dxa"/>
            <w:shd w:val="clear" w:color="000000" w:fill="C2D69A"/>
            <w:noWrap/>
            <w:vAlign w:val="bottom"/>
            <w:hideMark/>
          </w:tcPr>
          <w:p w14:paraId="06BFFA2F" w14:textId="5D089D1A"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0DED9BDE" w14:textId="7739986B"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6F814F5D" w14:textId="77777777"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11,514,960</w:t>
            </w:r>
          </w:p>
        </w:tc>
      </w:tr>
      <w:tr w:rsidR="006374F9" w:rsidRPr="003B3EF4" w14:paraId="6FC78B5C" w14:textId="77777777" w:rsidTr="003B3EF4">
        <w:trPr>
          <w:trHeight w:val="315"/>
          <w:jc w:val="center"/>
        </w:trPr>
        <w:tc>
          <w:tcPr>
            <w:tcW w:w="3420" w:type="dxa"/>
            <w:shd w:val="clear" w:color="000000" w:fill="C2D69A"/>
            <w:noWrap/>
            <w:vAlign w:val="bottom"/>
            <w:hideMark/>
          </w:tcPr>
          <w:p w14:paraId="66F984F8"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Fixed Assets:</w:t>
            </w:r>
          </w:p>
        </w:tc>
        <w:tc>
          <w:tcPr>
            <w:tcW w:w="2673" w:type="dxa"/>
            <w:shd w:val="clear" w:color="000000" w:fill="C2D69A"/>
            <w:noWrap/>
            <w:vAlign w:val="bottom"/>
            <w:hideMark/>
          </w:tcPr>
          <w:p w14:paraId="0D6F1588" w14:textId="2E7FE3B6"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7999CA69" w14:textId="77992D5E"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1BF70D57" w14:textId="2312056C"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430C8C48" w14:textId="77777777" w:rsidTr="003B3EF4">
        <w:trPr>
          <w:trHeight w:val="315"/>
          <w:jc w:val="center"/>
        </w:trPr>
        <w:tc>
          <w:tcPr>
            <w:tcW w:w="3420" w:type="dxa"/>
            <w:shd w:val="clear" w:color="000000" w:fill="C2D69A"/>
            <w:noWrap/>
            <w:vAlign w:val="bottom"/>
            <w:hideMark/>
          </w:tcPr>
          <w:p w14:paraId="553A3092"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Land</w:t>
            </w:r>
          </w:p>
        </w:tc>
        <w:tc>
          <w:tcPr>
            <w:tcW w:w="2673" w:type="dxa"/>
            <w:shd w:val="clear" w:color="000000" w:fill="C2D69A"/>
            <w:noWrap/>
            <w:vAlign w:val="bottom"/>
            <w:hideMark/>
          </w:tcPr>
          <w:p w14:paraId="34663D76" w14:textId="7B4F7ADB"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5150AB56"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20,000,000</w:t>
            </w:r>
          </w:p>
        </w:tc>
        <w:tc>
          <w:tcPr>
            <w:tcW w:w="1985" w:type="dxa"/>
            <w:shd w:val="clear" w:color="000000" w:fill="C2D69A"/>
            <w:noWrap/>
            <w:vAlign w:val="bottom"/>
            <w:hideMark/>
          </w:tcPr>
          <w:p w14:paraId="1EC9E96C" w14:textId="0566C3C0"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57B131CA" w14:textId="77777777" w:rsidTr="003B3EF4">
        <w:trPr>
          <w:trHeight w:val="315"/>
          <w:jc w:val="center"/>
        </w:trPr>
        <w:tc>
          <w:tcPr>
            <w:tcW w:w="3420" w:type="dxa"/>
            <w:shd w:val="clear" w:color="000000" w:fill="C2D69A"/>
            <w:noWrap/>
            <w:vAlign w:val="bottom"/>
            <w:hideMark/>
          </w:tcPr>
          <w:p w14:paraId="536E7AE6"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Building</w:t>
            </w:r>
          </w:p>
        </w:tc>
        <w:tc>
          <w:tcPr>
            <w:tcW w:w="2673" w:type="dxa"/>
            <w:shd w:val="clear" w:color="000000" w:fill="C2D69A"/>
            <w:noWrap/>
            <w:vAlign w:val="bottom"/>
            <w:hideMark/>
          </w:tcPr>
          <w:p w14:paraId="506DB41A" w14:textId="1F09E6C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16</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843" w:type="dxa"/>
            <w:shd w:val="clear" w:color="000000" w:fill="C2D69A"/>
            <w:noWrap/>
            <w:vAlign w:val="bottom"/>
            <w:hideMark/>
          </w:tcPr>
          <w:p w14:paraId="1BA32E87"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5E3CA5CA" w14:textId="5270431D"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46E4EBDC" w14:textId="77777777" w:rsidTr="003B3EF4">
        <w:trPr>
          <w:trHeight w:val="315"/>
          <w:jc w:val="center"/>
        </w:trPr>
        <w:tc>
          <w:tcPr>
            <w:tcW w:w="3420" w:type="dxa"/>
            <w:shd w:val="clear" w:color="000000" w:fill="C2D69A"/>
            <w:noWrap/>
            <w:vAlign w:val="bottom"/>
            <w:hideMark/>
          </w:tcPr>
          <w:p w14:paraId="43CFF271"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2% depreciation </w:t>
            </w:r>
          </w:p>
        </w:tc>
        <w:tc>
          <w:tcPr>
            <w:tcW w:w="2673" w:type="dxa"/>
            <w:shd w:val="clear" w:color="000000" w:fill="C2D69A"/>
            <w:noWrap/>
            <w:vAlign w:val="bottom"/>
            <w:hideMark/>
          </w:tcPr>
          <w:p w14:paraId="1B94ADA6"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-32000</w:t>
            </w:r>
          </w:p>
        </w:tc>
        <w:tc>
          <w:tcPr>
            <w:tcW w:w="1843" w:type="dxa"/>
            <w:shd w:val="clear" w:color="000000" w:fill="C2D69A"/>
            <w:noWrap/>
            <w:vAlign w:val="bottom"/>
            <w:hideMark/>
          </w:tcPr>
          <w:p w14:paraId="31D66F8E"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0A82618C"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615CCFF7" w14:textId="77777777" w:rsidTr="003B3EF4">
        <w:trPr>
          <w:trHeight w:val="315"/>
          <w:jc w:val="center"/>
        </w:trPr>
        <w:tc>
          <w:tcPr>
            <w:tcW w:w="3420" w:type="dxa"/>
            <w:shd w:val="clear" w:color="000000" w:fill="C2D69A"/>
            <w:noWrap/>
            <w:vAlign w:val="bottom"/>
            <w:hideMark/>
          </w:tcPr>
          <w:p w14:paraId="57393302"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Accumulated depreciation </w:t>
            </w:r>
          </w:p>
        </w:tc>
        <w:tc>
          <w:tcPr>
            <w:tcW w:w="2673" w:type="dxa"/>
            <w:shd w:val="clear" w:color="000000" w:fill="C2D69A"/>
            <w:noWrap/>
            <w:vAlign w:val="bottom"/>
            <w:hideMark/>
          </w:tcPr>
          <w:p w14:paraId="4866B6A2" w14:textId="4CD57E1C"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-4</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2</w:t>
            </w:r>
            <w:r w:rsidR="00BA7B6A">
              <w:rPr>
                <w:rFonts w:ascii="Arial" w:eastAsia="Times New Roman" w:hAnsi="Arial" w:cs="Arial"/>
                <w:color w:val="000000"/>
                <w:sz w:val="24"/>
                <w:szCs w:val="24"/>
              </w:rPr>
              <w:t>6</w:t>
            </w:r>
            <w:r w:rsidRPr="009465B6">
              <w:rPr>
                <w:rFonts w:ascii="Arial" w:eastAsia="Times New Roman" w:hAnsi="Arial" w:cs="Arial"/>
                <w:color w:val="000000"/>
                <w:sz w:val="24"/>
                <w:szCs w:val="24"/>
              </w:rPr>
              <w:t>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843" w:type="dxa"/>
            <w:shd w:val="clear" w:color="000000" w:fill="C2D69A"/>
            <w:noWrap/>
            <w:vAlign w:val="bottom"/>
            <w:hideMark/>
          </w:tcPr>
          <w:p w14:paraId="277935B3" w14:textId="2B7C843D"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11,4</w:t>
            </w:r>
            <w:r w:rsidR="00BA7B6A">
              <w:rPr>
                <w:rFonts w:ascii="Arial" w:eastAsia="Times New Roman" w:hAnsi="Arial" w:cs="Arial"/>
                <w:color w:val="000000"/>
                <w:sz w:val="24"/>
                <w:szCs w:val="24"/>
              </w:rPr>
              <w:t>2</w:t>
            </w:r>
            <w:r w:rsidRPr="009465B6">
              <w:rPr>
                <w:rFonts w:ascii="Arial" w:eastAsia="Times New Roman" w:hAnsi="Arial" w:cs="Arial"/>
                <w:color w:val="000000"/>
                <w:sz w:val="24"/>
                <w:szCs w:val="24"/>
              </w:rPr>
              <w:t>0,000</w:t>
            </w:r>
          </w:p>
        </w:tc>
        <w:tc>
          <w:tcPr>
            <w:tcW w:w="1985" w:type="dxa"/>
            <w:shd w:val="clear" w:color="000000" w:fill="C2D69A"/>
            <w:noWrap/>
            <w:vAlign w:val="bottom"/>
            <w:hideMark/>
          </w:tcPr>
          <w:p w14:paraId="700DED7D"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0A02B9AD" w14:textId="77777777" w:rsidTr="003B3EF4">
        <w:trPr>
          <w:trHeight w:val="315"/>
          <w:jc w:val="center"/>
        </w:trPr>
        <w:tc>
          <w:tcPr>
            <w:tcW w:w="3420" w:type="dxa"/>
            <w:shd w:val="clear" w:color="000000" w:fill="C2D69A"/>
            <w:noWrap/>
            <w:vAlign w:val="bottom"/>
            <w:hideMark/>
          </w:tcPr>
          <w:p w14:paraId="40A324CD"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lastRenderedPageBreak/>
              <w:t>Plant</w:t>
            </w:r>
          </w:p>
        </w:tc>
        <w:tc>
          <w:tcPr>
            <w:tcW w:w="2673" w:type="dxa"/>
            <w:shd w:val="clear" w:color="000000" w:fill="C2D69A"/>
            <w:noWrap/>
            <w:vAlign w:val="bottom"/>
            <w:hideMark/>
          </w:tcPr>
          <w:p w14:paraId="4DC79FCB" w14:textId="259CE59F"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25</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600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843" w:type="dxa"/>
            <w:shd w:val="clear" w:color="000000" w:fill="C2D69A"/>
            <w:noWrap/>
            <w:vAlign w:val="bottom"/>
            <w:hideMark/>
          </w:tcPr>
          <w:p w14:paraId="7E4A07FB"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79213532" w14:textId="37CB8960"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1E992183" w14:textId="77777777" w:rsidTr="003B3EF4">
        <w:trPr>
          <w:trHeight w:val="315"/>
          <w:jc w:val="center"/>
        </w:trPr>
        <w:tc>
          <w:tcPr>
            <w:tcW w:w="3420" w:type="dxa"/>
            <w:shd w:val="clear" w:color="000000" w:fill="C2D69A"/>
            <w:noWrap/>
            <w:vAlign w:val="bottom"/>
            <w:hideMark/>
          </w:tcPr>
          <w:p w14:paraId="2599D4BA"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10% Depreciation </w:t>
            </w:r>
          </w:p>
        </w:tc>
        <w:tc>
          <w:tcPr>
            <w:tcW w:w="2673" w:type="dxa"/>
            <w:shd w:val="clear" w:color="000000" w:fill="C2D69A"/>
            <w:noWrap/>
            <w:vAlign w:val="bottom"/>
            <w:hideMark/>
          </w:tcPr>
          <w:p w14:paraId="1982A3DD" w14:textId="2684A1E0"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2</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560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843" w:type="dxa"/>
            <w:shd w:val="clear" w:color="000000" w:fill="C2D69A"/>
            <w:noWrap/>
            <w:vAlign w:val="bottom"/>
            <w:hideMark/>
          </w:tcPr>
          <w:p w14:paraId="43D502EB"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5DDDBC99"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5420AC29" w14:textId="77777777" w:rsidTr="003B3EF4">
        <w:trPr>
          <w:trHeight w:val="315"/>
          <w:jc w:val="center"/>
        </w:trPr>
        <w:tc>
          <w:tcPr>
            <w:tcW w:w="3420" w:type="dxa"/>
            <w:shd w:val="clear" w:color="000000" w:fill="C2D69A"/>
            <w:noWrap/>
            <w:vAlign w:val="bottom"/>
            <w:hideMark/>
          </w:tcPr>
          <w:p w14:paraId="73A74F97"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Accumulated depreciation </w:t>
            </w:r>
          </w:p>
        </w:tc>
        <w:tc>
          <w:tcPr>
            <w:tcW w:w="2673" w:type="dxa"/>
            <w:shd w:val="clear" w:color="000000" w:fill="C2D69A"/>
            <w:noWrap/>
            <w:vAlign w:val="bottom"/>
            <w:hideMark/>
          </w:tcPr>
          <w:p w14:paraId="74A54C1D" w14:textId="69BE2501"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4</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960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843" w:type="dxa"/>
            <w:shd w:val="clear" w:color="000000" w:fill="C2D69A"/>
            <w:noWrap/>
            <w:vAlign w:val="bottom"/>
            <w:hideMark/>
          </w:tcPr>
          <w:p w14:paraId="0465E2E9" w14:textId="4CE6E931"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1</w:t>
            </w:r>
            <w:r w:rsidR="00BA7B6A">
              <w:rPr>
                <w:rFonts w:ascii="Arial" w:eastAsia="Times New Roman" w:hAnsi="Arial" w:cs="Arial"/>
                <w:color w:val="000000"/>
                <w:sz w:val="24"/>
                <w:szCs w:val="24"/>
              </w:rPr>
              <w:t>8</w:t>
            </w:r>
            <w:r w:rsidRPr="009465B6">
              <w:rPr>
                <w:rFonts w:ascii="Arial" w:eastAsia="Times New Roman" w:hAnsi="Arial" w:cs="Arial"/>
                <w:color w:val="000000"/>
                <w:sz w:val="24"/>
                <w:szCs w:val="24"/>
              </w:rPr>
              <w:t>,080,000</w:t>
            </w:r>
          </w:p>
        </w:tc>
        <w:tc>
          <w:tcPr>
            <w:tcW w:w="1985" w:type="dxa"/>
            <w:shd w:val="clear" w:color="000000" w:fill="C2D69A"/>
            <w:noWrap/>
            <w:vAlign w:val="bottom"/>
            <w:hideMark/>
          </w:tcPr>
          <w:p w14:paraId="53BEA730"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02D5905F" w14:textId="77777777" w:rsidTr="003B3EF4">
        <w:trPr>
          <w:trHeight w:val="315"/>
          <w:jc w:val="center"/>
        </w:trPr>
        <w:tc>
          <w:tcPr>
            <w:tcW w:w="3420" w:type="dxa"/>
            <w:shd w:val="clear" w:color="000000" w:fill="C2D69A"/>
            <w:noWrap/>
            <w:vAlign w:val="bottom"/>
            <w:hideMark/>
          </w:tcPr>
          <w:p w14:paraId="047984EE"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Total Fixed Assets</w:t>
            </w:r>
          </w:p>
        </w:tc>
        <w:tc>
          <w:tcPr>
            <w:tcW w:w="2673" w:type="dxa"/>
            <w:shd w:val="clear" w:color="000000" w:fill="C2D69A"/>
            <w:noWrap/>
            <w:vAlign w:val="bottom"/>
            <w:hideMark/>
          </w:tcPr>
          <w:p w14:paraId="44ED3E61" w14:textId="3329172D"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5C7EF79D" w14:textId="4A6E5760"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0DEE1CDA" w14:textId="77777777"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50,560,000</w:t>
            </w:r>
          </w:p>
        </w:tc>
      </w:tr>
      <w:tr w:rsidR="006374F9" w:rsidRPr="003B3EF4" w14:paraId="78987F8F" w14:textId="77777777" w:rsidTr="003B3EF4">
        <w:trPr>
          <w:trHeight w:val="315"/>
          <w:jc w:val="center"/>
        </w:trPr>
        <w:tc>
          <w:tcPr>
            <w:tcW w:w="3420" w:type="dxa"/>
            <w:shd w:val="clear" w:color="000000" w:fill="C2D69A"/>
            <w:noWrap/>
            <w:vAlign w:val="bottom"/>
            <w:hideMark/>
          </w:tcPr>
          <w:p w14:paraId="56103054"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Total Assets</w:t>
            </w:r>
          </w:p>
        </w:tc>
        <w:tc>
          <w:tcPr>
            <w:tcW w:w="2673" w:type="dxa"/>
            <w:shd w:val="clear" w:color="000000" w:fill="C2D69A"/>
            <w:noWrap/>
            <w:vAlign w:val="bottom"/>
            <w:hideMark/>
          </w:tcPr>
          <w:p w14:paraId="461AD99D" w14:textId="4A6AD750"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0F1B3760" w14:textId="061ACAD5"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22282176" w14:textId="77777777"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60,774,960</w:t>
            </w:r>
          </w:p>
        </w:tc>
      </w:tr>
      <w:tr w:rsidR="006374F9" w:rsidRPr="003B3EF4" w14:paraId="2A053B52" w14:textId="77777777" w:rsidTr="003B3EF4">
        <w:trPr>
          <w:trHeight w:val="315"/>
          <w:jc w:val="center"/>
        </w:trPr>
        <w:tc>
          <w:tcPr>
            <w:tcW w:w="3420" w:type="dxa"/>
            <w:shd w:val="clear" w:color="000000" w:fill="C2D69A"/>
            <w:noWrap/>
            <w:vAlign w:val="bottom"/>
            <w:hideMark/>
          </w:tcPr>
          <w:p w14:paraId="0D628D09" w14:textId="77777777" w:rsidR="006374F9" w:rsidRPr="003B3EF4" w:rsidRDefault="006374F9" w:rsidP="009465B6">
            <w:pPr>
              <w:spacing w:after="0" w:line="240" w:lineRule="auto"/>
              <w:jc w:val="center"/>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Capital and Liabilities</w:t>
            </w:r>
          </w:p>
        </w:tc>
        <w:tc>
          <w:tcPr>
            <w:tcW w:w="2673" w:type="dxa"/>
            <w:shd w:val="clear" w:color="000000" w:fill="C2D69A"/>
            <w:noWrap/>
            <w:vAlign w:val="bottom"/>
            <w:hideMark/>
          </w:tcPr>
          <w:p w14:paraId="18C93DF5" w14:textId="7FD2FA37"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7B5A8F81" w14:textId="4CE3EF65"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5C404E35" w14:textId="1661F98D"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1A88B17B" w14:textId="77777777" w:rsidTr="003B3EF4">
        <w:trPr>
          <w:trHeight w:val="315"/>
          <w:jc w:val="center"/>
        </w:trPr>
        <w:tc>
          <w:tcPr>
            <w:tcW w:w="3420" w:type="dxa"/>
            <w:shd w:val="clear" w:color="000000" w:fill="C2D69A"/>
            <w:noWrap/>
            <w:vAlign w:val="bottom"/>
            <w:hideMark/>
          </w:tcPr>
          <w:p w14:paraId="25C17A21"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Current Liabilities:</w:t>
            </w:r>
          </w:p>
        </w:tc>
        <w:tc>
          <w:tcPr>
            <w:tcW w:w="2673" w:type="dxa"/>
            <w:shd w:val="clear" w:color="000000" w:fill="C2D69A"/>
            <w:noWrap/>
            <w:vAlign w:val="bottom"/>
            <w:hideMark/>
          </w:tcPr>
          <w:p w14:paraId="0A770674" w14:textId="5BD60E3C"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133F480A" w14:textId="5F63E15D"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7DBB6E70" w14:textId="47AF4940"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5D9B55D4" w14:textId="77777777" w:rsidTr="003B3EF4">
        <w:trPr>
          <w:trHeight w:val="315"/>
          <w:jc w:val="center"/>
        </w:trPr>
        <w:tc>
          <w:tcPr>
            <w:tcW w:w="3420" w:type="dxa"/>
            <w:shd w:val="clear" w:color="000000" w:fill="C2D69A"/>
            <w:noWrap/>
            <w:vAlign w:val="bottom"/>
            <w:hideMark/>
          </w:tcPr>
          <w:p w14:paraId="090D79A7"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Payables</w:t>
            </w:r>
          </w:p>
        </w:tc>
        <w:tc>
          <w:tcPr>
            <w:tcW w:w="2673" w:type="dxa"/>
            <w:shd w:val="clear" w:color="000000" w:fill="C2D69A"/>
            <w:noWrap/>
            <w:vAlign w:val="bottom"/>
            <w:hideMark/>
          </w:tcPr>
          <w:p w14:paraId="6500B775" w14:textId="3DECF02F"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678B01C2"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4,480,000</w:t>
            </w:r>
          </w:p>
        </w:tc>
        <w:tc>
          <w:tcPr>
            <w:tcW w:w="1985" w:type="dxa"/>
            <w:shd w:val="clear" w:color="000000" w:fill="C2D69A"/>
            <w:noWrap/>
            <w:vAlign w:val="bottom"/>
            <w:hideMark/>
          </w:tcPr>
          <w:p w14:paraId="5ACF4BC9" w14:textId="2A99EA7A"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152CFDD8" w14:textId="77777777" w:rsidTr="003B3EF4">
        <w:trPr>
          <w:trHeight w:val="315"/>
          <w:jc w:val="center"/>
        </w:trPr>
        <w:tc>
          <w:tcPr>
            <w:tcW w:w="3420" w:type="dxa"/>
            <w:shd w:val="clear" w:color="000000" w:fill="C2D69A"/>
            <w:noWrap/>
            <w:vAlign w:val="bottom"/>
            <w:hideMark/>
          </w:tcPr>
          <w:p w14:paraId="13195A63"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Outstanding insurance fee</w:t>
            </w:r>
          </w:p>
        </w:tc>
        <w:tc>
          <w:tcPr>
            <w:tcW w:w="2673" w:type="dxa"/>
            <w:shd w:val="clear" w:color="000000" w:fill="C2D69A"/>
            <w:noWrap/>
            <w:vAlign w:val="bottom"/>
            <w:hideMark/>
          </w:tcPr>
          <w:p w14:paraId="4EAD41BC" w14:textId="45C7137D"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67BFA4DB"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500</w:t>
            </w:r>
          </w:p>
        </w:tc>
        <w:tc>
          <w:tcPr>
            <w:tcW w:w="1985" w:type="dxa"/>
            <w:shd w:val="clear" w:color="000000" w:fill="C2D69A"/>
            <w:noWrap/>
            <w:vAlign w:val="bottom"/>
            <w:hideMark/>
          </w:tcPr>
          <w:p w14:paraId="3E24646A" w14:textId="6DC51612"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4775B970" w14:textId="77777777" w:rsidTr="003B3EF4">
        <w:trPr>
          <w:trHeight w:val="315"/>
          <w:jc w:val="center"/>
        </w:trPr>
        <w:tc>
          <w:tcPr>
            <w:tcW w:w="3420" w:type="dxa"/>
            <w:shd w:val="clear" w:color="000000" w:fill="C2D69A"/>
            <w:noWrap/>
            <w:vAlign w:val="bottom"/>
            <w:hideMark/>
          </w:tcPr>
          <w:p w14:paraId="7A12F7F2"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Total Current Liabilities</w:t>
            </w:r>
          </w:p>
        </w:tc>
        <w:tc>
          <w:tcPr>
            <w:tcW w:w="2673" w:type="dxa"/>
            <w:shd w:val="clear" w:color="000000" w:fill="C2D69A"/>
            <w:noWrap/>
            <w:vAlign w:val="bottom"/>
            <w:hideMark/>
          </w:tcPr>
          <w:p w14:paraId="44BEECC2" w14:textId="01438924"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6B8DB367" w14:textId="15C9874D"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985" w:type="dxa"/>
            <w:shd w:val="clear" w:color="auto" w:fill="C2D69B" w:themeFill="accent3" w:themeFillTint="99"/>
            <w:noWrap/>
            <w:vAlign w:val="bottom"/>
            <w:hideMark/>
          </w:tcPr>
          <w:p w14:paraId="362869F5" w14:textId="77777777"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4,480,500</w:t>
            </w:r>
          </w:p>
        </w:tc>
      </w:tr>
      <w:tr w:rsidR="006374F9" w:rsidRPr="003B3EF4" w14:paraId="7ADC797B" w14:textId="77777777" w:rsidTr="003B3EF4">
        <w:trPr>
          <w:trHeight w:val="315"/>
          <w:jc w:val="center"/>
        </w:trPr>
        <w:tc>
          <w:tcPr>
            <w:tcW w:w="3420" w:type="dxa"/>
            <w:shd w:val="clear" w:color="000000" w:fill="C2D69A"/>
            <w:noWrap/>
            <w:vAlign w:val="bottom"/>
            <w:hideMark/>
          </w:tcPr>
          <w:p w14:paraId="0A57EAF0"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Long-term Liabilities:</w:t>
            </w:r>
          </w:p>
        </w:tc>
        <w:tc>
          <w:tcPr>
            <w:tcW w:w="2673" w:type="dxa"/>
            <w:shd w:val="clear" w:color="000000" w:fill="C2D69A"/>
            <w:noWrap/>
            <w:vAlign w:val="bottom"/>
            <w:hideMark/>
          </w:tcPr>
          <w:p w14:paraId="69DCA638" w14:textId="16F0DEAE"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50E1928D" w14:textId="6F5858A1"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985" w:type="dxa"/>
            <w:shd w:val="clear" w:color="auto" w:fill="C2D69B" w:themeFill="accent3" w:themeFillTint="99"/>
            <w:noWrap/>
            <w:vAlign w:val="bottom"/>
            <w:hideMark/>
          </w:tcPr>
          <w:p w14:paraId="78C00DC0"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203C01B5" w14:textId="77777777" w:rsidTr="003B3EF4">
        <w:trPr>
          <w:trHeight w:val="315"/>
          <w:jc w:val="center"/>
        </w:trPr>
        <w:tc>
          <w:tcPr>
            <w:tcW w:w="3420" w:type="dxa"/>
            <w:shd w:val="clear" w:color="000000" w:fill="C2D69A"/>
            <w:noWrap/>
            <w:vAlign w:val="bottom"/>
            <w:hideMark/>
          </w:tcPr>
          <w:p w14:paraId="772D51E6"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Debenture </w:t>
            </w:r>
          </w:p>
        </w:tc>
        <w:tc>
          <w:tcPr>
            <w:tcW w:w="2673" w:type="dxa"/>
            <w:shd w:val="clear" w:color="000000" w:fill="C2D69A"/>
            <w:noWrap/>
            <w:vAlign w:val="bottom"/>
            <w:hideMark/>
          </w:tcPr>
          <w:p w14:paraId="20ABEC41" w14:textId="319B8052"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7E932B4A" w14:textId="2B4D1984"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6EF0A021" w14:textId="01A7CBF4"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4</w:t>
            </w:r>
            <w:r w:rsidR="00BA7B6A">
              <w:rPr>
                <w:rFonts w:ascii="Arial" w:eastAsia="Times New Roman" w:hAnsi="Arial" w:cs="Arial"/>
                <w:color w:val="000000"/>
                <w:sz w:val="24"/>
                <w:szCs w:val="24"/>
              </w:rPr>
              <w:t>,</w:t>
            </w:r>
            <w:r w:rsidRPr="003B3EF4">
              <w:rPr>
                <w:rFonts w:ascii="Arial" w:eastAsia="Times New Roman" w:hAnsi="Arial" w:cs="Arial"/>
                <w:color w:val="000000"/>
                <w:sz w:val="24"/>
                <w:szCs w:val="24"/>
              </w:rPr>
              <w:t>000</w:t>
            </w:r>
            <w:r w:rsidR="00BA7B6A">
              <w:rPr>
                <w:rFonts w:ascii="Arial" w:eastAsia="Times New Roman" w:hAnsi="Arial" w:cs="Arial"/>
                <w:color w:val="000000"/>
                <w:sz w:val="24"/>
                <w:szCs w:val="24"/>
              </w:rPr>
              <w:t>,</w:t>
            </w:r>
            <w:r w:rsidRPr="003B3EF4">
              <w:rPr>
                <w:rFonts w:ascii="Arial" w:eastAsia="Times New Roman" w:hAnsi="Arial" w:cs="Arial"/>
                <w:color w:val="000000"/>
                <w:sz w:val="24"/>
                <w:szCs w:val="24"/>
              </w:rPr>
              <w:t>000</w:t>
            </w:r>
          </w:p>
        </w:tc>
      </w:tr>
      <w:tr w:rsidR="006374F9" w:rsidRPr="003B3EF4" w14:paraId="6F622051" w14:textId="77777777" w:rsidTr="003B3EF4">
        <w:trPr>
          <w:trHeight w:val="315"/>
          <w:jc w:val="center"/>
        </w:trPr>
        <w:tc>
          <w:tcPr>
            <w:tcW w:w="3420" w:type="dxa"/>
            <w:shd w:val="clear" w:color="000000" w:fill="C2D69A"/>
            <w:noWrap/>
            <w:vAlign w:val="bottom"/>
            <w:hideMark/>
          </w:tcPr>
          <w:p w14:paraId="391A5000"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12% debentures </w:t>
            </w:r>
          </w:p>
        </w:tc>
        <w:tc>
          <w:tcPr>
            <w:tcW w:w="2673" w:type="dxa"/>
            <w:shd w:val="clear" w:color="000000" w:fill="C2D69A"/>
            <w:noWrap/>
            <w:vAlign w:val="bottom"/>
            <w:hideMark/>
          </w:tcPr>
          <w:p w14:paraId="417BE246" w14:textId="3596973A" w:rsidR="006374F9" w:rsidRPr="009465B6" w:rsidRDefault="006374F9" w:rsidP="003B3EF4">
            <w:pPr>
              <w:spacing w:after="0" w:line="240" w:lineRule="auto"/>
              <w:jc w:val="center"/>
              <w:rPr>
                <w:rFonts w:ascii="Arial" w:eastAsia="Times New Roman" w:hAnsi="Arial" w:cs="Arial"/>
                <w:b/>
                <w:bCs/>
                <w:color w:val="000000"/>
                <w:sz w:val="24"/>
                <w:szCs w:val="24"/>
              </w:rPr>
            </w:pPr>
          </w:p>
        </w:tc>
        <w:tc>
          <w:tcPr>
            <w:tcW w:w="1843" w:type="dxa"/>
            <w:shd w:val="clear" w:color="000000" w:fill="C2D69A"/>
            <w:noWrap/>
            <w:vAlign w:val="bottom"/>
            <w:hideMark/>
          </w:tcPr>
          <w:p w14:paraId="48A45BD7" w14:textId="47D8AEB3"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64641AB9" w14:textId="1D480D4F"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240</w:t>
            </w:r>
            <w:r w:rsidR="00BA7B6A">
              <w:rPr>
                <w:rFonts w:ascii="Arial" w:eastAsia="Times New Roman" w:hAnsi="Arial" w:cs="Arial"/>
                <w:color w:val="000000"/>
                <w:sz w:val="24"/>
                <w:szCs w:val="24"/>
              </w:rPr>
              <w:t>,</w:t>
            </w:r>
            <w:r w:rsidRPr="003B3EF4">
              <w:rPr>
                <w:rFonts w:ascii="Arial" w:eastAsia="Times New Roman" w:hAnsi="Arial" w:cs="Arial"/>
                <w:color w:val="000000"/>
                <w:sz w:val="24"/>
                <w:szCs w:val="24"/>
              </w:rPr>
              <w:t>000</w:t>
            </w:r>
          </w:p>
        </w:tc>
      </w:tr>
      <w:tr w:rsidR="006374F9" w:rsidRPr="003B3EF4" w14:paraId="68FCF334" w14:textId="77777777" w:rsidTr="003B3EF4">
        <w:trPr>
          <w:trHeight w:val="315"/>
          <w:jc w:val="center"/>
        </w:trPr>
        <w:tc>
          <w:tcPr>
            <w:tcW w:w="3420" w:type="dxa"/>
            <w:shd w:val="clear" w:color="000000" w:fill="C2D69A"/>
            <w:noWrap/>
            <w:vAlign w:val="bottom"/>
            <w:hideMark/>
          </w:tcPr>
          <w:p w14:paraId="227EBFF5"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Capital</w:t>
            </w:r>
          </w:p>
        </w:tc>
        <w:tc>
          <w:tcPr>
            <w:tcW w:w="2673" w:type="dxa"/>
            <w:shd w:val="clear" w:color="000000" w:fill="C2D69A"/>
            <w:noWrap/>
            <w:vAlign w:val="bottom"/>
            <w:hideMark/>
          </w:tcPr>
          <w:p w14:paraId="7396EFA5" w14:textId="6D346E90"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00747E63" w14:textId="5EB2E962"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10214FBE" w14:textId="3CECA2E1"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48BEFD25" w14:textId="77777777" w:rsidTr="003B3EF4">
        <w:trPr>
          <w:trHeight w:val="315"/>
          <w:jc w:val="center"/>
        </w:trPr>
        <w:tc>
          <w:tcPr>
            <w:tcW w:w="3420" w:type="dxa"/>
            <w:shd w:val="clear" w:color="000000" w:fill="C2D69A"/>
            <w:noWrap/>
            <w:vAlign w:val="bottom"/>
            <w:hideMark/>
          </w:tcPr>
          <w:p w14:paraId="4B0B0CA9"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Share premium  </w:t>
            </w:r>
          </w:p>
        </w:tc>
        <w:tc>
          <w:tcPr>
            <w:tcW w:w="2673" w:type="dxa"/>
            <w:shd w:val="clear" w:color="000000" w:fill="C2D69A"/>
            <w:noWrap/>
            <w:vAlign w:val="bottom"/>
            <w:hideMark/>
          </w:tcPr>
          <w:p w14:paraId="01F18DCF"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2AD9EC95" w14:textId="7C76720F"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5</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985" w:type="dxa"/>
            <w:shd w:val="clear" w:color="000000" w:fill="C2D69A"/>
            <w:noWrap/>
            <w:vAlign w:val="bottom"/>
            <w:hideMark/>
          </w:tcPr>
          <w:p w14:paraId="0555D452" w14:textId="5D3172C5"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0D5DB11C" w14:textId="77777777" w:rsidTr="003B3EF4">
        <w:trPr>
          <w:trHeight w:val="315"/>
          <w:jc w:val="center"/>
        </w:trPr>
        <w:tc>
          <w:tcPr>
            <w:tcW w:w="3420" w:type="dxa"/>
            <w:shd w:val="clear" w:color="000000" w:fill="C2D69A"/>
            <w:noWrap/>
            <w:vAlign w:val="bottom"/>
            <w:hideMark/>
          </w:tcPr>
          <w:p w14:paraId="6202467C"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Capital  </w:t>
            </w:r>
          </w:p>
        </w:tc>
        <w:tc>
          <w:tcPr>
            <w:tcW w:w="2673" w:type="dxa"/>
            <w:shd w:val="clear" w:color="000000" w:fill="C2D69A"/>
            <w:noWrap/>
            <w:vAlign w:val="bottom"/>
            <w:hideMark/>
          </w:tcPr>
          <w:p w14:paraId="0C56FF48" w14:textId="77777777" w:rsidR="006374F9" w:rsidRPr="009465B6" w:rsidRDefault="006374F9" w:rsidP="003B3EF4">
            <w:pPr>
              <w:spacing w:after="0" w:line="240" w:lineRule="auto"/>
              <w:jc w:val="center"/>
              <w:rPr>
                <w:rFonts w:ascii="Arial" w:eastAsia="Times New Roman" w:hAnsi="Arial" w:cs="Arial"/>
                <w:color w:val="000000"/>
                <w:sz w:val="24"/>
                <w:szCs w:val="24"/>
              </w:rPr>
            </w:pPr>
          </w:p>
        </w:tc>
        <w:tc>
          <w:tcPr>
            <w:tcW w:w="1843" w:type="dxa"/>
            <w:shd w:val="clear" w:color="000000" w:fill="C2D69A"/>
            <w:noWrap/>
            <w:vAlign w:val="bottom"/>
            <w:hideMark/>
          </w:tcPr>
          <w:p w14:paraId="008C26C8" w14:textId="23E5B2B0"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29</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985" w:type="dxa"/>
            <w:shd w:val="clear" w:color="000000" w:fill="C2D69A"/>
            <w:noWrap/>
            <w:vAlign w:val="bottom"/>
            <w:hideMark/>
          </w:tcPr>
          <w:p w14:paraId="1BB86DEC" w14:textId="77777777"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221A947A" w14:textId="77777777" w:rsidTr="003B3EF4">
        <w:trPr>
          <w:trHeight w:val="315"/>
          <w:jc w:val="center"/>
        </w:trPr>
        <w:tc>
          <w:tcPr>
            <w:tcW w:w="3420" w:type="dxa"/>
            <w:shd w:val="clear" w:color="000000" w:fill="C2D69A"/>
            <w:noWrap/>
            <w:vAlign w:val="bottom"/>
            <w:hideMark/>
          </w:tcPr>
          <w:p w14:paraId="5E602AE4"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Add: Net Profit</w:t>
            </w:r>
          </w:p>
        </w:tc>
        <w:tc>
          <w:tcPr>
            <w:tcW w:w="2673" w:type="dxa"/>
            <w:shd w:val="clear" w:color="000000" w:fill="C2D69A"/>
            <w:noWrap/>
            <w:vAlign w:val="bottom"/>
            <w:hideMark/>
          </w:tcPr>
          <w:p w14:paraId="2A5A595D"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67230F90" w14:textId="77777777"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5,714,460</w:t>
            </w:r>
          </w:p>
        </w:tc>
        <w:tc>
          <w:tcPr>
            <w:tcW w:w="1985" w:type="dxa"/>
            <w:shd w:val="clear" w:color="000000" w:fill="C2D69A"/>
            <w:noWrap/>
            <w:vAlign w:val="bottom"/>
            <w:hideMark/>
          </w:tcPr>
          <w:p w14:paraId="4718EBCB" w14:textId="4D0CD206"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03831EC6" w14:textId="77777777" w:rsidTr="003B3EF4">
        <w:trPr>
          <w:trHeight w:val="315"/>
          <w:jc w:val="center"/>
        </w:trPr>
        <w:tc>
          <w:tcPr>
            <w:tcW w:w="3420" w:type="dxa"/>
            <w:shd w:val="clear" w:color="000000" w:fill="C2D69A"/>
            <w:noWrap/>
            <w:vAlign w:val="bottom"/>
            <w:hideMark/>
          </w:tcPr>
          <w:p w14:paraId="70BEDBF7"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Retained Earnings </w:t>
            </w:r>
          </w:p>
        </w:tc>
        <w:tc>
          <w:tcPr>
            <w:tcW w:w="2673" w:type="dxa"/>
            <w:shd w:val="clear" w:color="000000" w:fill="C2D69A"/>
            <w:noWrap/>
            <w:vAlign w:val="bottom"/>
            <w:hideMark/>
          </w:tcPr>
          <w:p w14:paraId="65099627"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3BD24716" w14:textId="590B4459"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8</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380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985" w:type="dxa"/>
            <w:shd w:val="clear" w:color="000000" w:fill="C2D69A"/>
            <w:noWrap/>
            <w:vAlign w:val="bottom"/>
            <w:hideMark/>
          </w:tcPr>
          <w:p w14:paraId="0CFDE692" w14:textId="7FE1FD94"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40DAC7E3" w14:textId="77777777" w:rsidTr="003B3EF4">
        <w:trPr>
          <w:trHeight w:val="315"/>
          <w:jc w:val="center"/>
        </w:trPr>
        <w:tc>
          <w:tcPr>
            <w:tcW w:w="3420" w:type="dxa"/>
            <w:shd w:val="clear" w:color="000000" w:fill="C2D69A"/>
            <w:noWrap/>
            <w:vAlign w:val="bottom"/>
            <w:hideMark/>
          </w:tcPr>
          <w:p w14:paraId="58403A17"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Dividend Paid </w:t>
            </w:r>
          </w:p>
        </w:tc>
        <w:tc>
          <w:tcPr>
            <w:tcW w:w="2673" w:type="dxa"/>
            <w:shd w:val="clear" w:color="000000" w:fill="C2D69A"/>
            <w:noWrap/>
            <w:vAlign w:val="bottom"/>
            <w:hideMark/>
          </w:tcPr>
          <w:p w14:paraId="33016BFB"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58985E0A" w14:textId="2049F21C"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560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985" w:type="dxa"/>
            <w:shd w:val="clear" w:color="000000" w:fill="C2D69A"/>
            <w:noWrap/>
            <w:vAlign w:val="bottom"/>
            <w:hideMark/>
          </w:tcPr>
          <w:p w14:paraId="685C8803" w14:textId="1BCA08F5"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79885CAB" w14:textId="77777777" w:rsidTr="003B3EF4">
        <w:trPr>
          <w:trHeight w:val="315"/>
          <w:jc w:val="center"/>
        </w:trPr>
        <w:tc>
          <w:tcPr>
            <w:tcW w:w="3420" w:type="dxa"/>
            <w:shd w:val="clear" w:color="000000" w:fill="C2D69A"/>
            <w:noWrap/>
            <w:vAlign w:val="bottom"/>
            <w:hideMark/>
          </w:tcPr>
          <w:p w14:paraId="24331F6A"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Revaluation reserve</w:t>
            </w:r>
          </w:p>
        </w:tc>
        <w:tc>
          <w:tcPr>
            <w:tcW w:w="2673" w:type="dxa"/>
            <w:shd w:val="clear" w:color="000000" w:fill="C2D69A"/>
            <w:noWrap/>
            <w:vAlign w:val="bottom"/>
            <w:hideMark/>
          </w:tcPr>
          <w:p w14:paraId="5848F814"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0261F78D" w14:textId="754A1F15" w:rsidR="006374F9" w:rsidRPr="009465B6" w:rsidRDefault="006374F9" w:rsidP="003B3EF4">
            <w:pPr>
              <w:spacing w:after="0" w:line="240" w:lineRule="auto"/>
              <w:jc w:val="center"/>
              <w:rPr>
                <w:rFonts w:ascii="Arial" w:eastAsia="Times New Roman" w:hAnsi="Arial" w:cs="Arial"/>
                <w:color w:val="000000"/>
                <w:sz w:val="24"/>
                <w:szCs w:val="24"/>
              </w:rPr>
            </w:pPr>
            <w:r w:rsidRPr="009465B6">
              <w:rPr>
                <w:rFonts w:ascii="Arial" w:eastAsia="Times New Roman" w:hAnsi="Arial" w:cs="Arial"/>
                <w:color w:val="000000"/>
                <w:sz w:val="24"/>
                <w:szCs w:val="24"/>
              </w:rPr>
              <w:t>5</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r w:rsidR="00BA7B6A">
              <w:rPr>
                <w:rFonts w:ascii="Arial" w:eastAsia="Times New Roman" w:hAnsi="Arial" w:cs="Arial"/>
                <w:color w:val="000000"/>
                <w:sz w:val="24"/>
                <w:szCs w:val="24"/>
              </w:rPr>
              <w:t>,</w:t>
            </w:r>
            <w:r w:rsidRPr="009465B6">
              <w:rPr>
                <w:rFonts w:ascii="Arial" w:eastAsia="Times New Roman" w:hAnsi="Arial" w:cs="Arial"/>
                <w:color w:val="000000"/>
                <w:sz w:val="24"/>
                <w:szCs w:val="24"/>
              </w:rPr>
              <w:t>000</w:t>
            </w:r>
          </w:p>
        </w:tc>
        <w:tc>
          <w:tcPr>
            <w:tcW w:w="1985" w:type="dxa"/>
            <w:shd w:val="clear" w:color="000000" w:fill="C2D69A"/>
            <w:noWrap/>
            <w:vAlign w:val="bottom"/>
            <w:hideMark/>
          </w:tcPr>
          <w:p w14:paraId="03629F5D" w14:textId="30C671F3" w:rsidR="006374F9" w:rsidRPr="003B3EF4" w:rsidRDefault="006374F9" w:rsidP="003B3EF4">
            <w:pPr>
              <w:spacing w:after="0" w:line="240" w:lineRule="auto"/>
              <w:jc w:val="center"/>
              <w:rPr>
                <w:rFonts w:ascii="Arial" w:eastAsia="Times New Roman" w:hAnsi="Arial" w:cs="Arial"/>
                <w:color w:val="000000"/>
                <w:sz w:val="24"/>
                <w:szCs w:val="24"/>
              </w:rPr>
            </w:pPr>
          </w:p>
        </w:tc>
      </w:tr>
      <w:tr w:rsidR="006374F9" w:rsidRPr="003B3EF4" w14:paraId="6F8B8841" w14:textId="77777777" w:rsidTr="003B3EF4">
        <w:trPr>
          <w:trHeight w:val="315"/>
          <w:jc w:val="center"/>
        </w:trPr>
        <w:tc>
          <w:tcPr>
            <w:tcW w:w="3420" w:type="dxa"/>
            <w:shd w:val="clear" w:color="000000" w:fill="C2D69A"/>
            <w:noWrap/>
            <w:vAlign w:val="bottom"/>
            <w:hideMark/>
          </w:tcPr>
          <w:p w14:paraId="7F58118E"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Total capital</w:t>
            </w:r>
          </w:p>
        </w:tc>
        <w:tc>
          <w:tcPr>
            <w:tcW w:w="2673" w:type="dxa"/>
            <w:shd w:val="clear" w:color="000000" w:fill="C2D69A"/>
            <w:noWrap/>
            <w:vAlign w:val="bottom"/>
            <w:hideMark/>
          </w:tcPr>
          <w:p w14:paraId="70A678D5"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3D767425" w14:textId="10B04512"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04529785" w14:textId="77777777"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53,654,460</w:t>
            </w:r>
          </w:p>
        </w:tc>
      </w:tr>
      <w:tr w:rsidR="006374F9" w:rsidRPr="003B3EF4" w14:paraId="3687DDD4" w14:textId="77777777" w:rsidTr="003B3EF4">
        <w:trPr>
          <w:trHeight w:val="315"/>
          <w:jc w:val="center"/>
        </w:trPr>
        <w:tc>
          <w:tcPr>
            <w:tcW w:w="3420" w:type="dxa"/>
            <w:shd w:val="clear" w:color="000000" w:fill="C2D69A"/>
            <w:noWrap/>
            <w:vAlign w:val="bottom"/>
            <w:hideMark/>
          </w:tcPr>
          <w:p w14:paraId="56F715A1"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Total capital and liability </w:t>
            </w:r>
          </w:p>
        </w:tc>
        <w:tc>
          <w:tcPr>
            <w:tcW w:w="2673" w:type="dxa"/>
            <w:shd w:val="clear" w:color="000000" w:fill="C2D69A"/>
            <w:noWrap/>
            <w:vAlign w:val="bottom"/>
            <w:hideMark/>
          </w:tcPr>
          <w:p w14:paraId="6005B09B" w14:textId="77777777" w:rsidR="006374F9" w:rsidRPr="009465B6" w:rsidRDefault="006374F9" w:rsidP="003B3EF4">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55551275" w14:textId="55568FAA" w:rsidR="006374F9" w:rsidRPr="009465B6" w:rsidRDefault="006374F9" w:rsidP="003B3EF4">
            <w:pPr>
              <w:spacing w:after="0" w:line="240" w:lineRule="auto"/>
              <w:jc w:val="center"/>
              <w:rPr>
                <w:rFonts w:ascii="Arial" w:eastAsia="Times New Roman" w:hAnsi="Arial" w:cs="Arial"/>
                <w:color w:val="000000"/>
                <w:sz w:val="24"/>
                <w:szCs w:val="24"/>
              </w:rPr>
            </w:pPr>
          </w:p>
        </w:tc>
        <w:tc>
          <w:tcPr>
            <w:tcW w:w="1985" w:type="dxa"/>
            <w:shd w:val="clear" w:color="000000" w:fill="C2D69A"/>
            <w:noWrap/>
            <w:vAlign w:val="bottom"/>
            <w:hideMark/>
          </w:tcPr>
          <w:p w14:paraId="3BB1FEC7" w14:textId="77777777" w:rsidR="006374F9" w:rsidRPr="003B3EF4" w:rsidRDefault="006374F9" w:rsidP="003B3EF4">
            <w:pPr>
              <w:spacing w:after="0" w:line="240" w:lineRule="auto"/>
              <w:jc w:val="center"/>
              <w:rPr>
                <w:rFonts w:ascii="Arial" w:eastAsia="Times New Roman" w:hAnsi="Arial" w:cs="Arial"/>
                <w:color w:val="000000"/>
                <w:sz w:val="24"/>
                <w:szCs w:val="24"/>
              </w:rPr>
            </w:pPr>
            <w:r w:rsidRPr="003B3EF4">
              <w:rPr>
                <w:rFonts w:ascii="Arial" w:eastAsia="Times New Roman" w:hAnsi="Arial" w:cs="Arial"/>
                <w:color w:val="000000"/>
                <w:sz w:val="24"/>
                <w:szCs w:val="24"/>
              </w:rPr>
              <w:t>62,374,960</w:t>
            </w:r>
          </w:p>
        </w:tc>
      </w:tr>
      <w:tr w:rsidR="006374F9" w:rsidRPr="003B3EF4" w14:paraId="3FE342D6" w14:textId="77777777" w:rsidTr="003B3EF4">
        <w:trPr>
          <w:trHeight w:val="315"/>
          <w:jc w:val="center"/>
        </w:trPr>
        <w:tc>
          <w:tcPr>
            <w:tcW w:w="3420" w:type="dxa"/>
            <w:shd w:val="clear" w:color="000000" w:fill="C2D69A"/>
            <w:noWrap/>
            <w:vAlign w:val="bottom"/>
            <w:hideMark/>
          </w:tcPr>
          <w:p w14:paraId="1555D713"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 xml:space="preserve">Income tax liability </w:t>
            </w:r>
          </w:p>
        </w:tc>
        <w:tc>
          <w:tcPr>
            <w:tcW w:w="2673" w:type="dxa"/>
            <w:shd w:val="clear" w:color="000000" w:fill="C2D69A"/>
            <w:noWrap/>
            <w:vAlign w:val="bottom"/>
            <w:hideMark/>
          </w:tcPr>
          <w:p w14:paraId="1928AB34" w14:textId="77777777" w:rsidR="006374F9" w:rsidRPr="009465B6" w:rsidRDefault="006374F9" w:rsidP="009465B6">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843" w:type="dxa"/>
            <w:shd w:val="clear" w:color="000000" w:fill="C2D69A"/>
            <w:noWrap/>
            <w:vAlign w:val="bottom"/>
            <w:hideMark/>
          </w:tcPr>
          <w:p w14:paraId="483C9F50" w14:textId="77777777" w:rsidR="006374F9" w:rsidRPr="009465B6" w:rsidRDefault="006374F9" w:rsidP="009465B6">
            <w:pPr>
              <w:spacing w:after="0" w:line="240" w:lineRule="auto"/>
              <w:rPr>
                <w:rFonts w:ascii="Arial" w:eastAsia="Times New Roman" w:hAnsi="Arial" w:cs="Arial"/>
                <w:color w:val="000000"/>
                <w:sz w:val="24"/>
                <w:szCs w:val="24"/>
              </w:rPr>
            </w:pPr>
            <w:r w:rsidRPr="009465B6">
              <w:rPr>
                <w:rFonts w:ascii="Arial" w:eastAsia="Times New Roman" w:hAnsi="Arial" w:cs="Arial"/>
                <w:color w:val="000000"/>
                <w:sz w:val="24"/>
                <w:szCs w:val="24"/>
              </w:rPr>
              <w:t> </w:t>
            </w:r>
          </w:p>
        </w:tc>
        <w:tc>
          <w:tcPr>
            <w:tcW w:w="1985" w:type="dxa"/>
            <w:shd w:val="clear" w:color="000000" w:fill="C2D69A"/>
            <w:noWrap/>
            <w:vAlign w:val="bottom"/>
            <w:hideMark/>
          </w:tcPr>
          <w:p w14:paraId="58B8AD75" w14:textId="77777777" w:rsidR="006374F9" w:rsidRPr="003B3EF4" w:rsidRDefault="006374F9" w:rsidP="009465B6">
            <w:pPr>
              <w:spacing w:after="0" w:line="240" w:lineRule="auto"/>
              <w:jc w:val="right"/>
              <w:rPr>
                <w:rFonts w:ascii="Arial" w:eastAsia="Times New Roman" w:hAnsi="Arial" w:cs="Arial"/>
                <w:color w:val="000000"/>
                <w:sz w:val="24"/>
                <w:szCs w:val="24"/>
              </w:rPr>
            </w:pPr>
            <w:r w:rsidRPr="003B3EF4">
              <w:rPr>
                <w:rFonts w:ascii="Arial" w:eastAsia="Times New Roman" w:hAnsi="Arial" w:cs="Arial"/>
                <w:color w:val="000000"/>
                <w:sz w:val="24"/>
                <w:szCs w:val="24"/>
              </w:rPr>
              <w:t>1,600,000</w:t>
            </w:r>
          </w:p>
        </w:tc>
      </w:tr>
      <w:tr w:rsidR="006374F9" w:rsidRPr="003B3EF4" w14:paraId="5810A831" w14:textId="77777777" w:rsidTr="003B3EF4">
        <w:trPr>
          <w:trHeight w:val="70"/>
          <w:jc w:val="center"/>
        </w:trPr>
        <w:tc>
          <w:tcPr>
            <w:tcW w:w="3420" w:type="dxa"/>
            <w:shd w:val="clear" w:color="000000" w:fill="C2D69A"/>
            <w:noWrap/>
            <w:vAlign w:val="bottom"/>
            <w:hideMark/>
          </w:tcPr>
          <w:p w14:paraId="0C87E3B6" w14:textId="77777777" w:rsidR="006374F9" w:rsidRPr="003B3EF4" w:rsidRDefault="006374F9" w:rsidP="009465B6">
            <w:pPr>
              <w:spacing w:after="0" w:line="240" w:lineRule="auto"/>
              <w:rPr>
                <w:rFonts w:ascii="Arial" w:eastAsia="Times New Roman" w:hAnsi="Arial" w:cs="Arial"/>
                <w:i/>
                <w:iCs/>
                <w:color w:val="000000"/>
                <w:sz w:val="24"/>
                <w:szCs w:val="24"/>
              </w:rPr>
            </w:pPr>
            <w:r w:rsidRPr="003B3EF4">
              <w:rPr>
                <w:rFonts w:ascii="Arial" w:eastAsia="Times New Roman" w:hAnsi="Arial" w:cs="Arial"/>
                <w:i/>
                <w:iCs/>
                <w:color w:val="000000"/>
                <w:sz w:val="24"/>
                <w:szCs w:val="24"/>
              </w:rPr>
              <w:t>Total capital and Liabilities</w:t>
            </w:r>
          </w:p>
        </w:tc>
        <w:tc>
          <w:tcPr>
            <w:tcW w:w="2673" w:type="dxa"/>
            <w:shd w:val="clear" w:color="000000" w:fill="C2D69A"/>
            <w:noWrap/>
            <w:vAlign w:val="bottom"/>
            <w:hideMark/>
          </w:tcPr>
          <w:p w14:paraId="54377A08" w14:textId="77777777" w:rsidR="006374F9" w:rsidRPr="009465B6" w:rsidRDefault="006374F9" w:rsidP="009465B6">
            <w:pPr>
              <w:spacing w:after="0" w:line="240" w:lineRule="auto"/>
              <w:rPr>
                <w:rFonts w:ascii="Arial" w:eastAsia="Times New Roman" w:hAnsi="Arial" w:cs="Arial"/>
                <w:b/>
                <w:bCs/>
                <w:color w:val="000000"/>
                <w:sz w:val="24"/>
                <w:szCs w:val="24"/>
              </w:rPr>
            </w:pPr>
            <w:r w:rsidRPr="009465B6">
              <w:rPr>
                <w:rFonts w:ascii="Arial" w:eastAsia="Times New Roman" w:hAnsi="Arial" w:cs="Arial"/>
                <w:b/>
                <w:bCs/>
                <w:color w:val="000000"/>
                <w:sz w:val="24"/>
                <w:szCs w:val="24"/>
              </w:rPr>
              <w:t> </w:t>
            </w:r>
          </w:p>
        </w:tc>
        <w:tc>
          <w:tcPr>
            <w:tcW w:w="1843" w:type="dxa"/>
            <w:shd w:val="clear" w:color="000000" w:fill="C2D69A"/>
            <w:noWrap/>
            <w:vAlign w:val="bottom"/>
            <w:hideMark/>
          </w:tcPr>
          <w:p w14:paraId="6F517898" w14:textId="77777777" w:rsidR="006374F9" w:rsidRPr="009465B6" w:rsidRDefault="006374F9" w:rsidP="009465B6">
            <w:pPr>
              <w:spacing w:after="0" w:line="240" w:lineRule="auto"/>
              <w:rPr>
                <w:rFonts w:ascii="Arial" w:eastAsia="Times New Roman" w:hAnsi="Arial" w:cs="Arial"/>
                <w:b/>
                <w:bCs/>
                <w:color w:val="000000"/>
                <w:sz w:val="24"/>
                <w:szCs w:val="24"/>
              </w:rPr>
            </w:pPr>
            <w:r w:rsidRPr="009465B6">
              <w:rPr>
                <w:rFonts w:ascii="Arial" w:eastAsia="Times New Roman" w:hAnsi="Arial" w:cs="Arial"/>
                <w:b/>
                <w:bCs/>
                <w:color w:val="000000"/>
                <w:sz w:val="24"/>
                <w:szCs w:val="24"/>
              </w:rPr>
              <w:t> </w:t>
            </w:r>
          </w:p>
        </w:tc>
        <w:tc>
          <w:tcPr>
            <w:tcW w:w="1985" w:type="dxa"/>
            <w:shd w:val="clear" w:color="000000" w:fill="C2D69A"/>
            <w:noWrap/>
            <w:vAlign w:val="bottom"/>
            <w:hideMark/>
          </w:tcPr>
          <w:p w14:paraId="238C4A71" w14:textId="77777777" w:rsidR="006374F9" w:rsidRPr="003B3EF4" w:rsidRDefault="006374F9" w:rsidP="009465B6">
            <w:pPr>
              <w:spacing w:after="0" w:line="240" w:lineRule="auto"/>
              <w:jc w:val="right"/>
              <w:rPr>
                <w:rFonts w:ascii="Arial" w:eastAsia="Times New Roman" w:hAnsi="Arial" w:cs="Arial"/>
                <w:color w:val="000000"/>
                <w:sz w:val="24"/>
                <w:szCs w:val="24"/>
              </w:rPr>
            </w:pPr>
            <w:r w:rsidRPr="003B3EF4">
              <w:rPr>
                <w:rFonts w:ascii="Arial" w:eastAsia="Times New Roman" w:hAnsi="Arial" w:cs="Arial"/>
                <w:color w:val="000000"/>
                <w:sz w:val="24"/>
                <w:szCs w:val="24"/>
              </w:rPr>
              <w:t>60,774,960</w:t>
            </w:r>
          </w:p>
        </w:tc>
      </w:tr>
    </w:tbl>
    <w:p w14:paraId="2BCC52BC" w14:textId="77777777" w:rsidR="003B3EF4" w:rsidRDefault="003B3EF4" w:rsidP="003278B3">
      <w:pPr>
        <w:spacing w:line="360" w:lineRule="auto"/>
        <w:jc w:val="both"/>
        <w:rPr>
          <w:rFonts w:ascii="Arial" w:hAnsi="Arial" w:cs="Arial"/>
          <w:b/>
          <w:sz w:val="24"/>
          <w:szCs w:val="24"/>
        </w:rPr>
      </w:pPr>
    </w:p>
    <w:p w14:paraId="3B4A29D4" w14:textId="56F262FC" w:rsidR="00A465FE" w:rsidRPr="009465B6" w:rsidRDefault="00A465FE" w:rsidP="003278B3">
      <w:pPr>
        <w:spacing w:line="360" w:lineRule="auto"/>
        <w:jc w:val="both"/>
        <w:rPr>
          <w:rFonts w:ascii="Arial" w:hAnsi="Arial" w:cs="Arial"/>
          <w:b/>
          <w:sz w:val="24"/>
          <w:szCs w:val="24"/>
        </w:rPr>
      </w:pPr>
      <w:r w:rsidRPr="009465B6">
        <w:rPr>
          <w:rFonts w:ascii="Arial" w:hAnsi="Arial" w:cs="Arial"/>
          <w:b/>
          <w:sz w:val="24"/>
          <w:szCs w:val="24"/>
        </w:rPr>
        <w:t>Working notes</w:t>
      </w:r>
    </w:p>
    <w:p w14:paraId="27336AC1" w14:textId="588ED36E" w:rsidR="00E55186" w:rsidRPr="003B3EF4" w:rsidRDefault="00E55186" w:rsidP="003278B3">
      <w:pPr>
        <w:spacing w:line="360" w:lineRule="auto"/>
        <w:jc w:val="both"/>
        <w:rPr>
          <w:rFonts w:ascii="Arial" w:hAnsi="Arial" w:cs="Arial"/>
          <w:bCs/>
          <w:i/>
          <w:iCs/>
          <w:sz w:val="24"/>
          <w:szCs w:val="24"/>
        </w:rPr>
      </w:pPr>
      <w:r w:rsidRPr="003B3EF4">
        <w:rPr>
          <w:rFonts w:ascii="Arial" w:hAnsi="Arial" w:cs="Arial"/>
          <w:bCs/>
          <w:i/>
          <w:iCs/>
          <w:sz w:val="24"/>
          <w:szCs w:val="24"/>
        </w:rPr>
        <w:t>Depreciation</w:t>
      </w:r>
    </w:p>
    <w:p w14:paraId="7A93458D" w14:textId="77777777" w:rsidR="00CB5B3A" w:rsidRPr="009465B6" w:rsidRDefault="00CB5B3A" w:rsidP="003278B3">
      <w:pPr>
        <w:spacing w:line="360" w:lineRule="auto"/>
        <w:jc w:val="both"/>
        <w:rPr>
          <w:rFonts w:ascii="Arial" w:hAnsi="Arial" w:cs="Arial"/>
          <w:sz w:val="24"/>
          <w:szCs w:val="24"/>
        </w:rPr>
      </w:pPr>
      <w:r w:rsidRPr="009465B6">
        <w:rPr>
          <w:rFonts w:ascii="Arial" w:hAnsi="Arial" w:cs="Arial"/>
          <w:b/>
          <w:i/>
          <w:sz w:val="24"/>
          <w:szCs w:val="24"/>
        </w:rPr>
        <w:t>Building:</w:t>
      </w:r>
      <w:r w:rsidRPr="009465B6">
        <w:rPr>
          <w:rFonts w:ascii="Arial" w:hAnsi="Arial" w:cs="Arial"/>
          <w:sz w:val="24"/>
          <w:szCs w:val="24"/>
        </w:rPr>
        <w:t xml:space="preserve"> 2% of the cost of building</w:t>
      </w:r>
    </w:p>
    <w:p w14:paraId="7EE03173" w14:textId="7A9EA5A8" w:rsidR="00CB5B3A" w:rsidRPr="009465B6" w:rsidRDefault="00CB5B3A" w:rsidP="003278B3">
      <w:pPr>
        <w:spacing w:line="360" w:lineRule="auto"/>
        <w:jc w:val="both"/>
        <w:rPr>
          <w:rFonts w:ascii="Arial" w:hAnsi="Arial" w:cs="Arial"/>
          <w:sz w:val="24"/>
          <w:szCs w:val="24"/>
        </w:rPr>
      </w:pPr>
      <w:r w:rsidRPr="009465B6">
        <w:rPr>
          <w:rFonts w:ascii="Arial" w:hAnsi="Arial" w:cs="Arial"/>
          <w:sz w:val="24"/>
          <w:szCs w:val="24"/>
        </w:rPr>
        <w:t>Therefore, 2%</w:t>
      </w:r>
      <w:r w:rsidR="009465B6">
        <w:rPr>
          <w:rFonts w:ascii="Arial" w:hAnsi="Arial" w:cs="Arial"/>
          <w:sz w:val="24"/>
          <w:szCs w:val="24"/>
        </w:rPr>
        <w:t xml:space="preserve"> x </w:t>
      </w:r>
      <w:r w:rsidRPr="009465B6">
        <w:rPr>
          <w:rFonts w:ascii="Arial" w:hAnsi="Arial" w:cs="Arial"/>
          <w:sz w:val="24"/>
          <w:szCs w:val="24"/>
        </w:rPr>
        <w:t>16</w:t>
      </w:r>
      <w:r w:rsidR="002A19A4">
        <w:rPr>
          <w:rFonts w:ascii="Arial" w:hAnsi="Arial" w:cs="Arial"/>
          <w:sz w:val="24"/>
          <w:szCs w:val="24"/>
        </w:rPr>
        <w:t>,</w:t>
      </w:r>
      <w:r w:rsidRPr="009465B6">
        <w:rPr>
          <w:rFonts w:ascii="Arial" w:hAnsi="Arial" w:cs="Arial"/>
          <w:sz w:val="24"/>
          <w:szCs w:val="24"/>
        </w:rPr>
        <w:t>000</w:t>
      </w:r>
      <w:r w:rsidR="002A19A4">
        <w:rPr>
          <w:rFonts w:ascii="Arial" w:hAnsi="Arial" w:cs="Arial"/>
          <w:sz w:val="24"/>
          <w:szCs w:val="24"/>
        </w:rPr>
        <w:t>,</w:t>
      </w:r>
      <w:r w:rsidRPr="009465B6">
        <w:rPr>
          <w:rFonts w:ascii="Arial" w:hAnsi="Arial" w:cs="Arial"/>
          <w:sz w:val="24"/>
          <w:szCs w:val="24"/>
        </w:rPr>
        <w:t>000= 320</w:t>
      </w:r>
      <w:r w:rsidR="002A19A4">
        <w:rPr>
          <w:rFonts w:ascii="Arial" w:hAnsi="Arial" w:cs="Arial"/>
          <w:sz w:val="24"/>
          <w:szCs w:val="24"/>
        </w:rPr>
        <w:t>,</w:t>
      </w:r>
      <w:r w:rsidRPr="009465B6">
        <w:rPr>
          <w:rFonts w:ascii="Arial" w:hAnsi="Arial" w:cs="Arial"/>
          <w:sz w:val="24"/>
          <w:szCs w:val="24"/>
        </w:rPr>
        <w:t>000</w:t>
      </w:r>
    </w:p>
    <w:p w14:paraId="79D5F319" w14:textId="77777777" w:rsidR="00CB5B3A" w:rsidRPr="009465B6" w:rsidRDefault="00CB5B3A" w:rsidP="003278B3">
      <w:pPr>
        <w:spacing w:line="360" w:lineRule="auto"/>
        <w:jc w:val="both"/>
        <w:rPr>
          <w:rFonts w:ascii="Arial" w:hAnsi="Arial" w:cs="Arial"/>
          <w:sz w:val="24"/>
          <w:szCs w:val="24"/>
        </w:rPr>
      </w:pPr>
      <w:r w:rsidRPr="009465B6">
        <w:rPr>
          <w:rFonts w:ascii="Arial" w:hAnsi="Arial" w:cs="Arial"/>
          <w:b/>
          <w:i/>
          <w:sz w:val="24"/>
          <w:szCs w:val="24"/>
        </w:rPr>
        <w:t>Plant:</w:t>
      </w:r>
      <w:r w:rsidRPr="009465B6">
        <w:rPr>
          <w:rFonts w:ascii="Arial" w:hAnsi="Arial" w:cs="Arial"/>
          <w:sz w:val="24"/>
          <w:szCs w:val="24"/>
        </w:rPr>
        <w:t xml:space="preserve"> 10% of the cost</w:t>
      </w:r>
    </w:p>
    <w:p w14:paraId="1FDBFCB2" w14:textId="0CB2B1AE" w:rsidR="00CB5B3A" w:rsidRPr="009465B6" w:rsidRDefault="00CB5B3A" w:rsidP="003278B3">
      <w:pPr>
        <w:spacing w:line="360" w:lineRule="auto"/>
        <w:jc w:val="both"/>
        <w:rPr>
          <w:rFonts w:ascii="Arial" w:hAnsi="Arial" w:cs="Arial"/>
          <w:sz w:val="24"/>
          <w:szCs w:val="24"/>
        </w:rPr>
      </w:pPr>
      <w:r w:rsidRPr="009465B6">
        <w:rPr>
          <w:rFonts w:ascii="Arial" w:hAnsi="Arial" w:cs="Arial"/>
          <w:sz w:val="24"/>
          <w:szCs w:val="24"/>
        </w:rPr>
        <w:t>Therefore, 10%</w:t>
      </w:r>
      <w:r w:rsidR="009465B6">
        <w:rPr>
          <w:rFonts w:ascii="Arial" w:hAnsi="Arial" w:cs="Arial"/>
          <w:sz w:val="24"/>
          <w:szCs w:val="24"/>
        </w:rPr>
        <w:t xml:space="preserve"> x </w:t>
      </w:r>
      <w:r w:rsidRPr="009465B6">
        <w:rPr>
          <w:rFonts w:ascii="Arial" w:hAnsi="Arial" w:cs="Arial"/>
          <w:sz w:val="24"/>
          <w:szCs w:val="24"/>
        </w:rPr>
        <w:t>25</w:t>
      </w:r>
      <w:r w:rsidR="002A19A4">
        <w:rPr>
          <w:rFonts w:ascii="Arial" w:hAnsi="Arial" w:cs="Arial"/>
          <w:sz w:val="24"/>
          <w:szCs w:val="24"/>
        </w:rPr>
        <w:t>,</w:t>
      </w:r>
      <w:r w:rsidRPr="009465B6">
        <w:rPr>
          <w:rFonts w:ascii="Arial" w:hAnsi="Arial" w:cs="Arial"/>
          <w:sz w:val="24"/>
          <w:szCs w:val="24"/>
        </w:rPr>
        <w:t>600</w:t>
      </w:r>
      <w:r w:rsidR="002A19A4">
        <w:rPr>
          <w:rFonts w:ascii="Arial" w:hAnsi="Arial" w:cs="Arial"/>
          <w:sz w:val="24"/>
          <w:szCs w:val="24"/>
        </w:rPr>
        <w:t>,</w:t>
      </w:r>
      <w:r w:rsidRPr="009465B6">
        <w:rPr>
          <w:rFonts w:ascii="Arial" w:hAnsi="Arial" w:cs="Arial"/>
          <w:sz w:val="24"/>
          <w:szCs w:val="24"/>
        </w:rPr>
        <w:t>000 = 2</w:t>
      </w:r>
      <w:r w:rsidR="002A19A4">
        <w:rPr>
          <w:rFonts w:ascii="Arial" w:hAnsi="Arial" w:cs="Arial"/>
          <w:sz w:val="24"/>
          <w:szCs w:val="24"/>
        </w:rPr>
        <w:t>,</w:t>
      </w:r>
      <w:r w:rsidRPr="009465B6">
        <w:rPr>
          <w:rFonts w:ascii="Arial" w:hAnsi="Arial" w:cs="Arial"/>
          <w:sz w:val="24"/>
          <w:szCs w:val="24"/>
        </w:rPr>
        <w:t>560</w:t>
      </w:r>
      <w:r w:rsidR="002A19A4">
        <w:rPr>
          <w:rFonts w:ascii="Arial" w:hAnsi="Arial" w:cs="Arial"/>
          <w:sz w:val="24"/>
          <w:szCs w:val="24"/>
        </w:rPr>
        <w:t>,</w:t>
      </w:r>
      <w:r w:rsidRPr="009465B6">
        <w:rPr>
          <w:rFonts w:ascii="Arial" w:hAnsi="Arial" w:cs="Arial"/>
          <w:sz w:val="24"/>
          <w:szCs w:val="24"/>
        </w:rPr>
        <w:t>000</w:t>
      </w:r>
    </w:p>
    <w:p w14:paraId="557A00D2" w14:textId="77777777" w:rsidR="00E55186" w:rsidRPr="009465B6" w:rsidRDefault="005C76AA" w:rsidP="003278B3">
      <w:pPr>
        <w:spacing w:line="360" w:lineRule="auto"/>
        <w:jc w:val="both"/>
        <w:rPr>
          <w:rFonts w:ascii="Arial" w:hAnsi="Arial" w:cs="Arial"/>
          <w:b/>
          <w:sz w:val="24"/>
          <w:szCs w:val="24"/>
        </w:rPr>
      </w:pPr>
      <w:r w:rsidRPr="009465B6">
        <w:rPr>
          <w:rFonts w:ascii="Arial" w:hAnsi="Arial" w:cs="Arial"/>
          <w:b/>
          <w:sz w:val="24"/>
          <w:szCs w:val="24"/>
        </w:rPr>
        <w:t>Balance Sheet Adjustment:</w:t>
      </w:r>
    </w:p>
    <w:p w14:paraId="447E4F0E" w14:textId="6FE341D9" w:rsidR="005C76AA" w:rsidRDefault="00C321B0" w:rsidP="003278B3">
      <w:pPr>
        <w:spacing w:line="360" w:lineRule="auto"/>
        <w:jc w:val="both"/>
        <w:rPr>
          <w:rFonts w:ascii="Arial" w:hAnsi="Arial" w:cs="Arial"/>
          <w:sz w:val="24"/>
          <w:szCs w:val="24"/>
        </w:rPr>
      </w:pPr>
      <w:r w:rsidRPr="009465B6">
        <w:rPr>
          <w:rFonts w:ascii="Arial" w:hAnsi="Arial" w:cs="Arial"/>
          <w:sz w:val="24"/>
          <w:szCs w:val="24"/>
        </w:rPr>
        <w:t>The l</w:t>
      </w:r>
      <w:r w:rsidR="005C76AA" w:rsidRPr="009465B6">
        <w:rPr>
          <w:rFonts w:ascii="Arial" w:hAnsi="Arial" w:cs="Arial"/>
          <w:sz w:val="24"/>
          <w:szCs w:val="24"/>
        </w:rPr>
        <w:t>and cost has been revalued at £20</w:t>
      </w:r>
      <w:r w:rsidR="002A19A4">
        <w:rPr>
          <w:rFonts w:ascii="Arial" w:hAnsi="Arial" w:cs="Arial"/>
          <w:sz w:val="24"/>
          <w:szCs w:val="24"/>
        </w:rPr>
        <w:t>,</w:t>
      </w:r>
      <w:r w:rsidR="005C76AA" w:rsidRPr="009465B6">
        <w:rPr>
          <w:rFonts w:ascii="Arial" w:hAnsi="Arial" w:cs="Arial"/>
          <w:sz w:val="24"/>
          <w:szCs w:val="24"/>
        </w:rPr>
        <w:t>000</w:t>
      </w:r>
      <w:r w:rsidR="002A19A4">
        <w:rPr>
          <w:rFonts w:ascii="Arial" w:hAnsi="Arial" w:cs="Arial"/>
          <w:sz w:val="24"/>
          <w:szCs w:val="24"/>
        </w:rPr>
        <w:t>,</w:t>
      </w:r>
      <w:r w:rsidR="005C76AA" w:rsidRPr="009465B6">
        <w:rPr>
          <w:rFonts w:ascii="Arial" w:hAnsi="Arial" w:cs="Arial"/>
          <w:sz w:val="24"/>
          <w:szCs w:val="24"/>
        </w:rPr>
        <w:t>000</w:t>
      </w:r>
      <w:r w:rsidR="00CE2244" w:rsidRPr="009465B6">
        <w:rPr>
          <w:rFonts w:ascii="Arial" w:hAnsi="Arial" w:cs="Arial"/>
          <w:sz w:val="24"/>
          <w:szCs w:val="24"/>
        </w:rPr>
        <w:t xml:space="preserve">. </w:t>
      </w:r>
    </w:p>
    <w:p w14:paraId="78107EA3" w14:textId="4408CC6E" w:rsidR="00025563" w:rsidRPr="00025563" w:rsidRDefault="00025563" w:rsidP="003278B3">
      <w:pPr>
        <w:spacing w:line="360" w:lineRule="auto"/>
        <w:jc w:val="both"/>
        <w:rPr>
          <w:rFonts w:ascii="Arial" w:hAnsi="Arial" w:cs="Arial"/>
          <w:sz w:val="24"/>
          <w:szCs w:val="24"/>
          <w:highlight w:val="yellow"/>
        </w:rPr>
      </w:pPr>
      <w:r w:rsidRPr="00025563">
        <w:rPr>
          <w:rFonts w:ascii="Arial" w:hAnsi="Arial" w:cs="Arial"/>
          <w:sz w:val="24"/>
          <w:szCs w:val="24"/>
          <w:highlight w:val="yellow"/>
        </w:rPr>
        <w:lastRenderedPageBreak/>
        <w:t xml:space="preserve">Sales- (cost of sales + depreciation of plant) = </w:t>
      </w:r>
      <w:r w:rsidR="00C02C4C">
        <w:rPr>
          <w:rFonts w:ascii="Arial" w:hAnsi="Arial" w:cs="Arial"/>
          <w:sz w:val="24"/>
          <w:szCs w:val="24"/>
          <w:highlight w:val="yellow"/>
        </w:rPr>
        <w:t>T</w:t>
      </w:r>
      <w:r w:rsidRPr="00025563">
        <w:rPr>
          <w:rFonts w:ascii="Arial" w:hAnsi="Arial" w:cs="Arial"/>
          <w:sz w:val="24"/>
          <w:szCs w:val="24"/>
          <w:highlight w:val="yellow"/>
        </w:rPr>
        <w:t xml:space="preserve">otal </w:t>
      </w:r>
      <w:r w:rsidR="00C02C4C">
        <w:rPr>
          <w:rFonts w:ascii="Arial" w:hAnsi="Arial" w:cs="Arial"/>
          <w:sz w:val="24"/>
          <w:szCs w:val="24"/>
          <w:highlight w:val="yellow"/>
        </w:rPr>
        <w:t>R</w:t>
      </w:r>
      <w:r w:rsidRPr="00025563">
        <w:rPr>
          <w:rFonts w:ascii="Arial" w:hAnsi="Arial" w:cs="Arial"/>
          <w:sz w:val="24"/>
          <w:szCs w:val="24"/>
          <w:highlight w:val="yellow"/>
        </w:rPr>
        <w:t>evenue</w:t>
      </w:r>
    </w:p>
    <w:p w14:paraId="7C621B96" w14:textId="084E2B32" w:rsidR="00025563" w:rsidRDefault="00025563" w:rsidP="003278B3">
      <w:pPr>
        <w:spacing w:line="360" w:lineRule="auto"/>
        <w:jc w:val="both"/>
        <w:rPr>
          <w:rFonts w:ascii="Arial" w:hAnsi="Arial" w:cs="Arial"/>
          <w:sz w:val="24"/>
          <w:szCs w:val="24"/>
        </w:rPr>
      </w:pPr>
      <w:r w:rsidRPr="00025563">
        <w:rPr>
          <w:rFonts w:ascii="Arial" w:hAnsi="Arial" w:cs="Arial"/>
          <w:sz w:val="24"/>
          <w:szCs w:val="24"/>
          <w:highlight w:val="yellow"/>
        </w:rPr>
        <w:t>* 30,300,000 - (16,220,000 + 2,560,000) = 11,520,000 *</w:t>
      </w:r>
    </w:p>
    <w:p w14:paraId="40E39691" w14:textId="3F926F3B" w:rsidR="00766B93" w:rsidRPr="00CE0254" w:rsidRDefault="00766B93" w:rsidP="003278B3">
      <w:pPr>
        <w:spacing w:line="360" w:lineRule="auto"/>
        <w:jc w:val="both"/>
        <w:rPr>
          <w:rFonts w:ascii="Arial" w:hAnsi="Arial" w:cs="Arial"/>
          <w:color w:val="548DD4" w:themeColor="text2" w:themeTint="99"/>
          <w:sz w:val="24"/>
          <w:szCs w:val="24"/>
        </w:rPr>
      </w:pPr>
      <w:r w:rsidRPr="00CE0254">
        <w:rPr>
          <w:rFonts w:ascii="Arial" w:hAnsi="Arial" w:cs="Arial"/>
          <w:color w:val="548DD4" w:themeColor="text2" w:themeTint="99"/>
          <w:sz w:val="24"/>
          <w:szCs w:val="24"/>
          <w:highlight w:val="cyan"/>
        </w:rPr>
        <w:t>Total expenses</w:t>
      </w:r>
      <w:r w:rsidRPr="00CE0254">
        <w:rPr>
          <w:rFonts w:ascii="Arial" w:hAnsi="Arial" w:cs="Arial"/>
          <w:color w:val="548DD4" w:themeColor="text2" w:themeTint="99"/>
          <w:sz w:val="24"/>
          <w:szCs w:val="24"/>
        </w:rPr>
        <w:t xml:space="preserve"> = </w:t>
      </w:r>
      <w:r w:rsidR="00C02C4C" w:rsidRPr="00CE0254">
        <w:rPr>
          <w:rFonts w:ascii="Arial" w:hAnsi="Arial" w:cs="Arial"/>
          <w:color w:val="548DD4" w:themeColor="text2" w:themeTint="99"/>
          <w:sz w:val="24"/>
          <w:szCs w:val="24"/>
        </w:rPr>
        <w:t xml:space="preserve">Administration expenses + Distribution Expenses + Depreciation on building + Outstanding insurance Expenses + Irrecoverable debts + Allowance for receivables + Debenture interest paid = 2,920,000+ 2,160,000+ 320,000+500+240+164,800+240,000 = </w:t>
      </w:r>
      <w:r w:rsidR="00C02C4C" w:rsidRPr="00CE0254">
        <w:rPr>
          <w:rFonts w:ascii="Arial" w:hAnsi="Arial" w:cs="Arial"/>
          <w:color w:val="548DD4" w:themeColor="text2" w:themeTint="99"/>
          <w:sz w:val="24"/>
          <w:szCs w:val="24"/>
          <w:highlight w:val="cyan"/>
        </w:rPr>
        <w:t>5,805,540</w:t>
      </w:r>
      <w:r w:rsidR="00C02C4C" w:rsidRPr="00CE0254">
        <w:rPr>
          <w:rFonts w:ascii="Arial" w:hAnsi="Arial" w:cs="Arial"/>
          <w:color w:val="548DD4" w:themeColor="text2" w:themeTint="99"/>
          <w:sz w:val="24"/>
          <w:szCs w:val="24"/>
        </w:rPr>
        <w:t xml:space="preserve"> </w:t>
      </w:r>
    </w:p>
    <w:tbl>
      <w:tblPr>
        <w:tblW w:w="9796" w:type="dxa"/>
        <w:tblInd w:w="93" w:type="dxa"/>
        <w:tblLook w:val="04A0" w:firstRow="1" w:lastRow="0" w:firstColumn="1" w:lastColumn="0" w:noHBand="0" w:noVBand="1"/>
      </w:tblPr>
      <w:tblGrid>
        <w:gridCol w:w="5847"/>
        <w:gridCol w:w="3949"/>
      </w:tblGrid>
      <w:tr w:rsidR="00C02C4C" w:rsidRPr="00D04D78" w14:paraId="6F6ED9D7" w14:textId="77777777" w:rsidTr="00C02C4C">
        <w:trPr>
          <w:trHeight w:val="330"/>
        </w:trPr>
        <w:tc>
          <w:tcPr>
            <w:tcW w:w="5847" w:type="dxa"/>
            <w:tcBorders>
              <w:top w:val="nil"/>
              <w:left w:val="single" w:sz="4" w:space="0" w:color="auto"/>
              <w:bottom w:val="single" w:sz="4" w:space="0" w:color="auto"/>
              <w:right w:val="single" w:sz="4" w:space="0" w:color="auto"/>
            </w:tcBorders>
            <w:shd w:val="clear" w:color="000000" w:fill="DBE5F1"/>
            <w:noWrap/>
            <w:vAlign w:val="bottom"/>
            <w:hideMark/>
          </w:tcPr>
          <w:p w14:paraId="761402A1" w14:textId="7A2F1BFB" w:rsidR="00C02C4C" w:rsidRPr="00D04D78" w:rsidRDefault="00C02C4C" w:rsidP="00C02C4C">
            <w:pPr>
              <w:spacing w:after="0"/>
              <w:rPr>
                <w:rFonts w:ascii="Arial" w:eastAsia="Times New Roman" w:hAnsi="Arial" w:cs="Arial"/>
                <w:i/>
                <w:iCs/>
                <w:color w:val="FF0000"/>
                <w:sz w:val="24"/>
                <w:szCs w:val="24"/>
              </w:rPr>
            </w:pPr>
            <w:r w:rsidRPr="00D04D78">
              <w:rPr>
                <w:rFonts w:ascii="Arial" w:eastAsia="Times New Roman" w:hAnsi="Arial" w:cs="Arial"/>
                <w:i/>
                <w:iCs/>
                <w:color w:val="FF0000"/>
                <w:sz w:val="24"/>
                <w:szCs w:val="24"/>
              </w:rPr>
              <w:t xml:space="preserve">Administration expenses </w:t>
            </w:r>
          </w:p>
        </w:tc>
        <w:tc>
          <w:tcPr>
            <w:tcW w:w="3949" w:type="dxa"/>
            <w:tcBorders>
              <w:top w:val="nil"/>
              <w:left w:val="nil"/>
              <w:bottom w:val="single" w:sz="4" w:space="0" w:color="auto"/>
              <w:right w:val="single" w:sz="4" w:space="0" w:color="auto"/>
            </w:tcBorders>
            <w:shd w:val="clear" w:color="000000" w:fill="DBE5F1"/>
            <w:noWrap/>
            <w:vAlign w:val="bottom"/>
            <w:hideMark/>
          </w:tcPr>
          <w:p w14:paraId="78B5BF0A" w14:textId="7C5164F7" w:rsidR="00C02C4C" w:rsidRPr="00D04D78" w:rsidRDefault="00C02C4C" w:rsidP="00C02C4C">
            <w:pPr>
              <w:spacing w:after="0" w:line="240" w:lineRule="auto"/>
              <w:rPr>
                <w:rFonts w:ascii="Arial" w:eastAsia="Times New Roman" w:hAnsi="Arial" w:cs="Arial"/>
                <w:color w:val="FF0000"/>
                <w:sz w:val="24"/>
                <w:szCs w:val="24"/>
              </w:rPr>
            </w:pPr>
            <w:r w:rsidRPr="00D04D78">
              <w:rPr>
                <w:rFonts w:ascii="Arial" w:eastAsia="Times New Roman" w:hAnsi="Arial" w:cs="Arial"/>
                <w:color w:val="FF0000"/>
                <w:sz w:val="24"/>
                <w:szCs w:val="24"/>
              </w:rPr>
              <w:t>2,920,000</w:t>
            </w:r>
          </w:p>
        </w:tc>
      </w:tr>
      <w:tr w:rsidR="00C02C4C" w:rsidRPr="00D04D78" w14:paraId="05748B37" w14:textId="77777777" w:rsidTr="00C02C4C">
        <w:trPr>
          <w:trHeight w:val="315"/>
        </w:trPr>
        <w:tc>
          <w:tcPr>
            <w:tcW w:w="5847" w:type="dxa"/>
            <w:tcBorders>
              <w:top w:val="nil"/>
              <w:left w:val="single" w:sz="4" w:space="0" w:color="auto"/>
              <w:bottom w:val="single" w:sz="4" w:space="0" w:color="auto"/>
              <w:right w:val="single" w:sz="4" w:space="0" w:color="auto"/>
            </w:tcBorders>
            <w:shd w:val="clear" w:color="000000" w:fill="DBE5F1"/>
            <w:noWrap/>
            <w:vAlign w:val="bottom"/>
            <w:hideMark/>
          </w:tcPr>
          <w:p w14:paraId="0AA80D03" w14:textId="77777777" w:rsidR="00C02C4C" w:rsidRPr="00D04D78" w:rsidRDefault="00C02C4C" w:rsidP="00C02C4C">
            <w:pPr>
              <w:spacing w:after="0"/>
              <w:rPr>
                <w:rFonts w:ascii="Arial" w:eastAsia="Times New Roman" w:hAnsi="Arial" w:cs="Arial"/>
                <w:i/>
                <w:iCs/>
                <w:color w:val="FF0000"/>
                <w:sz w:val="24"/>
                <w:szCs w:val="24"/>
              </w:rPr>
            </w:pPr>
            <w:r w:rsidRPr="00D04D78">
              <w:rPr>
                <w:rFonts w:ascii="Arial" w:eastAsia="Times New Roman" w:hAnsi="Arial" w:cs="Arial"/>
                <w:i/>
                <w:iCs/>
                <w:color w:val="FF0000"/>
                <w:sz w:val="24"/>
                <w:szCs w:val="24"/>
              </w:rPr>
              <w:t xml:space="preserve">Distribution expenses </w:t>
            </w:r>
          </w:p>
        </w:tc>
        <w:tc>
          <w:tcPr>
            <w:tcW w:w="3949" w:type="dxa"/>
            <w:tcBorders>
              <w:top w:val="nil"/>
              <w:left w:val="nil"/>
              <w:bottom w:val="single" w:sz="4" w:space="0" w:color="auto"/>
              <w:right w:val="single" w:sz="4" w:space="0" w:color="auto"/>
            </w:tcBorders>
            <w:shd w:val="clear" w:color="000000" w:fill="DBE5F1"/>
            <w:noWrap/>
            <w:vAlign w:val="bottom"/>
            <w:hideMark/>
          </w:tcPr>
          <w:p w14:paraId="6C07E1F6" w14:textId="77777777" w:rsidR="00C02C4C" w:rsidRPr="00D04D78" w:rsidRDefault="00C02C4C" w:rsidP="00C02C4C">
            <w:pPr>
              <w:spacing w:after="0" w:line="240" w:lineRule="auto"/>
              <w:rPr>
                <w:rFonts w:ascii="Arial" w:eastAsia="Times New Roman" w:hAnsi="Arial" w:cs="Arial"/>
                <w:color w:val="FF0000"/>
                <w:sz w:val="24"/>
                <w:szCs w:val="24"/>
              </w:rPr>
            </w:pPr>
            <w:r w:rsidRPr="00D04D78">
              <w:rPr>
                <w:rFonts w:ascii="Arial" w:eastAsia="Times New Roman" w:hAnsi="Arial" w:cs="Arial"/>
                <w:color w:val="FF0000"/>
                <w:sz w:val="24"/>
                <w:szCs w:val="24"/>
              </w:rPr>
              <w:t>2,160,000</w:t>
            </w:r>
          </w:p>
        </w:tc>
      </w:tr>
      <w:tr w:rsidR="00C02C4C" w:rsidRPr="009465B6" w14:paraId="45FB4AA4" w14:textId="77777777" w:rsidTr="00C02C4C">
        <w:trPr>
          <w:trHeight w:val="315"/>
        </w:trPr>
        <w:tc>
          <w:tcPr>
            <w:tcW w:w="5847" w:type="dxa"/>
            <w:tcBorders>
              <w:top w:val="nil"/>
              <w:left w:val="single" w:sz="4" w:space="0" w:color="auto"/>
              <w:bottom w:val="single" w:sz="4" w:space="0" w:color="auto"/>
              <w:right w:val="single" w:sz="4" w:space="0" w:color="auto"/>
            </w:tcBorders>
            <w:shd w:val="clear" w:color="000000" w:fill="DBE5F1"/>
            <w:noWrap/>
            <w:vAlign w:val="bottom"/>
            <w:hideMark/>
          </w:tcPr>
          <w:p w14:paraId="3DB637AF" w14:textId="77777777" w:rsidR="00C02C4C" w:rsidRPr="00C02C4C" w:rsidRDefault="00C02C4C" w:rsidP="00C02C4C">
            <w:pPr>
              <w:spacing w:after="0"/>
              <w:rPr>
                <w:rFonts w:ascii="Arial" w:eastAsia="Times New Roman" w:hAnsi="Arial" w:cs="Arial"/>
                <w:i/>
                <w:iCs/>
                <w:color w:val="FF0000"/>
                <w:sz w:val="24"/>
                <w:szCs w:val="24"/>
              </w:rPr>
            </w:pPr>
            <w:r w:rsidRPr="00C02C4C">
              <w:rPr>
                <w:rFonts w:ascii="Arial" w:eastAsia="Times New Roman" w:hAnsi="Arial" w:cs="Arial"/>
                <w:i/>
                <w:iCs/>
                <w:color w:val="FF0000"/>
                <w:sz w:val="24"/>
                <w:szCs w:val="24"/>
              </w:rPr>
              <w:t>Depreciation on Building (2% on cost)</w:t>
            </w:r>
          </w:p>
        </w:tc>
        <w:tc>
          <w:tcPr>
            <w:tcW w:w="3949" w:type="dxa"/>
            <w:tcBorders>
              <w:top w:val="nil"/>
              <w:left w:val="nil"/>
              <w:bottom w:val="single" w:sz="4" w:space="0" w:color="auto"/>
              <w:right w:val="single" w:sz="4" w:space="0" w:color="auto"/>
            </w:tcBorders>
            <w:shd w:val="clear" w:color="000000" w:fill="DBE5F1"/>
            <w:noWrap/>
            <w:vAlign w:val="bottom"/>
            <w:hideMark/>
          </w:tcPr>
          <w:p w14:paraId="1282FB9C" w14:textId="77777777" w:rsidR="00C02C4C" w:rsidRPr="00C02C4C" w:rsidRDefault="00C02C4C" w:rsidP="00C02C4C">
            <w:pPr>
              <w:spacing w:after="0" w:line="240" w:lineRule="auto"/>
              <w:rPr>
                <w:rFonts w:ascii="Arial" w:eastAsia="Times New Roman" w:hAnsi="Arial" w:cs="Arial"/>
                <w:color w:val="FF0000"/>
                <w:sz w:val="24"/>
                <w:szCs w:val="24"/>
              </w:rPr>
            </w:pPr>
            <w:r w:rsidRPr="00C02C4C">
              <w:rPr>
                <w:rFonts w:ascii="Arial" w:eastAsia="Times New Roman" w:hAnsi="Arial" w:cs="Arial"/>
                <w:color w:val="FF0000"/>
                <w:sz w:val="24"/>
                <w:szCs w:val="24"/>
              </w:rPr>
              <w:t>320,000</w:t>
            </w:r>
          </w:p>
        </w:tc>
      </w:tr>
      <w:tr w:rsidR="00C02C4C" w:rsidRPr="009465B6" w14:paraId="66C4868D" w14:textId="77777777" w:rsidTr="00C02C4C">
        <w:trPr>
          <w:trHeight w:val="315"/>
        </w:trPr>
        <w:tc>
          <w:tcPr>
            <w:tcW w:w="5847" w:type="dxa"/>
            <w:tcBorders>
              <w:top w:val="nil"/>
              <w:left w:val="single" w:sz="4" w:space="0" w:color="auto"/>
              <w:bottom w:val="single" w:sz="4" w:space="0" w:color="auto"/>
              <w:right w:val="single" w:sz="4" w:space="0" w:color="auto"/>
            </w:tcBorders>
            <w:shd w:val="clear" w:color="000000" w:fill="DBE5F1"/>
            <w:noWrap/>
            <w:vAlign w:val="bottom"/>
            <w:hideMark/>
          </w:tcPr>
          <w:p w14:paraId="790E8B9E" w14:textId="77777777" w:rsidR="00C02C4C" w:rsidRPr="00C02C4C" w:rsidRDefault="00C02C4C" w:rsidP="00C02C4C">
            <w:pPr>
              <w:spacing w:after="0"/>
              <w:rPr>
                <w:rFonts w:ascii="Arial" w:eastAsia="Times New Roman" w:hAnsi="Arial" w:cs="Arial"/>
                <w:i/>
                <w:iCs/>
                <w:color w:val="FF0000"/>
                <w:sz w:val="24"/>
                <w:szCs w:val="24"/>
              </w:rPr>
            </w:pPr>
            <w:r w:rsidRPr="00C02C4C">
              <w:rPr>
                <w:rFonts w:ascii="Arial" w:eastAsia="Times New Roman" w:hAnsi="Arial" w:cs="Arial"/>
                <w:i/>
                <w:iCs/>
                <w:color w:val="FF0000"/>
                <w:sz w:val="24"/>
                <w:szCs w:val="24"/>
              </w:rPr>
              <w:t xml:space="preserve">Outstanding Insurance Expenses </w:t>
            </w:r>
          </w:p>
        </w:tc>
        <w:tc>
          <w:tcPr>
            <w:tcW w:w="3949" w:type="dxa"/>
            <w:tcBorders>
              <w:top w:val="nil"/>
              <w:left w:val="nil"/>
              <w:bottom w:val="single" w:sz="4" w:space="0" w:color="auto"/>
              <w:right w:val="single" w:sz="4" w:space="0" w:color="auto"/>
            </w:tcBorders>
            <w:shd w:val="clear" w:color="000000" w:fill="DBE5F1"/>
            <w:noWrap/>
            <w:vAlign w:val="bottom"/>
            <w:hideMark/>
          </w:tcPr>
          <w:p w14:paraId="3E0F29D4" w14:textId="77777777" w:rsidR="00C02C4C" w:rsidRPr="00C02C4C" w:rsidRDefault="00C02C4C" w:rsidP="00C02C4C">
            <w:pPr>
              <w:spacing w:after="0" w:line="240" w:lineRule="auto"/>
              <w:rPr>
                <w:rFonts w:ascii="Arial" w:eastAsia="Times New Roman" w:hAnsi="Arial" w:cs="Arial"/>
                <w:color w:val="FF0000"/>
                <w:sz w:val="24"/>
                <w:szCs w:val="24"/>
              </w:rPr>
            </w:pPr>
            <w:r w:rsidRPr="00C02C4C">
              <w:rPr>
                <w:rFonts w:ascii="Arial" w:eastAsia="Times New Roman" w:hAnsi="Arial" w:cs="Arial"/>
                <w:color w:val="FF0000"/>
                <w:sz w:val="24"/>
                <w:szCs w:val="24"/>
              </w:rPr>
              <w:t>500</w:t>
            </w:r>
          </w:p>
        </w:tc>
      </w:tr>
      <w:tr w:rsidR="00C02C4C" w:rsidRPr="009465B6" w14:paraId="47432E2D" w14:textId="77777777" w:rsidTr="00C02C4C">
        <w:trPr>
          <w:trHeight w:val="315"/>
        </w:trPr>
        <w:tc>
          <w:tcPr>
            <w:tcW w:w="5847" w:type="dxa"/>
            <w:tcBorders>
              <w:top w:val="nil"/>
              <w:left w:val="single" w:sz="4" w:space="0" w:color="auto"/>
              <w:bottom w:val="single" w:sz="4" w:space="0" w:color="auto"/>
              <w:right w:val="single" w:sz="4" w:space="0" w:color="auto"/>
            </w:tcBorders>
            <w:shd w:val="clear" w:color="000000" w:fill="DBE5F1"/>
            <w:noWrap/>
            <w:vAlign w:val="bottom"/>
            <w:hideMark/>
          </w:tcPr>
          <w:p w14:paraId="1C6AB594" w14:textId="77777777" w:rsidR="00C02C4C" w:rsidRPr="00C02C4C" w:rsidRDefault="00C02C4C" w:rsidP="00C02C4C">
            <w:pPr>
              <w:spacing w:after="0"/>
              <w:rPr>
                <w:rFonts w:ascii="Arial" w:eastAsia="Times New Roman" w:hAnsi="Arial" w:cs="Arial"/>
                <w:i/>
                <w:iCs/>
                <w:color w:val="FF0000"/>
                <w:sz w:val="24"/>
                <w:szCs w:val="24"/>
              </w:rPr>
            </w:pPr>
            <w:r w:rsidRPr="00C02C4C">
              <w:rPr>
                <w:rFonts w:ascii="Arial" w:eastAsia="Times New Roman" w:hAnsi="Arial" w:cs="Arial"/>
                <w:i/>
                <w:iCs/>
                <w:color w:val="FF0000"/>
                <w:sz w:val="24"/>
                <w:szCs w:val="24"/>
              </w:rPr>
              <w:t>Irrecoverable debts</w:t>
            </w:r>
          </w:p>
        </w:tc>
        <w:tc>
          <w:tcPr>
            <w:tcW w:w="3949" w:type="dxa"/>
            <w:tcBorders>
              <w:top w:val="nil"/>
              <w:left w:val="nil"/>
              <w:bottom w:val="single" w:sz="4" w:space="0" w:color="auto"/>
              <w:right w:val="single" w:sz="4" w:space="0" w:color="auto"/>
            </w:tcBorders>
            <w:shd w:val="clear" w:color="000000" w:fill="DBE5F1"/>
            <w:noWrap/>
            <w:vAlign w:val="bottom"/>
            <w:hideMark/>
          </w:tcPr>
          <w:p w14:paraId="44C4A6E3" w14:textId="77777777" w:rsidR="00C02C4C" w:rsidRPr="00C02C4C" w:rsidRDefault="00C02C4C" w:rsidP="00C02C4C">
            <w:pPr>
              <w:spacing w:after="0" w:line="240" w:lineRule="auto"/>
              <w:rPr>
                <w:rFonts w:ascii="Arial" w:eastAsia="Times New Roman" w:hAnsi="Arial" w:cs="Arial"/>
                <w:color w:val="FF0000"/>
                <w:sz w:val="24"/>
                <w:szCs w:val="24"/>
              </w:rPr>
            </w:pPr>
            <w:r w:rsidRPr="00C02C4C">
              <w:rPr>
                <w:rFonts w:ascii="Arial" w:eastAsia="Times New Roman" w:hAnsi="Arial" w:cs="Arial"/>
                <w:color w:val="FF0000"/>
                <w:sz w:val="24"/>
                <w:szCs w:val="24"/>
              </w:rPr>
              <w:t>240</w:t>
            </w:r>
          </w:p>
        </w:tc>
      </w:tr>
      <w:tr w:rsidR="00C02C4C" w:rsidRPr="009465B6" w14:paraId="33D7DE58" w14:textId="77777777" w:rsidTr="00C02C4C">
        <w:trPr>
          <w:trHeight w:val="315"/>
        </w:trPr>
        <w:tc>
          <w:tcPr>
            <w:tcW w:w="5847" w:type="dxa"/>
            <w:tcBorders>
              <w:top w:val="nil"/>
              <w:left w:val="single" w:sz="4" w:space="0" w:color="auto"/>
              <w:bottom w:val="nil"/>
              <w:right w:val="single" w:sz="4" w:space="0" w:color="auto"/>
            </w:tcBorders>
            <w:shd w:val="clear" w:color="000000" w:fill="DBE5F1"/>
            <w:noWrap/>
            <w:vAlign w:val="bottom"/>
            <w:hideMark/>
          </w:tcPr>
          <w:p w14:paraId="774F5AC6" w14:textId="77777777" w:rsidR="00C02C4C" w:rsidRPr="00C02C4C" w:rsidRDefault="00C02C4C" w:rsidP="00C02C4C">
            <w:pPr>
              <w:spacing w:after="0"/>
              <w:rPr>
                <w:rFonts w:ascii="Arial" w:eastAsia="Times New Roman" w:hAnsi="Arial" w:cs="Arial"/>
                <w:i/>
                <w:iCs/>
                <w:color w:val="FF0000"/>
                <w:sz w:val="24"/>
                <w:szCs w:val="24"/>
              </w:rPr>
            </w:pPr>
            <w:r w:rsidRPr="00C02C4C">
              <w:rPr>
                <w:rFonts w:ascii="Arial" w:eastAsia="Times New Roman" w:hAnsi="Arial" w:cs="Arial"/>
                <w:i/>
                <w:iCs/>
                <w:color w:val="FF0000"/>
                <w:sz w:val="24"/>
                <w:szCs w:val="24"/>
              </w:rPr>
              <w:t>Allowance for receivables (2%)</w:t>
            </w:r>
          </w:p>
        </w:tc>
        <w:tc>
          <w:tcPr>
            <w:tcW w:w="3949" w:type="dxa"/>
            <w:tcBorders>
              <w:top w:val="nil"/>
              <w:left w:val="nil"/>
              <w:bottom w:val="nil"/>
              <w:right w:val="single" w:sz="4" w:space="0" w:color="auto"/>
            </w:tcBorders>
            <w:shd w:val="clear" w:color="000000" w:fill="DBE5F1"/>
            <w:noWrap/>
            <w:vAlign w:val="bottom"/>
            <w:hideMark/>
          </w:tcPr>
          <w:p w14:paraId="3A5A4362" w14:textId="77777777" w:rsidR="00C02C4C" w:rsidRPr="00C02C4C" w:rsidRDefault="00C02C4C" w:rsidP="00C02C4C">
            <w:pPr>
              <w:spacing w:after="0" w:line="240" w:lineRule="auto"/>
              <w:rPr>
                <w:rFonts w:ascii="Arial" w:eastAsia="Times New Roman" w:hAnsi="Arial" w:cs="Arial"/>
                <w:color w:val="FF0000"/>
                <w:sz w:val="24"/>
                <w:szCs w:val="24"/>
              </w:rPr>
            </w:pPr>
            <w:r w:rsidRPr="00C02C4C">
              <w:rPr>
                <w:rFonts w:ascii="Arial" w:eastAsia="Times New Roman" w:hAnsi="Arial" w:cs="Arial"/>
                <w:color w:val="FF0000"/>
                <w:sz w:val="24"/>
                <w:szCs w:val="24"/>
              </w:rPr>
              <w:t>164,800</w:t>
            </w:r>
          </w:p>
        </w:tc>
      </w:tr>
      <w:tr w:rsidR="00C02C4C" w:rsidRPr="009465B6" w14:paraId="24CBA2F3" w14:textId="77777777" w:rsidTr="00C02C4C">
        <w:trPr>
          <w:trHeight w:val="315"/>
        </w:trPr>
        <w:tc>
          <w:tcPr>
            <w:tcW w:w="5847" w:type="dxa"/>
            <w:tcBorders>
              <w:top w:val="nil"/>
              <w:left w:val="single" w:sz="4" w:space="0" w:color="auto"/>
              <w:bottom w:val="nil"/>
              <w:right w:val="single" w:sz="4" w:space="0" w:color="auto"/>
            </w:tcBorders>
            <w:shd w:val="clear" w:color="000000" w:fill="DBE5F1"/>
            <w:noWrap/>
            <w:vAlign w:val="bottom"/>
          </w:tcPr>
          <w:p w14:paraId="7AE7020B" w14:textId="3CCF90FF" w:rsidR="00C02C4C" w:rsidRPr="00C02C4C" w:rsidRDefault="00C02C4C" w:rsidP="00C02C4C">
            <w:pPr>
              <w:spacing w:after="0"/>
              <w:rPr>
                <w:rFonts w:ascii="Arial" w:eastAsia="Times New Roman" w:hAnsi="Arial" w:cs="Arial"/>
                <w:i/>
                <w:iCs/>
                <w:color w:val="FF0000"/>
                <w:sz w:val="24"/>
                <w:szCs w:val="24"/>
              </w:rPr>
            </w:pPr>
            <w:r w:rsidRPr="00D04D78">
              <w:rPr>
                <w:rFonts w:ascii="Arial" w:eastAsia="Times New Roman" w:hAnsi="Arial" w:cs="Arial"/>
                <w:i/>
                <w:iCs/>
                <w:color w:val="FF0000"/>
                <w:sz w:val="24"/>
                <w:szCs w:val="24"/>
              </w:rPr>
              <w:t xml:space="preserve">Debenture interest paid </w:t>
            </w:r>
          </w:p>
        </w:tc>
        <w:tc>
          <w:tcPr>
            <w:tcW w:w="3949" w:type="dxa"/>
            <w:tcBorders>
              <w:top w:val="nil"/>
              <w:left w:val="nil"/>
              <w:bottom w:val="nil"/>
              <w:right w:val="single" w:sz="4" w:space="0" w:color="auto"/>
            </w:tcBorders>
            <w:shd w:val="clear" w:color="000000" w:fill="DBE5F1"/>
            <w:noWrap/>
            <w:vAlign w:val="bottom"/>
          </w:tcPr>
          <w:p w14:paraId="0B4658DC" w14:textId="01FA5C49" w:rsidR="00C02C4C" w:rsidRPr="00C02C4C" w:rsidRDefault="00C02C4C" w:rsidP="00C02C4C">
            <w:pPr>
              <w:spacing w:after="0" w:line="240" w:lineRule="auto"/>
              <w:rPr>
                <w:rFonts w:ascii="Arial" w:eastAsia="Times New Roman" w:hAnsi="Arial" w:cs="Arial"/>
                <w:color w:val="FF0000"/>
                <w:sz w:val="24"/>
                <w:szCs w:val="24"/>
              </w:rPr>
            </w:pPr>
            <w:r w:rsidRPr="00D04D78">
              <w:rPr>
                <w:rFonts w:ascii="Arial" w:eastAsia="Times New Roman" w:hAnsi="Arial" w:cs="Arial"/>
                <w:color w:val="FF0000"/>
                <w:sz w:val="24"/>
                <w:szCs w:val="24"/>
              </w:rPr>
              <w:t>240,000</w:t>
            </w:r>
          </w:p>
        </w:tc>
      </w:tr>
      <w:tr w:rsidR="00C02C4C" w:rsidRPr="009465B6" w14:paraId="685C153C" w14:textId="77777777" w:rsidTr="00C02C4C">
        <w:trPr>
          <w:trHeight w:val="315"/>
        </w:trPr>
        <w:tc>
          <w:tcPr>
            <w:tcW w:w="5847" w:type="dxa"/>
            <w:tcBorders>
              <w:top w:val="nil"/>
              <w:left w:val="single" w:sz="4" w:space="0" w:color="auto"/>
              <w:bottom w:val="single" w:sz="4" w:space="0" w:color="auto"/>
              <w:right w:val="single" w:sz="4" w:space="0" w:color="auto"/>
            </w:tcBorders>
            <w:shd w:val="clear" w:color="000000" w:fill="DBE5F1"/>
            <w:noWrap/>
            <w:vAlign w:val="bottom"/>
          </w:tcPr>
          <w:p w14:paraId="5EEFD771" w14:textId="77777777" w:rsidR="00C02C4C" w:rsidRPr="00D04D78" w:rsidRDefault="00C02C4C" w:rsidP="00C02C4C">
            <w:pPr>
              <w:spacing w:after="0"/>
              <w:rPr>
                <w:rFonts w:ascii="Arial" w:eastAsia="Times New Roman" w:hAnsi="Arial" w:cs="Arial"/>
                <w:i/>
                <w:iCs/>
                <w:color w:val="FF0000"/>
                <w:sz w:val="24"/>
                <w:szCs w:val="24"/>
              </w:rPr>
            </w:pPr>
          </w:p>
        </w:tc>
        <w:tc>
          <w:tcPr>
            <w:tcW w:w="3949" w:type="dxa"/>
            <w:tcBorders>
              <w:top w:val="nil"/>
              <w:left w:val="nil"/>
              <w:bottom w:val="single" w:sz="4" w:space="0" w:color="auto"/>
              <w:right w:val="single" w:sz="4" w:space="0" w:color="auto"/>
            </w:tcBorders>
            <w:shd w:val="clear" w:color="000000" w:fill="DBE5F1"/>
            <w:noWrap/>
            <w:vAlign w:val="bottom"/>
          </w:tcPr>
          <w:p w14:paraId="3228F56D" w14:textId="77777777" w:rsidR="00C02C4C" w:rsidRPr="00D04D78" w:rsidRDefault="00C02C4C" w:rsidP="00C02C4C">
            <w:pPr>
              <w:spacing w:after="0" w:line="240" w:lineRule="auto"/>
              <w:rPr>
                <w:rFonts w:ascii="Arial" w:eastAsia="Times New Roman" w:hAnsi="Arial" w:cs="Arial"/>
                <w:color w:val="FF0000"/>
                <w:sz w:val="24"/>
                <w:szCs w:val="24"/>
              </w:rPr>
            </w:pPr>
          </w:p>
        </w:tc>
      </w:tr>
    </w:tbl>
    <w:p w14:paraId="1BDA4156" w14:textId="2FA7994E" w:rsidR="00766B93" w:rsidRDefault="00766B93" w:rsidP="003278B3">
      <w:pPr>
        <w:spacing w:line="360" w:lineRule="auto"/>
        <w:jc w:val="both"/>
        <w:rPr>
          <w:rFonts w:ascii="Arial" w:hAnsi="Arial" w:cs="Arial"/>
          <w:sz w:val="24"/>
          <w:szCs w:val="24"/>
        </w:rPr>
      </w:pPr>
    </w:p>
    <w:p w14:paraId="64EBF42E" w14:textId="77777777" w:rsidR="00C02C4C" w:rsidRPr="00C02C4C" w:rsidRDefault="00C02C4C" w:rsidP="00C02C4C">
      <w:pPr>
        <w:spacing w:line="360" w:lineRule="auto"/>
        <w:jc w:val="both"/>
        <w:rPr>
          <w:rFonts w:ascii="Arial" w:hAnsi="Arial" w:cs="Arial"/>
          <w:sz w:val="24"/>
          <w:szCs w:val="24"/>
          <w:highlight w:val="green"/>
        </w:rPr>
      </w:pPr>
      <w:r w:rsidRPr="00C02C4C">
        <w:rPr>
          <w:rFonts w:ascii="Arial" w:hAnsi="Arial" w:cs="Arial"/>
          <w:sz w:val="24"/>
          <w:szCs w:val="24"/>
          <w:highlight w:val="green"/>
        </w:rPr>
        <w:t>Net profit = Total revenue – Total expenses</w:t>
      </w:r>
    </w:p>
    <w:p w14:paraId="4B038731" w14:textId="2B738F67" w:rsidR="00C02C4C" w:rsidRDefault="00C02C4C" w:rsidP="00C02C4C">
      <w:pPr>
        <w:spacing w:line="360" w:lineRule="auto"/>
        <w:jc w:val="both"/>
        <w:rPr>
          <w:rFonts w:ascii="Arial" w:hAnsi="Arial" w:cs="Arial"/>
          <w:sz w:val="24"/>
          <w:szCs w:val="24"/>
        </w:rPr>
      </w:pPr>
      <w:r w:rsidRPr="00C02C4C">
        <w:rPr>
          <w:rFonts w:ascii="Arial" w:hAnsi="Arial" w:cs="Arial"/>
          <w:sz w:val="24"/>
          <w:szCs w:val="24"/>
          <w:highlight w:val="green"/>
        </w:rPr>
        <w:t>11,520,000 - 5,805,540 = 5,714,460</w:t>
      </w:r>
    </w:p>
    <w:p w14:paraId="0B5131D9" w14:textId="0320002F" w:rsidR="006A01AE" w:rsidRPr="006A01AE" w:rsidRDefault="006A01AE" w:rsidP="00C02C4C">
      <w:pPr>
        <w:spacing w:line="360" w:lineRule="auto"/>
        <w:jc w:val="both"/>
        <w:rPr>
          <w:rFonts w:ascii="Arial" w:hAnsi="Arial" w:cs="Arial"/>
          <w:sz w:val="24"/>
          <w:szCs w:val="24"/>
          <w:highlight w:val="cyan"/>
        </w:rPr>
      </w:pPr>
      <w:r w:rsidRPr="006A01AE">
        <w:rPr>
          <w:rFonts w:ascii="Arial" w:hAnsi="Arial" w:cs="Arial"/>
          <w:sz w:val="24"/>
          <w:szCs w:val="24"/>
          <w:highlight w:val="cyan"/>
        </w:rPr>
        <w:t>Sales – cost of sales = Gross profit</w:t>
      </w:r>
    </w:p>
    <w:p w14:paraId="7DB3CAE9" w14:textId="35C6F3E0" w:rsidR="006A01AE" w:rsidRPr="00C02C4C" w:rsidRDefault="006A01AE" w:rsidP="00C02C4C">
      <w:pPr>
        <w:spacing w:line="360" w:lineRule="auto"/>
        <w:jc w:val="both"/>
        <w:rPr>
          <w:rFonts w:ascii="Arial" w:hAnsi="Arial" w:cs="Arial"/>
          <w:sz w:val="24"/>
          <w:szCs w:val="24"/>
        </w:rPr>
      </w:pPr>
      <w:r w:rsidRPr="006A01AE">
        <w:rPr>
          <w:rFonts w:ascii="Arial" w:hAnsi="Arial" w:cs="Arial"/>
          <w:sz w:val="24"/>
          <w:szCs w:val="24"/>
          <w:highlight w:val="cyan"/>
        </w:rPr>
        <w:t>30,300,000 – 16,220,000 = 14,080,000</w:t>
      </w:r>
    </w:p>
    <w:p w14:paraId="4BB11E80" w14:textId="77777777" w:rsidR="00C02C4C" w:rsidRDefault="00C02C4C" w:rsidP="003278B3">
      <w:pPr>
        <w:spacing w:line="360" w:lineRule="auto"/>
        <w:jc w:val="both"/>
        <w:rPr>
          <w:rFonts w:ascii="Arial" w:hAnsi="Arial" w:cs="Arial"/>
          <w:sz w:val="24"/>
          <w:szCs w:val="24"/>
        </w:rPr>
      </w:pPr>
    </w:p>
    <w:p w14:paraId="3CABB2F7" w14:textId="14131A08" w:rsidR="005C76AA" w:rsidRPr="009465B6" w:rsidRDefault="005C76AA" w:rsidP="003278B3">
      <w:pPr>
        <w:spacing w:line="360" w:lineRule="auto"/>
        <w:jc w:val="both"/>
        <w:rPr>
          <w:rFonts w:ascii="Arial" w:hAnsi="Arial" w:cs="Arial"/>
          <w:sz w:val="24"/>
          <w:szCs w:val="24"/>
        </w:rPr>
      </w:pPr>
      <w:r w:rsidRPr="009465B6">
        <w:rPr>
          <w:rFonts w:ascii="Arial" w:hAnsi="Arial" w:cs="Arial"/>
          <w:sz w:val="24"/>
          <w:szCs w:val="24"/>
        </w:rPr>
        <w:t>The co</w:t>
      </w:r>
      <w:r w:rsidR="00CE2244" w:rsidRPr="009465B6">
        <w:rPr>
          <w:rFonts w:ascii="Arial" w:hAnsi="Arial" w:cs="Arial"/>
          <w:sz w:val="24"/>
          <w:szCs w:val="24"/>
        </w:rPr>
        <w:t>st of building is £11</w:t>
      </w:r>
      <w:r w:rsidR="00BA7B6A">
        <w:rPr>
          <w:rFonts w:ascii="Arial" w:hAnsi="Arial" w:cs="Arial"/>
          <w:sz w:val="24"/>
          <w:szCs w:val="24"/>
        </w:rPr>
        <w:t>,</w:t>
      </w:r>
      <w:r w:rsidR="00CE2244" w:rsidRPr="009465B6">
        <w:rPr>
          <w:rFonts w:ascii="Arial" w:hAnsi="Arial" w:cs="Arial"/>
          <w:sz w:val="24"/>
          <w:szCs w:val="24"/>
        </w:rPr>
        <w:t>4</w:t>
      </w:r>
      <w:r w:rsidR="00BA7B6A">
        <w:rPr>
          <w:rFonts w:ascii="Arial" w:hAnsi="Arial" w:cs="Arial"/>
          <w:sz w:val="24"/>
          <w:szCs w:val="24"/>
        </w:rPr>
        <w:t>2</w:t>
      </w:r>
      <w:r w:rsidR="00CE2244" w:rsidRPr="009465B6">
        <w:rPr>
          <w:rFonts w:ascii="Arial" w:hAnsi="Arial" w:cs="Arial"/>
          <w:sz w:val="24"/>
          <w:szCs w:val="24"/>
        </w:rPr>
        <w:t>0</w:t>
      </w:r>
      <w:r w:rsidR="00BA7B6A">
        <w:rPr>
          <w:rFonts w:ascii="Arial" w:hAnsi="Arial" w:cs="Arial"/>
          <w:sz w:val="24"/>
          <w:szCs w:val="24"/>
        </w:rPr>
        <w:t>,</w:t>
      </w:r>
      <w:r w:rsidR="00CE2244" w:rsidRPr="009465B6">
        <w:rPr>
          <w:rFonts w:ascii="Arial" w:hAnsi="Arial" w:cs="Arial"/>
          <w:sz w:val="24"/>
          <w:szCs w:val="24"/>
        </w:rPr>
        <w:t>000</w:t>
      </w:r>
      <w:r w:rsidR="002A19A4">
        <w:rPr>
          <w:rFonts w:ascii="Arial" w:hAnsi="Arial" w:cs="Arial"/>
          <w:sz w:val="24"/>
          <w:szCs w:val="24"/>
        </w:rPr>
        <w:t>=</w:t>
      </w:r>
      <w:r w:rsidR="00CE2244" w:rsidRPr="009465B6">
        <w:rPr>
          <w:rFonts w:ascii="Arial" w:hAnsi="Arial" w:cs="Arial"/>
          <w:sz w:val="24"/>
          <w:szCs w:val="24"/>
        </w:rPr>
        <w:t xml:space="preserve"> 16</w:t>
      </w:r>
      <w:r w:rsidR="002A19A4">
        <w:rPr>
          <w:rFonts w:ascii="Arial" w:hAnsi="Arial" w:cs="Arial"/>
          <w:sz w:val="24"/>
          <w:szCs w:val="24"/>
        </w:rPr>
        <w:t>,</w:t>
      </w:r>
      <w:r w:rsidR="00CE2244" w:rsidRPr="009465B6">
        <w:rPr>
          <w:rFonts w:ascii="Arial" w:hAnsi="Arial" w:cs="Arial"/>
          <w:sz w:val="24"/>
          <w:szCs w:val="24"/>
        </w:rPr>
        <w:t>000</w:t>
      </w:r>
      <w:r w:rsidR="002A19A4">
        <w:rPr>
          <w:rFonts w:ascii="Arial" w:hAnsi="Arial" w:cs="Arial"/>
          <w:sz w:val="24"/>
          <w:szCs w:val="24"/>
        </w:rPr>
        <w:t>,</w:t>
      </w:r>
      <w:r w:rsidR="00CE2244" w:rsidRPr="009465B6">
        <w:rPr>
          <w:rFonts w:ascii="Arial" w:hAnsi="Arial" w:cs="Arial"/>
          <w:sz w:val="24"/>
          <w:szCs w:val="24"/>
        </w:rPr>
        <w:t>000-320</w:t>
      </w:r>
      <w:r w:rsidR="002A19A4">
        <w:rPr>
          <w:rFonts w:ascii="Arial" w:hAnsi="Arial" w:cs="Arial"/>
          <w:sz w:val="24"/>
          <w:szCs w:val="24"/>
        </w:rPr>
        <w:t>,</w:t>
      </w:r>
      <w:r w:rsidR="00CE2244" w:rsidRPr="009465B6">
        <w:rPr>
          <w:rFonts w:ascii="Arial" w:hAnsi="Arial" w:cs="Arial"/>
          <w:sz w:val="24"/>
          <w:szCs w:val="24"/>
        </w:rPr>
        <w:t>000</w:t>
      </w:r>
      <w:r w:rsidR="00BA7B6A">
        <w:rPr>
          <w:rFonts w:ascii="Arial" w:hAnsi="Arial" w:cs="Arial"/>
          <w:sz w:val="24"/>
          <w:szCs w:val="24"/>
        </w:rPr>
        <w:t>-</w:t>
      </w:r>
      <w:r w:rsidR="00CE2244" w:rsidRPr="009465B6">
        <w:rPr>
          <w:rFonts w:ascii="Arial" w:hAnsi="Arial" w:cs="Arial"/>
          <w:sz w:val="24"/>
          <w:szCs w:val="24"/>
        </w:rPr>
        <w:t>4</w:t>
      </w:r>
      <w:r w:rsidR="002A19A4">
        <w:rPr>
          <w:rFonts w:ascii="Arial" w:hAnsi="Arial" w:cs="Arial"/>
          <w:sz w:val="24"/>
          <w:szCs w:val="24"/>
        </w:rPr>
        <w:t>,</w:t>
      </w:r>
      <w:r w:rsidR="00CE2244" w:rsidRPr="009465B6">
        <w:rPr>
          <w:rFonts w:ascii="Arial" w:hAnsi="Arial" w:cs="Arial"/>
          <w:sz w:val="24"/>
          <w:szCs w:val="24"/>
        </w:rPr>
        <w:t>260</w:t>
      </w:r>
      <w:r w:rsidR="002A19A4">
        <w:rPr>
          <w:rFonts w:ascii="Arial" w:hAnsi="Arial" w:cs="Arial"/>
          <w:sz w:val="24"/>
          <w:szCs w:val="24"/>
        </w:rPr>
        <w:t>,</w:t>
      </w:r>
      <w:r w:rsidR="00CE2244" w:rsidRPr="009465B6">
        <w:rPr>
          <w:rFonts w:ascii="Arial" w:hAnsi="Arial" w:cs="Arial"/>
          <w:sz w:val="24"/>
          <w:szCs w:val="24"/>
        </w:rPr>
        <w:t>000</w:t>
      </w:r>
    </w:p>
    <w:p w14:paraId="11A3BA1D" w14:textId="77777777" w:rsidR="00BA7B6A" w:rsidRDefault="005C76AA" w:rsidP="003278B3">
      <w:pPr>
        <w:spacing w:line="360" w:lineRule="auto"/>
        <w:jc w:val="both"/>
        <w:rPr>
          <w:rFonts w:ascii="Arial" w:hAnsi="Arial" w:cs="Arial"/>
          <w:sz w:val="24"/>
          <w:szCs w:val="24"/>
        </w:rPr>
      </w:pPr>
      <w:r w:rsidRPr="009465B6">
        <w:rPr>
          <w:rFonts w:ascii="Arial" w:hAnsi="Arial" w:cs="Arial"/>
          <w:sz w:val="24"/>
          <w:szCs w:val="24"/>
        </w:rPr>
        <w:t>The cost plant has been adjusted by reducing the accumulated depreciation of £</w:t>
      </w:r>
      <w:r w:rsidR="00CE2244" w:rsidRPr="009465B6">
        <w:rPr>
          <w:rFonts w:ascii="Arial" w:hAnsi="Arial" w:cs="Arial"/>
          <w:sz w:val="24"/>
          <w:szCs w:val="24"/>
        </w:rPr>
        <w:t>2</w:t>
      </w:r>
      <w:r w:rsidR="00BA7B6A">
        <w:rPr>
          <w:rFonts w:ascii="Arial" w:hAnsi="Arial" w:cs="Arial"/>
          <w:sz w:val="24"/>
          <w:szCs w:val="24"/>
        </w:rPr>
        <w:t>,</w:t>
      </w:r>
      <w:r w:rsidR="00CE2244" w:rsidRPr="009465B6">
        <w:rPr>
          <w:rFonts w:ascii="Arial" w:hAnsi="Arial" w:cs="Arial"/>
          <w:sz w:val="24"/>
          <w:szCs w:val="24"/>
        </w:rPr>
        <w:t>560</w:t>
      </w:r>
      <w:r w:rsidR="00BA7B6A">
        <w:rPr>
          <w:rFonts w:ascii="Arial" w:hAnsi="Arial" w:cs="Arial"/>
          <w:sz w:val="24"/>
          <w:szCs w:val="24"/>
        </w:rPr>
        <w:t>,</w:t>
      </w:r>
      <w:r w:rsidR="00CE2244" w:rsidRPr="009465B6">
        <w:rPr>
          <w:rFonts w:ascii="Arial" w:hAnsi="Arial" w:cs="Arial"/>
          <w:sz w:val="24"/>
          <w:szCs w:val="24"/>
        </w:rPr>
        <w:t>000</w:t>
      </w:r>
      <w:r w:rsidRPr="009465B6">
        <w:rPr>
          <w:rFonts w:ascii="Arial" w:hAnsi="Arial" w:cs="Arial"/>
          <w:sz w:val="24"/>
          <w:szCs w:val="24"/>
        </w:rPr>
        <w:t xml:space="preserve"> from £25</w:t>
      </w:r>
      <w:r w:rsidR="00BA7B6A">
        <w:rPr>
          <w:rFonts w:ascii="Arial" w:hAnsi="Arial" w:cs="Arial"/>
          <w:sz w:val="24"/>
          <w:szCs w:val="24"/>
        </w:rPr>
        <w:t>,</w:t>
      </w:r>
      <w:r w:rsidRPr="009465B6">
        <w:rPr>
          <w:rFonts w:ascii="Arial" w:hAnsi="Arial" w:cs="Arial"/>
          <w:sz w:val="24"/>
          <w:szCs w:val="24"/>
        </w:rPr>
        <w:t>600</w:t>
      </w:r>
      <w:r w:rsidR="00BA7B6A">
        <w:rPr>
          <w:rFonts w:ascii="Arial" w:hAnsi="Arial" w:cs="Arial"/>
          <w:sz w:val="24"/>
          <w:szCs w:val="24"/>
        </w:rPr>
        <w:t>,</w:t>
      </w:r>
      <w:r w:rsidRPr="009465B6">
        <w:rPr>
          <w:rFonts w:ascii="Arial" w:hAnsi="Arial" w:cs="Arial"/>
          <w:sz w:val="24"/>
          <w:szCs w:val="24"/>
        </w:rPr>
        <w:t>000.</w:t>
      </w:r>
    </w:p>
    <w:p w14:paraId="21FD7045" w14:textId="079C0F90" w:rsidR="005C76AA" w:rsidRPr="009465B6" w:rsidRDefault="008818D4" w:rsidP="003278B3">
      <w:pPr>
        <w:spacing w:line="360" w:lineRule="auto"/>
        <w:jc w:val="both"/>
        <w:rPr>
          <w:rFonts w:ascii="Arial" w:hAnsi="Arial" w:cs="Arial"/>
          <w:sz w:val="24"/>
          <w:szCs w:val="24"/>
        </w:rPr>
      </w:pPr>
      <w:r w:rsidRPr="009465B6">
        <w:rPr>
          <w:rFonts w:ascii="Arial" w:hAnsi="Arial" w:cs="Arial"/>
          <w:sz w:val="24"/>
          <w:szCs w:val="24"/>
        </w:rPr>
        <w:t xml:space="preserve"> The value of the plant </w:t>
      </w:r>
      <w:r w:rsidR="00BA7B6A" w:rsidRPr="009465B6">
        <w:rPr>
          <w:rFonts w:ascii="Arial" w:hAnsi="Arial" w:cs="Arial"/>
          <w:sz w:val="24"/>
          <w:szCs w:val="24"/>
        </w:rPr>
        <w:t>became:</w:t>
      </w:r>
      <w:r w:rsidR="00BA7B6A">
        <w:rPr>
          <w:rFonts w:ascii="Arial" w:hAnsi="Arial" w:cs="Arial"/>
          <w:sz w:val="24"/>
          <w:szCs w:val="24"/>
        </w:rPr>
        <w:t xml:space="preserve"> </w:t>
      </w:r>
      <w:r w:rsidR="00CE2244" w:rsidRPr="009465B6">
        <w:rPr>
          <w:rFonts w:ascii="Arial" w:hAnsi="Arial" w:cs="Arial"/>
          <w:sz w:val="24"/>
          <w:szCs w:val="24"/>
        </w:rPr>
        <w:t>25</w:t>
      </w:r>
      <w:r w:rsidR="00BA7B6A">
        <w:rPr>
          <w:rFonts w:ascii="Arial" w:hAnsi="Arial" w:cs="Arial"/>
          <w:sz w:val="24"/>
          <w:szCs w:val="24"/>
        </w:rPr>
        <w:t>,</w:t>
      </w:r>
      <w:r w:rsidR="00CE2244" w:rsidRPr="009465B6">
        <w:rPr>
          <w:rFonts w:ascii="Arial" w:hAnsi="Arial" w:cs="Arial"/>
          <w:sz w:val="24"/>
          <w:szCs w:val="24"/>
        </w:rPr>
        <w:t>600</w:t>
      </w:r>
      <w:r w:rsidR="00BA7B6A">
        <w:rPr>
          <w:rFonts w:ascii="Arial" w:hAnsi="Arial" w:cs="Arial"/>
          <w:sz w:val="24"/>
          <w:szCs w:val="24"/>
        </w:rPr>
        <w:t>,</w:t>
      </w:r>
      <w:r w:rsidR="00CE2244" w:rsidRPr="009465B6">
        <w:rPr>
          <w:rFonts w:ascii="Arial" w:hAnsi="Arial" w:cs="Arial"/>
          <w:sz w:val="24"/>
          <w:szCs w:val="24"/>
        </w:rPr>
        <w:t>000-2</w:t>
      </w:r>
      <w:r w:rsidR="00BA7B6A">
        <w:rPr>
          <w:rFonts w:ascii="Arial" w:hAnsi="Arial" w:cs="Arial"/>
          <w:sz w:val="24"/>
          <w:szCs w:val="24"/>
        </w:rPr>
        <w:t>,</w:t>
      </w:r>
      <w:r w:rsidR="00CE2244" w:rsidRPr="009465B6">
        <w:rPr>
          <w:rFonts w:ascii="Arial" w:hAnsi="Arial" w:cs="Arial"/>
          <w:sz w:val="24"/>
          <w:szCs w:val="24"/>
        </w:rPr>
        <w:t>560</w:t>
      </w:r>
      <w:r w:rsidR="00BA7B6A">
        <w:rPr>
          <w:rFonts w:ascii="Arial" w:hAnsi="Arial" w:cs="Arial"/>
          <w:sz w:val="24"/>
          <w:szCs w:val="24"/>
        </w:rPr>
        <w:t>,</w:t>
      </w:r>
      <w:r w:rsidR="00CE2244" w:rsidRPr="009465B6">
        <w:rPr>
          <w:rFonts w:ascii="Arial" w:hAnsi="Arial" w:cs="Arial"/>
          <w:sz w:val="24"/>
          <w:szCs w:val="24"/>
        </w:rPr>
        <w:t>000</w:t>
      </w:r>
      <w:r w:rsidR="00BA7B6A">
        <w:rPr>
          <w:rFonts w:ascii="Arial" w:hAnsi="Arial" w:cs="Arial"/>
          <w:sz w:val="24"/>
          <w:szCs w:val="24"/>
        </w:rPr>
        <w:t>-</w:t>
      </w:r>
      <w:r w:rsidR="00CE2244" w:rsidRPr="009465B6">
        <w:rPr>
          <w:rFonts w:ascii="Arial" w:hAnsi="Arial" w:cs="Arial"/>
          <w:sz w:val="24"/>
          <w:szCs w:val="24"/>
        </w:rPr>
        <w:t>4</w:t>
      </w:r>
      <w:r w:rsidR="00BA7B6A">
        <w:rPr>
          <w:rFonts w:ascii="Arial" w:hAnsi="Arial" w:cs="Arial"/>
          <w:sz w:val="24"/>
          <w:szCs w:val="24"/>
        </w:rPr>
        <w:t>,</w:t>
      </w:r>
      <w:r w:rsidR="00CE2244" w:rsidRPr="009465B6">
        <w:rPr>
          <w:rFonts w:ascii="Arial" w:hAnsi="Arial" w:cs="Arial"/>
          <w:sz w:val="24"/>
          <w:szCs w:val="24"/>
        </w:rPr>
        <w:t>960</w:t>
      </w:r>
      <w:r w:rsidR="00BA7B6A">
        <w:rPr>
          <w:rFonts w:ascii="Arial" w:hAnsi="Arial" w:cs="Arial"/>
          <w:sz w:val="24"/>
          <w:szCs w:val="24"/>
        </w:rPr>
        <w:t>,</w:t>
      </w:r>
      <w:r w:rsidR="00CE2244" w:rsidRPr="009465B6">
        <w:rPr>
          <w:rFonts w:ascii="Arial" w:hAnsi="Arial" w:cs="Arial"/>
          <w:sz w:val="24"/>
          <w:szCs w:val="24"/>
        </w:rPr>
        <w:t xml:space="preserve">000 </w:t>
      </w:r>
      <w:r w:rsidR="00BA7B6A">
        <w:rPr>
          <w:rFonts w:ascii="Arial" w:hAnsi="Arial" w:cs="Arial"/>
          <w:sz w:val="24"/>
          <w:szCs w:val="24"/>
        </w:rPr>
        <w:t xml:space="preserve">= </w:t>
      </w:r>
      <w:r w:rsidR="00CE2244" w:rsidRPr="009465B6">
        <w:rPr>
          <w:rFonts w:ascii="Arial" w:hAnsi="Arial" w:cs="Arial"/>
          <w:sz w:val="24"/>
          <w:szCs w:val="24"/>
        </w:rPr>
        <w:t>1</w:t>
      </w:r>
      <w:r w:rsidR="00BA7B6A">
        <w:rPr>
          <w:rFonts w:ascii="Arial" w:hAnsi="Arial" w:cs="Arial"/>
          <w:sz w:val="24"/>
          <w:szCs w:val="24"/>
        </w:rPr>
        <w:t>8,</w:t>
      </w:r>
      <w:r w:rsidR="00CE2244" w:rsidRPr="009465B6">
        <w:rPr>
          <w:rFonts w:ascii="Arial" w:hAnsi="Arial" w:cs="Arial"/>
          <w:sz w:val="24"/>
          <w:szCs w:val="24"/>
        </w:rPr>
        <w:t>080</w:t>
      </w:r>
      <w:r w:rsidR="00BA7B6A">
        <w:rPr>
          <w:rFonts w:ascii="Arial" w:hAnsi="Arial" w:cs="Arial"/>
          <w:sz w:val="24"/>
          <w:szCs w:val="24"/>
        </w:rPr>
        <w:t>,</w:t>
      </w:r>
      <w:r w:rsidR="00CE2244" w:rsidRPr="009465B6">
        <w:rPr>
          <w:rFonts w:ascii="Arial" w:hAnsi="Arial" w:cs="Arial"/>
          <w:sz w:val="24"/>
          <w:szCs w:val="24"/>
        </w:rPr>
        <w:t xml:space="preserve">000. </w:t>
      </w:r>
    </w:p>
    <w:p w14:paraId="12C8C5EF" w14:textId="7E885DAE" w:rsidR="000543FC" w:rsidRPr="009465B6" w:rsidRDefault="000543FC" w:rsidP="003278B3">
      <w:pPr>
        <w:spacing w:line="360" w:lineRule="auto"/>
        <w:jc w:val="both"/>
        <w:rPr>
          <w:rFonts w:ascii="Arial" w:hAnsi="Arial" w:cs="Arial"/>
          <w:sz w:val="24"/>
          <w:szCs w:val="24"/>
        </w:rPr>
      </w:pPr>
      <w:r w:rsidRPr="009465B6">
        <w:rPr>
          <w:rFonts w:ascii="Arial" w:hAnsi="Arial" w:cs="Arial"/>
          <w:sz w:val="24"/>
          <w:szCs w:val="24"/>
        </w:rPr>
        <w:t>Capital has been computed by adding the share premium of (5</w:t>
      </w:r>
      <w:r w:rsidR="00BA7B6A">
        <w:rPr>
          <w:rFonts w:ascii="Arial" w:hAnsi="Arial" w:cs="Arial"/>
          <w:sz w:val="24"/>
          <w:szCs w:val="24"/>
        </w:rPr>
        <w:t>,</w:t>
      </w:r>
      <w:r w:rsidRPr="009465B6">
        <w:rPr>
          <w:rFonts w:ascii="Arial" w:hAnsi="Arial" w:cs="Arial"/>
          <w:sz w:val="24"/>
          <w:szCs w:val="24"/>
        </w:rPr>
        <w:t>000</w:t>
      </w:r>
      <w:r w:rsidR="00BA7B6A">
        <w:rPr>
          <w:rFonts w:ascii="Arial" w:hAnsi="Arial" w:cs="Arial"/>
          <w:sz w:val="24"/>
          <w:szCs w:val="24"/>
        </w:rPr>
        <w:t>,</w:t>
      </w:r>
      <w:r w:rsidRPr="009465B6">
        <w:rPr>
          <w:rFonts w:ascii="Arial" w:hAnsi="Arial" w:cs="Arial"/>
          <w:sz w:val="24"/>
          <w:szCs w:val="24"/>
        </w:rPr>
        <w:t>000) to ordinary share capital of £29</w:t>
      </w:r>
      <w:r w:rsidR="00BA7B6A">
        <w:rPr>
          <w:rFonts w:ascii="Arial" w:hAnsi="Arial" w:cs="Arial"/>
          <w:sz w:val="24"/>
          <w:szCs w:val="24"/>
        </w:rPr>
        <w:t>,</w:t>
      </w:r>
      <w:r w:rsidRPr="009465B6">
        <w:rPr>
          <w:rFonts w:ascii="Arial" w:hAnsi="Arial" w:cs="Arial"/>
          <w:sz w:val="24"/>
          <w:szCs w:val="24"/>
        </w:rPr>
        <w:t>000</w:t>
      </w:r>
      <w:r w:rsidR="00BA7B6A">
        <w:rPr>
          <w:rFonts w:ascii="Arial" w:hAnsi="Arial" w:cs="Arial"/>
          <w:sz w:val="24"/>
          <w:szCs w:val="24"/>
        </w:rPr>
        <w:t>,</w:t>
      </w:r>
      <w:r w:rsidRPr="009465B6">
        <w:rPr>
          <w:rFonts w:ascii="Arial" w:hAnsi="Arial" w:cs="Arial"/>
          <w:sz w:val="24"/>
          <w:szCs w:val="24"/>
        </w:rPr>
        <w:t>000. Hence, capital is £34</w:t>
      </w:r>
      <w:r w:rsidR="00BA7B6A">
        <w:rPr>
          <w:rFonts w:ascii="Arial" w:hAnsi="Arial" w:cs="Arial"/>
          <w:sz w:val="24"/>
          <w:szCs w:val="24"/>
        </w:rPr>
        <w:t>,</w:t>
      </w:r>
      <w:r w:rsidRPr="009465B6">
        <w:rPr>
          <w:rFonts w:ascii="Arial" w:hAnsi="Arial" w:cs="Arial"/>
          <w:sz w:val="24"/>
          <w:szCs w:val="24"/>
        </w:rPr>
        <w:t>000</w:t>
      </w:r>
      <w:r w:rsidR="00BA7B6A">
        <w:rPr>
          <w:rFonts w:ascii="Arial" w:hAnsi="Arial" w:cs="Arial"/>
          <w:sz w:val="24"/>
          <w:szCs w:val="24"/>
        </w:rPr>
        <w:t>,</w:t>
      </w:r>
      <w:r w:rsidRPr="009465B6">
        <w:rPr>
          <w:rFonts w:ascii="Arial" w:hAnsi="Arial" w:cs="Arial"/>
          <w:sz w:val="24"/>
          <w:szCs w:val="24"/>
        </w:rPr>
        <w:t xml:space="preserve">000. </w:t>
      </w:r>
    </w:p>
    <w:p w14:paraId="3B5E2483" w14:textId="43D1C567" w:rsidR="005B02D5" w:rsidRPr="009465B6" w:rsidRDefault="005B02D5" w:rsidP="003278B3">
      <w:pPr>
        <w:spacing w:line="360" w:lineRule="auto"/>
        <w:jc w:val="both"/>
        <w:rPr>
          <w:rFonts w:ascii="Arial" w:hAnsi="Arial" w:cs="Arial"/>
          <w:sz w:val="24"/>
          <w:szCs w:val="24"/>
        </w:rPr>
      </w:pPr>
      <w:r w:rsidRPr="009465B6">
        <w:rPr>
          <w:rFonts w:ascii="Arial" w:hAnsi="Arial" w:cs="Arial"/>
          <w:sz w:val="24"/>
          <w:szCs w:val="24"/>
        </w:rPr>
        <w:lastRenderedPageBreak/>
        <w:t>The debenture of the £4</w:t>
      </w:r>
      <w:r w:rsidR="00BA7B6A">
        <w:rPr>
          <w:rFonts w:ascii="Arial" w:hAnsi="Arial" w:cs="Arial"/>
          <w:sz w:val="24"/>
          <w:szCs w:val="24"/>
        </w:rPr>
        <w:t>,</w:t>
      </w:r>
      <w:r w:rsidRPr="009465B6">
        <w:rPr>
          <w:rFonts w:ascii="Arial" w:hAnsi="Arial" w:cs="Arial"/>
          <w:sz w:val="24"/>
          <w:szCs w:val="24"/>
        </w:rPr>
        <w:t>000</w:t>
      </w:r>
      <w:r w:rsidR="00BA7B6A">
        <w:rPr>
          <w:rFonts w:ascii="Arial" w:hAnsi="Arial" w:cs="Arial"/>
          <w:sz w:val="24"/>
          <w:szCs w:val="24"/>
        </w:rPr>
        <w:t>,</w:t>
      </w:r>
      <w:r w:rsidRPr="009465B6">
        <w:rPr>
          <w:rFonts w:ascii="Arial" w:hAnsi="Arial" w:cs="Arial"/>
          <w:sz w:val="24"/>
          <w:szCs w:val="24"/>
        </w:rPr>
        <w:t xml:space="preserve">000 has been included in the </w:t>
      </w:r>
      <w:r w:rsidR="009465B6" w:rsidRPr="009465B6">
        <w:rPr>
          <w:rFonts w:ascii="Arial" w:hAnsi="Arial" w:cs="Arial"/>
          <w:sz w:val="24"/>
          <w:szCs w:val="24"/>
        </w:rPr>
        <w:t>long-term</w:t>
      </w:r>
      <w:r w:rsidRPr="009465B6">
        <w:rPr>
          <w:rFonts w:ascii="Arial" w:hAnsi="Arial" w:cs="Arial"/>
          <w:sz w:val="24"/>
          <w:szCs w:val="24"/>
        </w:rPr>
        <w:t xml:space="preserve"> liability as the company will have to pay this debt money to the debenture holders in long run.</w:t>
      </w:r>
    </w:p>
    <w:p w14:paraId="25AB8265" w14:textId="618EDE14" w:rsidR="00CE2244" w:rsidRDefault="00CE2244" w:rsidP="003278B3">
      <w:pPr>
        <w:spacing w:line="360" w:lineRule="auto"/>
        <w:jc w:val="both"/>
        <w:rPr>
          <w:rFonts w:ascii="Arial" w:hAnsi="Arial" w:cs="Arial"/>
          <w:sz w:val="24"/>
          <w:szCs w:val="24"/>
        </w:rPr>
      </w:pPr>
      <w:r w:rsidRPr="009465B6">
        <w:rPr>
          <w:rFonts w:ascii="Arial" w:hAnsi="Arial" w:cs="Arial"/>
          <w:sz w:val="24"/>
          <w:szCs w:val="24"/>
        </w:rPr>
        <w:t>12% debenture in the company is £240</w:t>
      </w:r>
      <w:r w:rsidR="00BA7B6A">
        <w:rPr>
          <w:rFonts w:ascii="Arial" w:hAnsi="Arial" w:cs="Arial"/>
          <w:sz w:val="24"/>
          <w:szCs w:val="24"/>
        </w:rPr>
        <w:t>,</w:t>
      </w:r>
      <w:r w:rsidRPr="009465B6">
        <w:rPr>
          <w:rFonts w:ascii="Arial" w:hAnsi="Arial" w:cs="Arial"/>
          <w:sz w:val="24"/>
          <w:szCs w:val="24"/>
        </w:rPr>
        <w:t xml:space="preserve">000. </w:t>
      </w:r>
    </w:p>
    <w:p w14:paraId="52B16FEA" w14:textId="77777777" w:rsidR="002A19A4" w:rsidRPr="009465B6" w:rsidRDefault="002A19A4" w:rsidP="003278B3">
      <w:pPr>
        <w:spacing w:line="360" w:lineRule="auto"/>
        <w:jc w:val="both"/>
        <w:rPr>
          <w:rFonts w:ascii="Arial" w:hAnsi="Arial" w:cs="Arial"/>
          <w:sz w:val="24"/>
          <w:szCs w:val="24"/>
        </w:rPr>
      </w:pPr>
    </w:p>
    <w:p w14:paraId="1E84C284" w14:textId="77777777" w:rsidR="00D92A2A" w:rsidRDefault="005414E8" w:rsidP="003B3EF4">
      <w:pPr>
        <w:pStyle w:val="Heading1"/>
        <w:spacing w:line="360" w:lineRule="auto"/>
        <w:jc w:val="both"/>
        <w:rPr>
          <w:rFonts w:ascii="Arial" w:hAnsi="Arial" w:cs="Arial"/>
          <w:sz w:val="24"/>
          <w:szCs w:val="24"/>
        </w:rPr>
      </w:pPr>
      <w:bookmarkStart w:id="1" w:name="_Toc46062884"/>
      <w:r w:rsidRPr="009465B6">
        <w:rPr>
          <w:rFonts w:ascii="Arial" w:hAnsi="Arial" w:cs="Arial"/>
          <w:sz w:val="24"/>
          <w:szCs w:val="24"/>
        </w:rPr>
        <w:t xml:space="preserve">Question 2: </w:t>
      </w:r>
    </w:p>
    <w:p w14:paraId="64323460" w14:textId="08E0435B" w:rsidR="003B3EF4" w:rsidRPr="003B3EF4" w:rsidRDefault="005414E8" w:rsidP="003B3EF4">
      <w:pPr>
        <w:pStyle w:val="Heading1"/>
        <w:spacing w:line="360" w:lineRule="auto"/>
        <w:jc w:val="both"/>
        <w:rPr>
          <w:rFonts w:ascii="Arial" w:hAnsi="Arial" w:cs="Arial"/>
          <w:sz w:val="24"/>
          <w:szCs w:val="24"/>
        </w:rPr>
      </w:pPr>
      <w:r w:rsidRPr="009465B6">
        <w:rPr>
          <w:rFonts w:ascii="Arial" w:hAnsi="Arial" w:cs="Arial"/>
          <w:sz w:val="24"/>
          <w:szCs w:val="24"/>
        </w:rPr>
        <w:t>Ratio Analysis</w:t>
      </w:r>
      <w:bookmarkEnd w:id="1"/>
    </w:p>
    <w:p w14:paraId="51F87E50" w14:textId="77777777" w:rsidR="009465B6" w:rsidRDefault="005C76AA" w:rsidP="003278B3">
      <w:pPr>
        <w:spacing w:line="360" w:lineRule="auto"/>
        <w:jc w:val="both"/>
        <w:rPr>
          <w:rFonts w:ascii="Arial" w:hAnsi="Arial" w:cs="Arial"/>
          <w:sz w:val="24"/>
          <w:szCs w:val="24"/>
        </w:rPr>
      </w:pPr>
      <w:r w:rsidRPr="009465B6">
        <w:rPr>
          <w:rFonts w:ascii="Arial" w:hAnsi="Arial" w:cs="Arial"/>
          <w:sz w:val="24"/>
          <w:szCs w:val="24"/>
        </w:rPr>
        <w:t>Ratio analysis can be defined as an important technique for financial measurement and analysis of the firm. The ratio analysis may aid to determine the trends of the financial performance and it can affect the decision of the firm in the company</w:t>
      </w:r>
      <w:r w:rsidR="00733DA9" w:rsidRPr="009465B6">
        <w:rPr>
          <w:rFonts w:ascii="Arial" w:hAnsi="Arial" w:cs="Arial"/>
          <w:sz w:val="24"/>
          <w:szCs w:val="24"/>
        </w:rPr>
        <w:t xml:space="preserve"> (</w:t>
      </w:r>
      <w:hyperlink r:id="rId8" w:history="1">
        <w:r w:rsidR="00733DA9" w:rsidRPr="009465B6">
          <w:rPr>
            <w:rStyle w:val="Hyperlink"/>
            <w:rFonts w:ascii="Arial" w:hAnsi="Arial" w:cs="Arial"/>
            <w:color w:val="000000" w:themeColor="text1"/>
            <w:sz w:val="24"/>
            <w:szCs w:val="24"/>
            <w:u w:val="none"/>
          </w:rPr>
          <w:t>Warren</w:t>
        </w:r>
      </w:hyperlink>
      <w:r w:rsidR="00733DA9" w:rsidRPr="009465B6">
        <w:rPr>
          <w:rFonts w:ascii="Arial" w:hAnsi="Arial" w:cs="Arial"/>
          <w:sz w:val="24"/>
          <w:szCs w:val="24"/>
        </w:rPr>
        <w:t xml:space="preserve"> et al., 2011)</w:t>
      </w:r>
      <w:r w:rsidRPr="009465B6">
        <w:rPr>
          <w:rFonts w:ascii="Arial" w:hAnsi="Arial" w:cs="Arial"/>
          <w:sz w:val="24"/>
          <w:szCs w:val="24"/>
        </w:rPr>
        <w:t xml:space="preserve">. </w:t>
      </w:r>
    </w:p>
    <w:p w14:paraId="7BC7F774" w14:textId="5106D03E" w:rsidR="009465B6" w:rsidRPr="009465B6" w:rsidRDefault="00D939B3" w:rsidP="003278B3">
      <w:pPr>
        <w:spacing w:line="360" w:lineRule="auto"/>
        <w:jc w:val="both"/>
        <w:rPr>
          <w:rFonts w:ascii="Arial" w:hAnsi="Arial" w:cs="Arial"/>
          <w:sz w:val="24"/>
          <w:szCs w:val="24"/>
        </w:rPr>
      </w:pPr>
      <w:r w:rsidRPr="009465B6">
        <w:rPr>
          <w:rFonts w:ascii="Arial" w:hAnsi="Arial" w:cs="Arial"/>
          <w:sz w:val="24"/>
          <w:szCs w:val="24"/>
        </w:rPr>
        <w:t>The ratio analysis for Jerry Plc is given below</w:t>
      </w:r>
      <w:r w:rsidR="009465B6">
        <w:rPr>
          <w:rFonts w:ascii="Arial" w:hAnsi="Arial" w:cs="Arial"/>
          <w:sz w:val="24"/>
          <w:szCs w:val="24"/>
        </w:rPr>
        <w:t>:</w:t>
      </w:r>
    </w:p>
    <w:tbl>
      <w:tblPr>
        <w:tblW w:w="9747" w:type="dxa"/>
        <w:tblLook w:val="04A0" w:firstRow="1" w:lastRow="0" w:firstColumn="1" w:lastColumn="0" w:noHBand="0" w:noVBand="1"/>
      </w:tblPr>
      <w:tblGrid>
        <w:gridCol w:w="2880"/>
        <w:gridCol w:w="3745"/>
        <w:gridCol w:w="1618"/>
        <w:gridCol w:w="1504"/>
      </w:tblGrid>
      <w:tr w:rsidR="00853CCB" w:rsidRPr="00E355E4" w14:paraId="329E5AE3" w14:textId="77777777" w:rsidTr="00223B4A">
        <w:trPr>
          <w:trHeight w:val="315"/>
        </w:trPr>
        <w:tc>
          <w:tcPr>
            <w:tcW w:w="288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3C607578"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Ratio</w:t>
            </w:r>
          </w:p>
        </w:tc>
        <w:tc>
          <w:tcPr>
            <w:tcW w:w="3745" w:type="dxa"/>
            <w:tcBorders>
              <w:top w:val="single" w:sz="4" w:space="0" w:color="auto"/>
              <w:left w:val="nil"/>
              <w:bottom w:val="single" w:sz="4" w:space="0" w:color="auto"/>
              <w:right w:val="single" w:sz="4" w:space="0" w:color="auto"/>
            </w:tcBorders>
            <w:shd w:val="clear" w:color="000000" w:fill="92D050"/>
            <w:noWrap/>
            <w:vAlign w:val="bottom"/>
            <w:hideMark/>
          </w:tcPr>
          <w:p w14:paraId="5B87474C"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cyan"/>
              </w:rPr>
            </w:pPr>
            <w:r w:rsidRPr="00E355E4">
              <w:rPr>
                <w:rFonts w:ascii="Arial" w:eastAsia="Times New Roman" w:hAnsi="Arial" w:cs="Arial"/>
                <w:b/>
                <w:bCs/>
                <w:color w:val="000000"/>
                <w:sz w:val="24"/>
                <w:szCs w:val="24"/>
                <w:highlight w:val="cyan"/>
              </w:rPr>
              <w:t>Formula</w:t>
            </w:r>
          </w:p>
        </w:tc>
        <w:tc>
          <w:tcPr>
            <w:tcW w:w="1618" w:type="dxa"/>
            <w:tcBorders>
              <w:top w:val="single" w:sz="4" w:space="0" w:color="auto"/>
              <w:left w:val="nil"/>
              <w:bottom w:val="single" w:sz="4" w:space="0" w:color="auto"/>
              <w:right w:val="single" w:sz="4" w:space="0" w:color="auto"/>
            </w:tcBorders>
            <w:shd w:val="clear" w:color="000000" w:fill="92D050"/>
            <w:noWrap/>
            <w:vAlign w:val="bottom"/>
            <w:hideMark/>
          </w:tcPr>
          <w:p w14:paraId="6FC70C1E"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green"/>
              </w:rPr>
            </w:pPr>
            <w:r w:rsidRPr="00E355E4">
              <w:rPr>
                <w:rFonts w:ascii="Arial" w:eastAsia="Times New Roman" w:hAnsi="Arial" w:cs="Arial"/>
                <w:b/>
                <w:bCs/>
                <w:color w:val="000000"/>
                <w:sz w:val="24"/>
                <w:szCs w:val="24"/>
                <w:highlight w:val="green"/>
              </w:rPr>
              <w:t>2019</w:t>
            </w:r>
          </w:p>
        </w:tc>
        <w:tc>
          <w:tcPr>
            <w:tcW w:w="1504" w:type="dxa"/>
            <w:tcBorders>
              <w:top w:val="single" w:sz="4" w:space="0" w:color="auto"/>
              <w:left w:val="nil"/>
              <w:bottom w:val="single" w:sz="4" w:space="0" w:color="auto"/>
              <w:right w:val="single" w:sz="4" w:space="0" w:color="auto"/>
            </w:tcBorders>
            <w:shd w:val="clear" w:color="000000" w:fill="92D050"/>
            <w:noWrap/>
            <w:vAlign w:val="bottom"/>
            <w:hideMark/>
          </w:tcPr>
          <w:p w14:paraId="4228CF1D" w14:textId="77777777" w:rsidR="00853CCB" w:rsidRPr="00E355E4" w:rsidRDefault="00853CCB" w:rsidP="003278B3">
            <w:pPr>
              <w:spacing w:after="0" w:line="360" w:lineRule="auto"/>
              <w:jc w:val="both"/>
              <w:rPr>
                <w:rFonts w:ascii="Arial" w:eastAsia="Times New Roman" w:hAnsi="Arial" w:cs="Arial"/>
                <w:b/>
                <w:bCs/>
                <w:color w:val="000000"/>
                <w:sz w:val="24"/>
                <w:szCs w:val="24"/>
              </w:rPr>
            </w:pPr>
            <w:r w:rsidRPr="00E355E4">
              <w:rPr>
                <w:rFonts w:ascii="Arial" w:eastAsia="Times New Roman" w:hAnsi="Arial" w:cs="Arial"/>
                <w:b/>
                <w:bCs/>
                <w:color w:val="000000"/>
                <w:sz w:val="24"/>
                <w:szCs w:val="24"/>
              </w:rPr>
              <w:t>2018</w:t>
            </w:r>
          </w:p>
        </w:tc>
      </w:tr>
      <w:tr w:rsidR="00853CCB" w:rsidRPr="00E355E4" w14:paraId="5B80EE76"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113F211A"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ROCE</w:t>
            </w:r>
          </w:p>
        </w:tc>
        <w:tc>
          <w:tcPr>
            <w:tcW w:w="3745" w:type="dxa"/>
            <w:tcBorders>
              <w:top w:val="nil"/>
              <w:left w:val="nil"/>
              <w:bottom w:val="single" w:sz="4" w:space="0" w:color="auto"/>
              <w:right w:val="single" w:sz="4" w:space="0" w:color="auto"/>
            </w:tcBorders>
            <w:shd w:val="clear" w:color="000000" w:fill="FCD5B4"/>
            <w:noWrap/>
            <w:vAlign w:val="bottom"/>
            <w:hideMark/>
          </w:tcPr>
          <w:p w14:paraId="3DE591F3" w14:textId="6679EECF" w:rsidR="00853CCB" w:rsidRPr="00E355E4" w:rsidRDefault="00C020BD" w:rsidP="009465B6">
            <w:pPr>
              <w:spacing w:after="0" w:line="360" w:lineRule="auto"/>
              <w:rPr>
                <w:rFonts w:ascii="Arial" w:eastAsia="Times New Roman" w:hAnsi="Arial" w:cs="Arial"/>
                <w:i/>
                <w:iCs/>
                <w:color w:val="000000"/>
                <w:sz w:val="24"/>
                <w:szCs w:val="24"/>
                <w:highlight w:val="cyan"/>
              </w:rPr>
            </w:pPr>
            <w:r w:rsidRPr="00E355E4">
              <w:rPr>
                <w:rFonts w:ascii="Arial" w:eastAsia="Times New Roman" w:hAnsi="Arial" w:cs="Arial"/>
                <w:i/>
                <w:iCs/>
                <w:color w:val="000000"/>
                <w:sz w:val="24"/>
                <w:szCs w:val="24"/>
                <w:highlight w:val="cyan"/>
              </w:rPr>
              <w:t>Operating profit (total assets-net assets) *100%</w:t>
            </w:r>
          </w:p>
        </w:tc>
        <w:tc>
          <w:tcPr>
            <w:tcW w:w="1618" w:type="dxa"/>
            <w:tcBorders>
              <w:top w:val="nil"/>
              <w:left w:val="nil"/>
              <w:bottom w:val="single" w:sz="4" w:space="0" w:color="auto"/>
              <w:right w:val="single" w:sz="4" w:space="0" w:color="auto"/>
            </w:tcBorders>
            <w:shd w:val="clear" w:color="000000" w:fill="FCD5B4"/>
            <w:noWrap/>
            <w:vAlign w:val="bottom"/>
            <w:hideMark/>
          </w:tcPr>
          <w:p w14:paraId="2B1CF743" w14:textId="6D69E50D" w:rsidR="00853CCB" w:rsidRPr="00E355E4" w:rsidRDefault="00C020BD"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11</w:t>
            </w:r>
            <w:r w:rsidR="00655DBB" w:rsidRPr="00E355E4">
              <w:rPr>
                <w:rFonts w:ascii="Arial" w:eastAsia="Times New Roman" w:hAnsi="Arial" w:cs="Arial"/>
                <w:color w:val="000000"/>
                <w:sz w:val="24"/>
                <w:szCs w:val="24"/>
                <w:highlight w:val="green"/>
              </w:rPr>
              <w:t>,</w:t>
            </w:r>
            <w:r w:rsidRPr="00E355E4">
              <w:rPr>
                <w:rFonts w:ascii="Arial" w:eastAsia="Times New Roman" w:hAnsi="Arial" w:cs="Arial"/>
                <w:color w:val="000000"/>
                <w:sz w:val="24"/>
                <w:szCs w:val="24"/>
                <w:highlight w:val="green"/>
              </w:rPr>
              <w:t>92</w:t>
            </w:r>
            <w:r w:rsidR="00655DBB" w:rsidRPr="00E355E4">
              <w:rPr>
                <w:rFonts w:ascii="Arial" w:eastAsia="Times New Roman" w:hAnsi="Arial" w:cs="Arial"/>
                <w:color w:val="000000"/>
                <w:sz w:val="24"/>
                <w:szCs w:val="24"/>
                <w:highlight w:val="green"/>
              </w:rPr>
              <w:t>%</w:t>
            </w:r>
          </w:p>
        </w:tc>
        <w:tc>
          <w:tcPr>
            <w:tcW w:w="1504" w:type="dxa"/>
            <w:tcBorders>
              <w:top w:val="nil"/>
              <w:left w:val="nil"/>
              <w:bottom w:val="single" w:sz="4" w:space="0" w:color="auto"/>
              <w:right w:val="single" w:sz="4" w:space="0" w:color="auto"/>
            </w:tcBorders>
            <w:shd w:val="clear" w:color="000000" w:fill="FCD5B4"/>
            <w:noWrap/>
            <w:vAlign w:val="bottom"/>
            <w:hideMark/>
          </w:tcPr>
          <w:p w14:paraId="114692F8" w14:textId="65F3ACE0" w:rsidR="00853CCB" w:rsidRPr="00E355E4" w:rsidRDefault="00655DB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13,91%</w:t>
            </w:r>
          </w:p>
        </w:tc>
      </w:tr>
      <w:tr w:rsidR="00853CCB" w:rsidRPr="00E355E4" w14:paraId="28040474"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7C4911CF"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1A3D3673" w14:textId="24E7957C" w:rsidR="00853CCB" w:rsidRPr="00E355E4" w:rsidRDefault="00C020BD" w:rsidP="003278B3">
            <w:pPr>
              <w:spacing w:after="0" w:line="360" w:lineRule="auto"/>
              <w:jc w:val="both"/>
              <w:rPr>
                <w:rFonts w:ascii="Arial" w:eastAsia="Times New Roman" w:hAnsi="Arial" w:cs="Arial"/>
                <w:i/>
                <w:iCs/>
                <w:color w:val="000000"/>
                <w:sz w:val="24"/>
                <w:szCs w:val="24"/>
                <w:highlight w:val="cyan"/>
              </w:rPr>
            </w:pPr>
            <w:r w:rsidRPr="00E355E4">
              <w:rPr>
                <w:rFonts w:ascii="Arial" w:eastAsia="Times New Roman" w:hAnsi="Arial" w:cs="Arial"/>
                <w:i/>
                <w:iCs/>
                <w:color w:val="000000"/>
                <w:sz w:val="24"/>
                <w:szCs w:val="24"/>
                <w:highlight w:val="cyan"/>
              </w:rPr>
              <w:t xml:space="preserve">Operating profit </w:t>
            </w:r>
          </w:p>
        </w:tc>
        <w:tc>
          <w:tcPr>
            <w:tcW w:w="1618" w:type="dxa"/>
            <w:tcBorders>
              <w:top w:val="nil"/>
              <w:left w:val="nil"/>
              <w:bottom w:val="single" w:sz="4" w:space="0" w:color="auto"/>
              <w:right w:val="single" w:sz="4" w:space="0" w:color="auto"/>
            </w:tcBorders>
            <w:shd w:val="clear" w:color="000000" w:fill="FCD5B4"/>
            <w:noWrap/>
            <w:vAlign w:val="bottom"/>
            <w:hideMark/>
          </w:tcPr>
          <w:p w14:paraId="395EA42F" w14:textId="5E3F0380" w:rsidR="00853CCB" w:rsidRPr="00E355E4" w:rsidRDefault="00C020BD"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23.0</w:t>
            </w:r>
          </w:p>
        </w:tc>
        <w:tc>
          <w:tcPr>
            <w:tcW w:w="1504" w:type="dxa"/>
            <w:tcBorders>
              <w:top w:val="nil"/>
              <w:left w:val="nil"/>
              <w:bottom w:val="single" w:sz="4" w:space="0" w:color="auto"/>
              <w:right w:val="single" w:sz="4" w:space="0" w:color="auto"/>
            </w:tcBorders>
            <w:shd w:val="clear" w:color="000000" w:fill="FCD5B4"/>
            <w:noWrap/>
            <w:vAlign w:val="bottom"/>
            <w:hideMark/>
          </w:tcPr>
          <w:p w14:paraId="7ECD60B5" w14:textId="501D369F" w:rsidR="00853CCB" w:rsidRPr="00E355E4" w:rsidRDefault="00C020BD"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29.7</w:t>
            </w:r>
          </w:p>
        </w:tc>
      </w:tr>
      <w:tr w:rsidR="00853CCB" w:rsidRPr="00E355E4" w14:paraId="05265C95"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3D2BA3FE"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4E3F168C" w14:textId="1B8CD281" w:rsidR="00853CCB" w:rsidRPr="00E355E4" w:rsidRDefault="00C020BD" w:rsidP="003278B3">
            <w:pPr>
              <w:spacing w:after="0" w:line="360" w:lineRule="auto"/>
              <w:jc w:val="both"/>
              <w:rPr>
                <w:rFonts w:ascii="Arial" w:eastAsia="Times New Roman" w:hAnsi="Arial" w:cs="Arial"/>
                <w:i/>
                <w:iCs/>
                <w:color w:val="000000"/>
                <w:sz w:val="24"/>
                <w:szCs w:val="24"/>
                <w:highlight w:val="cyan"/>
              </w:rPr>
            </w:pPr>
            <w:r w:rsidRPr="00E355E4">
              <w:rPr>
                <w:rFonts w:ascii="Arial" w:eastAsia="Times New Roman" w:hAnsi="Arial" w:cs="Arial"/>
                <w:i/>
                <w:iCs/>
                <w:color w:val="000000"/>
                <w:sz w:val="24"/>
                <w:szCs w:val="24"/>
                <w:highlight w:val="cyan"/>
              </w:rPr>
              <w:t>Total assets-net assets</w:t>
            </w:r>
          </w:p>
        </w:tc>
        <w:tc>
          <w:tcPr>
            <w:tcW w:w="1618" w:type="dxa"/>
            <w:tcBorders>
              <w:top w:val="nil"/>
              <w:left w:val="nil"/>
              <w:bottom w:val="single" w:sz="4" w:space="0" w:color="auto"/>
              <w:right w:val="single" w:sz="4" w:space="0" w:color="auto"/>
            </w:tcBorders>
            <w:shd w:val="clear" w:color="000000" w:fill="FCD5B4"/>
            <w:noWrap/>
            <w:vAlign w:val="bottom"/>
            <w:hideMark/>
          </w:tcPr>
          <w:p w14:paraId="6550D971" w14:textId="2DD70399"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1</w:t>
            </w:r>
            <w:r w:rsidR="00C020BD" w:rsidRPr="00E355E4">
              <w:rPr>
                <w:rFonts w:ascii="Arial" w:eastAsia="Times New Roman" w:hAnsi="Arial" w:cs="Arial"/>
                <w:color w:val="000000"/>
                <w:sz w:val="24"/>
                <w:szCs w:val="24"/>
                <w:highlight w:val="green"/>
              </w:rPr>
              <w:t>92,9</w:t>
            </w:r>
          </w:p>
        </w:tc>
        <w:tc>
          <w:tcPr>
            <w:tcW w:w="1504" w:type="dxa"/>
            <w:tcBorders>
              <w:top w:val="nil"/>
              <w:left w:val="nil"/>
              <w:bottom w:val="single" w:sz="4" w:space="0" w:color="auto"/>
              <w:right w:val="single" w:sz="4" w:space="0" w:color="auto"/>
            </w:tcBorders>
            <w:shd w:val="clear" w:color="000000" w:fill="FCD5B4"/>
            <w:noWrap/>
            <w:vAlign w:val="bottom"/>
            <w:hideMark/>
          </w:tcPr>
          <w:p w14:paraId="69B2A30F" w14:textId="4F9CBA79" w:rsidR="00853CCB" w:rsidRPr="00E355E4" w:rsidRDefault="00C020BD"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213.5</w:t>
            </w:r>
          </w:p>
        </w:tc>
      </w:tr>
      <w:tr w:rsidR="00853CCB" w:rsidRPr="00E355E4" w14:paraId="02997E2C"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2BBA6359"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Gross profit margin</w:t>
            </w:r>
          </w:p>
        </w:tc>
        <w:tc>
          <w:tcPr>
            <w:tcW w:w="3745" w:type="dxa"/>
            <w:tcBorders>
              <w:top w:val="nil"/>
              <w:left w:val="nil"/>
              <w:bottom w:val="single" w:sz="4" w:space="0" w:color="auto"/>
              <w:right w:val="single" w:sz="4" w:space="0" w:color="auto"/>
            </w:tcBorders>
            <w:shd w:val="clear" w:color="000000" w:fill="FCD5B4"/>
            <w:noWrap/>
            <w:vAlign w:val="bottom"/>
            <w:hideMark/>
          </w:tcPr>
          <w:p w14:paraId="28820F0C" w14:textId="7DD9FF9B" w:rsidR="00853CCB" w:rsidRPr="00E355E4" w:rsidRDefault="00853CCB"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 xml:space="preserve">Gross Profit / </w:t>
            </w:r>
            <w:r w:rsidR="00655DBB" w:rsidRPr="00E355E4">
              <w:rPr>
                <w:rFonts w:ascii="Arial" w:eastAsia="Times New Roman" w:hAnsi="Arial" w:cs="Arial"/>
                <w:color w:val="000000"/>
                <w:sz w:val="24"/>
                <w:szCs w:val="24"/>
                <w:highlight w:val="cyan"/>
              </w:rPr>
              <w:t>revenue</w:t>
            </w:r>
            <w:r w:rsidRPr="00E355E4">
              <w:rPr>
                <w:rFonts w:ascii="Arial" w:eastAsia="Times New Roman" w:hAnsi="Arial" w:cs="Arial"/>
                <w:color w:val="000000"/>
                <w:sz w:val="24"/>
                <w:szCs w:val="24"/>
                <w:highlight w:val="cyan"/>
              </w:rPr>
              <w:t>*100</w:t>
            </w:r>
          </w:p>
        </w:tc>
        <w:tc>
          <w:tcPr>
            <w:tcW w:w="1618" w:type="dxa"/>
            <w:tcBorders>
              <w:top w:val="nil"/>
              <w:left w:val="nil"/>
              <w:bottom w:val="single" w:sz="4" w:space="0" w:color="auto"/>
              <w:right w:val="single" w:sz="4" w:space="0" w:color="auto"/>
            </w:tcBorders>
            <w:shd w:val="clear" w:color="000000" w:fill="FCD5B4"/>
            <w:noWrap/>
            <w:vAlign w:val="bottom"/>
            <w:hideMark/>
          </w:tcPr>
          <w:p w14:paraId="2087FE4D"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38%</w:t>
            </w:r>
          </w:p>
        </w:tc>
        <w:tc>
          <w:tcPr>
            <w:tcW w:w="1504" w:type="dxa"/>
            <w:tcBorders>
              <w:top w:val="nil"/>
              <w:left w:val="nil"/>
              <w:bottom w:val="single" w:sz="4" w:space="0" w:color="auto"/>
              <w:right w:val="single" w:sz="4" w:space="0" w:color="auto"/>
            </w:tcBorders>
            <w:shd w:val="clear" w:color="000000" w:fill="FCD5B4"/>
            <w:noWrap/>
            <w:vAlign w:val="bottom"/>
            <w:hideMark/>
          </w:tcPr>
          <w:p w14:paraId="1C3399A1"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38%</w:t>
            </w:r>
          </w:p>
        </w:tc>
      </w:tr>
      <w:tr w:rsidR="00853CCB" w:rsidRPr="00E355E4" w14:paraId="44D678B4"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558A18CD"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2DE660DE" w14:textId="77777777" w:rsidR="00853CCB" w:rsidRPr="00E355E4" w:rsidRDefault="00853CCB"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Gross profit</w:t>
            </w:r>
          </w:p>
        </w:tc>
        <w:tc>
          <w:tcPr>
            <w:tcW w:w="1618" w:type="dxa"/>
            <w:tcBorders>
              <w:top w:val="nil"/>
              <w:left w:val="nil"/>
              <w:bottom w:val="single" w:sz="4" w:space="0" w:color="auto"/>
              <w:right w:val="single" w:sz="4" w:space="0" w:color="auto"/>
            </w:tcBorders>
            <w:shd w:val="clear" w:color="000000" w:fill="FCD5B4"/>
            <w:noWrap/>
            <w:vAlign w:val="bottom"/>
            <w:hideMark/>
          </w:tcPr>
          <w:p w14:paraId="7A1F00CF"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191.80</w:t>
            </w:r>
          </w:p>
        </w:tc>
        <w:tc>
          <w:tcPr>
            <w:tcW w:w="1504" w:type="dxa"/>
            <w:tcBorders>
              <w:top w:val="nil"/>
              <w:left w:val="nil"/>
              <w:bottom w:val="single" w:sz="4" w:space="0" w:color="auto"/>
              <w:right w:val="single" w:sz="4" w:space="0" w:color="auto"/>
            </w:tcBorders>
            <w:shd w:val="clear" w:color="000000" w:fill="FCD5B4"/>
            <w:noWrap/>
            <w:vAlign w:val="bottom"/>
            <w:hideMark/>
          </w:tcPr>
          <w:p w14:paraId="126EEF13"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186.90</w:t>
            </w:r>
          </w:p>
        </w:tc>
      </w:tr>
      <w:tr w:rsidR="00853CCB" w:rsidRPr="00E355E4" w14:paraId="00163E14"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72E17232"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4DE6DC14" w14:textId="2A613559" w:rsidR="00853CCB" w:rsidRPr="00E355E4" w:rsidRDefault="00655DBB"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revenue</w:t>
            </w:r>
          </w:p>
        </w:tc>
        <w:tc>
          <w:tcPr>
            <w:tcW w:w="1618" w:type="dxa"/>
            <w:tcBorders>
              <w:top w:val="nil"/>
              <w:left w:val="nil"/>
              <w:bottom w:val="single" w:sz="4" w:space="0" w:color="auto"/>
              <w:right w:val="single" w:sz="4" w:space="0" w:color="auto"/>
            </w:tcBorders>
            <w:shd w:val="clear" w:color="000000" w:fill="FCD5B4"/>
            <w:noWrap/>
            <w:vAlign w:val="bottom"/>
            <w:hideMark/>
          </w:tcPr>
          <w:p w14:paraId="2C95C51B"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501.30</w:t>
            </w:r>
          </w:p>
        </w:tc>
        <w:tc>
          <w:tcPr>
            <w:tcW w:w="1504" w:type="dxa"/>
            <w:tcBorders>
              <w:top w:val="nil"/>
              <w:left w:val="nil"/>
              <w:bottom w:val="single" w:sz="4" w:space="0" w:color="auto"/>
              <w:right w:val="single" w:sz="4" w:space="0" w:color="auto"/>
            </w:tcBorders>
            <w:shd w:val="clear" w:color="000000" w:fill="FCD5B4"/>
            <w:noWrap/>
            <w:vAlign w:val="bottom"/>
            <w:hideMark/>
          </w:tcPr>
          <w:p w14:paraId="08B76E7C"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486.80</w:t>
            </w:r>
          </w:p>
        </w:tc>
      </w:tr>
      <w:tr w:rsidR="00853CCB" w:rsidRPr="00E355E4" w14:paraId="4D070477"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00F02FAF" w14:textId="77777777" w:rsidR="00853CCB" w:rsidRPr="00E355E4" w:rsidRDefault="00853CCB" w:rsidP="009465B6">
            <w:pPr>
              <w:spacing w:after="0" w:line="360" w:lineRule="auto"/>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xml:space="preserve">Return on equity </w:t>
            </w:r>
          </w:p>
        </w:tc>
        <w:tc>
          <w:tcPr>
            <w:tcW w:w="3745" w:type="dxa"/>
            <w:tcBorders>
              <w:top w:val="nil"/>
              <w:left w:val="nil"/>
              <w:bottom w:val="single" w:sz="4" w:space="0" w:color="auto"/>
              <w:right w:val="single" w:sz="4" w:space="0" w:color="auto"/>
            </w:tcBorders>
            <w:shd w:val="clear" w:color="000000" w:fill="FCD5B4"/>
            <w:noWrap/>
            <w:vAlign w:val="bottom"/>
            <w:hideMark/>
          </w:tcPr>
          <w:p w14:paraId="1961F5DD" w14:textId="4752CD15" w:rsidR="00853CCB" w:rsidRPr="00E355E4" w:rsidRDefault="00655DBB" w:rsidP="009465B6">
            <w:pPr>
              <w:spacing w:after="0" w:line="360" w:lineRule="auto"/>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 xml:space="preserve">Profit for the </w:t>
            </w:r>
            <w:proofErr w:type="gramStart"/>
            <w:r w:rsidRPr="00E355E4">
              <w:rPr>
                <w:rFonts w:ascii="Arial" w:eastAsia="Times New Roman" w:hAnsi="Arial" w:cs="Arial"/>
                <w:color w:val="000000"/>
                <w:sz w:val="24"/>
                <w:szCs w:val="24"/>
                <w:highlight w:val="cyan"/>
              </w:rPr>
              <w:t>year(</w:t>
            </w:r>
            <w:proofErr w:type="gramEnd"/>
            <w:r w:rsidRPr="00E355E4">
              <w:rPr>
                <w:rFonts w:ascii="Arial" w:eastAsia="Times New Roman" w:hAnsi="Arial" w:cs="Arial"/>
                <w:color w:val="000000"/>
                <w:sz w:val="24"/>
                <w:szCs w:val="24"/>
                <w:highlight w:val="cyan"/>
              </w:rPr>
              <w:t>net income)</w:t>
            </w:r>
            <w:r w:rsidR="00853CCB" w:rsidRPr="00E355E4">
              <w:rPr>
                <w:rFonts w:ascii="Arial" w:eastAsia="Times New Roman" w:hAnsi="Arial" w:cs="Arial"/>
                <w:color w:val="000000"/>
                <w:sz w:val="24"/>
                <w:szCs w:val="24"/>
                <w:highlight w:val="cyan"/>
              </w:rPr>
              <w:t xml:space="preserve"> / shareholder’s equity*100</w:t>
            </w:r>
          </w:p>
        </w:tc>
        <w:tc>
          <w:tcPr>
            <w:tcW w:w="1618" w:type="dxa"/>
            <w:tcBorders>
              <w:top w:val="nil"/>
              <w:left w:val="nil"/>
              <w:bottom w:val="single" w:sz="4" w:space="0" w:color="auto"/>
              <w:right w:val="single" w:sz="4" w:space="0" w:color="auto"/>
            </w:tcBorders>
            <w:shd w:val="clear" w:color="000000" w:fill="FCD5B4"/>
            <w:noWrap/>
            <w:vAlign w:val="bottom"/>
            <w:hideMark/>
          </w:tcPr>
          <w:p w14:paraId="5E21D5FC"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14%</w:t>
            </w:r>
          </w:p>
        </w:tc>
        <w:tc>
          <w:tcPr>
            <w:tcW w:w="1504" w:type="dxa"/>
            <w:tcBorders>
              <w:top w:val="nil"/>
              <w:left w:val="nil"/>
              <w:bottom w:val="single" w:sz="4" w:space="0" w:color="auto"/>
              <w:right w:val="single" w:sz="4" w:space="0" w:color="auto"/>
            </w:tcBorders>
            <w:shd w:val="clear" w:color="000000" w:fill="FCD5B4"/>
            <w:noWrap/>
            <w:vAlign w:val="bottom"/>
            <w:hideMark/>
          </w:tcPr>
          <w:p w14:paraId="531AFA74"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23%</w:t>
            </w:r>
          </w:p>
        </w:tc>
      </w:tr>
      <w:tr w:rsidR="00853CCB" w:rsidRPr="00E355E4" w14:paraId="2C070943"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21431848"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26074DD6" w14:textId="2F114ED8" w:rsidR="00853CCB" w:rsidRPr="00E355E4" w:rsidRDefault="00655DBB"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Profit for the year (net income)</w:t>
            </w:r>
          </w:p>
        </w:tc>
        <w:tc>
          <w:tcPr>
            <w:tcW w:w="1618" w:type="dxa"/>
            <w:tcBorders>
              <w:top w:val="nil"/>
              <w:left w:val="nil"/>
              <w:bottom w:val="single" w:sz="4" w:space="0" w:color="auto"/>
              <w:right w:val="single" w:sz="4" w:space="0" w:color="auto"/>
            </w:tcBorders>
            <w:shd w:val="clear" w:color="000000" w:fill="FCD5B4"/>
            <w:noWrap/>
            <w:vAlign w:val="bottom"/>
            <w:hideMark/>
          </w:tcPr>
          <w:p w14:paraId="0141CFC1"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12.90</w:t>
            </w:r>
          </w:p>
        </w:tc>
        <w:tc>
          <w:tcPr>
            <w:tcW w:w="1504" w:type="dxa"/>
            <w:tcBorders>
              <w:top w:val="nil"/>
              <w:left w:val="nil"/>
              <w:bottom w:val="single" w:sz="4" w:space="0" w:color="auto"/>
              <w:right w:val="single" w:sz="4" w:space="0" w:color="auto"/>
            </w:tcBorders>
            <w:shd w:val="clear" w:color="000000" w:fill="FCD5B4"/>
            <w:noWrap/>
            <w:vAlign w:val="bottom"/>
            <w:hideMark/>
          </w:tcPr>
          <w:p w14:paraId="54CBDDC1"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18.30</w:t>
            </w:r>
          </w:p>
        </w:tc>
      </w:tr>
      <w:tr w:rsidR="00853CCB" w:rsidRPr="00E355E4" w14:paraId="647CD776"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24FB0D9B"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4E45CAF9" w14:textId="77777777" w:rsidR="00853CCB" w:rsidRPr="00E355E4" w:rsidRDefault="00853CCB"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Shareholder's equity</w:t>
            </w:r>
          </w:p>
        </w:tc>
        <w:tc>
          <w:tcPr>
            <w:tcW w:w="1618" w:type="dxa"/>
            <w:tcBorders>
              <w:top w:val="nil"/>
              <w:left w:val="nil"/>
              <w:bottom w:val="single" w:sz="4" w:space="0" w:color="auto"/>
              <w:right w:val="single" w:sz="4" w:space="0" w:color="auto"/>
            </w:tcBorders>
            <w:shd w:val="clear" w:color="000000" w:fill="FCD5B4"/>
            <w:noWrap/>
            <w:vAlign w:val="bottom"/>
            <w:hideMark/>
          </w:tcPr>
          <w:p w14:paraId="6688A03A"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93.20</w:t>
            </w:r>
          </w:p>
        </w:tc>
        <w:tc>
          <w:tcPr>
            <w:tcW w:w="1504" w:type="dxa"/>
            <w:tcBorders>
              <w:top w:val="nil"/>
              <w:left w:val="nil"/>
              <w:bottom w:val="single" w:sz="4" w:space="0" w:color="auto"/>
              <w:right w:val="single" w:sz="4" w:space="0" w:color="auto"/>
            </w:tcBorders>
            <w:shd w:val="clear" w:color="000000" w:fill="FCD5B4"/>
            <w:noWrap/>
            <w:vAlign w:val="bottom"/>
            <w:hideMark/>
          </w:tcPr>
          <w:p w14:paraId="2277AEE2"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80.30</w:t>
            </w:r>
          </w:p>
        </w:tc>
      </w:tr>
      <w:tr w:rsidR="00853CCB" w:rsidRPr="00E355E4" w14:paraId="733C45E5"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6B40C663"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xml:space="preserve">Asset turnover </w:t>
            </w:r>
          </w:p>
        </w:tc>
        <w:tc>
          <w:tcPr>
            <w:tcW w:w="3745" w:type="dxa"/>
            <w:tcBorders>
              <w:top w:val="nil"/>
              <w:left w:val="nil"/>
              <w:bottom w:val="single" w:sz="4" w:space="0" w:color="auto"/>
              <w:right w:val="single" w:sz="4" w:space="0" w:color="auto"/>
            </w:tcBorders>
            <w:shd w:val="clear" w:color="000000" w:fill="FCD5B4"/>
            <w:noWrap/>
            <w:vAlign w:val="bottom"/>
            <w:hideMark/>
          </w:tcPr>
          <w:p w14:paraId="2F07B602" w14:textId="7F93A2DC" w:rsidR="00853CCB" w:rsidRPr="00E355E4" w:rsidRDefault="00E63FBD"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 xml:space="preserve">Revenue </w:t>
            </w:r>
            <w:r w:rsidR="00853CCB" w:rsidRPr="00E355E4">
              <w:rPr>
                <w:rFonts w:ascii="Arial" w:eastAsia="Times New Roman" w:hAnsi="Arial" w:cs="Arial"/>
                <w:color w:val="000000"/>
                <w:sz w:val="24"/>
                <w:szCs w:val="24"/>
                <w:highlight w:val="cyan"/>
              </w:rPr>
              <w:t>/ Total assets</w:t>
            </w:r>
          </w:p>
        </w:tc>
        <w:tc>
          <w:tcPr>
            <w:tcW w:w="1618" w:type="dxa"/>
            <w:tcBorders>
              <w:top w:val="nil"/>
              <w:left w:val="nil"/>
              <w:bottom w:val="single" w:sz="4" w:space="0" w:color="auto"/>
              <w:right w:val="single" w:sz="4" w:space="0" w:color="auto"/>
            </w:tcBorders>
            <w:shd w:val="clear" w:color="000000" w:fill="FCD5B4"/>
            <w:noWrap/>
            <w:vAlign w:val="bottom"/>
            <w:hideMark/>
          </w:tcPr>
          <w:p w14:paraId="55DE2FE2"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1.752</w:t>
            </w:r>
          </w:p>
        </w:tc>
        <w:tc>
          <w:tcPr>
            <w:tcW w:w="1504" w:type="dxa"/>
            <w:tcBorders>
              <w:top w:val="nil"/>
              <w:left w:val="nil"/>
              <w:bottom w:val="single" w:sz="4" w:space="0" w:color="auto"/>
              <w:right w:val="single" w:sz="4" w:space="0" w:color="auto"/>
            </w:tcBorders>
            <w:shd w:val="clear" w:color="000000" w:fill="FCD5B4"/>
            <w:noWrap/>
            <w:vAlign w:val="bottom"/>
            <w:hideMark/>
          </w:tcPr>
          <w:p w14:paraId="47DFE40B"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1.657</w:t>
            </w:r>
          </w:p>
        </w:tc>
      </w:tr>
      <w:tr w:rsidR="00853CCB" w:rsidRPr="00E355E4" w14:paraId="10F3DD58"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6A526277"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75986E3B" w14:textId="1F0DBEC2" w:rsidR="00853CCB" w:rsidRPr="00E355E4" w:rsidRDefault="00E63FBD"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revenue</w:t>
            </w:r>
          </w:p>
        </w:tc>
        <w:tc>
          <w:tcPr>
            <w:tcW w:w="1618" w:type="dxa"/>
            <w:tcBorders>
              <w:top w:val="nil"/>
              <w:left w:val="nil"/>
              <w:bottom w:val="single" w:sz="4" w:space="0" w:color="auto"/>
              <w:right w:val="single" w:sz="4" w:space="0" w:color="auto"/>
            </w:tcBorders>
            <w:shd w:val="clear" w:color="000000" w:fill="FCD5B4"/>
            <w:noWrap/>
            <w:vAlign w:val="bottom"/>
            <w:hideMark/>
          </w:tcPr>
          <w:p w14:paraId="73C9C910"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501.30</w:t>
            </w:r>
          </w:p>
        </w:tc>
        <w:tc>
          <w:tcPr>
            <w:tcW w:w="1504" w:type="dxa"/>
            <w:tcBorders>
              <w:top w:val="nil"/>
              <w:left w:val="nil"/>
              <w:bottom w:val="single" w:sz="4" w:space="0" w:color="auto"/>
              <w:right w:val="single" w:sz="4" w:space="0" w:color="auto"/>
            </w:tcBorders>
            <w:shd w:val="clear" w:color="000000" w:fill="FCD5B4"/>
            <w:noWrap/>
            <w:vAlign w:val="bottom"/>
            <w:hideMark/>
          </w:tcPr>
          <w:p w14:paraId="1F335FEE"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486.80</w:t>
            </w:r>
          </w:p>
        </w:tc>
      </w:tr>
      <w:tr w:rsidR="00853CCB" w:rsidRPr="00E355E4" w14:paraId="568D5193"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FCD5B4"/>
            <w:noWrap/>
            <w:vAlign w:val="bottom"/>
            <w:hideMark/>
          </w:tcPr>
          <w:p w14:paraId="767F2F10" w14:textId="77777777" w:rsidR="00853CCB" w:rsidRPr="00E355E4" w:rsidRDefault="00853CCB" w:rsidP="003278B3">
            <w:pPr>
              <w:spacing w:after="0" w:line="360" w:lineRule="auto"/>
              <w:jc w:val="both"/>
              <w:rPr>
                <w:rFonts w:ascii="Arial" w:eastAsia="Times New Roman" w:hAnsi="Arial" w:cs="Arial"/>
                <w:b/>
                <w:bCs/>
                <w:color w:val="000000"/>
                <w:sz w:val="24"/>
                <w:szCs w:val="24"/>
                <w:highlight w:val="lightGray"/>
              </w:rPr>
            </w:pPr>
            <w:r w:rsidRPr="00E355E4">
              <w:rPr>
                <w:rFonts w:ascii="Arial" w:eastAsia="Times New Roman" w:hAnsi="Arial" w:cs="Arial"/>
                <w:b/>
                <w:bCs/>
                <w:color w:val="000000"/>
                <w:sz w:val="24"/>
                <w:szCs w:val="24"/>
                <w:highlight w:val="lightGray"/>
              </w:rPr>
              <w:t> </w:t>
            </w:r>
          </w:p>
        </w:tc>
        <w:tc>
          <w:tcPr>
            <w:tcW w:w="3745" w:type="dxa"/>
            <w:tcBorders>
              <w:top w:val="nil"/>
              <w:left w:val="nil"/>
              <w:bottom w:val="single" w:sz="4" w:space="0" w:color="auto"/>
              <w:right w:val="single" w:sz="4" w:space="0" w:color="auto"/>
            </w:tcBorders>
            <w:shd w:val="clear" w:color="000000" w:fill="FCD5B4"/>
            <w:noWrap/>
            <w:vAlign w:val="bottom"/>
            <w:hideMark/>
          </w:tcPr>
          <w:p w14:paraId="083D7E90" w14:textId="77777777" w:rsidR="00853CCB" w:rsidRPr="00E355E4" w:rsidRDefault="00853CCB" w:rsidP="003278B3">
            <w:pPr>
              <w:spacing w:after="0" w:line="360" w:lineRule="auto"/>
              <w:jc w:val="both"/>
              <w:rPr>
                <w:rFonts w:ascii="Arial" w:eastAsia="Times New Roman" w:hAnsi="Arial" w:cs="Arial"/>
                <w:color w:val="000000"/>
                <w:sz w:val="24"/>
                <w:szCs w:val="24"/>
                <w:highlight w:val="cyan"/>
              </w:rPr>
            </w:pPr>
            <w:r w:rsidRPr="00E355E4">
              <w:rPr>
                <w:rFonts w:ascii="Arial" w:eastAsia="Times New Roman" w:hAnsi="Arial" w:cs="Arial"/>
                <w:color w:val="000000"/>
                <w:sz w:val="24"/>
                <w:szCs w:val="24"/>
                <w:highlight w:val="cyan"/>
              </w:rPr>
              <w:t>Total Assets</w:t>
            </w:r>
          </w:p>
        </w:tc>
        <w:tc>
          <w:tcPr>
            <w:tcW w:w="1618" w:type="dxa"/>
            <w:tcBorders>
              <w:top w:val="nil"/>
              <w:left w:val="nil"/>
              <w:bottom w:val="single" w:sz="4" w:space="0" w:color="auto"/>
              <w:right w:val="single" w:sz="4" w:space="0" w:color="auto"/>
            </w:tcBorders>
            <w:shd w:val="clear" w:color="000000" w:fill="FCD5B4"/>
            <w:noWrap/>
            <w:vAlign w:val="bottom"/>
            <w:hideMark/>
          </w:tcPr>
          <w:p w14:paraId="3A2D16A1" w14:textId="77777777" w:rsidR="00853CCB" w:rsidRPr="00E355E4" w:rsidRDefault="00853CCB" w:rsidP="003278B3">
            <w:pPr>
              <w:spacing w:after="0" w:line="360" w:lineRule="auto"/>
              <w:jc w:val="both"/>
              <w:rPr>
                <w:rFonts w:ascii="Arial" w:eastAsia="Times New Roman" w:hAnsi="Arial" w:cs="Arial"/>
                <w:color w:val="000000"/>
                <w:sz w:val="24"/>
                <w:szCs w:val="24"/>
                <w:highlight w:val="green"/>
              </w:rPr>
            </w:pPr>
            <w:r w:rsidRPr="00E355E4">
              <w:rPr>
                <w:rFonts w:ascii="Arial" w:eastAsia="Times New Roman" w:hAnsi="Arial" w:cs="Arial"/>
                <w:color w:val="000000"/>
                <w:sz w:val="24"/>
                <w:szCs w:val="24"/>
                <w:highlight w:val="green"/>
              </w:rPr>
              <w:t>286.10</w:t>
            </w:r>
          </w:p>
        </w:tc>
        <w:tc>
          <w:tcPr>
            <w:tcW w:w="1504" w:type="dxa"/>
            <w:tcBorders>
              <w:top w:val="nil"/>
              <w:left w:val="nil"/>
              <w:bottom w:val="single" w:sz="4" w:space="0" w:color="auto"/>
              <w:right w:val="single" w:sz="4" w:space="0" w:color="auto"/>
            </w:tcBorders>
            <w:shd w:val="clear" w:color="000000" w:fill="FCD5B4"/>
            <w:noWrap/>
            <w:vAlign w:val="bottom"/>
            <w:hideMark/>
          </w:tcPr>
          <w:p w14:paraId="6ECA00CB" w14:textId="77777777" w:rsidR="00853CCB" w:rsidRPr="00E355E4" w:rsidRDefault="00853CCB" w:rsidP="003278B3">
            <w:pPr>
              <w:spacing w:after="0" w:line="360" w:lineRule="auto"/>
              <w:jc w:val="both"/>
              <w:rPr>
                <w:rFonts w:ascii="Arial" w:eastAsia="Times New Roman" w:hAnsi="Arial" w:cs="Arial"/>
                <w:color w:val="000000"/>
                <w:sz w:val="24"/>
                <w:szCs w:val="24"/>
              </w:rPr>
            </w:pPr>
            <w:r w:rsidRPr="00E355E4">
              <w:rPr>
                <w:rFonts w:ascii="Arial" w:eastAsia="Times New Roman" w:hAnsi="Arial" w:cs="Arial"/>
                <w:color w:val="000000"/>
                <w:sz w:val="24"/>
                <w:szCs w:val="24"/>
              </w:rPr>
              <w:t>293.80</w:t>
            </w:r>
          </w:p>
        </w:tc>
      </w:tr>
      <w:tr w:rsidR="00E355E4" w:rsidRPr="00E355E4" w14:paraId="24A5A4E5"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00B0F0"/>
            <w:noWrap/>
            <w:vAlign w:val="bottom"/>
            <w:hideMark/>
          </w:tcPr>
          <w:p w14:paraId="4C750F83" w14:textId="5AD923CC" w:rsidR="00853CCB" w:rsidRPr="00E355E4" w:rsidRDefault="00E63FBD"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lastRenderedPageBreak/>
              <w:t>Stock holding period</w:t>
            </w:r>
          </w:p>
        </w:tc>
        <w:tc>
          <w:tcPr>
            <w:tcW w:w="3745" w:type="dxa"/>
            <w:tcBorders>
              <w:top w:val="nil"/>
              <w:left w:val="nil"/>
              <w:bottom w:val="single" w:sz="4" w:space="0" w:color="auto"/>
              <w:right w:val="single" w:sz="4" w:space="0" w:color="auto"/>
            </w:tcBorders>
            <w:shd w:val="clear" w:color="000000" w:fill="00B0F0"/>
            <w:noWrap/>
            <w:vAlign w:val="bottom"/>
            <w:hideMark/>
          </w:tcPr>
          <w:p w14:paraId="41E10090" w14:textId="14A32513" w:rsidR="00853CCB" w:rsidRPr="00E355E4" w:rsidRDefault="00853CCB" w:rsidP="009465B6">
            <w:pPr>
              <w:spacing w:after="0" w:line="360" w:lineRule="auto"/>
              <w:rPr>
                <w:rFonts w:ascii="Arial" w:eastAsia="Times New Roman" w:hAnsi="Arial" w:cs="Arial"/>
                <w:sz w:val="24"/>
                <w:szCs w:val="24"/>
                <w:highlight w:val="cyan"/>
              </w:rPr>
            </w:pPr>
            <w:r w:rsidRPr="00E355E4">
              <w:rPr>
                <w:rFonts w:ascii="Arial" w:eastAsia="Times New Roman" w:hAnsi="Arial" w:cs="Arial"/>
                <w:sz w:val="24"/>
                <w:szCs w:val="24"/>
                <w:highlight w:val="cyan"/>
              </w:rPr>
              <w:t xml:space="preserve">Inventory / Cost of </w:t>
            </w:r>
            <w:r w:rsidR="00E63FBD" w:rsidRPr="00E355E4">
              <w:rPr>
                <w:rFonts w:ascii="Arial" w:eastAsia="Times New Roman" w:hAnsi="Arial" w:cs="Arial"/>
                <w:sz w:val="24"/>
                <w:szCs w:val="24"/>
                <w:highlight w:val="cyan"/>
              </w:rPr>
              <w:t xml:space="preserve">sales </w:t>
            </w:r>
            <w:r w:rsidRPr="00E355E4">
              <w:rPr>
                <w:rFonts w:ascii="Arial" w:eastAsia="Times New Roman" w:hAnsi="Arial" w:cs="Arial"/>
                <w:sz w:val="24"/>
                <w:szCs w:val="24"/>
                <w:highlight w:val="cyan"/>
              </w:rPr>
              <w:t>*365</w:t>
            </w:r>
          </w:p>
        </w:tc>
        <w:tc>
          <w:tcPr>
            <w:tcW w:w="1618" w:type="dxa"/>
            <w:tcBorders>
              <w:top w:val="nil"/>
              <w:left w:val="nil"/>
              <w:bottom w:val="single" w:sz="4" w:space="0" w:color="auto"/>
              <w:right w:val="single" w:sz="4" w:space="0" w:color="auto"/>
            </w:tcBorders>
            <w:shd w:val="clear" w:color="000000" w:fill="00B0F0"/>
            <w:noWrap/>
            <w:vAlign w:val="bottom"/>
            <w:hideMark/>
          </w:tcPr>
          <w:p w14:paraId="6FDF6455" w14:textId="0FFE2B8A"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4</w:t>
            </w:r>
            <w:r w:rsidR="00114B63">
              <w:rPr>
                <w:rFonts w:ascii="Arial" w:eastAsia="Times New Roman" w:hAnsi="Arial" w:cs="Arial"/>
                <w:sz w:val="24"/>
                <w:szCs w:val="24"/>
                <w:highlight w:val="green"/>
              </w:rPr>
              <w:t>6</w:t>
            </w:r>
          </w:p>
        </w:tc>
        <w:tc>
          <w:tcPr>
            <w:tcW w:w="1504" w:type="dxa"/>
            <w:tcBorders>
              <w:top w:val="nil"/>
              <w:left w:val="nil"/>
              <w:bottom w:val="single" w:sz="4" w:space="0" w:color="auto"/>
              <w:right w:val="single" w:sz="4" w:space="0" w:color="auto"/>
            </w:tcBorders>
            <w:shd w:val="clear" w:color="000000" w:fill="00B0F0"/>
            <w:noWrap/>
            <w:vAlign w:val="bottom"/>
            <w:hideMark/>
          </w:tcPr>
          <w:p w14:paraId="681910C8" w14:textId="01980088"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50</w:t>
            </w:r>
          </w:p>
        </w:tc>
      </w:tr>
      <w:tr w:rsidR="00E355E4" w:rsidRPr="00E355E4" w14:paraId="2F957DE2"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00B0F0"/>
            <w:noWrap/>
            <w:vAlign w:val="bottom"/>
            <w:hideMark/>
          </w:tcPr>
          <w:p w14:paraId="01B3AFAD"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00B0F0"/>
            <w:noWrap/>
            <w:vAlign w:val="bottom"/>
            <w:hideMark/>
          </w:tcPr>
          <w:p w14:paraId="65672217" w14:textId="77777777" w:rsidR="00853CCB" w:rsidRPr="00E355E4" w:rsidRDefault="00853CCB"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Inventory</w:t>
            </w:r>
          </w:p>
        </w:tc>
        <w:tc>
          <w:tcPr>
            <w:tcW w:w="1618" w:type="dxa"/>
            <w:tcBorders>
              <w:top w:val="nil"/>
              <w:left w:val="nil"/>
              <w:bottom w:val="single" w:sz="4" w:space="0" w:color="auto"/>
              <w:right w:val="single" w:sz="4" w:space="0" w:color="auto"/>
            </w:tcBorders>
            <w:shd w:val="clear" w:color="000000" w:fill="00B0F0"/>
            <w:noWrap/>
            <w:vAlign w:val="bottom"/>
            <w:hideMark/>
          </w:tcPr>
          <w:p w14:paraId="4093A692"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38.80</w:t>
            </w:r>
          </w:p>
        </w:tc>
        <w:tc>
          <w:tcPr>
            <w:tcW w:w="1504" w:type="dxa"/>
            <w:tcBorders>
              <w:top w:val="nil"/>
              <w:left w:val="nil"/>
              <w:bottom w:val="single" w:sz="4" w:space="0" w:color="auto"/>
              <w:right w:val="single" w:sz="4" w:space="0" w:color="auto"/>
            </w:tcBorders>
            <w:shd w:val="clear" w:color="000000" w:fill="00B0F0"/>
            <w:noWrap/>
            <w:vAlign w:val="bottom"/>
            <w:hideMark/>
          </w:tcPr>
          <w:p w14:paraId="7B6A1430"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41.10</w:t>
            </w:r>
          </w:p>
        </w:tc>
      </w:tr>
      <w:tr w:rsidR="00E355E4" w:rsidRPr="00E355E4" w14:paraId="6927E4E8"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00B0F0"/>
            <w:noWrap/>
            <w:vAlign w:val="bottom"/>
            <w:hideMark/>
          </w:tcPr>
          <w:p w14:paraId="150B181A"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00B0F0"/>
            <w:noWrap/>
            <w:vAlign w:val="bottom"/>
            <w:hideMark/>
          </w:tcPr>
          <w:p w14:paraId="65A85E7B" w14:textId="1A2C8C3F" w:rsidR="00853CCB" w:rsidRPr="00E355E4" w:rsidRDefault="00853CCB"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 xml:space="preserve">Cost of </w:t>
            </w:r>
            <w:r w:rsidR="00E63FBD" w:rsidRPr="00E355E4">
              <w:rPr>
                <w:rFonts w:ascii="Arial" w:eastAsia="Times New Roman" w:hAnsi="Arial" w:cs="Arial"/>
                <w:sz w:val="24"/>
                <w:szCs w:val="24"/>
                <w:highlight w:val="cyan"/>
              </w:rPr>
              <w:t>sales</w:t>
            </w:r>
          </w:p>
        </w:tc>
        <w:tc>
          <w:tcPr>
            <w:tcW w:w="1618" w:type="dxa"/>
            <w:tcBorders>
              <w:top w:val="nil"/>
              <w:left w:val="nil"/>
              <w:bottom w:val="single" w:sz="4" w:space="0" w:color="auto"/>
              <w:right w:val="single" w:sz="4" w:space="0" w:color="auto"/>
            </w:tcBorders>
            <w:shd w:val="clear" w:color="000000" w:fill="00B0F0"/>
            <w:noWrap/>
            <w:vAlign w:val="bottom"/>
            <w:hideMark/>
          </w:tcPr>
          <w:p w14:paraId="073D8801"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309.50</w:t>
            </w:r>
          </w:p>
        </w:tc>
        <w:tc>
          <w:tcPr>
            <w:tcW w:w="1504" w:type="dxa"/>
            <w:tcBorders>
              <w:top w:val="nil"/>
              <w:left w:val="nil"/>
              <w:bottom w:val="single" w:sz="4" w:space="0" w:color="auto"/>
              <w:right w:val="single" w:sz="4" w:space="0" w:color="auto"/>
            </w:tcBorders>
            <w:shd w:val="clear" w:color="000000" w:fill="00B0F0"/>
            <w:noWrap/>
            <w:vAlign w:val="bottom"/>
            <w:hideMark/>
          </w:tcPr>
          <w:p w14:paraId="5E973061"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299.90</w:t>
            </w:r>
          </w:p>
        </w:tc>
      </w:tr>
      <w:tr w:rsidR="00E355E4" w:rsidRPr="00E355E4" w14:paraId="2BF8B3C7"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00B0F0"/>
            <w:noWrap/>
            <w:vAlign w:val="bottom"/>
            <w:hideMark/>
          </w:tcPr>
          <w:p w14:paraId="52E869E7" w14:textId="77777777" w:rsidR="00853CCB" w:rsidRPr="00E355E4" w:rsidRDefault="00853CCB" w:rsidP="009465B6">
            <w:pPr>
              <w:spacing w:after="0" w:line="360" w:lineRule="auto"/>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Debtors collection period</w:t>
            </w:r>
          </w:p>
        </w:tc>
        <w:tc>
          <w:tcPr>
            <w:tcW w:w="3745" w:type="dxa"/>
            <w:tcBorders>
              <w:top w:val="nil"/>
              <w:left w:val="nil"/>
              <w:bottom w:val="single" w:sz="4" w:space="0" w:color="auto"/>
              <w:right w:val="single" w:sz="4" w:space="0" w:color="auto"/>
            </w:tcBorders>
            <w:shd w:val="clear" w:color="000000" w:fill="00B0F0"/>
            <w:noWrap/>
            <w:vAlign w:val="bottom"/>
            <w:hideMark/>
          </w:tcPr>
          <w:p w14:paraId="3933B782" w14:textId="77777777" w:rsidR="00853CCB" w:rsidRPr="00E355E4" w:rsidRDefault="00853CCB" w:rsidP="009465B6">
            <w:pPr>
              <w:spacing w:after="0" w:line="360" w:lineRule="auto"/>
              <w:jc w:val="both"/>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Trade receivables/sales*365</w:t>
            </w:r>
          </w:p>
        </w:tc>
        <w:tc>
          <w:tcPr>
            <w:tcW w:w="1618" w:type="dxa"/>
            <w:tcBorders>
              <w:top w:val="nil"/>
              <w:left w:val="nil"/>
              <w:bottom w:val="single" w:sz="4" w:space="0" w:color="auto"/>
              <w:right w:val="single" w:sz="4" w:space="0" w:color="auto"/>
            </w:tcBorders>
            <w:shd w:val="clear" w:color="000000" w:fill="00B0F0"/>
            <w:noWrap/>
            <w:vAlign w:val="bottom"/>
            <w:hideMark/>
          </w:tcPr>
          <w:p w14:paraId="1013C1FB" w14:textId="591F1EBF" w:rsidR="00853CCB" w:rsidRPr="00E355E4" w:rsidRDefault="00F40665"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84</w:t>
            </w:r>
          </w:p>
        </w:tc>
        <w:tc>
          <w:tcPr>
            <w:tcW w:w="1504" w:type="dxa"/>
            <w:tcBorders>
              <w:top w:val="nil"/>
              <w:left w:val="nil"/>
              <w:bottom w:val="single" w:sz="4" w:space="0" w:color="auto"/>
              <w:right w:val="single" w:sz="4" w:space="0" w:color="auto"/>
            </w:tcBorders>
            <w:shd w:val="clear" w:color="000000" w:fill="00B0F0"/>
            <w:noWrap/>
            <w:vAlign w:val="bottom"/>
            <w:hideMark/>
          </w:tcPr>
          <w:p w14:paraId="61058629" w14:textId="4EB8A6F8" w:rsidR="00853CCB" w:rsidRPr="00E355E4" w:rsidRDefault="00F40665"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86</w:t>
            </w:r>
          </w:p>
        </w:tc>
      </w:tr>
      <w:tr w:rsidR="00E355E4" w:rsidRPr="00E355E4" w14:paraId="590BCA04"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00B0F0"/>
            <w:noWrap/>
            <w:vAlign w:val="bottom"/>
            <w:hideMark/>
          </w:tcPr>
          <w:p w14:paraId="7F15ADCF"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00B0F0"/>
            <w:noWrap/>
            <w:vAlign w:val="bottom"/>
            <w:hideMark/>
          </w:tcPr>
          <w:p w14:paraId="7DB9DA34" w14:textId="77777777" w:rsidR="00853CCB" w:rsidRPr="00E355E4" w:rsidRDefault="00853CCB"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 xml:space="preserve">Trade receivables </w:t>
            </w:r>
          </w:p>
        </w:tc>
        <w:tc>
          <w:tcPr>
            <w:tcW w:w="1618" w:type="dxa"/>
            <w:tcBorders>
              <w:top w:val="nil"/>
              <w:left w:val="nil"/>
              <w:bottom w:val="single" w:sz="4" w:space="0" w:color="auto"/>
              <w:right w:val="single" w:sz="4" w:space="0" w:color="auto"/>
            </w:tcBorders>
            <w:shd w:val="clear" w:color="000000" w:fill="00B0F0"/>
            <w:noWrap/>
            <w:vAlign w:val="bottom"/>
            <w:hideMark/>
          </w:tcPr>
          <w:p w14:paraId="5DF4EE68"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114.90</w:t>
            </w:r>
          </w:p>
        </w:tc>
        <w:tc>
          <w:tcPr>
            <w:tcW w:w="1504" w:type="dxa"/>
            <w:tcBorders>
              <w:top w:val="nil"/>
              <w:left w:val="nil"/>
              <w:bottom w:val="single" w:sz="4" w:space="0" w:color="auto"/>
              <w:right w:val="single" w:sz="4" w:space="0" w:color="auto"/>
            </w:tcBorders>
            <w:shd w:val="clear" w:color="000000" w:fill="00B0F0"/>
            <w:noWrap/>
            <w:vAlign w:val="bottom"/>
            <w:hideMark/>
          </w:tcPr>
          <w:p w14:paraId="186AECD1"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114.70</w:t>
            </w:r>
          </w:p>
        </w:tc>
      </w:tr>
      <w:tr w:rsidR="00E355E4" w:rsidRPr="00E355E4" w14:paraId="1037B3C1"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00B0F0"/>
            <w:noWrap/>
            <w:vAlign w:val="bottom"/>
            <w:hideMark/>
          </w:tcPr>
          <w:p w14:paraId="3451EF38"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00B0F0"/>
            <w:noWrap/>
            <w:vAlign w:val="bottom"/>
            <w:hideMark/>
          </w:tcPr>
          <w:p w14:paraId="4653032C" w14:textId="3F5B7AC4" w:rsidR="00853CCB" w:rsidRPr="00E355E4" w:rsidRDefault="009465B6"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S</w:t>
            </w:r>
            <w:r w:rsidR="00853CCB" w:rsidRPr="00E355E4">
              <w:rPr>
                <w:rFonts w:ascii="Arial" w:eastAsia="Times New Roman" w:hAnsi="Arial" w:cs="Arial"/>
                <w:sz w:val="24"/>
                <w:szCs w:val="24"/>
                <w:highlight w:val="cyan"/>
              </w:rPr>
              <w:t>ales</w:t>
            </w:r>
            <w:r w:rsidR="00F40665" w:rsidRPr="00E355E4">
              <w:rPr>
                <w:rFonts w:ascii="Arial" w:eastAsia="Times New Roman" w:hAnsi="Arial" w:cs="Arial"/>
                <w:sz w:val="24"/>
                <w:szCs w:val="24"/>
                <w:highlight w:val="cyan"/>
              </w:rPr>
              <w:t xml:space="preserve"> </w:t>
            </w:r>
            <w:r w:rsidR="00223B4A" w:rsidRPr="00E355E4">
              <w:rPr>
                <w:rFonts w:ascii="Arial" w:eastAsia="Times New Roman" w:hAnsi="Arial" w:cs="Arial"/>
                <w:sz w:val="24"/>
                <w:szCs w:val="24"/>
                <w:highlight w:val="cyan"/>
              </w:rPr>
              <w:t>(revenue</w:t>
            </w:r>
            <w:r w:rsidR="00F40665" w:rsidRPr="00E355E4">
              <w:rPr>
                <w:rFonts w:ascii="Arial" w:eastAsia="Times New Roman" w:hAnsi="Arial" w:cs="Arial"/>
                <w:sz w:val="24"/>
                <w:szCs w:val="24"/>
                <w:highlight w:val="cyan"/>
              </w:rPr>
              <w:t>)</w:t>
            </w:r>
          </w:p>
        </w:tc>
        <w:tc>
          <w:tcPr>
            <w:tcW w:w="1618" w:type="dxa"/>
            <w:tcBorders>
              <w:top w:val="nil"/>
              <w:left w:val="nil"/>
              <w:bottom w:val="single" w:sz="4" w:space="0" w:color="auto"/>
              <w:right w:val="single" w:sz="4" w:space="0" w:color="auto"/>
            </w:tcBorders>
            <w:shd w:val="clear" w:color="000000" w:fill="00B0F0"/>
            <w:noWrap/>
            <w:vAlign w:val="bottom"/>
            <w:hideMark/>
          </w:tcPr>
          <w:p w14:paraId="79AD81ED" w14:textId="661C4B10" w:rsidR="00853CCB" w:rsidRPr="00E355E4" w:rsidRDefault="00F40665"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501.3</w:t>
            </w:r>
          </w:p>
        </w:tc>
        <w:tc>
          <w:tcPr>
            <w:tcW w:w="1504" w:type="dxa"/>
            <w:tcBorders>
              <w:top w:val="nil"/>
              <w:left w:val="nil"/>
              <w:bottom w:val="single" w:sz="4" w:space="0" w:color="auto"/>
              <w:right w:val="single" w:sz="4" w:space="0" w:color="auto"/>
            </w:tcBorders>
            <w:shd w:val="clear" w:color="000000" w:fill="00B0F0"/>
            <w:noWrap/>
            <w:vAlign w:val="bottom"/>
            <w:hideMark/>
          </w:tcPr>
          <w:p w14:paraId="105E643A" w14:textId="120B1D47" w:rsidR="00853CCB" w:rsidRPr="00E355E4" w:rsidRDefault="00F40665"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486.8</w:t>
            </w:r>
          </w:p>
        </w:tc>
      </w:tr>
      <w:tr w:rsidR="00E355E4" w:rsidRPr="00E355E4" w14:paraId="41F49FDE"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D7E4BC"/>
            <w:noWrap/>
            <w:vAlign w:val="bottom"/>
            <w:hideMark/>
          </w:tcPr>
          <w:p w14:paraId="32C1C409"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Current ratio</w:t>
            </w:r>
          </w:p>
        </w:tc>
        <w:tc>
          <w:tcPr>
            <w:tcW w:w="3745" w:type="dxa"/>
            <w:tcBorders>
              <w:top w:val="nil"/>
              <w:left w:val="nil"/>
              <w:bottom w:val="single" w:sz="4" w:space="0" w:color="auto"/>
              <w:right w:val="single" w:sz="4" w:space="0" w:color="auto"/>
            </w:tcBorders>
            <w:shd w:val="clear" w:color="000000" w:fill="D7E4BC"/>
            <w:noWrap/>
            <w:vAlign w:val="bottom"/>
            <w:hideMark/>
          </w:tcPr>
          <w:p w14:paraId="4E8A49D0" w14:textId="77777777" w:rsidR="00853CCB" w:rsidRPr="00E355E4" w:rsidRDefault="00853CCB" w:rsidP="009465B6">
            <w:pPr>
              <w:spacing w:after="0" w:line="360" w:lineRule="auto"/>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Current assets/Current Liabilities</w:t>
            </w:r>
          </w:p>
        </w:tc>
        <w:tc>
          <w:tcPr>
            <w:tcW w:w="1618" w:type="dxa"/>
            <w:tcBorders>
              <w:top w:val="nil"/>
              <w:left w:val="nil"/>
              <w:bottom w:val="single" w:sz="4" w:space="0" w:color="auto"/>
              <w:right w:val="single" w:sz="4" w:space="0" w:color="auto"/>
            </w:tcBorders>
            <w:shd w:val="clear" w:color="000000" w:fill="D7E4BC"/>
            <w:noWrap/>
            <w:vAlign w:val="bottom"/>
            <w:hideMark/>
          </w:tcPr>
          <w:p w14:paraId="2A3E8169"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1.02</w:t>
            </w:r>
          </w:p>
        </w:tc>
        <w:tc>
          <w:tcPr>
            <w:tcW w:w="1504" w:type="dxa"/>
            <w:tcBorders>
              <w:top w:val="nil"/>
              <w:left w:val="nil"/>
              <w:bottom w:val="single" w:sz="4" w:space="0" w:color="auto"/>
              <w:right w:val="single" w:sz="4" w:space="0" w:color="auto"/>
            </w:tcBorders>
            <w:shd w:val="clear" w:color="000000" w:fill="D7E4BC"/>
            <w:noWrap/>
            <w:vAlign w:val="bottom"/>
            <w:hideMark/>
          </w:tcPr>
          <w:p w14:paraId="3AF7729C"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1.05</w:t>
            </w:r>
          </w:p>
        </w:tc>
      </w:tr>
      <w:tr w:rsidR="00E355E4" w:rsidRPr="00E355E4" w14:paraId="20EE4216"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D7E4BC"/>
            <w:noWrap/>
            <w:vAlign w:val="bottom"/>
            <w:hideMark/>
          </w:tcPr>
          <w:p w14:paraId="60A5CF47"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D7E4BC"/>
            <w:noWrap/>
            <w:vAlign w:val="bottom"/>
            <w:hideMark/>
          </w:tcPr>
          <w:p w14:paraId="540DC982" w14:textId="77777777" w:rsidR="00853CCB" w:rsidRPr="00E355E4" w:rsidRDefault="00853CCB" w:rsidP="003278B3">
            <w:pPr>
              <w:spacing w:after="0" w:line="360" w:lineRule="auto"/>
              <w:jc w:val="both"/>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 xml:space="preserve">Current Assets </w:t>
            </w:r>
          </w:p>
        </w:tc>
        <w:tc>
          <w:tcPr>
            <w:tcW w:w="1618" w:type="dxa"/>
            <w:tcBorders>
              <w:top w:val="nil"/>
              <w:left w:val="nil"/>
              <w:bottom w:val="single" w:sz="4" w:space="0" w:color="auto"/>
              <w:right w:val="single" w:sz="4" w:space="0" w:color="auto"/>
            </w:tcBorders>
            <w:shd w:val="clear" w:color="000000" w:fill="D7E4BC"/>
            <w:noWrap/>
            <w:vAlign w:val="bottom"/>
            <w:hideMark/>
          </w:tcPr>
          <w:p w14:paraId="2FF85D97"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153.90</w:t>
            </w:r>
          </w:p>
        </w:tc>
        <w:tc>
          <w:tcPr>
            <w:tcW w:w="1504" w:type="dxa"/>
            <w:tcBorders>
              <w:top w:val="nil"/>
              <w:left w:val="nil"/>
              <w:bottom w:val="single" w:sz="4" w:space="0" w:color="auto"/>
              <w:right w:val="single" w:sz="4" w:space="0" w:color="auto"/>
            </w:tcBorders>
            <w:shd w:val="clear" w:color="000000" w:fill="D7E4BC"/>
            <w:noWrap/>
            <w:vAlign w:val="bottom"/>
            <w:hideMark/>
          </w:tcPr>
          <w:p w14:paraId="662B29C4"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156.50</w:t>
            </w:r>
          </w:p>
        </w:tc>
      </w:tr>
      <w:tr w:rsidR="00E355E4" w:rsidRPr="00E355E4" w14:paraId="5308631E"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D7E4BC"/>
            <w:noWrap/>
            <w:vAlign w:val="bottom"/>
            <w:hideMark/>
          </w:tcPr>
          <w:p w14:paraId="6F69FF76"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D7E4BC"/>
            <w:noWrap/>
            <w:vAlign w:val="bottom"/>
            <w:hideMark/>
          </w:tcPr>
          <w:p w14:paraId="507A37EB" w14:textId="77777777" w:rsidR="00853CCB" w:rsidRPr="00E355E4" w:rsidRDefault="00853CCB" w:rsidP="003278B3">
            <w:pPr>
              <w:spacing w:after="0" w:line="360" w:lineRule="auto"/>
              <w:jc w:val="both"/>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Current Liabilities</w:t>
            </w:r>
          </w:p>
        </w:tc>
        <w:tc>
          <w:tcPr>
            <w:tcW w:w="1618" w:type="dxa"/>
            <w:tcBorders>
              <w:top w:val="nil"/>
              <w:left w:val="nil"/>
              <w:bottom w:val="single" w:sz="4" w:space="0" w:color="auto"/>
              <w:right w:val="single" w:sz="4" w:space="0" w:color="auto"/>
            </w:tcBorders>
            <w:shd w:val="clear" w:color="000000" w:fill="D7E4BC"/>
            <w:noWrap/>
            <w:vAlign w:val="bottom"/>
            <w:hideMark/>
          </w:tcPr>
          <w:p w14:paraId="7BC01B7E"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151.00</w:t>
            </w:r>
          </w:p>
        </w:tc>
        <w:tc>
          <w:tcPr>
            <w:tcW w:w="1504" w:type="dxa"/>
            <w:tcBorders>
              <w:top w:val="nil"/>
              <w:left w:val="nil"/>
              <w:bottom w:val="single" w:sz="4" w:space="0" w:color="auto"/>
              <w:right w:val="single" w:sz="4" w:space="0" w:color="auto"/>
            </w:tcBorders>
            <w:shd w:val="clear" w:color="000000" w:fill="D7E4BC"/>
            <w:noWrap/>
            <w:vAlign w:val="bottom"/>
            <w:hideMark/>
          </w:tcPr>
          <w:p w14:paraId="13EBAAE9"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148.40</w:t>
            </w:r>
          </w:p>
        </w:tc>
      </w:tr>
      <w:tr w:rsidR="00E355E4" w:rsidRPr="00E355E4" w14:paraId="39BE1B2F"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CCC0DA"/>
            <w:noWrap/>
            <w:vAlign w:val="bottom"/>
            <w:hideMark/>
          </w:tcPr>
          <w:p w14:paraId="7516A173"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Gearing Ratio</w:t>
            </w:r>
          </w:p>
        </w:tc>
        <w:tc>
          <w:tcPr>
            <w:tcW w:w="3745" w:type="dxa"/>
            <w:tcBorders>
              <w:top w:val="nil"/>
              <w:left w:val="nil"/>
              <w:bottom w:val="single" w:sz="4" w:space="0" w:color="auto"/>
              <w:right w:val="single" w:sz="4" w:space="0" w:color="auto"/>
            </w:tcBorders>
            <w:shd w:val="clear" w:color="000000" w:fill="CCC0DA"/>
            <w:noWrap/>
            <w:vAlign w:val="bottom"/>
            <w:hideMark/>
          </w:tcPr>
          <w:p w14:paraId="003CA5E1" w14:textId="464ED614" w:rsidR="00853CCB" w:rsidRPr="00E355E4" w:rsidRDefault="00853CCB" w:rsidP="009465B6">
            <w:pPr>
              <w:spacing w:after="0" w:line="360" w:lineRule="auto"/>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Long term loans/</w:t>
            </w:r>
            <w:r w:rsidR="00F40665" w:rsidRPr="00E355E4">
              <w:rPr>
                <w:rFonts w:ascii="Arial" w:eastAsia="Times New Roman" w:hAnsi="Arial" w:cs="Arial"/>
                <w:i/>
                <w:iCs/>
                <w:sz w:val="24"/>
                <w:szCs w:val="24"/>
                <w:highlight w:val="cyan"/>
              </w:rPr>
              <w:t>net assets</w:t>
            </w:r>
            <w:r w:rsidR="00223B4A" w:rsidRPr="00E355E4">
              <w:rPr>
                <w:rFonts w:ascii="Arial" w:eastAsia="Times New Roman" w:hAnsi="Arial" w:cs="Arial"/>
                <w:i/>
                <w:iCs/>
                <w:sz w:val="24"/>
                <w:szCs w:val="24"/>
                <w:highlight w:val="cyan"/>
              </w:rPr>
              <w:t xml:space="preserve"> * 100%</w:t>
            </w:r>
          </w:p>
        </w:tc>
        <w:tc>
          <w:tcPr>
            <w:tcW w:w="1618" w:type="dxa"/>
            <w:tcBorders>
              <w:top w:val="nil"/>
              <w:left w:val="nil"/>
              <w:bottom w:val="single" w:sz="4" w:space="0" w:color="auto"/>
              <w:right w:val="single" w:sz="4" w:space="0" w:color="auto"/>
            </w:tcBorders>
            <w:shd w:val="clear" w:color="000000" w:fill="CCC0DA"/>
            <w:noWrap/>
            <w:vAlign w:val="bottom"/>
            <w:hideMark/>
          </w:tcPr>
          <w:p w14:paraId="31B447D6" w14:textId="47BCB283"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45</w:t>
            </w:r>
            <w:r w:rsidR="00223B4A" w:rsidRPr="00E355E4">
              <w:rPr>
                <w:rFonts w:ascii="Arial" w:eastAsia="Times New Roman" w:hAnsi="Arial" w:cs="Arial"/>
                <w:sz w:val="24"/>
                <w:szCs w:val="24"/>
                <w:highlight w:val="green"/>
              </w:rPr>
              <w:t>%</w:t>
            </w:r>
          </w:p>
        </w:tc>
        <w:tc>
          <w:tcPr>
            <w:tcW w:w="1504" w:type="dxa"/>
            <w:tcBorders>
              <w:top w:val="nil"/>
              <w:left w:val="nil"/>
              <w:bottom w:val="single" w:sz="4" w:space="0" w:color="auto"/>
              <w:right w:val="single" w:sz="4" w:space="0" w:color="auto"/>
            </w:tcBorders>
            <w:shd w:val="clear" w:color="000000" w:fill="CCC0DA"/>
            <w:noWrap/>
            <w:vAlign w:val="bottom"/>
            <w:hideMark/>
          </w:tcPr>
          <w:p w14:paraId="6C349ED4" w14:textId="68224D96" w:rsidR="00853CCB" w:rsidRPr="00E355E4" w:rsidRDefault="00F40665"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81%</w:t>
            </w:r>
          </w:p>
        </w:tc>
      </w:tr>
      <w:tr w:rsidR="00E355E4" w:rsidRPr="00E355E4" w14:paraId="135C0164"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CCC0DA"/>
            <w:noWrap/>
            <w:vAlign w:val="bottom"/>
            <w:hideMark/>
          </w:tcPr>
          <w:p w14:paraId="4D25B0C4"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CCC0DA"/>
            <w:noWrap/>
            <w:vAlign w:val="bottom"/>
            <w:hideMark/>
          </w:tcPr>
          <w:p w14:paraId="39FB2F1D" w14:textId="77777777" w:rsidR="00853CCB" w:rsidRPr="00E355E4" w:rsidRDefault="00853CCB" w:rsidP="003278B3">
            <w:pPr>
              <w:spacing w:after="0" w:line="360" w:lineRule="auto"/>
              <w:jc w:val="both"/>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Long term liability</w:t>
            </w:r>
          </w:p>
        </w:tc>
        <w:tc>
          <w:tcPr>
            <w:tcW w:w="1618" w:type="dxa"/>
            <w:tcBorders>
              <w:top w:val="nil"/>
              <w:left w:val="nil"/>
              <w:bottom w:val="single" w:sz="4" w:space="0" w:color="auto"/>
              <w:right w:val="single" w:sz="4" w:space="0" w:color="auto"/>
            </w:tcBorders>
            <w:shd w:val="clear" w:color="000000" w:fill="CCC0DA"/>
            <w:noWrap/>
            <w:vAlign w:val="bottom"/>
            <w:hideMark/>
          </w:tcPr>
          <w:p w14:paraId="744B3231"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41.90</w:t>
            </w:r>
          </w:p>
        </w:tc>
        <w:tc>
          <w:tcPr>
            <w:tcW w:w="1504" w:type="dxa"/>
            <w:tcBorders>
              <w:top w:val="nil"/>
              <w:left w:val="nil"/>
              <w:bottom w:val="single" w:sz="4" w:space="0" w:color="auto"/>
              <w:right w:val="single" w:sz="4" w:space="0" w:color="auto"/>
            </w:tcBorders>
            <w:shd w:val="clear" w:color="000000" w:fill="CCC0DA"/>
            <w:noWrap/>
            <w:vAlign w:val="bottom"/>
            <w:hideMark/>
          </w:tcPr>
          <w:p w14:paraId="03D166A9"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65.10</w:t>
            </w:r>
          </w:p>
        </w:tc>
      </w:tr>
      <w:tr w:rsidR="00E355E4" w:rsidRPr="00E355E4" w14:paraId="2FA517DB"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CCC0DA"/>
            <w:noWrap/>
            <w:vAlign w:val="bottom"/>
            <w:hideMark/>
          </w:tcPr>
          <w:p w14:paraId="4BAE224F"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CCC0DA"/>
            <w:noWrap/>
            <w:vAlign w:val="bottom"/>
            <w:hideMark/>
          </w:tcPr>
          <w:p w14:paraId="72670763" w14:textId="59779B13" w:rsidR="00853CCB" w:rsidRPr="00E355E4" w:rsidRDefault="00F40665" w:rsidP="003278B3">
            <w:pPr>
              <w:spacing w:after="0" w:line="360" w:lineRule="auto"/>
              <w:jc w:val="both"/>
              <w:rPr>
                <w:rFonts w:ascii="Arial" w:eastAsia="Times New Roman" w:hAnsi="Arial" w:cs="Arial"/>
                <w:i/>
                <w:iCs/>
                <w:sz w:val="24"/>
                <w:szCs w:val="24"/>
                <w:highlight w:val="cyan"/>
              </w:rPr>
            </w:pPr>
            <w:r w:rsidRPr="00E355E4">
              <w:rPr>
                <w:rFonts w:ascii="Arial" w:eastAsia="Times New Roman" w:hAnsi="Arial" w:cs="Arial"/>
                <w:i/>
                <w:iCs/>
                <w:sz w:val="24"/>
                <w:szCs w:val="24"/>
                <w:highlight w:val="cyan"/>
              </w:rPr>
              <w:t>Net assets</w:t>
            </w:r>
          </w:p>
        </w:tc>
        <w:tc>
          <w:tcPr>
            <w:tcW w:w="1618" w:type="dxa"/>
            <w:tcBorders>
              <w:top w:val="nil"/>
              <w:left w:val="nil"/>
              <w:bottom w:val="single" w:sz="4" w:space="0" w:color="auto"/>
              <w:right w:val="single" w:sz="4" w:space="0" w:color="auto"/>
            </w:tcBorders>
            <w:shd w:val="clear" w:color="000000" w:fill="CCC0DA"/>
            <w:noWrap/>
            <w:vAlign w:val="bottom"/>
            <w:hideMark/>
          </w:tcPr>
          <w:p w14:paraId="7593673C"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93.20</w:t>
            </w:r>
          </w:p>
        </w:tc>
        <w:tc>
          <w:tcPr>
            <w:tcW w:w="1504" w:type="dxa"/>
            <w:tcBorders>
              <w:top w:val="nil"/>
              <w:left w:val="nil"/>
              <w:bottom w:val="single" w:sz="4" w:space="0" w:color="auto"/>
              <w:right w:val="single" w:sz="4" w:space="0" w:color="auto"/>
            </w:tcBorders>
            <w:shd w:val="clear" w:color="000000" w:fill="CCC0DA"/>
            <w:noWrap/>
            <w:vAlign w:val="bottom"/>
            <w:hideMark/>
          </w:tcPr>
          <w:p w14:paraId="32EC55D2"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80.30</w:t>
            </w:r>
          </w:p>
        </w:tc>
      </w:tr>
      <w:tr w:rsidR="00E355E4" w:rsidRPr="00E355E4" w14:paraId="6925CE80"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9BBB59"/>
            <w:noWrap/>
            <w:vAlign w:val="bottom"/>
            <w:hideMark/>
          </w:tcPr>
          <w:p w14:paraId="6B90F9BB"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Earning pers share</w:t>
            </w:r>
          </w:p>
        </w:tc>
        <w:tc>
          <w:tcPr>
            <w:tcW w:w="3745" w:type="dxa"/>
            <w:tcBorders>
              <w:top w:val="nil"/>
              <w:left w:val="nil"/>
              <w:bottom w:val="single" w:sz="4" w:space="0" w:color="auto"/>
              <w:right w:val="single" w:sz="4" w:space="0" w:color="auto"/>
            </w:tcBorders>
            <w:shd w:val="clear" w:color="000000" w:fill="9BBB59"/>
            <w:noWrap/>
            <w:hideMark/>
          </w:tcPr>
          <w:p w14:paraId="33C97E95" w14:textId="78020C46" w:rsidR="00853CCB" w:rsidRPr="00E355E4" w:rsidRDefault="00655DBB"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Profit for the year</w:t>
            </w:r>
            <w:r w:rsidR="00F40665" w:rsidRPr="00E355E4">
              <w:rPr>
                <w:rFonts w:ascii="Arial" w:eastAsia="Times New Roman" w:hAnsi="Arial" w:cs="Arial"/>
                <w:sz w:val="24"/>
                <w:szCs w:val="24"/>
                <w:highlight w:val="cyan"/>
              </w:rPr>
              <w:t xml:space="preserve"> </w:t>
            </w:r>
            <w:r w:rsidRPr="00E355E4">
              <w:rPr>
                <w:rFonts w:ascii="Arial" w:eastAsia="Times New Roman" w:hAnsi="Arial" w:cs="Arial"/>
                <w:sz w:val="24"/>
                <w:szCs w:val="24"/>
                <w:highlight w:val="cyan"/>
              </w:rPr>
              <w:t xml:space="preserve">(net </w:t>
            </w:r>
            <w:proofErr w:type="gramStart"/>
            <w:r w:rsidRPr="00E355E4">
              <w:rPr>
                <w:rFonts w:ascii="Arial" w:eastAsia="Times New Roman" w:hAnsi="Arial" w:cs="Arial"/>
                <w:sz w:val="24"/>
                <w:szCs w:val="24"/>
                <w:highlight w:val="cyan"/>
              </w:rPr>
              <w:t>income)(</w:t>
            </w:r>
            <w:proofErr w:type="gramEnd"/>
            <w:r w:rsidRPr="00E355E4">
              <w:rPr>
                <w:rFonts w:ascii="Arial" w:eastAsia="Times New Roman" w:hAnsi="Arial" w:cs="Arial"/>
                <w:sz w:val="24"/>
                <w:szCs w:val="24"/>
                <w:highlight w:val="cyan"/>
              </w:rPr>
              <w:t xml:space="preserve">net income ) </w:t>
            </w:r>
            <w:r w:rsidR="00853CCB" w:rsidRPr="00E355E4">
              <w:rPr>
                <w:rFonts w:ascii="Arial" w:eastAsia="Times New Roman" w:hAnsi="Arial" w:cs="Arial"/>
                <w:sz w:val="24"/>
                <w:szCs w:val="24"/>
                <w:highlight w:val="cyan"/>
              </w:rPr>
              <w:t>/number of ordinary shares</w:t>
            </w:r>
          </w:p>
        </w:tc>
        <w:tc>
          <w:tcPr>
            <w:tcW w:w="1618" w:type="dxa"/>
            <w:tcBorders>
              <w:top w:val="nil"/>
              <w:left w:val="nil"/>
              <w:bottom w:val="single" w:sz="4" w:space="0" w:color="auto"/>
              <w:right w:val="single" w:sz="4" w:space="0" w:color="auto"/>
            </w:tcBorders>
            <w:shd w:val="clear" w:color="000000" w:fill="9BBB59"/>
            <w:noWrap/>
            <w:hideMark/>
          </w:tcPr>
          <w:p w14:paraId="5409F983"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0.72</w:t>
            </w:r>
          </w:p>
        </w:tc>
        <w:tc>
          <w:tcPr>
            <w:tcW w:w="1504" w:type="dxa"/>
            <w:tcBorders>
              <w:top w:val="nil"/>
              <w:left w:val="nil"/>
              <w:bottom w:val="single" w:sz="4" w:space="0" w:color="auto"/>
              <w:right w:val="single" w:sz="4" w:space="0" w:color="auto"/>
            </w:tcBorders>
            <w:shd w:val="clear" w:color="000000" w:fill="9BBB59"/>
            <w:noWrap/>
            <w:hideMark/>
          </w:tcPr>
          <w:p w14:paraId="1DB5F933"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1.03</w:t>
            </w:r>
          </w:p>
        </w:tc>
      </w:tr>
      <w:tr w:rsidR="00E355E4" w:rsidRPr="00E355E4" w14:paraId="3792B50F"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9BBB59"/>
            <w:noWrap/>
            <w:vAlign w:val="bottom"/>
            <w:hideMark/>
          </w:tcPr>
          <w:p w14:paraId="6A6FEE72"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9BBB59"/>
            <w:noWrap/>
            <w:hideMark/>
          </w:tcPr>
          <w:p w14:paraId="631B8578" w14:textId="5C8511A0" w:rsidR="00853CCB" w:rsidRPr="00E355E4" w:rsidRDefault="00655DBB"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Profit for the year</w:t>
            </w:r>
            <w:r w:rsidR="00F40665" w:rsidRPr="00E355E4">
              <w:rPr>
                <w:rFonts w:ascii="Arial" w:eastAsia="Times New Roman" w:hAnsi="Arial" w:cs="Arial"/>
                <w:sz w:val="24"/>
                <w:szCs w:val="24"/>
                <w:highlight w:val="cyan"/>
              </w:rPr>
              <w:t xml:space="preserve"> </w:t>
            </w:r>
            <w:r w:rsidRPr="00E355E4">
              <w:rPr>
                <w:rFonts w:ascii="Arial" w:eastAsia="Times New Roman" w:hAnsi="Arial" w:cs="Arial"/>
                <w:sz w:val="24"/>
                <w:szCs w:val="24"/>
                <w:highlight w:val="cyan"/>
              </w:rPr>
              <w:t>(net income)</w:t>
            </w:r>
          </w:p>
        </w:tc>
        <w:tc>
          <w:tcPr>
            <w:tcW w:w="1618" w:type="dxa"/>
            <w:tcBorders>
              <w:top w:val="nil"/>
              <w:left w:val="nil"/>
              <w:bottom w:val="single" w:sz="4" w:space="0" w:color="auto"/>
              <w:right w:val="single" w:sz="4" w:space="0" w:color="auto"/>
            </w:tcBorders>
            <w:shd w:val="clear" w:color="000000" w:fill="9BBB59"/>
            <w:noWrap/>
            <w:vAlign w:val="bottom"/>
            <w:hideMark/>
          </w:tcPr>
          <w:p w14:paraId="31DC48AD"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12.90</w:t>
            </w:r>
          </w:p>
        </w:tc>
        <w:tc>
          <w:tcPr>
            <w:tcW w:w="1504" w:type="dxa"/>
            <w:tcBorders>
              <w:top w:val="nil"/>
              <w:left w:val="nil"/>
              <w:bottom w:val="single" w:sz="4" w:space="0" w:color="auto"/>
              <w:right w:val="single" w:sz="4" w:space="0" w:color="auto"/>
            </w:tcBorders>
            <w:shd w:val="clear" w:color="000000" w:fill="9BBB59"/>
            <w:noWrap/>
            <w:vAlign w:val="bottom"/>
            <w:hideMark/>
          </w:tcPr>
          <w:p w14:paraId="6ADCE6E4"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18.30</w:t>
            </w:r>
          </w:p>
        </w:tc>
      </w:tr>
      <w:tr w:rsidR="00E355E4" w:rsidRPr="00E355E4" w14:paraId="6B98F61B"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9BBB59"/>
            <w:noWrap/>
            <w:vAlign w:val="bottom"/>
            <w:hideMark/>
          </w:tcPr>
          <w:p w14:paraId="1238E096" w14:textId="77777777" w:rsidR="00853CCB" w:rsidRPr="00E355E4" w:rsidRDefault="00853CCB" w:rsidP="003278B3">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9BBB59"/>
            <w:noWrap/>
            <w:hideMark/>
          </w:tcPr>
          <w:p w14:paraId="2B0C8FB1" w14:textId="77777777" w:rsidR="00853CCB" w:rsidRPr="00E355E4" w:rsidRDefault="00853CCB" w:rsidP="003278B3">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number of ordinary shares</w:t>
            </w:r>
          </w:p>
        </w:tc>
        <w:tc>
          <w:tcPr>
            <w:tcW w:w="1618" w:type="dxa"/>
            <w:tcBorders>
              <w:top w:val="nil"/>
              <w:left w:val="nil"/>
              <w:bottom w:val="single" w:sz="4" w:space="0" w:color="auto"/>
              <w:right w:val="single" w:sz="4" w:space="0" w:color="auto"/>
            </w:tcBorders>
            <w:shd w:val="clear" w:color="000000" w:fill="9BBB59"/>
            <w:noWrap/>
            <w:vAlign w:val="bottom"/>
            <w:hideMark/>
          </w:tcPr>
          <w:p w14:paraId="1BF151CB" w14:textId="77777777" w:rsidR="00853CCB" w:rsidRPr="00E355E4" w:rsidRDefault="00853CCB" w:rsidP="003278B3">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17.80</w:t>
            </w:r>
          </w:p>
        </w:tc>
        <w:tc>
          <w:tcPr>
            <w:tcW w:w="1504" w:type="dxa"/>
            <w:tcBorders>
              <w:top w:val="nil"/>
              <w:left w:val="nil"/>
              <w:bottom w:val="single" w:sz="4" w:space="0" w:color="auto"/>
              <w:right w:val="single" w:sz="4" w:space="0" w:color="auto"/>
            </w:tcBorders>
            <w:shd w:val="clear" w:color="000000" w:fill="9BBB59"/>
            <w:noWrap/>
            <w:vAlign w:val="bottom"/>
            <w:hideMark/>
          </w:tcPr>
          <w:p w14:paraId="13DBA015" w14:textId="77777777" w:rsidR="00853CCB" w:rsidRPr="00E355E4" w:rsidRDefault="00853CCB" w:rsidP="003278B3">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17.80</w:t>
            </w:r>
          </w:p>
        </w:tc>
      </w:tr>
      <w:tr w:rsidR="00E355E4" w:rsidRPr="00E355E4" w14:paraId="32E29326"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9BBB59"/>
            <w:noWrap/>
            <w:vAlign w:val="bottom"/>
            <w:hideMark/>
          </w:tcPr>
          <w:p w14:paraId="662657A7" w14:textId="77777777" w:rsidR="00F75692" w:rsidRPr="00E355E4" w:rsidRDefault="00F75692" w:rsidP="00F75692">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Interest Cover</w:t>
            </w:r>
          </w:p>
        </w:tc>
        <w:tc>
          <w:tcPr>
            <w:tcW w:w="3745" w:type="dxa"/>
            <w:tcBorders>
              <w:top w:val="nil"/>
              <w:left w:val="nil"/>
              <w:bottom w:val="single" w:sz="4" w:space="0" w:color="auto"/>
              <w:right w:val="single" w:sz="4" w:space="0" w:color="auto"/>
            </w:tcBorders>
            <w:shd w:val="clear" w:color="000000" w:fill="9BBB59"/>
            <w:noWrap/>
            <w:hideMark/>
          </w:tcPr>
          <w:p w14:paraId="67FD8698" w14:textId="7B7050DD" w:rsidR="00F75692" w:rsidRPr="00E355E4" w:rsidRDefault="00F75692" w:rsidP="00F75692">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EBIT</w:t>
            </w:r>
            <w:r w:rsidR="00E355E4" w:rsidRPr="00E355E4">
              <w:rPr>
                <w:rFonts w:ascii="Arial" w:eastAsia="Times New Roman" w:hAnsi="Arial" w:cs="Arial"/>
                <w:sz w:val="24"/>
                <w:szCs w:val="24"/>
                <w:highlight w:val="cyan"/>
              </w:rPr>
              <w:t xml:space="preserve"> </w:t>
            </w:r>
            <w:r w:rsidR="00F40665" w:rsidRPr="00E355E4">
              <w:rPr>
                <w:rFonts w:ascii="Arial" w:eastAsia="Times New Roman" w:hAnsi="Arial" w:cs="Arial"/>
                <w:sz w:val="24"/>
                <w:szCs w:val="24"/>
                <w:highlight w:val="cyan"/>
              </w:rPr>
              <w:t>(operating profit)</w:t>
            </w:r>
            <w:r w:rsidRPr="00E355E4">
              <w:rPr>
                <w:rFonts w:ascii="Arial" w:eastAsia="Times New Roman" w:hAnsi="Arial" w:cs="Arial"/>
                <w:sz w:val="24"/>
                <w:szCs w:val="24"/>
                <w:highlight w:val="cyan"/>
              </w:rPr>
              <w:t>/Total Interest Expenses</w:t>
            </w:r>
            <w:r w:rsidR="00E355E4" w:rsidRPr="00E355E4">
              <w:rPr>
                <w:rFonts w:ascii="Arial" w:eastAsia="Times New Roman" w:hAnsi="Arial" w:cs="Arial"/>
                <w:sz w:val="24"/>
                <w:szCs w:val="24"/>
                <w:highlight w:val="cyan"/>
              </w:rPr>
              <w:t xml:space="preserve"> </w:t>
            </w:r>
            <w:r w:rsidR="00F40665" w:rsidRPr="00E355E4">
              <w:rPr>
                <w:rFonts w:ascii="Arial" w:eastAsia="Times New Roman" w:hAnsi="Arial" w:cs="Arial"/>
                <w:sz w:val="24"/>
                <w:szCs w:val="24"/>
                <w:highlight w:val="cyan"/>
              </w:rPr>
              <w:t>(finance costs)</w:t>
            </w:r>
          </w:p>
        </w:tc>
        <w:tc>
          <w:tcPr>
            <w:tcW w:w="1618" w:type="dxa"/>
            <w:tcBorders>
              <w:top w:val="nil"/>
              <w:left w:val="nil"/>
              <w:bottom w:val="single" w:sz="4" w:space="0" w:color="auto"/>
              <w:right w:val="single" w:sz="4" w:space="0" w:color="auto"/>
            </w:tcBorders>
            <w:shd w:val="clear" w:color="000000" w:fill="9BBB59"/>
            <w:noWrap/>
            <w:vAlign w:val="bottom"/>
            <w:hideMark/>
          </w:tcPr>
          <w:p w14:paraId="042168C3" w14:textId="621675E1" w:rsidR="00F75692" w:rsidRPr="00E355E4" w:rsidRDefault="00F75692" w:rsidP="00F75692">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115</w:t>
            </w:r>
          </w:p>
        </w:tc>
        <w:tc>
          <w:tcPr>
            <w:tcW w:w="1504" w:type="dxa"/>
            <w:tcBorders>
              <w:top w:val="nil"/>
              <w:left w:val="nil"/>
              <w:bottom w:val="single" w:sz="4" w:space="0" w:color="auto"/>
              <w:right w:val="single" w:sz="4" w:space="0" w:color="auto"/>
            </w:tcBorders>
            <w:shd w:val="clear" w:color="000000" w:fill="9BBB59"/>
            <w:noWrap/>
            <w:vAlign w:val="bottom"/>
            <w:hideMark/>
          </w:tcPr>
          <w:p w14:paraId="10BCB7C4" w14:textId="77777777" w:rsidR="00F75692" w:rsidRPr="00E355E4" w:rsidRDefault="00F75692" w:rsidP="00F75692">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8.49</w:t>
            </w:r>
          </w:p>
        </w:tc>
      </w:tr>
      <w:tr w:rsidR="00E355E4" w:rsidRPr="00E355E4" w14:paraId="7891FB42"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9BBB59"/>
            <w:noWrap/>
            <w:vAlign w:val="bottom"/>
            <w:hideMark/>
          </w:tcPr>
          <w:p w14:paraId="3933F471" w14:textId="77777777" w:rsidR="00F75692" w:rsidRPr="00E355E4" w:rsidRDefault="00F75692" w:rsidP="00F75692">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9BBB59"/>
            <w:noWrap/>
            <w:hideMark/>
          </w:tcPr>
          <w:p w14:paraId="19357283" w14:textId="77777777" w:rsidR="00F75692" w:rsidRPr="00E355E4" w:rsidRDefault="00F75692" w:rsidP="00F75692">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EBIT</w:t>
            </w:r>
          </w:p>
        </w:tc>
        <w:tc>
          <w:tcPr>
            <w:tcW w:w="1618" w:type="dxa"/>
            <w:tcBorders>
              <w:top w:val="nil"/>
              <w:left w:val="nil"/>
              <w:bottom w:val="single" w:sz="4" w:space="0" w:color="auto"/>
              <w:right w:val="single" w:sz="4" w:space="0" w:color="auto"/>
            </w:tcBorders>
            <w:shd w:val="clear" w:color="000000" w:fill="9BBB59"/>
            <w:noWrap/>
            <w:vAlign w:val="bottom"/>
            <w:hideMark/>
          </w:tcPr>
          <w:p w14:paraId="3276CECD" w14:textId="729A0E2B" w:rsidR="00F75692" w:rsidRPr="00E355E4" w:rsidRDefault="00F75692" w:rsidP="00F75692">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23.0</w:t>
            </w:r>
          </w:p>
        </w:tc>
        <w:tc>
          <w:tcPr>
            <w:tcW w:w="1504" w:type="dxa"/>
            <w:tcBorders>
              <w:top w:val="nil"/>
              <w:left w:val="nil"/>
              <w:bottom w:val="single" w:sz="4" w:space="0" w:color="auto"/>
              <w:right w:val="single" w:sz="4" w:space="0" w:color="auto"/>
            </w:tcBorders>
            <w:shd w:val="clear" w:color="000000" w:fill="9BBB59"/>
            <w:noWrap/>
            <w:vAlign w:val="bottom"/>
            <w:hideMark/>
          </w:tcPr>
          <w:p w14:paraId="12E865B1" w14:textId="55FD18D7" w:rsidR="00F75692" w:rsidRPr="00E355E4" w:rsidRDefault="00F75692" w:rsidP="00F75692">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29.7</w:t>
            </w:r>
          </w:p>
        </w:tc>
      </w:tr>
      <w:tr w:rsidR="00E355E4" w:rsidRPr="00E355E4" w14:paraId="7D98930E" w14:textId="77777777" w:rsidTr="00223B4A">
        <w:trPr>
          <w:trHeight w:val="315"/>
        </w:trPr>
        <w:tc>
          <w:tcPr>
            <w:tcW w:w="2880" w:type="dxa"/>
            <w:tcBorders>
              <w:top w:val="nil"/>
              <w:left w:val="single" w:sz="4" w:space="0" w:color="auto"/>
              <w:bottom w:val="single" w:sz="4" w:space="0" w:color="auto"/>
              <w:right w:val="single" w:sz="4" w:space="0" w:color="auto"/>
            </w:tcBorders>
            <w:shd w:val="clear" w:color="000000" w:fill="9BBB59"/>
            <w:noWrap/>
            <w:vAlign w:val="bottom"/>
            <w:hideMark/>
          </w:tcPr>
          <w:p w14:paraId="13610984" w14:textId="77777777" w:rsidR="00F75692" w:rsidRPr="00E355E4" w:rsidRDefault="00F75692" w:rsidP="00F75692">
            <w:pPr>
              <w:spacing w:after="0" w:line="360" w:lineRule="auto"/>
              <w:jc w:val="both"/>
              <w:rPr>
                <w:rFonts w:ascii="Arial" w:eastAsia="Times New Roman" w:hAnsi="Arial" w:cs="Arial"/>
                <w:b/>
                <w:bCs/>
                <w:sz w:val="24"/>
                <w:szCs w:val="24"/>
                <w:highlight w:val="lightGray"/>
              </w:rPr>
            </w:pPr>
            <w:r w:rsidRPr="00E355E4">
              <w:rPr>
                <w:rFonts w:ascii="Arial" w:eastAsia="Times New Roman" w:hAnsi="Arial" w:cs="Arial"/>
                <w:b/>
                <w:bCs/>
                <w:sz w:val="24"/>
                <w:szCs w:val="24"/>
                <w:highlight w:val="lightGray"/>
              </w:rPr>
              <w:t> </w:t>
            </w:r>
          </w:p>
        </w:tc>
        <w:tc>
          <w:tcPr>
            <w:tcW w:w="3745" w:type="dxa"/>
            <w:tcBorders>
              <w:top w:val="nil"/>
              <w:left w:val="nil"/>
              <w:bottom w:val="single" w:sz="4" w:space="0" w:color="auto"/>
              <w:right w:val="single" w:sz="4" w:space="0" w:color="auto"/>
            </w:tcBorders>
            <w:shd w:val="clear" w:color="000000" w:fill="9BBB59"/>
            <w:noWrap/>
            <w:hideMark/>
          </w:tcPr>
          <w:p w14:paraId="0CB6CE38" w14:textId="3692BEE9" w:rsidR="00F75692" w:rsidRPr="00E355E4" w:rsidRDefault="00F40665" w:rsidP="00F75692">
            <w:pPr>
              <w:spacing w:after="0" w:line="360" w:lineRule="auto"/>
              <w:jc w:val="both"/>
              <w:rPr>
                <w:rFonts w:ascii="Arial" w:eastAsia="Times New Roman" w:hAnsi="Arial" w:cs="Arial"/>
                <w:sz w:val="24"/>
                <w:szCs w:val="24"/>
                <w:highlight w:val="cyan"/>
              </w:rPr>
            </w:pPr>
            <w:r w:rsidRPr="00E355E4">
              <w:rPr>
                <w:rFonts w:ascii="Arial" w:eastAsia="Times New Roman" w:hAnsi="Arial" w:cs="Arial"/>
                <w:sz w:val="24"/>
                <w:szCs w:val="24"/>
                <w:highlight w:val="cyan"/>
              </w:rPr>
              <w:t xml:space="preserve">Finance costs </w:t>
            </w:r>
          </w:p>
        </w:tc>
        <w:tc>
          <w:tcPr>
            <w:tcW w:w="1618" w:type="dxa"/>
            <w:tcBorders>
              <w:top w:val="nil"/>
              <w:left w:val="nil"/>
              <w:bottom w:val="single" w:sz="4" w:space="0" w:color="auto"/>
              <w:right w:val="single" w:sz="4" w:space="0" w:color="auto"/>
            </w:tcBorders>
            <w:shd w:val="clear" w:color="000000" w:fill="9BBB59"/>
            <w:noWrap/>
            <w:vAlign w:val="bottom"/>
            <w:hideMark/>
          </w:tcPr>
          <w:p w14:paraId="5C11F5D6" w14:textId="77777777" w:rsidR="00F75692" w:rsidRPr="00E355E4" w:rsidRDefault="00F75692" w:rsidP="00F75692">
            <w:pPr>
              <w:spacing w:after="0" w:line="360" w:lineRule="auto"/>
              <w:jc w:val="both"/>
              <w:rPr>
                <w:rFonts w:ascii="Arial" w:eastAsia="Times New Roman" w:hAnsi="Arial" w:cs="Arial"/>
                <w:sz w:val="24"/>
                <w:szCs w:val="24"/>
                <w:highlight w:val="green"/>
              </w:rPr>
            </w:pPr>
            <w:r w:rsidRPr="00E355E4">
              <w:rPr>
                <w:rFonts w:ascii="Arial" w:eastAsia="Times New Roman" w:hAnsi="Arial" w:cs="Arial"/>
                <w:sz w:val="24"/>
                <w:szCs w:val="24"/>
                <w:highlight w:val="green"/>
              </w:rPr>
              <w:t>0.20</w:t>
            </w:r>
          </w:p>
        </w:tc>
        <w:tc>
          <w:tcPr>
            <w:tcW w:w="1504" w:type="dxa"/>
            <w:tcBorders>
              <w:top w:val="nil"/>
              <w:left w:val="nil"/>
              <w:bottom w:val="single" w:sz="4" w:space="0" w:color="auto"/>
              <w:right w:val="single" w:sz="4" w:space="0" w:color="auto"/>
            </w:tcBorders>
            <w:shd w:val="clear" w:color="000000" w:fill="9BBB59"/>
            <w:noWrap/>
            <w:vAlign w:val="bottom"/>
            <w:hideMark/>
          </w:tcPr>
          <w:p w14:paraId="3810F520" w14:textId="69AED123" w:rsidR="00F75692" w:rsidRPr="00E355E4" w:rsidRDefault="00F75692" w:rsidP="00F75692">
            <w:pPr>
              <w:spacing w:after="0" w:line="360" w:lineRule="auto"/>
              <w:jc w:val="both"/>
              <w:rPr>
                <w:rFonts w:ascii="Arial" w:eastAsia="Times New Roman" w:hAnsi="Arial" w:cs="Arial"/>
                <w:sz w:val="24"/>
                <w:szCs w:val="24"/>
              </w:rPr>
            </w:pPr>
            <w:r w:rsidRPr="00E355E4">
              <w:rPr>
                <w:rFonts w:ascii="Arial" w:eastAsia="Times New Roman" w:hAnsi="Arial" w:cs="Arial"/>
                <w:sz w:val="24"/>
                <w:szCs w:val="24"/>
              </w:rPr>
              <w:t>3.5</w:t>
            </w:r>
          </w:p>
        </w:tc>
      </w:tr>
    </w:tbl>
    <w:p w14:paraId="614E7665" w14:textId="77777777" w:rsidR="00D939B3" w:rsidRPr="009465B6" w:rsidRDefault="00D939B3" w:rsidP="003278B3">
      <w:pPr>
        <w:spacing w:line="360" w:lineRule="auto"/>
        <w:jc w:val="both"/>
        <w:rPr>
          <w:rFonts w:ascii="Arial" w:hAnsi="Arial" w:cs="Arial"/>
          <w:sz w:val="24"/>
          <w:szCs w:val="24"/>
        </w:rPr>
      </w:pPr>
    </w:p>
    <w:p w14:paraId="1A20F9B4" w14:textId="71FEA3FE" w:rsidR="00260EDB"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ROCE</w:t>
      </w:r>
      <w:r w:rsidR="002563BC">
        <w:rPr>
          <w:rFonts w:ascii="Arial" w:hAnsi="Arial" w:cs="Arial"/>
          <w:b/>
          <w:sz w:val="24"/>
          <w:szCs w:val="24"/>
        </w:rPr>
        <w:t xml:space="preserve"> – return on capital employed</w:t>
      </w:r>
    </w:p>
    <w:p w14:paraId="7E182F46" w14:textId="75779F56" w:rsidR="00B91001" w:rsidRPr="009465B6" w:rsidRDefault="00B91001" w:rsidP="003278B3">
      <w:pPr>
        <w:spacing w:line="360" w:lineRule="auto"/>
        <w:jc w:val="both"/>
        <w:rPr>
          <w:rFonts w:ascii="Arial" w:hAnsi="Arial" w:cs="Arial"/>
          <w:sz w:val="24"/>
          <w:szCs w:val="24"/>
        </w:rPr>
      </w:pPr>
      <w:r w:rsidRPr="009465B6">
        <w:rPr>
          <w:rFonts w:ascii="Arial" w:hAnsi="Arial" w:cs="Arial"/>
          <w:sz w:val="24"/>
          <w:szCs w:val="24"/>
        </w:rPr>
        <w:t xml:space="preserve">It is an important financial ratio </w:t>
      </w:r>
      <w:r w:rsidR="00C321B0" w:rsidRPr="009465B6">
        <w:rPr>
          <w:rFonts w:ascii="Arial" w:hAnsi="Arial" w:cs="Arial"/>
          <w:sz w:val="24"/>
          <w:szCs w:val="24"/>
        </w:rPr>
        <w:t>that</w:t>
      </w:r>
      <w:r w:rsidRPr="009465B6">
        <w:rPr>
          <w:rFonts w:ascii="Arial" w:hAnsi="Arial" w:cs="Arial"/>
          <w:sz w:val="24"/>
          <w:szCs w:val="24"/>
        </w:rPr>
        <w:t xml:space="preserve"> can be applied for assessing the efficiency in </w:t>
      </w:r>
      <w:r w:rsidR="00C321B0" w:rsidRPr="009465B6">
        <w:rPr>
          <w:rFonts w:ascii="Arial" w:hAnsi="Arial" w:cs="Arial"/>
          <w:sz w:val="24"/>
          <w:szCs w:val="24"/>
        </w:rPr>
        <w:t xml:space="preserve">the </w:t>
      </w:r>
      <w:r w:rsidRPr="009465B6">
        <w:rPr>
          <w:rFonts w:ascii="Arial" w:hAnsi="Arial" w:cs="Arial"/>
          <w:sz w:val="24"/>
          <w:szCs w:val="24"/>
        </w:rPr>
        <w:t>capital for gaining good profitability. This ration may provide assistance in measuring how efficiently the capital invested by the company is increasing the profit of the firm</w:t>
      </w:r>
      <w:r w:rsidR="005E1C57" w:rsidRPr="009465B6">
        <w:rPr>
          <w:rFonts w:ascii="Arial" w:hAnsi="Arial" w:cs="Arial"/>
          <w:sz w:val="24"/>
          <w:szCs w:val="24"/>
        </w:rPr>
        <w:t xml:space="preserve"> (</w:t>
      </w:r>
      <w:hyperlink r:id="rId9" w:history="1">
        <w:r w:rsidR="005E1C57" w:rsidRPr="009465B6">
          <w:rPr>
            <w:rStyle w:val="Hyperlink"/>
            <w:rFonts w:ascii="Arial" w:hAnsi="Arial" w:cs="Arial"/>
            <w:color w:val="262626" w:themeColor="text1" w:themeTint="D9"/>
            <w:sz w:val="24"/>
            <w:szCs w:val="24"/>
            <w:u w:val="none"/>
            <w:shd w:val="clear" w:color="auto" w:fill="FFFFFF"/>
          </w:rPr>
          <w:t>Brigham</w:t>
        </w:r>
      </w:hyperlink>
      <w:r w:rsidR="005E1C57" w:rsidRPr="009465B6">
        <w:rPr>
          <w:rFonts w:ascii="Arial" w:hAnsi="Arial" w:cs="Arial"/>
          <w:color w:val="262626" w:themeColor="text1" w:themeTint="D9"/>
          <w:sz w:val="24"/>
          <w:szCs w:val="24"/>
          <w:shd w:val="clear" w:color="auto" w:fill="FFFFFF"/>
        </w:rPr>
        <w:t xml:space="preserve"> </w:t>
      </w:r>
      <w:r w:rsidR="005E1C57" w:rsidRPr="009465B6">
        <w:rPr>
          <w:rFonts w:ascii="Arial" w:hAnsi="Arial" w:cs="Arial"/>
          <w:noProof/>
          <w:color w:val="262626" w:themeColor="text1" w:themeTint="D9"/>
          <w:sz w:val="24"/>
          <w:szCs w:val="24"/>
          <w:shd w:val="clear" w:color="auto" w:fill="FFFFFF"/>
        </w:rPr>
        <w:t>and</w:t>
      </w:r>
      <w:r w:rsidR="005E1C57" w:rsidRPr="009465B6">
        <w:rPr>
          <w:rStyle w:val="apple-converted-space"/>
          <w:rFonts w:ascii="Arial" w:hAnsi="Arial" w:cs="Arial"/>
          <w:color w:val="262626" w:themeColor="text1" w:themeTint="D9"/>
          <w:sz w:val="24"/>
          <w:szCs w:val="24"/>
          <w:shd w:val="clear" w:color="auto" w:fill="FFFFFF"/>
        </w:rPr>
        <w:t> </w:t>
      </w:r>
      <w:hyperlink r:id="rId10" w:history="1">
        <w:r w:rsidR="005E1C57" w:rsidRPr="009465B6">
          <w:rPr>
            <w:rStyle w:val="Hyperlink"/>
            <w:rFonts w:ascii="Arial" w:hAnsi="Arial" w:cs="Arial"/>
            <w:color w:val="262626" w:themeColor="text1" w:themeTint="D9"/>
            <w:sz w:val="24"/>
            <w:szCs w:val="24"/>
            <w:u w:val="none"/>
            <w:shd w:val="clear" w:color="auto" w:fill="FFFFFF"/>
          </w:rPr>
          <w:t xml:space="preserve"> </w:t>
        </w:r>
        <w:proofErr w:type="spellStart"/>
        <w:r w:rsidR="005E1C57" w:rsidRPr="009465B6">
          <w:rPr>
            <w:rStyle w:val="Hyperlink"/>
            <w:rFonts w:ascii="Arial" w:hAnsi="Arial" w:cs="Arial"/>
            <w:color w:val="262626" w:themeColor="text1" w:themeTint="D9"/>
            <w:sz w:val="24"/>
            <w:szCs w:val="24"/>
            <w:u w:val="none"/>
            <w:shd w:val="clear" w:color="auto" w:fill="FFFFFF"/>
          </w:rPr>
          <w:t>Daves</w:t>
        </w:r>
        <w:proofErr w:type="spellEnd"/>
      </w:hyperlink>
      <w:r w:rsidR="005E1C57" w:rsidRPr="009465B6">
        <w:rPr>
          <w:rFonts w:ascii="Arial" w:hAnsi="Arial" w:cs="Arial"/>
          <w:color w:val="262626" w:themeColor="text1" w:themeTint="D9"/>
          <w:sz w:val="24"/>
          <w:szCs w:val="24"/>
        </w:rPr>
        <w:t>, 2012)</w:t>
      </w:r>
      <w:r w:rsidRPr="009465B6">
        <w:rPr>
          <w:rFonts w:ascii="Arial" w:hAnsi="Arial" w:cs="Arial"/>
          <w:sz w:val="24"/>
          <w:szCs w:val="24"/>
        </w:rPr>
        <w:t xml:space="preserve">. </w:t>
      </w:r>
      <w:r w:rsidR="00B740DB" w:rsidRPr="009465B6">
        <w:rPr>
          <w:rFonts w:ascii="Arial" w:hAnsi="Arial" w:cs="Arial"/>
          <w:sz w:val="24"/>
          <w:szCs w:val="24"/>
        </w:rPr>
        <w:t xml:space="preserve">From the table and analysis of the ROCE of Jerry Plc, it is </w:t>
      </w:r>
      <w:r w:rsidR="00B740DB" w:rsidRPr="009465B6">
        <w:rPr>
          <w:rFonts w:ascii="Arial" w:hAnsi="Arial" w:cs="Arial"/>
          <w:sz w:val="24"/>
          <w:szCs w:val="24"/>
        </w:rPr>
        <w:lastRenderedPageBreak/>
        <w:t xml:space="preserve">found that ROCE of this company has waned in 2019. ROCE of </w:t>
      </w:r>
      <w:r w:rsidR="00C321B0" w:rsidRPr="009465B6">
        <w:rPr>
          <w:rFonts w:ascii="Arial" w:hAnsi="Arial" w:cs="Arial"/>
          <w:sz w:val="24"/>
          <w:szCs w:val="24"/>
        </w:rPr>
        <w:t xml:space="preserve">the </w:t>
      </w:r>
      <w:r w:rsidR="00B740DB" w:rsidRPr="009465B6">
        <w:rPr>
          <w:rFonts w:ascii="Arial" w:hAnsi="Arial" w:cs="Arial"/>
          <w:sz w:val="24"/>
          <w:szCs w:val="24"/>
        </w:rPr>
        <w:t xml:space="preserve">company was </w:t>
      </w:r>
      <w:r w:rsidR="00E355E4">
        <w:rPr>
          <w:rFonts w:ascii="Arial" w:hAnsi="Arial" w:cs="Arial"/>
          <w:sz w:val="24"/>
          <w:szCs w:val="24"/>
        </w:rPr>
        <w:t>13,91%</w:t>
      </w:r>
      <w:r w:rsidR="00B740DB" w:rsidRPr="009465B6">
        <w:rPr>
          <w:rFonts w:ascii="Arial" w:hAnsi="Arial" w:cs="Arial"/>
          <w:sz w:val="24"/>
          <w:szCs w:val="24"/>
        </w:rPr>
        <w:t xml:space="preserve"> in 2018 but it became </w:t>
      </w:r>
      <w:r w:rsidR="00E355E4">
        <w:rPr>
          <w:rFonts w:ascii="Arial" w:hAnsi="Arial" w:cs="Arial"/>
          <w:sz w:val="24"/>
          <w:szCs w:val="24"/>
        </w:rPr>
        <w:t>11,92%</w:t>
      </w:r>
      <w:r w:rsidR="00B740DB" w:rsidRPr="009465B6">
        <w:rPr>
          <w:rFonts w:ascii="Arial" w:hAnsi="Arial" w:cs="Arial"/>
          <w:sz w:val="24"/>
          <w:szCs w:val="24"/>
        </w:rPr>
        <w:t xml:space="preserve"> in 2019. It means the efficiency in the capital of Jerry Plc has plunged in 2019 that affected the ROCE negatively. </w:t>
      </w:r>
    </w:p>
    <w:p w14:paraId="00DA9C2D" w14:textId="5CBFC549"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ROE</w:t>
      </w:r>
      <w:r w:rsidR="002563BC">
        <w:rPr>
          <w:rFonts w:ascii="Arial" w:hAnsi="Arial" w:cs="Arial"/>
          <w:b/>
          <w:sz w:val="24"/>
          <w:szCs w:val="24"/>
        </w:rPr>
        <w:t xml:space="preserve"> – return on equity</w:t>
      </w:r>
    </w:p>
    <w:p w14:paraId="5DA614AE" w14:textId="7817F1A4" w:rsidR="001810DE" w:rsidRPr="009465B6" w:rsidRDefault="008A5178" w:rsidP="003278B3">
      <w:pPr>
        <w:spacing w:line="360" w:lineRule="auto"/>
        <w:jc w:val="both"/>
        <w:rPr>
          <w:rFonts w:ascii="Arial" w:hAnsi="Arial" w:cs="Arial"/>
          <w:sz w:val="24"/>
          <w:szCs w:val="24"/>
        </w:rPr>
      </w:pPr>
      <w:r w:rsidRPr="009465B6">
        <w:rPr>
          <w:rFonts w:ascii="Arial" w:hAnsi="Arial" w:cs="Arial"/>
          <w:sz w:val="24"/>
          <w:szCs w:val="24"/>
        </w:rPr>
        <w:t xml:space="preserve">It is used </w:t>
      </w:r>
      <w:r w:rsidR="00C321B0" w:rsidRPr="009465B6">
        <w:rPr>
          <w:rFonts w:ascii="Arial" w:hAnsi="Arial" w:cs="Arial"/>
          <w:sz w:val="24"/>
          <w:szCs w:val="24"/>
        </w:rPr>
        <w:t>as</w:t>
      </w:r>
      <w:r w:rsidRPr="009465B6">
        <w:rPr>
          <w:rFonts w:ascii="Arial" w:hAnsi="Arial" w:cs="Arial"/>
          <w:sz w:val="24"/>
          <w:szCs w:val="24"/>
        </w:rPr>
        <w:t xml:space="preserve"> a measure of the ability of the management for generating </w:t>
      </w:r>
      <w:r w:rsidR="00C321B0" w:rsidRPr="009465B6">
        <w:rPr>
          <w:rFonts w:ascii="Arial" w:hAnsi="Arial" w:cs="Arial"/>
          <w:sz w:val="24"/>
          <w:szCs w:val="24"/>
        </w:rPr>
        <w:t xml:space="preserve">a </w:t>
      </w:r>
      <w:r w:rsidRPr="009465B6">
        <w:rPr>
          <w:rFonts w:ascii="Arial" w:hAnsi="Arial" w:cs="Arial"/>
          <w:sz w:val="24"/>
          <w:szCs w:val="24"/>
        </w:rPr>
        <w:t xml:space="preserve">good amount of income from the equity available to the company. ROCE </w:t>
      </w:r>
      <w:r w:rsidR="009465B6" w:rsidRPr="009465B6">
        <w:rPr>
          <w:rFonts w:ascii="Arial" w:hAnsi="Arial" w:cs="Arial"/>
          <w:sz w:val="24"/>
          <w:szCs w:val="24"/>
        </w:rPr>
        <w:t>approx.</w:t>
      </w:r>
      <w:r w:rsidRPr="009465B6">
        <w:rPr>
          <w:rFonts w:ascii="Arial" w:hAnsi="Arial" w:cs="Arial"/>
          <w:sz w:val="24"/>
          <w:szCs w:val="24"/>
        </w:rPr>
        <w:t xml:space="preserve"> 15% to 20% can be said well for the company. Hence, ROE in </w:t>
      </w:r>
      <w:r w:rsidR="00C321B0" w:rsidRPr="009465B6">
        <w:rPr>
          <w:rFonts w:ascii="Arial" w:hAnsi="Arial" w:cs="Arial"/>
          <w:sz w:val="24"/>
          <w:szCs w:val="24"/>
        </w:rPr>
        <w:t xml:space="preserve">the </w:t>
      </w:r>
      <w:r w:rsidRPr="009465B6">
        <w:rPr>
          <w:rFonts w:ascii="Arial" w:hAnsi="Arial" w:cs="Arial"/>
          <w:sz w:val="24"/>
          <w:szCs w:val="24"/>
        </w:rPr>
        <w:t>context of Jerry Plc is was very effective in 2019 as it was 23% which indicates Management was quite efficient and able to manage the equity in a manner to improve the return and income</w:t>
      </w:r>
      <w:r w:rsidR="00263040" w:rsidRPr="009465B6">
        <w:rPr>
          <w:rFonts w:ascii="Arial" w:hAnsi="Arial" w:cs="Arial"/>
          <w:sz w:val="24"/>
          <w:szCs w:val="24"/>
        </w:rPr>
        <w:t xml:space="preserve"> (</w:t>
      </w:r>
      <w:hyperlink r:id="rId11" w:history="1">
        <w:r w:rsidR="00263040" w:rsidRPr="009465B6">
          <w:rPr>
            <w:rStyle w:val="Hyperlink"/>
            <w:rFonts w:ascii="Arial" w:hAnsi="Arial" w:cs="Arial"/>
            <w:color w:val="000000" w:themeColor="text1"/>
            <w:sz w:val="24"/>
            <w:szCs w:val="24"/>
            <w:u w:val="none"/>
          </w:rPr>
          <w:t>Warren</w:t>
        </w:r>
      </w:hyperlink>
      <w:r w:rsidR="00263040" w:rsidRPr="009465B6">
        <w:rPr>
          <w:rFonts w:ascii="Arial" w:hAnsi="Arial" w:cs="Arial"/>
          <w:sz w:val="24"/>
          <w:szCs w:val="24"/>
        </w:rPr>
        <w:t xml:space="preserve"> et al., 2011)</w:t>
      </w:r>
      <w:r w:rsidRPr="009465B6">
        <w:rPr>
          <w:rFonts w:ascii="Arial" w:hAnsi="Arial" w:cs="Arial"/>
          <w:sz w:val="24"/>
          <w:szCs w:val="24"/>
        </w:rPr>
        <w:t xml:space="preserve">. However, it fell off in 2019 by 14% which is defining reduction in the ability of the management and its efficiency to generate </w:t>
      </w:r>
      <w:r w:rsidR="00C321B0" w:rsidRPr="009465B6">
        <w:rPr>
          <w:rFonts w:ascii="Arial" w:hAnsi="Arial" w:cs="Arial"/>
          <w:sz w:val="24"/>
          <w:szCs w:val="24"/>
        </w:rPr>
        <w:t xml:space="preserve">a </w:t>
      </w:r>
      <w:r w:rsidRPr="009465B6">
        <w:rPr>
          <w:rFonts w:ascii="Arial" w:hAnsi="Arial" w:cs="Arial"/>
          <w:sz w:val="24"/>
          <w:szCs w:val="24"/>
        </w:rPr>
        <w:t xml:space="preserve">return on equity to improve the wealth to </w:t>
      </w:r>
      <w:r w:rsidR="00F06CDF" w:rsidRPr="009465B6">
        <w:rPr>
          <w:rFonts w:ascii="Arial" w:hAnsi="Arial" w:cs="Arial"/>
          <w:sz w:val="24"/>
          <w:szCs w:val="24"/>
        </w:rPr>
        <w:t>shareholders</w:t>
      </w:r>
      <w:r w:rsidRPr="009465B6">
        <w:rPr>
          <w:rFonts w:ascii="Arial" w:hAnsi="Arial" w:cs="Arial"/>
          <w:sz w:val="24"/>
          <w:szCs w:val="24"/>
        </w:rPr>
        <w:t xml:space="preserve">. </w:t>
      </w:r>
      <w:r w:rsidR="00F06CDF" w:rsidRPr="009465B6">
        <w:rPr>
          <w:rFonts w:ascii="Arial" w:hAnsi="Arial" w:cs="Arial"/>
          <w:sz w:val="24"/>
          <w:szCs w:val="24"/>
        </w:rPr>
        <w:t xml:space="preserve">It is gaining lesser income in 2019 compared to last year that influenced the </w:t>
      </w:r>
      <w:r w:rsidR="00ED7485" w:rsidRPr="009465B6">
        <w:rPr>
          <w:rFonts w:ascii="Arial" w:hAnsi="Arial" w:cs="Arial"/>
          <w:sz w:val="24"/>
          <w:szCs w:val="24"/>
        </w:rPr>
        <w:t xml:space="preserve">ROE of the firm. </w:t>
      </w:r>
    </w:p>
    <w:p w14:paraId="4774491A" w14:textId="6DDA69D3"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Gross Profit Margin</w:t>
      </w:r>
    </w:p>
    <w:p w14:paraId="53255358" w14:textId="77777777" w:rsidR="00BD008E" w:rsidRPr="009465B6" w:rsidRDefault="00BD008E" w:rsidP="003278B3">
      <w:pPr>
        <w:spacing w:line="360" w:lineRule="auto"/>
        <w:jc w:val="both"/>
        <w:rPr>
          <w:rFonts w:ascii="Arial" w:hAnsi="Arial" w:cs="Arial"/>
          <w:sz w:val="24"/>
          <w:szCs w:val="24"/>
        </w:rPr>
      </w:pPr>
      <w:r w:rsidRPr="009465B6">
        <w:rPr>
          <w:rFonts w:ascii="Arial" w:hAnsi="Arial" w:cs="Arial"/>
          <w:sz w:val="24"/>
          <w:szCs w:val="24"/>
        </w:rPr>
        <w:t xml:space="preserve">The profitability of the companies can be measured by using this ratio as it compares the health and profitability of the firm leftover sales revenue subtracting the cost of sales. </w:t>
      </w:r>
      <w:r w:rsidR="00E621CD" w:rsidRPr="009465B6">
        <w:rPr>
          <w:rFonts w:ascii="Arial" w:hAnsi="Arial" w:cs="Arial"/>
          <w:sz w:val="24"/>
          <w:szCs w:val="24"/>
        </w:rPr>
        <w:t>A higher gross margin may indicate the ability of the firms for retaining higher capital and to improve the wealth of shareholders.</w:t>
      </w:r>
      <w:r w:rsidR="00263040" w:rsidRPr="009465B6">
        <w:rPr>
          <w:rFonts w:ascii="Arial" w:hAnsi="Arial" w:cs="Arial"/>
          <w:sz w:val="24"/>
          <w:szCs w:val="24"/>
        </w:rPr>
        <w:t xml:space="preserve"> (Robinson et al., 2015)</w:t>
      </w:r>
      <w:r w:rsidR="00E621CD" w:rsidRPr="009465B6">
        <w:rPr>
          <w:rFonts w:ascii="Arial" w:hAnsi="Arial" w:cs="Arial"/>
          <w:sz w:val="24"/>
          <w:szCs w:val="24"/>
        </w:rPr>
        <w:t xml:space="preserve"> </w:t>
      </w:r>
      <w:r w:rsidR="00C321B0" w:rsidRPr="009465B6">
        <w:rPr>
          <w:rFonts w:ascii="Arial" w:hAnsi="Arial" w:cs="Arial"/>
          <w:sz w:val="24"/>
          <w:szCs w:val="24"/>
        </w:rPr>
        <w:t>The g</w:t>
      </w:r>
      <w:r w:rsidR="004A7759" w:rsidRPr="009465B6">
        <w:rPr>
          <w:rFonts w:ascii="Arial" w:hAnsi="Arial" w:cs="Arial"/>
          <w:sz w:val="24"/>
          <w:szCs w:val="24"/>
        </w:rPr>
        <w:t xml:space="preserve">ross margin of Jerry Plc is </w:t>
      </w:r>
      <w:r w:rsidR="00C321B0" w:rsidRPr="009465B6">
        <w:rPr>
          <w:rFonts w:ascii="Arial" w:hAnsi="Arial" w:cs="Arial"/>
          <w:sz w:val="24"/>
          <w:szCs w:val="24"/>
        </w:rPr>
        <w:t xml:space="preserve">the </w:t>
      </w:r>
      <w:r w:rsidR="004A7759" w:rsidRPr="009465B6">
        <w:rPr>
          <w:rFonts w:ascii="Arial" w:hAnsi="Arial" w:cs="Arial"/>
          <w:sz w:val="24"/>
          <w:szCs w:val="24"/>
        </w:rPr>
        <w:t xml:space="preserve">same in two years. It was 38% in both 2018 as well as in 2019. However, there is </w:t>
      </w:r>
      <w:r w:rsidR="00C321B0" w:rsidRPr="009465B6">
        <w:rPr>
          <w:rFonts w:ascii="Arial" w:hAnsi="Arial" w:cs="Arial"/>
          <w:sz w:val="24"/>
          <w:szCs w:val="24"/>
        </w:rPr>
        <w:t xml:space="preserve">a </w:t>
      </w:r>
      <w:r w:rsidR="004A7759" w:rsidRPr="009465B6">
        <w:rPr>
          <w:rFonts w:ascii="Arial" w:hAnsi="Arial" w:cs="Arial"/>
          <w:sz w:val="24"/>
          <w:szCs w:val="24"/>
        </w:rPr>
        <w:t xml:space="preserve">very slight difference. It was 38.39% in 2018 but lessened </w:t>
      </w:r>
      <w:r w:rsidR="00C321B0" w:rsidRPr="009465B6">
        <w:rPr>
          <w:rFonts w:ascii="Arial" w:hAnsi="Arial" w:cs="Arial"/>
          <w:sz w:val="24"/>
          <w:szCs w:val="24"/>
        </w:rPr>
        <w:t>by</w:t>
      </w:r>
      <w:r w:rsidR="004A7759" w:rsidRPr="009465B6">
        <w:rPr>
          <w:rFonts w:ascii="Arial" w:hAnsi="Arial" w:cs="Arial"/>
          <w:sz w:val="24"/>
          <w:szCs w:val="24"/>
        </w:rPr>
        <w:t xml:space="preserve"> 38.26% </w:t>
      </w:r>
      <w:r w:rsidR="00C31D4B" w:rsidRPr="009465B6">
        <w:rPr>
          <w:rFonts w:ascii="Arial" w:hAnsi="Arial" w:cs="Arial"/>
          <w:sz w:val="24"/>
          <w:szCs w:val="24"/>
        </w:rPr>
        <w:t xml:space="preserve">in 2019. This may indicate inefficiency in the operation which has increased the cost of sales of the firm. </w:t>
      </w:r>
    </w:p>
    <w:p w14:paraId="59FB3C32" w14:textId="662328A0"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Asset Turnover</w:t>
      </w:r>
    </w:p>
    <w:p w14:paraId="16413337" w14:textId="77777777" w:rsidR="00837E27" w:rsidRPr="009465B6" w:rsidRDefault="00F07A02" w:rsidP="003278B3">
      <w:pPr>
        <w:spacing w:line="360" w:lineRule="auto"/>
        <w:jc w:val="both"/>
        <w:rPr>
          <w:rFonts w:ascii="Arial" w:hAnsi="Arial" w:cs="Arial"/>
          <w:sz w:val="24"/>
          <w:szCs w:val="24"/>
        </w:rPr>
      </w:pPr>
      <w:r w:rsidRPr="009465B6">
        <w:rPr>
          <w:rFonts w:ascii="Arial" w:hAnsi="Arial" w:cs="Arial"/>
          <w:sz w:val="24"/>
          <w:szCs w:val="24"/>
        </w:rPr>
        <w:t xml:space="preserve">It is </w:t>
      </w:r>
      <w:r w:rsidR="00C321B0" w:rsidRPr="009465B6">
        <w:rPr>
          <w:rFonts w:ascii="Arial" w:hAnsi="Arial" w:cs="Arial"/>
          <w:sz w:val="24"/>
          <w:szCs w:val="24"/>
        </w:rPr>
        <w:t xml:space="preserve">the </w:t>
      </w:r>
      <w:r w:rsidRPr="009465B6">
        <w:rPr>
          <w:rFonts w:ascii="Arial" w:hAnsi="Arial" w:cs="Arial"/>
          <w:sz w:val="24"/>
          <w:szCs w:val="24"/>
        </w:rPr>
        <w:t xml:space="preserve">ratio of total sales to the assets of the firm. This is an important ration for measuring the financial performance and the investors may understand how effectively the firms are using the available assets for increasing </w:t>
      </w:r>
      <w:r w:rsidR="00837E27" w:rsidRPr="009465B6">
        <w:rPr>
          <w:rFonts w:ascii="Arial" w:hAnsi="Arial" w:cs="Arial"/>
          <w:sz w:val="24"/>
          <w:szCs w:val="24"/>
        </w:rPr>
        <w:t>t</w:t>
      </w:r>
      <w:r w:rsidRPr="009465B6">
        <w:rPr>
          <w:rFonts w:ascii="Arial" w:hAnsi="Arial" w:cs="Arial"/>
          <w:sz w:val="24"/>
          <w:szCs w:val="24"/>
        </w:rPr>
        <w:t xml:space="preserve">he sales. </w:t>
      </w:r>
      <w:r w:rsidR="00837E27" w:rsidRPr="009465B6">
        <w:rPr>
          <w:rFonts w:ascii="Arial" w:hAnsi="Arial" w:cs="Arial"/>
          <w:sz w:val="24"/>
          <w:szCs w:val="24"/>
        </w:rPr>
        <w:t xml:space="preserve">The ratio of one company can be compared to </w:t>
      </w:r>
      <w:r w:rsidR="00C321B0" w:rsidRPr="009465B6">
        <w:rPr>
          <w:rFonts w:ascii="Arial" w:hAnsi="Arial" w:cs="Arial"/>
          <w:sz w:val="24"/>
          <w:szCs w:val="24"/>
        </w:rPr>
        <w:t xml:space="preserve">the </w:t>
      </w:r>
      <w:r w:rsidR="00837E27" w:rsidRPr="009465B6">
        <w:rPr>
          <w:rFonts w:ascii="Arial" w:hAnsi="Arial" w:cs="Arial"/>
          <w:sz w:val="24"/>
          <w:szCs w:val="24"/>
        </w:rPr>
        <w:t>same ratio of other compan</w:t>
      </w:r>
      <w:r w:rsidR="00C321B0" w:rsidRPr="009465B6">
        <w:rPr>
          <w:rFonts w:ascii="Arial" w:hAnsi="Arial" w:cs="Arial"/>
          <w:sz w:val="24"/>
          <w:szCs w:val="24"/>
        </w:rPr>
        <w:t>ies</w:t>
      </w:r>
      <w:r w:rsidR="00837E27" w:rsidRPr="009465B6">
        <w:rPr>
          <w:rFonts w:ascii="Arial" w:hAnsi="Arial" w:cs="Arial"/>
          <w:sz w:val="24"/>
          <w:szCs w:val="24"/>
        </w:rPr>
        <w:t xml:space="preserve"> for finding the best one using assets optimally to improve the income and sales</w:t>
      </w:r>
      <w:r w:rsidR="00263040" w:rsidRPr="009465B6">
        <w:rPr>
          <w:rFonts w:ascii="Arial" w:hAnsi="Arial" w:cs="Arial"/>
          <w:sz w:val="24"/>
          <w:szCs w:val="24"/>
        </w:rPr>
        <w:t xml:space="preserve"> (</w:t>
      </w:r>
      <w:r w:rsidR="00263040" w:rsidRPr="009465B6">
        <w:rPr>
          <w:rFonts w:ascii="Arial" w:hAnsi="Arial" w:cs="Arial"/>
          <w:color w:val="222222"/>
          <w:sz w:val="24"/>
          <w:szCs w:val="24"/>
          <w:shd w:val="clear" w:color="auto" w:fill="FFFFFF"/>
        </w:rPr>
        <w:t xml:space="preserve">Brigham and Houston, </w:t>
      </w:r>
      <w:r w:rsidR="00263040" w:rsidRPr="009465B6">
        <w:rPr>
          <w:rFonts w:ascii="Arial" w:hAnsi="Arial" w:cs="Arial"/>
          <w:color w:val="222222"/>
          <w:sz w:val="24"/>
          <w:szCs w:val="24"/>
          <w:shd w:val="clear" w:color="auto" w:fill="FFFFFF"/>
        </w:rPr>
        <w:lastRenderedPageBreak/>
        <w:t>2012)</w:t>
      </w:r>
      <w:r w:rsidR="00837E27" w:rsidRPr="009465B6">
        <w:rPr>
          <w:rFonts w:ascii="Arial" w:hAnsi="Arial" w:cs="Arial"/>
          <w:sz w:val="24"/>
          <w:szCs w:val="24"/>
        </w:rPr>
        <w:t xml:space="preserve">. </w:t>
      </w:r>
      <w:r w:rsidR="00B529DE" w:rsidRPr="009465B6">
        <w:rPr>
          <w:rFonts w:ascii="Arial" w:hAnsi="Arial" w:cs="Arial"/>
          <w:sz w:val="24"/>
          <w:szCs w:val="24"/>
        </w:rPr>
        <w:t xml:space="preserve">ATR for Jerry Plc in 2018 was 1.657 and it became 1.752 in 2019 which indicates good efficiency of management to use the assets in </w:t>
      </w:r>
      <w:r w:rsidR="00C321B0" w:rsidRPr="009465B6">
        <w:rPr>
          <w:rFonts w:ascii="Arial" w:hAnsi="Arial" w:cs="Arial"/>
          <w:sz w:val="24"/>
          <w:szCs w:val="24"/>
        </w:rPr>
        <w:t xml:space="preserve">an </w:t>
      </w:r>
      <w:r w:rsidR="00B529DE" w:rsidRPr="009465B6">
        <w:rPr>
          <w:rFonts w:ascii="Arial" w:hAnsi="Arial" w:cs="Arial"/>
          <w:sz w:val="24"/>
          <w:szCs w:val="24"/>
        </w:rPr>
        <w:t xml:space="preserve">effective manner. </w:t>
      </w:r>
    </w:p>
    <w:p w14:paraId="5E5691C8" w14:textId="6A309DD0"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Stock Holding Period</w:t>
      </w:r>
    </w:p>
    <w:p w14:paraId="3A238677" w14:textId="77777777" w:rsidR="003278B3" w:rsidRPr="009465B6" w:rsidRDefault="003278B3" w:rsidP="003278B3">
      <w:pPr>
        <w:spacing w:line="360" w:lineRule="auto"/>
        <w:jc w:val="both"/>
        <w:rPr>
          <w:rFonts w:ascii="Arial" w:hAnsi="Arial" w:cs="Arial"/>
          <w:sz w:val="24"/>
          <w:szCs w:val="24"/>
        </w:rPr>
      </w:pPr>
      <w:r w:rsidRPr="009465B6">
        <w:rPr>
          <w:rFonts w:ascii="Arial" w:hAnsi="Arial" w:cs="Arial"/>
          <w:sz w:val="24"/>
          <w:szCs w:val="24"/>
        </w:rPr>
        <w:t>The stock holding period can be defined as the time</w:t>
      </w:r>
      <w:r w:rsidR="004204A9" w:rsidRPr="009465B6">
        <w:rPr>
          <w:rFonts w:ascii="Arial" w:hAnsi="Arial" w:cs="Arial"/>
          <w:sz w:val="24"/>
          <w:szCs w:val="24"/>
        </w:rPr>
        <w:t xml:space="preserve"> between the acquisition and procurement of the material and sales of the products. It may aid to measure the number of days during that the inventory is held by the firms. The inventory is divided by the cost of the sales for finding the inventory turnover. Hence, Jerry Plc has improved its efficiency to use the inventory in </w:t>
      </w:r>
      <w:r w:rsidR="00C321B0" w:rsidRPr="009465B6">
        <w:rPr>
          <w:rFonts w:ascii="Arial" w:hAnsi="Arial" w:cs="Arial"/>
          <w:sz w:val="24"/>
          <w:szCs w:val="24"/>
        </w:rPr>
        <w:t xml:space="preserve">an </w:t>
      </w:r>
      <w:r w:rsidR="004204A9" w:rsidRPr="009465B6">
        <w:rPr>
          <w:rFonts w:ascii="Arial" w:hAnsi="Arial" w:cs="Arial"/>
          <w:sz w:val="24"/>
          <w:szCs w:val="24"/>
        </w:rPr>
        <w:t>effective manner for generating higher sales</w:t>
      </w:r>
      <w:r w:rsidR="00263040" w:rsidRPr="009465B6">
        <w:rPr>
          <w:rFonts w:ascii="Arial" w:hAnsi="Arial" w:cs="Arial"/>
          <w:sz w:val="24"/>
          <w:szCs w:val="24"/>
        </w:rPr>
        <w:t xml:space="preserve"> (</w:t>
      </w:r>
      <w:r w:rsidR="00263040" w:rsidRPr="009465B6">
        <w:rPr>
          <w:rFonts w:ascii="Arial" w:hAnsi="Arial" w:cs="Arial"/>
          <w:color w:val="000000"/>
          <w:sz w:val="24"/>
          <w:szCs w:val="24"/>
        </w:rPr>
        <w:t>Martin and Alvarez, 2011)</w:t>
      </w:r>
      <w:r w:rsidR="004204A9" w:rsidRPr="009465B6">
        <w:rPr>
          <w:rFonts w:ascii="Arial" w:hAnsi="Arial" w:cs="Arial"/>
          <w:sz w:val="24"/>
          <w:szCs w:val="24"/>
        </w:rPr>
        <w:t>. The period for holding stock in Jerry Plc was 50 day</w:t>
      </w:r>
      <w:r w:rsidR="00C321B0" w:rsidRPr="009465B6">
        <w:rPr>
          <w:rFonts w:ascii="Arial" w:hAnsi="Arial" w:cs="Arial"/>
          <w:sz w:val="24"/>
          <w:szCs w:val="24"/>
        </w:rPr>
        <w:t>s</w:t>
      </w:r>
      <w:r w:rsidR="004204A9" w:rsidRPr="009465B6">
        <w:rPr>
          <w:rFonts w:ascii="Arial" w:hAnsi="Arial" w:cs="Arial"/>
          <w:sz w:val="24"/>
          <w:szCs w:val="24"/>
        </w:rPr>
        <w:t xml:space="preserve"> in 2018 but it decreased in 2019 by 46 days which indicates efficiency in the company to replenish the inventory more frequently. </w:t>
      </w:r>
      <w:r w:rsidR="002B3E1F" w:rsidRPr="009465B6">
        <w:rPr>
          <w:rFonts w:ascii="Arial" w:hAnsi="Arial" w:cs="Arial"/>
          <w:sz w:val="24"/>
          <w:szCs w:val="24"/>
        </w:rPr>
        <w:t xml:space="preserve">Lower the period for holding stock in the company may improve the attractiveness of the firm and may improve the sales of the firm. </w:t>
      </w:r>
    </w:p>
    <w:p w14:paraId="7FEA50C7" w14:textId="7F4A8DD8" w:rsidR="00FD7781" w:rsidRPr="009465B6" w:rsidRDefault="00FD7781" w:rsidP="003278B3">
      <w:pPr>
        <w:spacing w:line="360" w:lineRule="auto"/>
        <w:jc w:val="both"/>
        <w:rPr>
          <w:rFonts w:ascii="Arial" w:hAnsi="Arial" w:cs="Arial"/>
          <w:sz w:val="24"/>
          <w:szCs w:val="24"/>
        </w:rPr>
      </w:pPr>
      <w:r w:rsidRPr="009465B6">
        <w:rPr>
          <w:rFonts w:ascii="Arial" w:hAnsi="Arial" w:cs="Arial"/>
          <w:b/>
          <w:sz w:val="24"/>
          <w:szCs w:val="24"/>
        </w:rPr>
        <w:t>Debtors’ Collection Period</w:t>
      </w:r>
    </w:p>
    <w:p w14:paraId="5B29E26B" w14:textId="236767E4" w:rsidR="001F0B53" w:rsidRPr="009465B6" w:rsidRDefault="00725AE2" w:rsidP="003278B3">
      <w:pPr>
        <w:spacing w:line="360" w:lineRule="auto"/>
        <w:jc w:val="both"/>
        <w:rPr>
          <w:rFonts w:ascii="Arial" w:hAnsi="Arial" w:cs="Arial"/>
          <w:sz w:val="24"/>
          <w:szCs w:val="24"/>
        </w:rPr>
      </w:pPr>
      <w:r w:rsidRPr="009465B6">
        <w:rPr>
          <w:rFonts w:ascii="Arial" w:hAnsi="Arial" w:cs="Arial"/>
          <w:sz w:val="24"/>
          <w:szCs w:val="24"/>
        </w:rPr>
        <w:t xml:space="preserve">This is a ratio </w:t>
      </w:r>
      <w:r w:rsidR="00C321B0" w:rsidRPr="009465B6">
        <w:rPr>
          <w:rFonts w:ascii="Arial" w:hAnsi="Arial" w:cs="Arial"/>
          <w:sz w:val="24"/>
          <w:szCs w:val="24"/>
        </w:rPr>
        <w:t>that</w:t>
      </w:r>
      <w:r w:rsidRPr="009465B6">
        <w:rPr>
          <w:rFonts w:ascii="Arial" w:hAnsi="Arial" w:cs="Arial"/>
          <w:sz w:val="24"/>
          <w:szCs w:val="24"/>
        </w:rPr>
        <w:t xml:space="preserve"> measures the amount of time it is taking for </w:t>
      </w:r>
      <w:r w:rsidR="00C321B0" w:rsidRPr="009465B6">
        <w:rPr>
          <w:rFonts w:ascii="Arial" w:hAnsi="Arial" w:cs="Arial"/>
          <w:sz w:val="24"/>
          <w:szCs w:val="24"/>
        </w:rPr>
        <w:t xml:space="preserve">the </w:t>
      </w:r>
      <w:r w:rsidRPr="009465B6">
        <w:rPr>
          <w:rFonts w:ascii="Arial" w:hAnsi="Arial" w:cs="Arial"/>
          <w:sz w:val="24"/>
          <w:szCs w:val="24"/>
        </w:rPr>
        <w:t xml:space="preserve">collection of all the trade debts. </w:t>
      </w:r>
      <w:r w:rsidR="00C321B0" w:rsidRPr="009465B6">
        <w:rPr>
          <w:rFonts w:ascii="Arial" w:hAnsi="Arial" w:cs="Arial"/>
          <w:sz w:val="24"/>
          <w:szCs w:val="24"/>
        </w:rPr>
        <w:t>A s</w:t>
      </w:r>
      <w:r w:rsidR="006E57AD" w:rsidRPr="009465B6">
        <w:rPr>
          <w:rFonts w:ascii="Arial" w:hAnsi="Arial" w:cs="Arial"/>
          <w:sz w:val="24"/>
          <w:szCs w:val="24"/>
        </w:rPr>
        <w:t xml:space="preserve">mall number of days for the collection of debts may demonstrate the efficiency in the management and </w:t>
      </w:r>
      <w:r w:rsidR="009465B6" w:rsidRPr="009465B6">
        <w:rPr>
          <w:rFonts w:ascii="Arial" w:hAnsi="Arial" w:cs="Arial"/>
          <w:sz w:val="24"/>
          <w:szCs w:val="24"/>
        </w:rPr>
        <w:t>vice versa</w:t>
      </w:r>
      <w:r w:rsidR="006E57AD" w:rsidRPr="009465B6">
        <w:rPr>
          <w:rFonts w:ascii="Arial" w:hAnsi="Arial" w:cs="Arial"/>
          <w:sz w:val="24"/>
          <w:szCs w:val="24"/>
        </w:rPr>
        <w:t xml:space="preserve">. Trade debtor’s collection time or period might be computed by dividing the trade receivables by sales. Hence, it is found that the debtor’s period in 2018 was </w:t>
      </w:r>
      <w:r w:rsidR="00E355E4">
        <w:rPr>
          <w:rFonts w:ascii="Arial" w:hAnsi="Arial" w:cs="Arial"/>
          <w:sz w:val="24"/>
          <w:szCs w:val="24"/>
        </w:rPr>
        <w:t>86</w:t>
      </w:r>
      <w:r w:rsidR="006E57AD" w:rsidRPr="009465B6">
        <w:rPr>
          <w:rFonts w:ascii="Arial" w:hAnsi="Arial" w:cs="Arial"/>
          <w:sz w:val="24"/>
          <w:szCs w:val="24"/>
        </w:rPr>
        <w:t xml:space="preserve"> days but it </w:t>
      </w:r>
      <w:r w:rsidR="00E355E4">
        <w:rPr>
          <w:rFonts w:ascii="Arial" w:hAnsi="Arial" w:cs="Arial"/>
          <w:sz w:val="24"/>
          <w:szCs w:val="24"/>
        </w:rPr>
        <w:t>de</w:t>
      </w:r>
      <w:r w:rsidR="006E57AD" w:rsidRPr="009465B6">
        <w:rPr>
          <w:rFonts w:ascii="Arial" w:hAnsi="Arial" w:cs="Arial"/>
          <w:sz w:val="24"/>
          <w:szCs w:val="24"/>
        </w:rPr>
        <w:t xml:space="preserve">creased in 2019 and became </w:t>
      </w:r>
      <w:r w:rsidR="00E355E4">
        <w:rPr>
          <w:rFonts w:ascii="Arial" w:hAnsi="Arial" w:cs="Arial"/>
          <w:sz w:val="24"/>
          <w:szCs w:val="24"/>
        </w:rPr>
        <w:t>84</w:t>
      </w:r>
      <w:r w:rsidR="006E57AD" w:rsidRPr="009465B6">
        <w:rPr>
          <w:rFonts w:ascii="Arial" w:hAnsi="Arial" w:cs="Arial"/>
          <w:sz w:val="24"/>
          <w:szCs w:val="24"/>
        </w:rPr>
        <w:t xml:space="preserve"> days. The efficiency in Jerry Plc declined during 2019 that led </w:t>
      </w:r>
      <w:r w:rsidR="00C321B0" w:rsidRPr="009465B6">
        <w:rPr>
          <w:rFonts w:ascii="Arial" w:hAnsi="Arial" w:cs="Arial"/>
          <w:sz w:val="24"/>
          <w:szCs w:val="24"/>
        </w:rPr>
        <w:t xml:space="preserve">to the </w:t>
      </w:r>
      <w:r w:rsidR="006E57AD" w:rsidRPr="009465B6">
        <w:rPr>
          <w:rFonts w:ascii="Arial" w:hAnsi="Arial" w:cs="Arial"/>
          <w:sz w:val="24"/>
          <w:szCs w:val="24"/>
        </w:rPr>
        <w:t xml:space="preserve">increase in the period </w:t>
      </w:r>
      <w:r w:rsidR="004C7E14" w:rsidRPr="009465B6">
        <w:rPr>
          <w:rFonts w:ascii="Arial" w:hAnsi="Arial" w:cs="Arial"/>
          <w:sz w:val="24"/>
          <w:szCs w:val="24"/>
        </w:rPr>
        <w:t xml:space="preserve">for collection of receivables. </w:t>
      </w:r>
    </w:p>
    <w:p w14:paraId="70E01416" w14:textId="4B7FC237"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Current Ratio</w:t>
      </w:r>
    </w:p>
    <w:p w14:paraId="5F6F7B70" w14:textId="77777777" w:rsidR="009B13AD" w:rsidRPr="009465B6" w:rsidRDefault="009B13AD" w:rsidP="003278B3">
      <w:pPr>
        <w:spacing w:line="360" w:lineRule="auto"/>
        <w:jc w:val="both"/>
        <w:rPr>
          <w:rFonts w:ascii="Arial" w:hAnsi="Arial" w:cs="Arial"/>
          <w:sz w:val="24"/>
          <w:szCs w:val="24"/>
        </w:rPr>
      </w:pPr>
      <w:r w:rsidRPr="009465B6">
        <w:rPr>
          <w:rFonts w:ascii="Arial" w:hAnsi="Arial" w:cs="Arial"/>
          <w:sz w:val="24"/>
          <w:szCs w:val="24"/>
        </w:rPr>
        <w:t xml:space="preserve">A ratio </w:t>
      </w:r>
      <w:r w:rsidR="00C321B0" w:rsidRPr="009465B6">
        <w:rPr>
          <w:rFonts w:ascii="Arial" w:hAnsi="Arial" w:cs="Arial"/>
          <w:sz w:val="24"/>
          <w:szCs w:val="24"/>
        </w:rPr>
        <w:t>that</w:t>
      </w:r>
      <w:r w:rsidRPr="009465B6">
        <w:rPr>
          <w:rFonts w:ascii="Arial" w:hAnsi="Arial" w:cs="Arial"/>
          <w:sz w:val="24"/>
          <w:szCs w:val="24"/>
        </w:rPr>
        <w:t xml:space="preserve"> is applied for assessing the relationship of the current assets of the enterprise with the current liabilities in the firms may be stated as the current ratio. This ratio can be helpful in Jerry Plc for measuring its efficiency and ability to meet the obligation and liabilities in </w:t>
      </w:r>
      <w:r w:rsidR="00C321B0" w:rsidRPr="009465B6">
        <w:rPr>
          <w:rFonts w:ascii="Arial" w:hAnsi="Arial" w:cs="Arial"/>
          <w:sz w:val="24"/>
          <w:szCs w:val="24"/>
        </w:rPr>
        <w:t xml:space="preserve">the </w:t>
      </w:r>
      <w:r w:rsidRPr="009465B6">
        <w:rPr>
          <w:rFonts w:ascii="Arial" w:hAnsi="Arial" w:cs="Arial"/>
          <w:sz w:val="24"/>
          <w:szCs w:val="24"/>
        </w:rPr>
        <w:t xml:space="preserve">short run. </w:t>
      </w:r>
      <w:r w:rsidR="00716C3F" w:rsidRPr="009465B6">
        <w:rPr>
          <w:rFonts w:ascii="Arial" w:hAnsi="Arial" w:cs="Arial"/>
          <w:sz w:val="24"/>
          <w:szCs w:val="24"/>
        </w:rPr>
        <w:t xml:space="preserve">The current assets of Jerry Plc can be divided by Jerry Plc’s current liabilities for finding </w:t>
      </w:r>
      <w:r w:rsidR="00C321B0" w:rsidRPr="009465B6">
        <w:rPr>
          <w:rFonts w:ascii="Arial" w:hAnsi="Arial" w:cs="Arial"/>
          <w:sz w:val="24"/>
          <w:szCs w:val="24"/>
        </w:rPr>
        <w:t xml:space="preserve">the </w:t>
      </w:r>
      <w:r w:rsidR="00716C3F" w:rsidRPr="009465B6">
        <w:rPr>
          <w:rFonts w:ascii="Arial" w:hAnsi="Arial" w:cs="Arial"/>
          <w:sz w:val="24"/>
          <w:szCs w:val="24"/>
        </w:rPr>
        <w:t>current ratio</w:t>
      </w:r>
      <w:r w:rsidR="00263040" w:rsidRPr="009465B6">
        <w:rPr>
          <w:rFonts w:ascii="Arial" w:hAnsi="Arial" w:cs="Arial"/>
          <w:sz w:val="24"/>
          <w:szCs w:val="24"/>
        </w:rPr>
        <w:t xml:space="preserve"> (</w:t>
      </w:r>
      <w:proofErr w:type="spellStart"/>
      <w:r w:rsidR="00263040" w:rsidRPr="009465B6">
        <w:rPr>
          <w:rFonts w:ascii="Arial" w:hAnsi="Arial" w:cs="Arial"/>
          <w:sz w:val="24"/>
          <w:szCs w:val="24"/>
        </w:rPr>
        <w:t>Weetman</w:t>
      </w:r>
      <w:proofErr w:type="spellEnd"/>
      <w:r w:rsidR="00263040" w:rsidRPr="009465B6">
        <w:rPr>
          <w:rFonts w:ascii="Arial" w:hAnsi="Arial" w:cs="Arial"/>
          <w:sz w:val="24"/>
          <w:szCs w:val="24"/>
        </w:rPr>
        <w:t>, 2013)</w:t>
      </w:r>
      <w:r w:rsidR="00716C3F" w:rsidRPr="009465B6">
        <w:rPr>
          <w:rFonts w:ascii="Arial" w:hAnsi="Arial" w:cs="Arial"/>
          <w:sz w:val="24"/>
          <w:szCs w:val="24"/>
        </w:rPr>
        <w:t xml:space="preserve">. </w:t>
      </w:r>
      <w:r w:rsidR="00A235D2" w:rsidRPr="009465B6">
        <w:rPr>
          <w:rFonts w:ascii="Arial" w:hAnsi="Arial" w:cs="Arial"/>
          <w:sz w:val="24"/>
          <w:szCs w:val="24"/>
        </w:rPr>
        <w:t>Jerry Plc’s current ratio i</w:t>
      </w:r>
      <w:r w:rsidR="00C321B0" w:rsidRPr="009465B6">
        <w:rPr>
          <w:rFonts w:ascii="Arial" w:hAnsi="Arial" w:cs="Arial"/>
          <w:sz w:val="24"/>
          <w:szCs w:val="24"/>
        </w:rPr>
        <w:t>s</w:t>
      </w:r>
      <w:r w:rsidR="00A235D2" w:rsidRPr="009465B6">
        <w:rPr>
          <w:rFonts w:ascii="Arial" w:hAnsi="Arial" w:cs="Arial"/>
          <w:sz w:val="24"/>
          <w:szCs w:val="24"/>
        </w:rPr>
        <w:t xml:space="preserve"> 2018 is 1.05 but it reduced in 2019 by 1.02. It means Jerry Plc lost its </w:t>
      </w:r>
      <w:r w:rsidR="00A235D2" w:rsidRPr="009465B6">
        <w:rPr>
          <w:rFonts w:ascii="Arial" w:hAnsi="Arial" w:cs="Arial"/>
          <w:sz w:val="24"/>
          <w:szCs w:val="24"/>
        </w:rPr>
        <w:lastRenderedPageBreak/>
        <w:t xml:space="preserve">ability to pay out the liabilities in 2019 because the current asset became lesser in comparison to the current liabilities in 2019 than last year. </w:t>
      </w:r>
    </w:p>
    <w:p w14:paraId="52DF63CF" w14:textId="1E1FF827"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Gearing Ratio</w:t>
      </w:r>
    </w:p>
    <w:p w14:paraId="5F04DA28" w14:textId="06038F88" w:rsidR="007E4A60" w:rsidRPr="009465B6" w:rsidRDefault="007E4A60" w:rsidP="003278B3">
      <w:pPr>
        <w:spacing w:line="360" w:lineRule="auto"/>
        <w:jc w:val="both"/>
        <w:rPr>
          <w:rFonts w:ascii="Arial" w:hAnsi="Arial" w:cs="Arial"/>
          <w:sz w:val="24"/>
          <w:szCs w:val="24"/>
        </w:rPr>
      </w:pPr>
      <w:r w:rsidRPr="009465B6">
        <w:rPr>
          <w:rFonts w:ascii="Arial" w:hAnsi="Arial" w:cs="Arial"/>
          <w:sz w:val="24"/>
          <w:szCs w:val="24"/>
        </w:rPr>
        <w:t xml:space="preserve">The equity of the firm and debt are two important sources that are used for raising the fund in the entity. The relationship of the total debt can be compared to the total equity of the firm for determining </w:t>
      </w:r>
      <w:r w:rsidR="00C321B0" w:rsidRPr="009465B6">
        <w:rPr>
          <w:rFonts w:ascii="Arial" w:hAnsi="Arial" w:cs="Arial"/>
          <w:sz w:val="24"/>
          <w:szCs w:val="24"/>
        </w:rPr>
        <w:t xml:space="preserve">the </w:t>
      </w:r>
      <w:r w:rsidRPr="009465B6">
        <w:rPr>
          <w:rFonts w:ascii="Arial" w:hAnsi="Arial" w:cs="Arial"/>
          <w:sz w:val="24"/>
          <w:szCs w:val="24"/>
        </w:rPr>
        <w:t xml:space="preserve">gearing ratio. </w:t>
      </w:r>
      <w:r w:rsidR="00C321B0" w:rsidRPr="009465B6">
        <w:rPr>
          <w:rFonts w:ascii="Arial" w:hAnsi="Arial" w:cs="Arial"/>
          <w:sz w:val="24"/>
          <w:szCs w:val="24"/>
        </w:rPr>
        <w:t>A h</w:t>
      </w:r>
      <w:r w:rsidRPr="009465B6">
        <w:rPr>
          <w:rFonts w:ascii="Arial" w:hAnsi="Arial" w:cs="Arial"/>
          <w:sz w:val="24"/>
          <w:szCs w:val="24"/>
        </w:rPr>
        <w:t xml:space="preserve">igher gearing ratio may be undertaken as </w:t>
      </w:r>
      <w:r w:rsidR="00C321B0" w:rsidRPr="009465B6">
        <w:rPr>
          <w:rFonts w:ascii="Arial" w:hAnsi="Arial" w:cs="Arial"/>
          <w:sz w:val="24"/>
          <w:szCs w:val="24"/>
        </w:rPr>
        <w:t xml:space="preserve">a </w:t>
      </w:r>
      <w:r w:rsidRPr="009465B6">
        <w:rPr>
          <w:rFonts w:ascii="Arial" w:hAnsi="Arial" w:cs="Arial"/>
          <w:sz w:val="24"/>
          <w:szCs w:val="24"/>
        </w:rPr>
        <w:t>decease inefficiency and creditworthiness of the entity because of higher debts owed to the company</w:t>
      </w:r>
      <w:r w:rsidR="00263040" w:rsidRPr="009465B6">
        <w:rPr>
          <w:rFonts w:ascii="Arial" w:hAnsi="Arial" w:cs="Arial"/>
          <w:sz w:val="24"/>
          <w:szCs w:val="24"/>
        </w:rPr>
        <w:t xml:space="preserve"> (</w:t>
      </w:r>
      <w:r w:rsidR="00263040" w:rsidRPr="009465B6">
        <w:rPr>
          <w:rFonts w:ascii="Arial" w:hAnsi="Arial" w:cs="Arial"/>
          <w:color w:val="222222"/>
          <w:sz w:val="24"/>
          <w:szCs w:val="24"/>
          <w:shd w:val="clear" w:color="auto" w:fill="FFFFFF"/>
        </w:rPr>
        <w:t>Epstein and Lee, 2014)</w:t>
      </w:r>
      <w:r w:rsidRPr="009465B6">
        <w:rPr>
          <w:rFonts w:ascii="Arial" w:hAnsi="Arial" w:cs="Arial"/>
          <w:sz w:val="24"/>
          <w:szCs w:val="24"/>
        </w:rPr>
        <w:t xml:space="preserve">. </w:t>
      </w:r>
      <w:r w:rsidR="00103F13" w:rsidRPr="009465B6">
        <w:rPr>
          <w:rFonts w:ascii="Arial" w:hAnsi="Arial" w:cs="Arial"/>
          <w:sz w:val="24"/>
          <w:szCs w:val="24"/>
        </w:rPr>
        <w:t xml:space="preserve">Hence, Jerry Plc has </w:t>
      </w:r>
      <w:r w:rsidR="00C321B0" w:rsidRPr="009465B6">
        <w:rPr>
          <w:rFonts w:ascii="Arial" w:hAnsi="Arial" w:cs="Arial"/>
          <w:sz w:val="24"/>
          <w:szCs w:val="24"/>
        </w:rPr>
        <w:t xml:space="preserve">a </w:t>
      </w:r>
      <w:r w:rsidR="00103F13" w:rsidRPr="009465B6">
        <w:rPr>
          <w:rFonts w:ascii="Arial" w:hAnsi="Arial" w:cs="Arial"/>
          <w:sz w:val="24"/>
          <w:szCs w:val="24"/>
        </w:rPr>
        <w:t xml:space="preserve">good and effective gearing ratio in 2019 in comparison to last year. </w:t>
      </w:r>
      <w:r w:rsidR="00C321B0" w:rsidRPr="009465B6">
        <w:rPr>
          <w:rFonts w:ascii="Arial" w:hAnsi="Arial" w:cs="Arial"/>
          <w:sz w:val="24"/>
          <w:szCs w:val="24"/>
        </w:rPr>
        <w:t>The g</w:t>
      </w:r>
      <w:r w:rsidR="0066214F" w:rsidRPr="009465B6">
        <w:rPr>
          <w:rFonts w:ascii="Arial" w:hAnsi="Arial" w:cs="Arial"/>
          <w:sz w:val="24"/>
          <w:szCs w:val="24"/>
        </w:rPr>
        <w:t>earing ratio of Jerry Plc was 81</w:t>
      </w:r>
      <w:r w:rsidR="00114B63">
        <w:rPr>
          <w:rFonts w:ascii="Arial" w:hAnsi="Arial" w:cs="Arial"/>
          <w:sz w:val="24"/>
          <w:szCs w:val="24"/>
        </w:rPr>
        <w:t>%</w:t>
      </w:r>
      <w:r w:rsidR="0066214F" w:rsidRPr="009465B6">
        <w:rPr>
          <w:rFonts w:ascii="Arial" w:hAnsi="Arial" w:cs="Arial"/>
          <w:sz w:val="24"/>
          <w:szCs w:val="24"/>
        </w:rPr>
        <w:t xml:space="preserve"> in 2018 but Jerry Plc increased equity fund</w:t>
      </w:r>
      <w:r w:rsidR="00C321B0" w:rsidRPr="009465B6">
        <w:rPr>
          <w:rFonts w:ascii="Arial" w:hAnsi="Arial" w:cs="Arial"/>
          <w:sz w:val="24"/>
          <w:szCs w:val="24"/>
        </w:rPr>
        <w:t>s</w:t>
      </w:r>
      <w:r w:rsidR="0066214F" w:rsidRPr="009465B6">
        <w:rPr>
          <w:rFonts w:ascii="Arial" w:hAnsi="Arial" w:cs="Arial"/>
          <w:sz w:val="24"/>
          <w:szCs w:val="24"/>
        </w:rPr>
        <w:t xml:space="preserve"> that led </w:t>
      </w:r>
      <w:r w:rsidR="00C321B0" w:rsidRPr="009465B6">
        <w:rPr>
          <w:rFonts w:ascii="Arial" w:hAnsi="Arial" w:cs="Arial"/>
          <w:sz w:val="24"/>
          <w:szCs w:val="24"/>
        </w:rPr>
        <w:t xml:space="preserve">to a </w:t>
      </w:r>
      <w:r w:rsidR="0066214F" w:rsidRPr="009465B6">
        <w:rPr>
          <w:rFonts w:ascii="Arial" w:hAnsi="Arial" w:cs="Arial"/>
          <w:sz w:val="24"/>
          <w:szCs w:val="24"/>
        </w:rPr>
        <w:t>decrease in the gearing ratio by 45</w:t>
      </w:r>
      <w:r w:rsidR="00114B63">
        <w:rPr>
          <w:rFonts w:ascii="Arial" w:hAnsi="Arial" w:cs="Arial"/>
          <w:sz w:val="24"/>
          <w:szCs w:val="24"/>
        </w:rPr>
        <w:t>%</w:t>
      </w:r>
      <w:r w:rsidR="0066214F" w:rsidRPr="009465B6">
        <w:rPr>
          <w:rFonts w:ascii="Arial" w:hAnsi="Arial" w:cs="Arial"/>
          <w:sz w:val="24"/>
          <w:szCs w:val="24"/>
        </w:rPr>
        <w:t xml:space="preserve"> in 2019. It improved the creditworthiness of the entity in the market and may influence the investment in the company in </w:t>
      </w:r>
      <w:r w:rsidR="00C321B0" w:rsidRPr="009465B6">
        <w:rPr>
          <w:rFonts w:ascii="Arial" w:hAnsi="Arial" w:cs="Arial"/>
          <w:sz w:val="24"/>
          <w:szCs w:val="24"/>
        </w:rPr>
        <w:t xml:space="preserve">the </w:t>
      </w:r>
      <w:r w:rsidR="0066214F" w:rsidRPr="009465B6">
        <w:rPr>
          <w:rFonts w:ascii="Arial" w:hAnsi="Arial" w:cs="Arial"/>
          <w:sz w:val="24"/>
          <w:szCs w:val="24"/>
        </w:rPr>
        <w:t>future.</w:t>
      </w:r>
    </w:p>
    <w:p w14:paraId="58322831" w14:textId="0514E1D2"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 xml:space="preserve">Earnings </w:t>
      </w:r>
      <w:r w:rsidR="00C321B0" w:rsidRPr="009465B6">
        <w:rPr>
          <w:rFonts w:ascii="Arial" w:hAnsi="Arial" w:cs="Arial"/>
          <w:b/>
          <w:sz w:val="24"/>
          <w:szCs w:val="24"/>
        </w:rPr>
        <w:t>p</w:t>
      </w:r>
      <w:r w:rsidRPr="009465B6">
        <w:rPr>
          <w:rFonts w:ascii="Arial" w:hAnsi="Arial" w:cs="Arial"/>
          <w:b/>
          <w:sz w:val="24"/>
          <w:szCs w:val="24"/>
        </w:rPr>
        <w:t>er share</w:t>
      </w:r>
      <w:r w:rsidR="002563BC">
        <w:rPr>
          <w:rFonts w:ascii="Arial" w:hAnsi="Arial" w:cs="Arial"/>
          <w:b/>
          <w:sz w:val="24"/>
          <w:szCs w:val="24"/>
        </w:rPr>
        <w:t xml:space="preserve"> -EPS</w:t>
      </w:r>
    </w:p>
    <w:p w14:paraId="173CBCB7" w14:textId="77777777" w:rsidR="00763FD0" w:rsidRPr="009465B6" w:rsidRDefault="002D3C63" w:rsidP="003278B3">
      <w:pPr>
        <w:spacing w:line="360" w:lineRule="auto"/>
        <w:jc w:val="both"/>
        <w:rPr>
          <w:rFonts w:ascii="Arial" w:hAnsi="Arial" w:cs="Arial"/>
          <w:sz w:val="24"/>
          <w:szCs w:val="24"/>
        </w:rPr>
      </w:pPr>
      <w:r w:rsidRPr="009465B6">
        <w:rPr>
          <w:rFonts w:ascii="Arial" w:hAnsi="Arial" w:cs="Arial"/>
          <w:sz w:val="24"/>
          <w:szCs w:val="24"/>
        </w:rPr>
        <w:t xml:space="preserve">It is the figure that is considered in the financial ratios for measuring and describing the profit per share in the public company. The net income of an entity divided by the total number of outstanding ordinary shares in the company can be helpful for determining EPS in the </w:t>
      </w:r>
      <w:r w:rsidR="000B33D7" w:rsidRPr="009465B6">
        <w:rPr>
          <w:rFonts w:ascii="Arial" w:hAnsi="Arial" w:cs="Arial"/>
          <w:sz w:val="24"/>
          <w:szCs w:val="24"/>
        </w:rPr>
        <w:t>company</w:t>
      </w:r>
      <w:r w:rsidR="00263040" w:rsidRPr="009465B6">
        <w:rPr>
          <w:rFonts w:ascii="Arial" w:hAnsi="Arial" w:cs="Arial"/>
          <w:sz w:val="24"/>
          <w:szCs w:val="24"/>
        </w:rPr>
        <w:t xml:space="preserve"> (</w:t>
      </w:r>
      <w:r w:rsidR="00263040" w:rsidRPr="009465B6">
        <w:rPr>
          <w:rFonts w:ascii="Arial" w:hAnsi="Arial" w:cs="Arial"/>
          <w:color w:val="000000"/>
          <w:sz w:val="24"/>
          <w:szCs w:val="24"/>
        </w:rPr>
        <w:t>Martin and Alvarez, 2011)</w:t>
      </w:r>
      <w:r w:rsidRPr="009465B6">
        <w:rPr>
          <w:rFonts w:ascii="Arial" w:hAnsi="Arial" w:cs="Arial"/>
          <w:sz w:val="24"/>
          <w:szCs w:val="24"/>
        </w:rPr>
        <w:t xml:space="preserve">. </w:t>
      </w:r>
      <w:r w:rsidR="000B33D7" w:rsidRPr="009465B6">
        <w:rPr>
          <w:rFonts w:ascii="Arial" w:hAnsi="Arial" w:cs="Arial"/>
          <w:sz w:val="24"/>
          <w:szCs w:val="24"/>
        </w:rPr>
        <w:t xml:space="preserve"> </w:t>
      </w:r>
      <w:r w:rsidR="00506F28" w:rsidRPr="009465B6">
        <w:rPr>
          <w:rFonts w:ascii="Arial" w:hAnsi="Arial" w:cs="Arial"/>
          <w:sz w:val="24"/>
          <w:szCs w:val="24"/>
        </w:rPr>
        <w:t>The EPS of Jerry Plc was 1.03 in 2018 but it became 0.72 in 2019 which indicates the company has bec</w:t>
      </w:r>
      <w:r w:rsidR="00C321B0" w:rsidRPr="009465B6">
        <w:rPr>
          <w:rFonts w:ascii="Arial" w:hAnsi="Arial" w:cs="Arial"/>
          <w:sz w:val="24"/>
          <w:szCs w:val="24"/>
        </w:rPr>
        <w:t>o</w:t>
      </w:r>
      <w:r w:rsidR="00506F28" w:rsidRPr="009465B6">
        <w:rPr>
          <w:rFonts w:ascii="Arial" w:hAnsi="Arial" w:cs="Arial"/>
          <w:sz w:val="24"/>
          <w:szCs w:val="24"/>
        </w:rPr>
        <w:t>me inefficient and ineffective in 2019 for improving the income and wealth of shareholders.</w:t>
      </w:r>
    </w:p>
    <w:p w14:paraId="102074F3" w14:textId="686A7053" w:rsidR="00FD7781" w:rsidRPr="009465B6" w:rsidRDefault="00FD7781" w:rsidP="003278B3">
      <w:pPr>
        <w:spacing w:line="360" w:lineRule="auto"/>
        <w:jc w:val="both"/>
        <w:rPr>
          <w:rFonts w:ascii="Arial" w:hAnsi="Arial" w:cs="Arial"/>
          <w:b/>
          <w:sz w:val="24"/>
          <w:szCs w:val="24"/>
        </w:rPr>
      </w:pPr>
      <w:r w:rsidRPr="009465B6">
        <w:rPr>
          <w:rFonts w:ascii="Arial" w:hAnsi="Arial" w:cs="Arial"/>
          <w:b/>
          <w:sz w:val="24"/>
          <w:szCs w:val="24"/>
        </w:rPr>
        <w:t>Interest Cover</w:t>
      </w:r>
    </w:p>
    <w:p w14:paraId="48335828" w14:textId="77777777" w:rsidR="00F75692" w:rsidRPr="009465B6" w:rsidRDefault="00A45659" w:rsidP="003278B3">
      <w:pPr>
        <w:spacing w:line="360" w:lineRule="auto"/>
        <w:jc w:val="both"/>
        <w:rPr>
          <w:rFonts w:ascii="Arial" w:hAnsi="Arial" w:cs="Arial"/>
          <w:sz w:val="24"/>
          <w:szCs w:val="24"/>
        </w:rPr>
      </w:pPr>
      <w:r w:rsidRPr="009465B6">
        <w:rPr>
          <w:rFonts w:ascii="Arial" w:hAnsi="Arial" w:cs="Arial"/>
          <w:sz w:val="24"/>
          <w:szCs w:val="24"/>
        </w:rPr>
        <w:t xml:space="preserve">This ratio may aid to determine the solvency of the firm for assessing the efficiency and ability of the entity for paying out its interest on the amount borrowed. Earnings before interest and tax might be divided by the interest expenses due </w:t>
      </w:r>
      <w:r w:rsidR="00C321B0" w:rsidRPr="009465B6">
        <w:rPr>
          <w:rFonts w:ascii="Arial" w:hAnsi="Arial" w:cs="Arial"/>
          <w:sz w:val="24"/>
          <w:szCs w:val="24"/>
        </w:rPr>
        <w:t>to</w:t>
      </w:r>
      <w:r w:rsidRPr="009465B6">
        <w:rPr>
          <w:rFonts w:ascii="Arial" w:hAnsi="Arial" w:cs="Arial"/>
          <w:sz w:val="24"/>
          <w:szCs w:val="24"/>
        </w:rPr>
        <w:t xml:space="preserve"> measuring the ability to pay out the interest liability</w:t>
      </w:r>
      <w:r w:rsidR="00263040" w:rsidRPr="009465B6">
        <w:rPr>
          <w:rFonts w:ascii="Arial" w:hAnsi="Arial" w:cs="Arial"/>
          <w:sz w:val="24"/>
          <w:szCs w:val="24"/>
        </w:rPr>
        <w:t xml:space="preserve"> (</w:t>
      </w:r>
      <w:r w:rsidR="00263040" w:rsidRPr="009465B6">
        <w:rPr>
          <w:rFonts w:ascii="Arial" w:hAnsi="Arial" w:cs="Arial"/>
          <w:color w:val="222222"/>
          <w:sz w:val="24"/>
          <w:szCs w:val="24"/>
          <w:shd w:val="clear" w:color="auto" w:fill="FFFFFF"/>
        </w:rPr>
        <w:t>Brigham and Ehrhardt, 2013)</w:t>
      </w:r>
      <w:r w:rsidRPr="009465B6">
        <w:rPr>
          <w:rFonts w:ascii="Arial" w:hAnsi="Arial" w:cs="Arial"/>
          <w:sz w:val="24"/>
          <w:szCs w:val="24"/>
        </w:rPr>
        <w:t xml:space="preserve">. </w:t>
      </w:r>
      <w:r w:rsidR="00C321B0" w:rsidRPr="009465B6">
        <w:rPr>
          <w:rFonts w:ascii="Arial" w:hAnsi="Arial" w:cs="Arial"/>
          <w:sz w:val="24"/>
          <w:szCs w:val="24"/>
        </w:rPr>
        <w:t>The i</w:t>
      </w:r>
      <w:r w:rsidR="005A4958" w:rsidRPr="009465B6">
        <w:rPr>
          <w:rFonts w:ascii="Arial" w:hAnsi="Arial" w:cs="Arial"/>
          <w:sz w:val="24"/>
          <w:szCs w:val="24"/>
        </w:rPr>
        <w:t xml:space="preserve">nterest cover for Jerry Plc in 2018 was 8.49 but it increased to 115.00 in 2019. It means Jerry Plc is more able in 2019 to pay its interest expenses and liabilities very effectively than in 2018. </w:t>
      </w:r>
    </w:p>
    <w:p w14:paraId="74C9D41D" w14:textId="77777777" w:rsidR="00A66FA1" w:rsidRPr="009465B6" w:rsidRDefault="00CF4583" w:rsidP="00CF4583">
      <w:pPr>
        <w:pStyle w:val="Heading1"/>
        <w:rPr>
          <w:rFonts w:ascii="Arial" w:hAnsi="Arial" w:cs="Arial"/>
          <w:sz w:val="24"/>
          <w:szCs w:val="24"/>
        </w:rPr>
      </w:pPr>
      <w:bookmarkStart w:id="2" w:name="_Toc46062885"/>
      <w:r w:rsidRPr="009465B6">
        <w:rPr>
          <w:rFonts w:ascii="Arial" w:hAnsi="Arial" w:cs="Arial"/>
          <w:sz w:val="24"/>
          <w:szCs w:val="24"/>
        </w:rPr>
        <w:lastRenderedPageBreak/>
        <w:t>Question 3:</w:t>
      </w:r>
      <w:bookmarkEnd w:id="2"/>
    </w:p>
    <w:p w14:paraId="7DDB57B7" w14:textId="6E4265F0" w:rsidR="00CF4583" w:rsidRDefault="00CF4583" w:rsidP="00CF4583">
      <w:pPr>
        <w:pStyle w:val="Heading2"/>
        <w:rPr>
          <w:rFonts w:ascii="Arial" w:hAnsi="Arial" w:cs="Arial"/>
          <w:sz w:val="24"/>
          <w:szCs w:val="24"/>
        </w:rPr>
      </w:pPr>
      <w:bookmarkStart w:id="3" w:name="_Toc46062886"/>
      <w:r w:rsidRPr="009465B6">
        <w:rPr>
          <w:rFonts w:ascii="Arial" w:hAnsi="Arial" w:cs="Arial"/>
          <w:sz w:val="24"/>
          <w:szCs w:val="24"/>
        </w:rPr>
        <w:t>Users of financial information</w:t>
      </w:r>
      <w:bookmarkEnd w:id="3"/>
    </w:p>
    <w:p w14:paraId="044DA34C" w14:textId="77777777" w:rsidR="009465B6" w:rsidRPr="009465B6" w:rsidRDefault="009465B6" w:rsidP="009465B6"/>
    <w:p w14:paraId="62C0F8FF" w14:textId="0EC31D29" w:rsidR="00CF4583" w:rsidRPr="009465B6" w:rsidRDefault="00CF4583" w:rsidP="003278B3">
      <w:pPr>
        <w:spacing w:line="360" w:lineRule="auto"/>
        <w:jc w:val="both"/>
        <w:rPr>
          <w:rFonts w:ascii="Arial" w:hAnsi="Arial" w:cs="Arial"/>
          <w:sz w:val="24"/>
          <w:szCs w:val="24"/>
        </w:rPr>
      </w:pPr>
      <w:r w:rsidRPr="009465B6">
        <w:rPr>
          <w:rFonts w:ascii="Arial" w:hAnsi="Arial" w:cs="Arial"/>
          <w:sz w:val="24"/>
          <w:szCs w:val="24"/>
        </w:rPr>
        <w:t>Financial and accounting information is very important for the stakeholder of the firm. They consider the accounting information of the entity while they make decision</w:t>
      </w:r>
      <w:r w:rsidR="00C321B0" w:rsidRPr="009465B6">
        <w:rPr>
          <w:rFonts w:ascii="Arial" w:hAnsi="Arial" w:cs="Arial"/>
          <w:sz w:val="24"/>
          <w:szCs w:val="24"/>
        </w:rPr>
        <w:t>s</w:t>
      </w:r>
      <w:r w:rsidRPr="009465B6">
        <w:rPr>
          <w:rFonts w:ascii="Arial" w:hAnsi="Arial" w:cs="Arial"/>
          <w:sz w:val="24"/>
          <w:szCs w:val="24"/>
        </w:rPr>
        <w:t xml:space="preserve"> associated with the firm. </w:t>
      </w:r>
      <w:r w:rsidR="00CD0592" w:rsidRPr="009465B6">
        <w:rPr>
          <w:rFonts w:ascii="Arial" w:hAnsi="Arial" w:cs="Arial"/>
          <w:sz w:val="24"/>
          <w:szCs w:val="24"/>
        </w:rPr>
        <w:t xml:space="preserve">There </w:t>
      </w:r>
      <w:r w:rsidR="009465B6" w:rsidRPr="009465B6">
        <w:rPr>
          <w:rFonts w:ascii="Arial" w:hAnsi="Arial" w:cs="Arial"/>
          <w:sz w:val="24"/>
          <w:szCs w:val="24"/>
        </w:rPr>
        <w:t>are</w:t>
      </w:r>
      <w:r w:rsidR="00CD0592" w:rsidRPr="009465B6">
        <w:rPr>
          <w:rFonts w:ascii="Arial" w:hAnsi="Arial" w:cs="Arial"/>
          <w:sz w:val="24"/>
          <w:szCs w:val="24"/>
        </w:rPr>
        <w:t xml:space="preserve"> three main user</w:t>
      </w:r>
      <w:r w:rsidR="00C321B0" w:rsidRPr="009465B6">
        <w:rPr>
          <w:rFonts w:ascii="Arial" w:hAnsi="Arial" w:cs="Arial"/>
          <w:sz w:val="24"/>
          <w:szCs w:val="24"/>
        </w:rPr>
        <w:t>s</w:t>
      </w:r>
      <w:r w:rsidR="00CD0592" w:rsidRPr="009465B6">
        <w:rPr>
          <w:rFonts w:ascii="Arial" w:hAnsi="Arial" w:cs="Arial"/>
          <w:sz w:val="24"/>
          <w:szCs w:val="24"/>
        </w:rPr>
        <w:t xml:space="preserve"> of accounting and financial information. </w:t>
      </w:r>
    </w:p>
    <w:p w14:paraId="201D2FAC" w14:textId="56642167" w:rsidR="00A527DD" w:rsidRPr="009465B6" w:rsidRDefault="00A527DD" w:rsidP="003278B3">
      <w:pPr>
        <w:spacing w:line="360" w:lineRule="auto"/>
        <w:jc w:val="both"/>
        <w:rPr>
          <w:rFonts w:ascii="Arial" w:hAnsi="Arial" w:cs="Arial"/>
          <w:b/>
          <w:sz w:val="24"/>
          <w:szCs w:val="24"/>
        </w:rPr>
      </w:pPr>
      <w:r w:rsidRPr="009465B6">
        <w:rPr>
          <w:rFonts w:ascii="Arial" w:hAnsi="Arial" w:cs="Arial"/>
          <w:b/>
          <w:sz w:val="24"/>
          <w:szCs w:val="24"/>
        </w:rPr>
        <w:t>Management</w:t>
      </w:r>
    </w:p>
    <w:p w14:paraId="1ABA9594" w14:textId="77777777" w:rsidR="00A527DD" w:rsidRPr="009465B6" w:rsidRDefault="00A527DD" w:rsidP="003278B3">
      <w:pPr>
        <w:spacing w:line="360" w:lineRule="auto"/>
        <w:jc w:val="both"/>
        <w:rPr>
          <w:rFonts w:ascii="Arial" w:hAnsi="Arial" w:cs="Arial"/>
          <w:sz w:val="24"/>
          <w:szCs w:val="24"/>
        </w:rPr>
      </w:pPr>
      <w:r w:rsidRPr="009465B6">
        <w:rPr>
          <w:rFonts w:ascii="Arial" w:hAnsi="Arial" w:cs="Arial"/>
          <w:sz w:val="24"/>
          <w:szCs w:val="24"/>
        </w:rPr>
        <w:t xml:space="preserve">Management needs accounting information and facts about the financial performance </w:t>
      </w:r>
      <w:r w:rsidR="009845BB" w:rsidRPr="009465B6">
        <w:rPr>
          <w:rFonts w:ascii="Arial" w:hAnsi="Arial" w:cs="Arial"/>
          <w:sz w:val="24"/>
          <w:szCs w:val="24"/>
        </w:rPr>
        <w:t xml:space="preserve">of </w:t>
      </w:r>
      <w:r w:rsidR="00C321B0" w:rsidRPr="009465B6">
        <w:rPr>
          <w:rFonts w:ascii="Arial" w:hAnsi="Arial" w:cs="Arial"/>
          <w:sz w:val="24"/>
          <w:szCs w:val="24"/>
        </w:rPr>
        <w:t xml:space="preserve">the </w:t>
      </w:r>
      <w:r w:rsidR="009845BB" w:rsidRPr="009465B6">
        <w:rPr>
          <w:rFonts w:ascii="Arial" w:hAnsi="Arial" w:cs="Arial"/>
          <w:sz w:val="24"/>
          <w:szCs w:val="24"/>
        </w:rPr>
        <w:t>entity to make decision</w:t>
      </w:r>
      <w:r w:rsidR="00C321B0" w:rsidRPr="009465B6">
        <w:rPr>
          <w:rFonts w:ascii="Arial" w:hAnsi="Arial" w:cs="Arial"/>
          <w:sz w:val="24"/>
          <w:szCs w:val="24"/>
        </w:rPr>
        <w:t>s</w:t>
      </w:r>
      <w:r w:rsidR="009845BB" w:rsidRPr="009465B6">
        <w:rPr>
          <w:rFonts w:ascii="Arial" w:hAnsi="Arial" w:cs="Arial"/>
          <w:sz w:val="24"/>
          <w:szCs w:val="24"/>
        </w:rPr>
        <w:t xml:space="preserve"> and take actions to maintain and enhance performance. The facts regarding </w:t>
      </w:r>
      <w:r w:rsidR="00C321B0" w:rsidRPr="009465B6">
        <w:rPr>
          <w:rFonts w:ascii="Arial" w:hAnsi="Arial" w:cs="Arial"/>
          <w:sz w:val="24"/>
          <w:szCs w:val="24"/>
        </w:rPr>
        <w:t xml:space="preserve">the </w:t>
      </w:r>
      <w:r w:rsidR="009845BB" w:rsidRPr="009465B6">
        <w:rPr>
          <w:rFonts w:ascii="Arial" w:hAnsi="Arial" w:cs="Arial"/>
          <w:sz w:val="24"/>
          <w:szCs w:val="24"/>
        </w:rPr>
        <w:t xml:space="preserve">financial position and its profitability over the years, management may use for comparing and analyzing the performance and financial resources in the firm to make </w:t>
      </w:r>
      <w:r w:rsidR="00C321B0" w:rsidRPr="009465B6">
        <w:rPr>
          <w:rFonts w:ascii="Arial" w:hAnsi="Arial" w:cs="Arial"/>
          <w:sz w:val="24"/>
          <w:szCs w:val="24"/>
        </w:rPr>
        <w:t xml:space="preserve">the </w:t>
      </w:r>
      <w:r w:rsidR="009845BB" w:rsidRPr="009465B6">
        <w:rPr>
          <w:rFonts w:ascii="Arial" w:hAnsi="Arial" w:cs="Arial"/>
          <w:sz w:val="24"/>
          <w:szCs w:val="24"/>
        </w:rPr>
        <w:t>further expansion of the market and grow the sales and profit</w:t>
      </w:r>
      <w:r w:rsidR="00A4223C" w:rsidRPr="009465B6">
        <w:rPr>
          <w:rFonts w:ascii="Arial" w:hAnsi="Arial" w:cs="Arial"/>
          <w:sz w:val="24"/>
          <w:szCs w:val="24"/>
        </w:rPr>
        <w:t xml:space="preserve"> (</w:t>
      </w:r>
      <w:r w:rsidR="00A4223C" w:rsidRPr="009465B6">
        <w:rPr>
          <w:rFonts w:ascii="Arial" w:hAnsi="Arial" w:cs="Arial"/>
          <w:color w:val="222222"/>
          <w:sz w:val="24"/>
          <w:szCs w:val="24"/>
          <w:shd w:val="clear" w:color="auto" w:fill="FFFFFF"/>
        </w:rPr>
        <w:t>Weil et al., 2013)</w:t>
      </w:r>
      <w:r w:rsidR="009845BB" w:rsidRPr="009465B6">
        <w:rPr>
          <w:rFonts w:ascii="Arial" w:hAnsi="Arial" w:cs="Arial"/>
          <w:sz w:val="24"/>
          <w:szCs w:val="24"/>
        </w:rPr>
        <w:t xml:space="preserve">. </w:t>
      </w:r>
      <w:r w:rsidR="00793C39" w:rsidRPr="009465B6">
        <w:rPr>
          <w:rFonts w:ascii="Arial" w:hAnsi="Arial" w:cs="Arial"/>
          <w:sz w:val="24"/>
          <w:szCs w:val="24"/>
        </w:rPr>
        <w:t xml:space="preserve">Planning is a very important function of the managers in the company and they can use accounting information and business transaction insights for planning to grow in </w:t>
      </w:r>
      <w:r w:rsidR="00C321B0" w:rsidRPr="009465B6">
        <w:rPr>
          <w:rFonts w:ascii="Arial" w:hAnsi="Arial" w:cs="Arial"/>
          <w:sz w:val="24"/>
          <w:szCs w:val="24"/>
        </w:rPr>
        <w:t xml:space="preserve">the </w:t>
      </w:r>
      <w:r w:rsidR="00793C39" w:rsidRPr="009465B6">
        <w:rPr>
          <w:rFonts w:ascii="Arial" w:hAnsi="Arial" w:cs="Arial"/>
          <w:sz w:val="24"/>
          <w:szCs w:val="24"/>
        </w:rPr>
        <w:t>future. Manager</w:t>
      </w:r>
      <w:r w:rsidR="00C321B0" w:rsidRPr="009465B6">
        <w:rPr>
          <w:rFonts w:ascii="Arial" w:hAnsi="Arial" w:cs="Arial"/>
          <w:sz w:val="24"/>
          <w:szCs w:val="24"/>
        </w:rPr>
        <w:t>s</w:t>
      </w:r>
      <w:r w:rsidR="00793C39" w:rsidRPr="009465B6">
        <w:rPr>
          <w:rFonts w:ascii="Arial" w:hAnsi="Arial" w:cs="Arial"/>
          <w:sz w:val="24"/>
          <w:szCs w:val="24"/>
        </w:rPr>
        <w:t xml:space="preserve"> may need information for making decision</w:t>
      </w:r>
      <w:r w:rsidR="00C321B0" w:rsidRPr="009465B6">
        <w:rPr>
          <w:rFonts w:ascii="Arial" w:hAnsi="Arial" w:cs="Arial"/>
          <w:sz w:val="24"/>
          <w:szCs w:val="24"/>
        </w:rPr>
        <w:t>s</w:t>
      </w:r>
      <w:r w:rsidR="00793C39" w:rsidRPr="009465B6">
        <w:rPr>
          <w:rFonts w:ascii="Arial" w:hAnsi="Arial" w:cs="Arial"/>
          <w:sz w:val="24"/>
          <w:szCs w:val="24"/>
        </w:rPr>
        <w:t xml:space="preserve"> such as allocation of human, financial and other resources to achieve the tasks and attain the goals</w:t>
      </w:r>
      <w:r w:rsidR="000606A1" w:rsidRPr="009465B6">
        <w:rPr>
          <w:rFonts w:ascii="Arial" w:hAnsi="Arial" w:cs="Arial"/>
          <w:sz w:val="24"/>
          <w:szCs w:val="24"/>
        </w:rPr>
        <w:t xml:space="preserve"> (</w:t>
      </w:r>
      <w:r w:rsidR="000606A1" w:rsidRPr="009465B6">
        <w:rPr>
          <w:rFonts w:ascii="Arial" w:hAnsi="Arial" w:cs="Arial"/>
          <w:color w:val="222222"/>
          <w:sz w:val="24"/>
          <w:szCs w:val="24"/>
          <w:shd w:val="clear" w:color="auto" w:fill="FFFFFF"/>
        </w:rPr>
        <w:t>Collier, 2015)</w:t>
      </w:r>
      <w:r w:rsidR="00793C39" w:rsidRPr="009465B6">
        <w:rPr>
          <w:rFonts w:ascii="Arial" w:hAnsi="Arial" w:cs="Arial"/>
          <w:sz w:val="24"/>
          <w:szCs w:val="24"/>
        </w:rPr>
        <w:t xml:space="preserve">. </w:t>
      </w:r>
      <w:r w:rsidR="00D41760" w:rsidRPr="009465B6">
        <w:rPr>
          <w:rFonts w:ascii="Arial" w:hAnsi="Arial" w:cs="Arial"/>
          <w:sz w:val="24"/>
          <w:szCs w:val="24"/>
        </w:rPr>
        <w:t xml:space="preserve">At the same time, businesses may be influenced by different factors and this may cause deviation in the performance. It requires the management to focus on effective monitoring of the activities of businesses. </w:t>
      </w:r>
      <w:r w:rsidR="00C321B0" w:rsidRPr="009465B6">
        <w:rPr>
          <w:rFonts w:ascii="Arial" w:hAnsi="Arial" w:cs="Arial"/>
          <w:sz w:val="24"/>
          <w:szCs w:val="24"/>
        </w:rPr>
        <w:t>The m</w:t>
      </w:r>
      <w:r w:rsidR="00655EF8" w:rsidRPr="009465B6">
        <w:rPr>
          <w:rFonts w:ascii="Arial" w:hAnsi="Arial" w:cs="Arial"/>
          <w:sz w:val="24"/>
          <w:szCs w:val="24"/>
        </w:rPr>
        <w:t xml:space="preserve">anager considers accounting data and information for making pricing and investment decision and controlling the performance by setting up </w:t>
      </w:r>
      <w:r w:rsidR="00C321B0" w:rsidRPr="009465B6">
        <w:rPr>
          <w:rFonts w:ascii="Arial" w:hAnsi="Arial" w:cs="Arial"/>
          <w:sz w:val="24"/>
          <w:szCs w:val="24"/>
        </w:rPr>
        <w:t xml:space="preserve">a </w:t>
      </w:r>
      <w:r w:rsidR="00655EF8" w:rsidRPr="009465B6">
        <w:rPr>
          <w:rFonts w:ascii="Arial" w:hAnsi="Arial" w:cs="Arial"/>
          <w:sz w:val="24"/>
          <w:szCs w:val="24"/>
        </w:rPr>
        <w:t xml:space="preserve">good comparison of the actual performance against the budgeted performance. </w:t>
      </w:r>
    </w:p>
    <w:p w14:paraId="03091C2C" w14:textId="317E5EDF" w:rsidR="00A527DD" w:rsidRPr="009465B6" w:rsidRDefault="00A527DD" w:rsidP="003278B3">
      <w:pPr>
        <w:spacing w:line="360" w:lineRule="auto"/>
        <w:jc w:val="both"/>
        <w:rPr>
          <w:rFonts w:ascii="Arial" w:hAnsi="Arial" w:cs="Arial"/>
          <w:b/>
          <w:sz w:val="24"/>
          <w:szCs w:val="24"/>
        </w:rPr>
      </w:pPr>
      <w:r w:rsidRPr="009465B6">
        <w:rPr>
          <w:rFonts w:ascii="Arial" w:hAnsi="Arial" w:cs="Arial"/>
          <w:b/>
          <w:sz w:val="24"/>
          <w:szCs w:val="24"/>
        </w:rPr>
        <w:t>Lenders</w:t>
      </w:r>
    </w:p>
    <w:p w14:paraId="0F8A6974" w14:textId="7735B9AB" w:rsidR="00A527DD" w:rsidRPr="009465B6" w:rsidRDefault="00FA3AA7" w:rsidP="003278B3">
      <w:pPr>
        <w:spacing w:line="360" w:lineRule="auto"/>
        <w:jc w:val="both"/>
        <w:rPr>
          <w:rFonts w:ascii="Arial" w:hAnsi="Arial" w:cs="Arial"/>
          <w:sz w:val="24"/>
          <w:szCs w:val="24"/>
        </w:rPr>
      </w:pPr>
      <w:r w:rsidRPr="009465B6">
        <w:rPr>
          <w:rFonts w:ascii="Arial" w:hAnsi="Arial" w:cs="Arial"/>
          <w:sz w:val="24"/>
          <w:szCs w:val="24"/>
        </w:rPr>
        <w:t>They are also considered as stakeholder</w:t>
      </w:r>
      <w:r w:rsidR="00C321B0" w:rsidRPr="009465B6">
        <w:rPr>
          <w:rFonts w:ascii="Arial" w:hAnsi="Arial" w:cs="Arial"/>
          <w:sz w:val="24"/>
          <w:szCs w:val="24"/>
        </w:rPr>
        <w:t>s</w:t>
      </w:r>
      <w:r w:rsidRPr="009465B6">
        <w:rPr>
          <w:rFonts w:ascii="Arial" w:hAnsi="Arial" w:cs="Arial"/>
          <w:sz w:val="24"/>
          <w:szCs w:val="24"/>
        </w:rPr>
        <w:t>. They are outsiders to the company and provide loan</w:t>
      </w:r>
      <w:r w:rsidR="00C321B0" w:rsidRPr="009465B6">
        <w:rPr>
          <w:rFonts w:ascii="Arial" w:hAnsi="Arial" w:cs="Arial"/>
          <w:sz w:val="24"/>
          <w:szCs w:val="24"/>
        </w:rPr>
        <w:t>s</w:t>
      </w:r>
      <w:r w:rsidRPr="009465B6">
        <w:rPr>
          <w:rFonts w:ascii="Arial" w:hAnsi="Arial" w:cs="Arial"/>
          <w:sz w:val="24"/>
          <w:szCs w:val="24"/>
        </w:rPr>
        <w:t xml:space="preserve"> to firms for meeting the requirement of the capital. They are concerned </w:t>
      </w:r>
      <w:r w:rsidR="00C321B0" w:rsidRPr="009465B6">
        <w:rPr>
          <w:rFonts w:ascii="Arial" w:hAnsi="Arial" w:cs="Arial"/>
          <w:sz w:val="24"/>
          <w:szCs w:val="24"/>
        </w:rPr>
        <w:t>about</w:t>
      </w:r>
      <w:r w:rsidRPr="009465B6">
        <w:rPr>
          <w:rFonts w:ascii="Arial" w:hAnsi="Arial" w:cs="Arial"/>
          <w:sz w:val="24"/>
          <w:szCs w:val="24"/>
        </w:rPr>
        <w:t xml:space="preserve"> the good performance of enterprise</w:t>
      </w:r>
      <w:r w:rsidR="00C321B0" w:rsidRPr="009465B6">
        <w:rPr>
          <w:rFonts w:ascii="Arial" w:hAnsi="Arial" w:cs="Arial"/>
          <w:sz w:val="24"/>
          <w:szCs w:val="24"/>
        </w:rPr>
        <w:t>s</w:t>
      </w:r>
      <w:r w:rsidRPr="009465B6">
        <w:rPr>
          <w:rFonts w:ascii="Arial" w:hAnsi="Arial" w:cs="Arial"/>
          <w:sz w:val="24"/>
          <w:szCs w:val="24"/>
        </w:rPr>
        <w:t xml:space="preserve"> as growth in the performance may reduce the risk of the loss of money and failure of the firm to pay out their money. Lenders can affect the operation of the firm by availing money on time. They need correct and </w:t>
      </w:r>
      <w:r w:rsidRPr="009465B6">
        <w:rPr>
          <w:rFonts w:ascii="Arial" w:hAnsi="Arial" w:cs="Arial"/>
          <w:sz w:val="24"/>
          <w:szCs w:val="24"/>
        </w:rPr>
        <w:lastRenderedPageBreak/>
        <w:t xml:space="preserve">accurate information </w:t>
      </w:r>
      <w:r w:rsidR="00C321B0" w:rsidRPr="009465B6">
        <w:rPr>
          <w:rFonts w:ascii="Arial" w:hAnsi="Arial" w:cs="Arial"/>
          <w:sz w:val="24"/>
          <w:szCs w:val="24"/>
        </w:rPr>
        <w:t>about</w:t>
      </w:r>
      <w:r w:rsidRPr="009465B6">
        <w:rPr>
          <w:rFonts w:ascii="Arial" w:hAnsi="Arial" w:cs="Arial"/>
          <w:sz w:val="24"/>
          <w:szCs w:val="24"/>
        </w:rPr>
        <w:t xml:space="preserve"> the accounts of the company and the financial performance by analyzing the statements of the entity</w:t>
      </w:r>
      <w:r w:rsidR="00E81CD0" w:rsidRPr="009465B6">
        <w:rPr>
          <w:rFonts w:ascii="Arial" w:hAnsi="Arial" w:cs="Arial"/>
          <w:sz w:val="24"/>
          <w:szCs w:val="24"/>
        </w:rPr>
        <w:t xml:space="preserve"> (</w:t>
      </w:r>
      <w:r w:rsidR="00E81CD0" w:rsidRPr="009465B6">
        <w:rPr>
          <w:rFonts w:ascii="Arial" w:hAnsi="Arial" w:cs="Arial"/>
          <w:color w:val="222222"/>
          <w:sz w:val="24"/>
          <w:szCs w:val="24"/>
          <w:shd w:val="clear" w:color="auto" w:fill="FFFFFF"/>
        </w:rPr>
        <w:t>Weil et al., 2013)</w:t>
      </w:r>
      <w:r w:rsidRPr="009465B6">
        <w:rPr>
          <w:rFonts w:ascii="Arial" w:hAnsi="Arial" w:cs="Arial"/>
          <w:sz w:val="24"/>
          <w:szCs w:val="24"/>
        </w:rPr>
        <w:t>. It helps them to find out and determine the position of the company to pay the money of loan</w:t>
      </w:r>
      <w:r w:rsidR="00C321B0" w:rsidRPr="009465B6">
        <w:rPr>
          <w:rFonts w:ascii="Arial" w:hAnsi="Arial" w:cs="Arial"/>
          <w:sz w:val="24"/>
          <w:szCs w:val="24"/>
        </w:rPr>
        <w:t>s</w:t>
      </w:r>
      <w:r w:rsidRPr="009465B6">
        <w:rPr>
          <w:rFonts w:ascii="Arial" w:hAnsi="Arial" w:cs="Arial"/>
          <w:sz w:val="24"/>
          <w:szCs w:val="24"/>
        </w:rPr>
        <w:t xml:space="preserve"> in </w:t>
      </w:r>
      <w:r w:rsidR="00C321B0" w:rsidRPr="009465B6">
        <w:rPr>
          <w:rFonts w:ascii="Arial" w:hAnsi="Arial" w:cs="Arial"/>
          <w:sz w:val="24"/>
          <w:szCs w:val="24"/>
        </w:rPr>
        <w:t xml:space="preserve">the </w:t>
      </w:r>
      <w:r w:rsidRPr="009465B6">
        <w:rPr>
          <w:rFonts w:ascii="Arial" w:hAnsi="Arial" w:cs="Arial"/>
          <w:sz w:val="24"/>
          <w:szCs w:val="24"/>
        </w:rPr>
        <w:t>long run or not. They measure the creditworthiness of the company by using the financial as well as accounting information. For example, if lenders find poor liquidity of the firm and higher gearing ratio, they can deny providing financial help and loan to the company</w:t>
      </w:r>
      <w:r w:rsidR="00E81CD0" w:rsidRPr="009465B6">
        <w:rPr>
          <w:rFonts w:ascii="Arial" w:hAnsi="Arial" w:cs="Arial"/>
          <w:sz w:val="24"/>
          <w:szCs w:val="24"/>
        </w:rPr>
        <w:t xml:space="preserve"> (Robinson, 2020)</w:t>
      </w:r>
      <w:r w:rsidRPr="009465B6">
        <w:rPr>
          <w:rFonts w:ascii="Arial" w:hAnsi="Arial" w:cs="Arial"/>
          <w:sz w:val="24"/>
          <w:szCs w:val="24"/>
        </w:rPr>
        <w:t xml:space="preserve">. Higher the liabilities in the company, </w:t>
      </w:r>
      <w:r w:rsidR="009465B6" w:rsidRPr="009465B6">
        <w:rPr>
          <w:rFonts w:ascii="Arial" w:hAnsi="Arial" w:cs="Arial"/>
          <w:sz w:val="24"/>
          <w:szCs w:val="24"/>
        </w:rPr>
        <w:t>lessen</w:t>
      </w:r>
      <w:r w:rsidRPr="009465B6">
        <w:rPr>
          <w:rFonts w:ascii="Arial" w:hAnsi="Arial" w:cs="Arial"/>
          <w:sz w:val="24"/>
          <w:szCs w:val="24"/>
        </w:rPr>
        <w:t xml:space="preserve"> the chance are there to get </w:t>
      </w:r>
      <w:r w:rsidR="00C321B0" w:rsidRPr="009465B6">
        <w:rPr>
          <w:rFonts w:ascii="Arial" w:hAnsi="Arial" w:cs="Arial"/>
          <w:sz w:val="24"/>
          <w:szCs w:val="24"/>
        </w:rPr>
        <w:t xml:space="preserve">a </w:t>
      </w:r>
      <w:r w:rsidRPr="009465B6">
        <w:rPr>
          <w:rFonts w:ascii="Arial" w:hAnsi="Arial" w:cs="Arial"/>
          <w:sz w:val="24"/>
          <w:szCs w:val="24"/>
        </w:rPr>
        <w:t>loan from lenders. Hence, borrower</w:t>
      </w:r>
      <w:r w:rsidR="00C321B0" w:rsidRPr="009465B6">
        <w:rPr>
          <w:rFonts w:ascii="Arial" w:hAnsi="Arial" w:cs="Arial"/>
          <w:sz w:val="24"/>
          <w:szCs w:val="24"/>
        </w:rPr>
        <w:t>s</w:t>
      </w:r>
      <w:r w:rsidRPr="009465B6">
        <w:rPr>
          <w:rFonts w:ascii="Arial" w:hAnsi="Arial" w:cs="Arial"/>
          <w:sz w:val="24"/>
          <w:szCs w:val="24"/>
        </w:rPr>
        <w:t xml:space="preserve"> must have to prove that they do not need any money. </w:t>
      </w:r>
    </w:p>
    <w:p w14:paraId="4BFC33BA" w14:textId="77777777" w:rsidR="00A527DD" w:rsidRPr="009465B6" w:rsidRDefault="00A527DD" w:rsidP="003278B3">
      <w:pPr>
        <w:spacing w:line="360" w:lineRule="auto"/>
        <w:jc w:val="both"/>
        <w:rPr>
          <w:rFonts w:ascii="Arial" w:hAnsi="Arial" w:cs="Arial"/>
          <w:b/>
          <w:sz w:val="24"/>
          <w:szCs w:val="24"/>
        </w:rPr>
      </w:pPr>
      <w:r w:rsidRPr="009465B6">
        <w:rPr>
          <w:rFonts w:ascii="Arial" w:hAnsi="Arial" w:cs="Arial"/>
          <w:b/>
          <w:sz w:val="24"/>
          <w:szCs w:val="24"/>
        </w:rPr>
        <w:t>Shareholders or inventors</w:t>
      </w:r>
    </w:p>
    <w:p w14:paraId="255933F9" w14:textId="77777777" w:rsidR="006020DC" w:rsidRPr="009465B6" w:rsidRDefault="00C321B0" w:rsidP="003278B3">
      <w:pPr>
        <w:spacing w:line="360" w:lineRule="auto"/>
        <w:jc w:val="both"/>
        <w:rPr>
          <w:rFonts w:ascii="Arial" w:hAnsi="Arial" w:cs="Arial"/>
          <w:sz w:val="24"/>
          <w:szCs w:val="24"/>
        </w:rPr>
      </w:pPr>
      <w:r w:rsidRPr="009465B6">
        <w:rPr>
          <w:rFonts w:ascii="Arial" w:hAnsi="Arial" w:cs="Arial"/>
          <w:sz w:val="24"/>
          <w:szCs w:val="24"/>
        </w:rPr>
        <w:t>A s</w:t>
      </w:r>
      <w:r w:rsidR="006020DC" w:rsidRPr="009465B6">
        <w:rPr>
          <w:rFonts w:ascii="Arial" w:hAnsi="Arial" w:cs="Arial"/>
          <w:sz w:val="24"/>
          <w:szCs w:val="24"/>
        </w:rPr>
        <w:t xml:space="preserve">hareholder is one of the key stakeholders of the company. </w:t>
      </w:r>
      <w:r w:rsidRPr="009465B6">
        <w:rPr>
          <w:rFonts w:ascii="Arial" w:hAnsi="Arial" w:cs="Arial"/>
          <w:sz w:val="24"/>
          <w:szCs w:val="24"/>
        </w:rPr>
        <w:t>The s</w:t>
      </w:r>
      <w:r w:rsidR="006020DC" w:rsidRPr="009465B6">
        <w:rPr>
          <w:rFonts w:ascii="Arial" w:hAnsi="Arial" w:cs="Arial"/>
          <w:sz w:val="24"/>
          <w:szCs w:val="24"/>
        </w:rPr>
        <w:t xml:space="preserve">hareholder of the firm may affect the operation of the company and </w:t>
      </w:r>
      <w:r w:rsidRPr="009465B6">
        <w:rPr>
          <w:rFonts w:ascii="Arial" w:hAnsi="Arial" w:cs="Arial"/>
          <w:sz w:val="24"/>
          <w:szCs w:val="24"/>
        </w:rPr>
        <w:t xml:space="preserve">the </w:t>
      </w:r>
      <w:r w:rsidR="006020DC" w:rsidRPr="009465B6">
        <w:rPr>
          <w:rFonts w:ascii="Arial" w:hAnsi="Arial" w:cs="Arial"/>
          <w:sz w:val="24"/>
          <w:szCs w:val="24"/>
        </w:rPr>
        <w:t>capital structure of the entity. They are interested in invest</w:t>
      </w:r>
      <w:r w:rsidRPr="009465B6">
        <w:rPr>
          <w:rFonts w:ascii="Arial" w:hAnsi="Arial" w:cs="Arial"/>
          <w:sz w:val="24"/>
          <w:szCs w:val="24"/>
        </w:rPr>
        <w:t>ing</w:t>
      </w:r>
      <w:r w:rsidR="006020DC" w:rsidRPr="009465B6">
        <w:rPr>
          <w:rFonts w:ascii="Arial" w:hAnsi="Arial" w:cs="Arial"/>
          <w:sz w:val="24"/>
          <w:szCs w:val="24"/>
        </w:rPr>
        <w:t xml:space="preserve"> in the firm may provide </w:t>
      </w:r>
      <w:r w:rsidRPr="009465B6">
        <w:rPr>
          <w:rFonts w:ascii="Arial" w:hAnsi="Arial" w:cs="Arial"/>
          <w:sz w:val="24"/>
          <w:szCs w:val="24"/>
        </w:rPr>
        <w:t xml:space="preserve">a </w:t>
      </w:r>
      <w:r w:rsidR="006020DC" w:rsidRPr="009465B6">
        <w:rPr>
          <w:rFonts w:ascii="Arial" w:hAnsi="Arial" w:cs="Arial"/>
          <w:sz w:val="24"/>
          <w:szCs w:val="24"/>
        </w:rPr>
        <w:t xml:space="preserve">higher return on their investment and can improve their earning and income in </w:t>
      </w:r>
      <w:r w:rsidRPr="009465B6">
        <w:rPr>
          <w:rFonts w:ascii="Arial" w:hAnsi="Arial" w:cs="Arial"/>
          <w:sz w:val="24"/>
          <w:szCs w:val="24"/>
        </w:rPr>
        <w:t xml:space="preserve">the </w:t>
      </w:r>
      <w:r w:rsidR="006020DC" w:rsidRPr="009465B6">
        <w:rPr>
          <w:rFonts w:ascii="Arial" w:hAnsi="Arial" w:cs="Arial"/>
          <w:sz w:val="24"/>
          <w:szCs w:val="24"/>
        </w:rPr>
        <w:t xml:space="preserve">long future. </w:t>
      </w:r>
      <w:r w:rsidR="000D3870" w:rsidRPr="009465B6">
        <w:rPr>
          <w:rFonts w:ascii="Arial" w:hAnsi="Arial" w:cs="Arial"/>
          <w:sz w:val="24"/>
          <w:szCs w:val="24"/>
        </w:rPr>
        <w:t>They need to determine which company is performing effective and which is declining in the market so that they can sort out the best options for their profitable investment</w:t>
      </w:r>
      <w:r w:rsidR="00E81CD0" w:rsidRPr="009465B6">
        <w:rPr>
          <w:rFonts w:ascii="Arial" w:hAnsi="Arial" w:cs="Arial"/>
          <w:sz w:val="24"/>
          <w:szCs w:val="24"/>
        </w:rPr>
        <w:t xml:space="preserve"> (</w:t>
      </w:r>
      <w:proofErr w:type="spellStart"/>
      <w:r w:rsidR="00E81CD0" w:rsidRPr="009465B6">
        <w:rPr>
          <w:rFonts w:ascii="Arial" w:hAnsi="Arial" w:cs="Arial"/>
          <w:color w:val="222222"/>
          <w:sz w:val="24"/>
          <w:szCs w:val="24"/>
          <w:shd w:val="clear" w:color="auto" w:fill="FFFFFF"/>
        </w:rPr>
        <w:t>Kanakriyah</w:t>
      </w:r>
      <w:proofErr w:type="spellEnd"/>
      <w:r w:rsidR="00E81CD0" w:rsidRPr="009465B6">
        <w:rPr>
          <w:rFonts w:ascii="Arial" w:hAnsi="Arial" w:cs="Arial"/>
          <w:color w:val="222222"/>
          <w:sz w:val="24"/>
          <w:szCs w:val="24"/>
          <w:shd w:val="clear" w:color="auto" w:fill="FFFFFF"/>
        </w:rPr>
        <w:t>, 2016)</w:t>
      </w:r>
      <w:r w:rsidR="000D3870" w:rsidRPr="009465B6">
        <w:rPr>
          <w:rFonts w:ascii="Arial" w:hAnsi="Arial" w:cs="Arial"/>
          <w:sz w:val="24"/>
          <w:szCs w:val="24"/>
        </w:rPr>
        <w:t xml:space="preserve">. </w:t>
      </w:r>
      <w:r w:rsidR="009C16B6" w:rsidRPr="009465B6">
        <w:rPr>
          <w:rFonts w:ascii="Arial" w:hAnsi="Arial" w:cs="Arial"/>
          <w:sz w:val="24"/>
          <w:szCs w:val="24"/>
        </w:rPr>
        <w:t xml:space="preserve">The information about the future projects of the firm, investment of the company in future projects, </w:t>
      </w:r>
      <w:r w:rsidRPr="009465B6">
        <w:rPr>
          <w:rFonts w:ascii="Arial" w:hAnsi="Arial" w:cs="Arial"/>
          <w:sz w:val="24"/>
          <w:szCs w:val="24"/>
        </w:rPr>
        <w:t xml:space="preserve">the </w:t>
      </w:r>
      <w:r w:rsidR="009C16B6" w:rsidRPr="009465B6">
        <w:rPr>
          <w:rFonts w:ascii="Arial" w:hAnsi="Arial" w:cs="Arial"/>
          <w:sz w:val="24"/>
          <w:szCs w:val="24"/>
        </w:rPr>
        <w:t xml:space="preserve">financial performance of the entity over </w:t>
      </w:r>
      <w:r w:rsidRPr="009465B6">
        <w:rPr>
          <w:rFonts w:ascii="Arial" w:hAnsi="Arial" w:cs="Arial"/>
          <w:sz w:val="24"/>
          <w:szCs w:val="24"/>
        </w:rPr>
        <w:t xml:space="preserve">the </w:t>
      </w:r>
      <w:r w:rsidR="009C16B6" w:rsidRPr="009465B6">
        <w:rPr>
          <w:rFonts w:ascii="Arial" w:hAnsi="Arial" w:cs="Arial"/>
          <w:sz w:val="24"/>
          <w:szCs w:val="24"/>
        </w:rPr>
        <w:t xml:space="preserve">past few years, expected performance in </w:t>
      </w:r>
      <w:r w:rsidRPr="009465B6">
        <w:rPr>
          <w:rFonts w:ascii="Arial" w:hAnsi="Arial" w:cs="Arial"/>
          <w:sz w:val="24"/>
          <w:szCs w:val="24"/>
        </w:rPr>
        <w:t xml:space="preserve">the </w:t>
      </w:r>
      <w:r w:rsidR="009C16B6" w:rsidRPr="009465B6">
        <w:rPr>
          <w:rFonts w:ascii="Arial" w:hAnsi="Arial" w:cs="Arial"/>
          <w:sz w:val="24"/>
          <w:szCs w:val="24"/>
        </w:rPr>
        <w:t>future, and others. The valuation of assets, profitability analysis, historical record of return on investment of shareholder</w:t>
      </w:r>
      <w:r w:rsidRPr="009465B6">
        <w:rPr>
          <w:rFonts w:ascii="Arial" w:hAnsi="Arial" w:cs="Arial"/>
          <w:sz w:val="24"/>
          <w:szCs w:val="24"/>
        </w:rPr>
        <w:t>s</w:t>
      </w:r>
      <w:r w:rsidR="009C16B6" w:rsidRPr="009465B6">
        <w:rPr>
          <w:rFonts w:ascii="Arial" w:hAnsi="Arial" w:cs="Arial"/>
          <w:sz w:val="24"/>
          <w:szCs w:val="24"/>
        </w:rPr>
        <w:t xml:space="preserve"> and others can be considered by shareholder</w:t>
      </w:r>
      <w:r w:rsidRPr="009465B6">
        <w:rPr>
          <w:rFonts w:ascii="Arial" w:hAnsi="Arial" w:cs="Arial"/>
          <w:sz w:val="24"/>
          <w:szCs w:val="24"/>
        </w:rPr>
        <w:t>s</w:t>
      </w:r>
      <w:r w:rsidR="009C16B6" w:rsidRPr="009465B6">
        <w:rPr>
          <w:rFonts w:ascii="Arial" w:hAnsi="Arial" w:cs="Arial"/>
          <w:sz w:val="24"/>
          <w:szCs w:val="24"/>
        </w:rPr>
        <w:t xml:space="preserve"> while making </w:t>
      </w:r>
      <w:r w:rsidRPr="009465B6">
        <w:rPr>
          <w:rFonts w:ascii="Arial" w:hAnsi="Arial" w:cs="Arial"/>
          <w:sz w:val="24"/>
          <w:szCs w:val="24"/>
        </w:rPr>
        <w:t xml:space="preserve">an </w:t>
      </w:r>
      <w:r w:rsidR="009C16B6" w:rsidRPr="009465B6">
        <w:rPr>
          <w:rFonts w:ascii="Arial" w:hAnsi="Arial" w:cs="Arial"/>
          <w:sz w:val="24"/>
          <w:szCs w:val="24"/>
        </w:rPr>
        <w:t>important decision regarding investment or disinvestment</w:t>
      </w:r>
      <w:r w:rsidR="00E81CD0" w:rsidRPr="009465B6">
        <w:rPr>
          <w:rFonts w:ascii="Arial" w:hAnsi="Arial" w:cs="Arial"/>
          <w:sz w:val="24"/>
          <w:szCs w:val="24"/>
        </w:rPr>
        <w:t xml:space="preserve"> (Robinson, 2020)</w:t>
      </w:r>
      <w:r w:rsidR="009C16B6" w:rsidRPr="009465B6">
        <w:rPr>
          <w:rFonts w:ascii="Arial" w:hAnsi="Arial" w:cs="Arial"/>
          <w:sz w:val="24"/>
          <w:szCs w:val="24"/>
        </w:rPr>
        <w:t xml:space="preserve">. </w:t>
      </w:r>
      <w:r w:rsidR="00D7232D" w:rsidRPr="009465B6">
        <w:rPr>
          <w:rFonts w:ascii="Arial" w:hAnsi="Arial" w:cs="Arial"/>
          <w:sz w:val="24"/>
          <w:szCs w:val="24"/>
        </w:rPr>
        <w:t xml:space="preserve">They are very much concerned about </w:t>
      </w:r>
      <w:r w:rsidRPr="009465B6">
        <w:rPr>
          <w:rFonts w:ascii="Arial" w:hAnsi="Arial" w:cs="Arial"/>
          <w:sz w:val="24"/>
          <w:szCs w:val="24"/>
        </w:rPr>
        <w:t xml:space="preserve">the </w:t>
      </w:r>
      <w:r w:rsidR="00D7232D" w:rsidRPr="009465B6">
        <w:rPr>
          <w:rFonts w:ascii="Arial" w:hAnsi="Arial" w:cs="Arial"/>
          <w:sz w:val="24"/>
          <w:szCs w:val="24"/>
        </w:rPr>
        <w:t xml:space="preserve">growth in the sales revenue, </w:t>
      </w:r>
      <w:r w:rsidRPr="009465B6">
        <w:rPr>
          <w:rFonts w:ascii="Arial" w:hAnsi="Arial" w:cs="Arial"/>
          <w:sz w:val="24"/>
          <w:szCs w:val="24"/>
        </w:rPr>
        <w:t xml:space="preserve">an </w:t>
      </w:r>
      <w:r w:rsidR="00D7232D" w:rsidRPr="009465B6">
        <w:rPr>
          <w:rFonts w:ascii="Arial" w:hAnsi="Arial" w:cs="Arial"/>
          <w:sz w:val="24"/>
          <w:szCs w:val="24"/>
        </w:rPr>
        <w:t xml:space="preserve">extension of the profitability, reduction in liability and others to enhance the scope and opportunity to grow return on investment. </w:t>
      </w:r>
    </w:p>
    <w:p w14:paraId="6A2BA348" w14:textId="7CBEAD3E" w:rsidR="009E474D" w:rsidRDefault="00E6088D" w:rsidP="003C63C9">
      <w:pPr>
        <w:pStyle w:val="Heading2"/>
        <w:rPr>
          <w:rFonts w:ascii="Arial" w:hAnsi="Arial" w:cs="Arial"/>
          <w:sz w:val="24"/>
          <w:szCs w:val="24"/>
        </w:rPr>
      </w:pPr>
      <w:bookmarkStart w:id="4" w:name="_Toc46062887"/>
      <w:r w:rsidRPr="009465B6">
        <w:rPr>
          <w:rFonts w:ascii="Arial" w:hAnsi="Arial" w:cs="Arial"/>
          <w:sz w:val="24"/>
          <w:szCs w:val="24"/>
        </w:rPr>
        <w:t>Benefits and limitation of the regulated financial reporting regime</w:t>
      </w:r>
      <w:bookmarkEnd w:id="4"/>
    </w:p>
    <w:p w14:paraId="3A091AA9" w14:textId="77777777" w:rsidR="009465B6" w:rsidRPr="009465B6" w:rsidRDefault="009465B6" w:rsidP="009465B6"/>
    <w:p w14:paraId="2723FA78" w14:textId="77777777" w:rsidR="00E6088D" w:rsidRPr="009465B6" w:rsidRDefault="00E6088D" w:rsidP="003278B3">
      <w:pPr>
        <w:spacing w:line="360" w:lineRule="auto"/>
        <w:jc w:val="both"/>
        <w:rPr>
          <w:rFonts w:ascii="Arial" w:hAnsi="Arial" w:cs="Arial"/>
          <w:sz w:val="24"/>
          <w:szCs w:val="24"/>
        </w:rPr>
      </w:pPr>
      <w:r w:rsidRPr="009465B6">
        <w:rPr>
          <w:rFonts w:ascii="Arial" w:hAnsi="Arial" w:cs="Arial"/>
          <w:sz w:val="24"/>
          <w:szCs w:val="24"/>
        </w:rPr>
        <w:t xml:space="preserve">Today, businesses are operating in the competitive market and they may focus on attracting the investment for increasing their capital for further investment and business expansion. It is required to protect the interest of the stakeholder of the firm such as </w:t>
      </w:r>
      <w:r w:rsidR="00C321B0" w:rsidRPr="009465B6">
        <w:rPr>
          <w:rFonts w:ascii="Arial" w:hAnsi="Arial" w:cs="Arial"/>
          <w:sz w:val="24"/>
          <w:szCs w:val="24"/>
        </w:rPr>
        <w:t xml:space="preserve">the </w:t>
      </w:r>
      <w:r w:rsidRPr="009465B6">
        <w:rPr>
          <w:rFonts w:ascii="Arial" w:hAnsi="Arial" w:cs="Arial"/>
          <w:sz w:val="24"/>
          <w:szCs w:val="24"/>
        </w:rPr>
        <w:t xml:space="preserve">public, lenders, suppliers, shareholder and others in the market as businesses may </w:t>
      </w:r>
      <w:r w:rsidRPr="009465B6">
        <w:rPr>
          <w:rFonts w:ascii="Arial" w:hAnsi="Arial" w:cs="Arial"/>
          <w:sz w:val="24"/>
          <w:szCs w:val="24"/>
        </w:rPr>
        <w:lastRenderedPageBreak/>
        <w:t>provide wrong information to meet their interest</w:t>
      </w:r>
      <w:r w:rsidR="00C321B0" w:rsidRPr="009465B6">
        <w:rPr>
          <w:rFonts w:ascii="Arial" w:hAnsi="Arial" w:cs="Arial"/>
          <w:sz w:val="24"/>
          <w:szCs w:val="24"/>
        </w:rPr>
        <w:t>s</w:t>
      </w:r>
      <w:r w:rsidRPr="009465B6">
        <w:rPr>
          <w:rFonts w:ascii="Arial" w:hAnsi="Arial" w:cs="Arial"/>
          <w:sz w:val="24"/>
          <w:szCs w:val="24"/>
        </w:rPr>
        <w:t xml:space="preserve"> only</w:t>
      </w:r>
      <w:r w:rsidR="00263040" w:rsidRPr="009465B6">
        <w:rPr>
          <w:rFonts w:ascii="Arial" w:hAnsi="Arial" w:cs="Arial"/>
          <w:sz w:val="24"/>
          <w:szCs w:val="24"/>
        </w:rPr>
        <w:t xml:space="preserve"> (Watson and Head, 2013)</w:t>
      </w:r>
      <w:r w:rsidRPr="009465B6">
        <w:rPr>
          <w:rFonts w:ascii="Arial" w:hAnsi="Arial" w:cs="Arial"/>
          <w:sz w:val="24"/>
          <w:szCs w:val="24"/>
        </w:rPr>
        <w:t xml:space="preserve">. </w:t>
      </w:r>
      <w:r w:rsidR="00012C87" w:rsidRPr="009465B6">
        <w:rPr>
          <w:rFonts w:ascii="Arial" w:hAnsi="Arial" w:cs="Arial"/>
          <w:sz w:val="24"/>
          <w:szCs w:val="24"/>
        </w:rPr>
        <w:t xml:space="preserve">Hence, governments are focusing on making the regulations for reporting stricter to improve the validity and reliability of </w:t>
      </w:r>
      <w:r w:rsidR="00C321B0" w:rsidRPr="009465B6">
        <w:rPr>
          <w:rFonts w:ascii="Arial" w:hAnsi="Arial" w:cs="Arial"/>
          <w:sz w:val="24"/>
          <w:szCs w:val="24"/>
        </w:rPr>
        <w:t xml:space="preserve">the </w:t>
      </w:r>
      <w:r w:rsidR="00012C87" w:rsidRPr="009465B6">
        <w:rPr>
          <w:rFonts w:ascii="Arial" w:hAnsi="Arial" w:cs="Arial"/>
          <w:sz w:val="24"/>
          <w:szCs w:val="24"/>
        </w:rPr>
        <w:t>information. Businesses are restricted to comply with IFRS, GAAP, IAS</w:t>
      </w:r>
      <w:r w:rsidR="007560E7" w:rsidRPr="009465B6">
        <w:rPr>
          <w:rFonts w:ascii="Arial" w:hAnsi="Arial" w:cs="Arial"/>
          <w:sz w:val="24"/>
          <w:szCs w:val="24"/>
        </w:rPr>
        <w:t>, FASB, IASB</w:t>
      </w:r>
      <w:r w:rsidR="00012C87" w:rsidRPr="009465B6">
        <w:rPr>
          <w:rFonts w:ascii="Arial" w:hAnsi="Arial" w:cs="Arial"/>
          <w:sz w:val="24"/>
          <w:szCs w:val="24"/>
        </w:rPr>
        <w:t xml:space="preserve"> and other standards for managing the accounting information in the reports. </w:t>
      </w:r>
    </w:p>
    <w:p w14:paraId="2A4C83FE" w14:textId="0A50980B" w:rsidR="00012C87" w:rsidRPr="009465B6" w:rsidRDefault="00012C87" w:rsidP="003278B3">
      <w:pPr>
        <w:spacing w:line="360" w:lineRule="auto"/>
        <w:jc w:val="both"/>
        <w:rPr>
          <w:rFonts w:ascii="Arial" w:hAnsi="Arial" w:cs="Arial"/>
          <w:b/>
          <w:sz w:val="24"/>
          <w:szCs w:val="24"/>
        </w:rPr>
      </w:pPr>
      <w:r w:rsidRPr="009465B6">
        <w:rPr>
          <w:rFonts w:ascii="Arial" w:hAnsi="Arial" w:cs="Arial"/>
          <w:b/>
          <w:i/>
          <w:sz w:val="24"/>
          <w:szCs w:val="24"/>
        </w:rPr>
        <w:t>Benefits of regulated reporting regime</w:t>
      </w:r>
    </w:p>
    <w:p w14:paraId="54707C2B" w14:textId="77777777" w:rsidR="00012C87" w:rsidRPr="009465B6" w:rsidRDefault="00320A15" w:rsidP="003278B3">
      <w:pPr>
        <w:spacing w:line="360" w:lineRule="auto"/>
        <w:jc w:val="both"/>
        <w:rPr>
          <w:rFonts w:ascii="Arial" w:hAnsi="Arial" w:cs="Arial"/>
          <w:sz w:val="24"/>
          <w:szCs w:val="24"/>
        </w:rPr>
      </w:pPr>
      <w:r w:rsidRPr="009465B6">
        <w:rPr>
          <w:rFonts w:ascii="Arial" w:hAnsi="Arial" w:cs="Arial"/>
          <w:sz w:val="24"/>
          <w:szCs w:val="24"/>
        </w:rPr>
        <w:t>The biggest benefit of the regulated reporting regime for the businesses ensure</w:t>
      </w:r>
      <w:r w:rsidR="00C321B0" w:rsidRPr="009465B6">
        <w:rPr>
          <w:rFonts w:ascii="Arial" w:hAnsi="Arial" w:cs="Arial"/>
          <w:sz w:val="24"/>
          <w:szCs w:val="24"/>
        </w:rPr>
        <w:t>s</w:t>
      </w:r>
      <w:r w:rsidRPr="009465B6">
        <w:rPr>
          <w:rFonts w:ascii="Arial" w:hAnsi="Arial" w:cs="Arial"/>
          <w:sz w:val="24"/>
          <w:szCs w:val="24"/>
        </w:rPr>
        <w:t xml:space="preserve"> </w:t>
      </w:r>
      <w:r w:rsidR="00C321B0" w:rsidRPr="009465B6">
        <w:rPr>
          <w:rFonts w:ascii="Arial" w:hAnsi="Arial" w:cs="Arial"/>
          <w:sz w:val="24"/>
          <w:szCs w:val="24"/>
        </w:rPr>
        <w:t xml:space="preserve">an </w:t>
      </w:r>
      <w:r w:rsidRPr="009465B6">
        <w:rPr>
          <w:rFonts w:ascii="Arial" w:hAnsi="Arial" w:cs="Arial"/>
          <w:sz w:val="24"/>
          <w:szCs w:val="24"/>
        </w:rPr>
        <w:t xml:space="preserve">efficient market and this may generate equality for </w:t>
      </w:r>
      <w:r w:rsidR="00C321B0" w:rsidRPr="009465B6">
        <w:rPr>
          <w:rFonts w:ascii="Arial" w:hAnsi="Arial" w:cs="Arial"/>
          <w:sz w:val="24"/>
          <w:szCs w:val="24"/>
        </w:rPr>
        <w:t xml:space="preserve">the </w:t>
      </w:r>
      <w:r w:rsidRPr="009465B6">
        <w:rPr>
          <w:rFonts w:ascii="Arial" w:hAnsi="Arial" w:cs="Arial"/>
          <w:sz w:val="24"/>
          <w:szCs w:val="24"/>
        </w:rPr>
        <w:t xml:space="preserve">public and improve the benefits for </w:t>
      </w:r>
      <w:r w:rsidR="00C321B0" w:rsidRPr="009465B6">
        <w:rPr>
          <w:rFonts w:ascii="Arial" w:hAnsi="Arial" w:cs="Arial"/>
          <w:sz w:val="24"/>
          <w:szCs w:val="24"/>
        </w:rPr>
        <w:t xml:space="preserve">the </w:t>
      </w:r>
      <w:r w:rsidRPr="009465B6">
        <w:rPr>
          <w:rFonts w:ascii="Arial" w:hAnsi="Arial" w:cs="Arial"/>
          <w:sz w:val="24"/>
          <w:szCs w:val="24"/>
        </w:rPr>
        <w:t xml:space="preserve">public in the market. </w:t>
      </w:r>
      <w:r w:rsidR="00C321B0" w:rsidRPr="009465B6">
        <w:rPr>
          <w:rFonts w:ascii="Arial" w:hAnsi="Arial" w:cs="Arial"/>
          <w:sz w:val="24"/>
          <w:szCs w:val="24"/>
        </w:rPr>
        <w:t>From</w:t>
      </w:r>
      <w:r w:rsidRPr="009465B6">
        <w:rPr>
          <w:rFonts w:ascii="Arial" w:hAnsi="Arial" w:cs="Arial"/>
          <w:sz w:val="24"/>
          <w:szCs w:val="24"/>
        </w:rPr>
        <w:t xml:space="preserve"> </w:t>
      </w:r>
      <w:r w:rsidR="00C321B0" w:rsidRPr="009465B6">
        <w:rPr>
          <w:rFonts w:ascii="Arial" w:hAnsi="Arial" w:cs="Arial"/>
          <w:sz w:val="24"/>
          <w:szCs w:val="24"/>
        </w:rPr>
        <w:t xml:space="preserve">the </w:t>
      </w:r>
      <w:r w:rsidRPr="009465B6">
        <w:rPr>
          <w:rFonts w:ascii="Arial" w:hAnsi="Arial" w:cs="Arial"/>
          <w:sz w:val="24"/>
          <w:szCs w:val="24"/>
        </w:rPr>
        <w:t xml:space="preserve">perspective of the users, </w:t>
      </w:r>
      <w:r w:rsidR="00C321B0" w:rsidRPr="009465B6">
        <w:rPr>
          <w:rFonts w:ascii="Arial" w:hAnsi="Arial" w:cs="Arial"/>
          <w:sz w:val="24"/>
          <w:szCs w:val="24"/>
        </w:rPr>
        <w:t xml:space="preserve">a </w:t>
      </w:r>
      <w:r w:rsidRPr="009465B6">
        <w:rPr>
          <w:rFonts w:ascii="Arial" w:hAnsi="Arial" w:cs="Arial"/>
          <w:sz w:val="24"/>
          <w:szCs w:val="24"/>
        </w:rPr>
        <w:t>regulated reporting regime may ensure consistency in the accounting and financial statement</w:t>
      </w:r>
      <w:r w:rsidR="00C321B0" w:rsidRPr="009465B6">
        <w:rPr>
          <w:rFonts w:ascii="Arial" w:hAnsi="Arial" w:cs="Arial"/>
          <w:sz w:val="24"/>
          <w:szCs w:val="24"/>
        </w:rPr>
        <w:t>s</w:t>
      </w:r>
      <w:r w:rsidRPr="009465B6">
        <w:rPr>
          <w:rFonts w:ascii="Arial" w:hAnsi="Arial" w:cs="Arial"/>
          <w:sz w:val="24"/>
          <w:szCs w:val="24"/>
        </w:rPr>
        <w:t xml:space="preserve"> that can be helpful for </w:t>
      </w:r>
      <w:r w:rsidR="00C321B0" w:rsidRPr="009465B6">
        <w:rPr>
          <w:rFonts w:ascii="Arial" w:hAnsi="Arial" w:cs="Arial"/>
          <w:sz w:val="24"/>
          <w:szCs w:val="24"/>
        </w:rPr>
        <w:t xml:space="preserve">the </w:t>
      </w:r>
      <w:r w:rsidRPr="009465B6">
        <w:rPr>
          <w:rFonts w:ascii="Arial" w:hAnsi="Arial" w:cs="Arial"/>
          <w:sz w:val="24"/>
          <w:szCs w:val="24"/>
        </w:rPr>
        <w:t>public to easily compare and find the actual results in the reports</w:t>
      </w:r>
      <w:r w:rsidR="00E81CD0" w:rsidRPr="009465B6">
        <w:rPr>
          <w:rFonts w:ascii="Arial" w:hAnsi="Arial" w:cs="Arial"/>
          <w:sz w:val="24"/>
          <w:szCs w:val="24"/>
        </w:rPr>
        <w:t xml:space="preserve"> (</w:t>
      </w:r>
      <w:r w:rsidR="00E81CD0" w:rsidRPr="009465B6">
        <w:rPr>
          <w:rFonts w:ascii="Arial" w:hAnsi="Arial" w:cs="Arial"/>
          <w:color w:val="222222"/>
          <w:sz w:val="24"/>
          <w:szCs w:val="24"/>
          <w:shd w:val="clear" w:color="auto" w:fill="FFFFFF"/>
        </w:rPr>
        <w:t>Flower and Ebbers, 2018)</w:t>
      </w:r>
      <w:r w:rsidRPr="009465B6">
        <w:rPr>
          <w:rFonts w:ascii="Arial" w:hAnsi="Arial" w:cs="Arial"/>
          <w:sz w:val="24"/>
          <w:szCs w:val="24"/>
        </w:rPr>
        <w:t xml:space="preserve">. It </w:t>
      </w:r>
      <w:r w:rsidR="00DF69F2" w:rsidRPr="009465B6">
        <w:rPr>
          <w:rFonts w:ascii="Arial" w:hAnsi="Arial" w:cs="Arial"/>
          <w:sz w:val="24"/>
          <w:szCs w:val="24"/>
        </w:rPr>
        <w:t>improves</w:t>
      </w:r>
      <w:r w:rsidRPr="009465B6">
        <w:rPr>
          <w:rFonts w:ascii="Arial" w:hAnsi="Arial" w:cs="Arial"/>
          <w:sz w:val="24"/>
          <w:szCs w:val="24"/>
        </w:rPr>
        <w:t xml:space="preserve"> effectiveness in their decision. </w:t>
      </w:r>
      <w:r w:rsidR="00DF69F2" w:rsidRPr="009465B6">
        <w:rPr>
          <w:rFonts w:ascii="Arial" w:hAnsi="Arial" w:cs="Arial"/>
          <w:sz w:val="24"/>
          <w:szCs w:val="24"/>
        </w:rPr>
        <w:t xml:space="preserve">The regulatory regime for reporting may make something mandatory to be reported to </w:t>
      </w:r>
      <w:r w:rsidR="00C321B0" w:rsidRPr="009465B6">
        <w:rPr>
          <w:rFonts w:ascii="Arial" w:hAnsi="Arial" w:cs="Arial"/>
          <w:sz w:val="24"/>
          <w:szCs w:val="24"/>
        </w:rPr>
        <w:t xml:space="preserve">the </w:t>
      </w:r>
      <w:r w:rsidR="00DF69F2" w:rsidRPr="009465B6">
        <w:rPr>
          <w:rFonts w:ascii="Arial" w:hAnsi="Arial" w:cs="Arial"/>
          <w:sz w:val="24"/>
          <w:szCs w:val="24"/>
        </w:rPr>
        <w:t xml:space="preserve">general public and stakeholder and this may ensure </w:t>
      </w:r>
      <w:r w:rsidR="00C321B0" w:rsidRPr="009465B6">
        <w:rPr>
          <w:rFonts w:ascii="Arial" w:hAnsi="Arial" w:cs="Arial"/>
          <w:sz w:val="24"/>
          <w:szCs w:val="24"/>
        </w:rPr>
        <w:t xml:space="preserve">the </w:t>
      </w:r>
      <w:r w:rsidR="00DF69F2" w:rsidRPr="009465B6">
        <w:rPr>
          <w:rFonts w:ascii="Arial" w:hAnsi="Arial" w:cs="Arial"/>
          <w:sz w:val="24"/>
          <w:szCs w:val="24"/>
        </w:rPr>
        <w:t xml:space="preserve">protection of the public from being cheated. </w:t>
      </w:r>
      <w:r w:rsidR="00C321B0" w:rsidRPr="009465B6">
        <w:rPr>
          <w:rFonts w:ascii="Arial" w:hAnsi="Arial" w:cs="Arial"/>
          <w:sz w:val="24"/>
          <w:szCs w:val="24"/>
        </w:rPr>
        <w:t>From</w:t>
      </w:r>
      <w:r w:rsidR="007560E7" w:rsidRPr="009465B6">
        <w:rPr>
          <w:rFonts w:ascii="Arial" w:hAnsi="Arial" w:cs="Arial"/>
          <w:sz w:val="24"/>
          <w:szCs w:val="24"/>
        </w:rPr>
        <w:t xml:space="preserve"> </w:t>
      </w:r>
      <w:r w:rsidR="00C321B0" w:rsidRPr="009465B6">
        <w:rPr>
          <w:rFonts w:ascii="Arial" w:hAnsi="Arial" w:cs="Arial"/>
          <w:sz w:val="24"/>
          <w:szCs w:val="24"/>
        </w:rPr>
        <w:t xml:space="preserve">the </w:t>
      </w:r>
      <w:r w:rsidR="007560E7" w:rsidRPr="009465B6">
        <w:rPr>
          <w:rFonts w:ascii="Arial" w:hAnsi="Arial" w:cs="Arial"/>
          <w:sz w:val="24"/>
          <w:szCs w:val="24"/>
        </w:rPr>
        <w:t xml:space="preserve">perspective of preparers of </w:t>
      </w:r>
      <w:r w:rsidR="00C321B0" w:rsidRPr="009465B6">
        <w:rPr>
          <w:rFonts w:ascii="Arial" w:hAnsi="Arial" w:cs="Arial"/>
          <w:sz w:val="24"/>
          <w:szCs w:val="24"/>
        </w:rPr>
        <w:t xml:space="preserve">the </w:t>
      </w:r>
      <w:r w:rsidR="007560E7" w:rsidRPr="009465B6">
        <w:rPr>
          <w:rFonts w:ascii="Arial" w:hAnsi="Arial" w:cs="Arial"/>
          <w:sz w:val="24"/>
          <w:szCs w:val="24"/>
        </w:rPr>
        <w:t xml:space="preserve">report, regulated regime and compliance with standards such as IFRS would enable the company to follow similar regular across the world while conducting accounting practices. It would improve the efficiency and reduce the time and cost of the company in preparation </w:t>
      </w:r>
      <w:r w:rsidR="00C321B0" w:rsidRPr="009465B6">
        <w:rPr>
          <w:rFonts w:ascii="Arial" w:hAnsi="Arial" w:cs="Arial"/>
          <w:sz w:val="24"/>
          <w:szCs w:val="24"/>
        </w:rPr>
        <w:t>for</w:t>
      </w:r>
      <w:r w:rsidR="007560E7" w:rsidRPr="009465B6">
        <w:rPr>
          <w:rFonts w:ascii="Arial" w:hAnsi="Arial" w:cs="Arial"/>
          <w:sz w:val="24"/>
          <w:szCs w:val="24"/>
        </w:rPr>
        <w:t xml:space="preserve"> the statements. </w:t>
      </w:r>
    </w:p>
    <w:p w14:paraId="7A584FBD" w14:textId="140D297C" w:rsidR="00012C87" w:rsidRPr="009465B6" w:rsidRDefault="00012C87" w:rsidP="003278B3">
      <w:pPr>
        <w:spacing w:line="360" w:lineRule="auto"/>
        <w:jc w:val="both"/>
        <w:rPr>
          <w:rFonts w:ascii="Arial" w:hAnsi="Arial" w:cs="Arial"/>
          <w:sz w:val="24"/>
          <w:szCs w:val="24"/>
        </w:rPr>
      </w:pPr>
      <w:r w:rsidRPr="009465B6">
        <w:rPr>
          <w:rFonts w:ascii="Arial" w:hAnsi="Arial" w:cs="Arial"/>
          <w:b/>
          <w:i/>
          <w:sz w:val="24"/>
          <w:szCs w:val="24"/>
        </w:rPr>
        <w:t>Limitations of regulated reporting regime</w:t>
      </w:r>
    </w:p>
    <w:p w14:paraId="28F808DD" w14:textId="77777777" w:rsidR="007560E7" w:rsidRPr="009465B6" w:rsidRDefault="00C321B0" w:rsidP="003278B3">
      <w:pPr>
        <w:spacing w:line="360" w:lineRule="auto"/>
        <w:jc w:val="both"/>
        <w:rPr>
          <w:rFonts w:ascii="Arial" w:hAnsi="Arial" w:cs="Arial"/>
          <w:sz w:val="24"/>
          <w:szCs w:val="24"/>
        </w:rPr>
      </w:pPr>
      <w:r w:rsidRPr="009465B6">
        <w:rPr>
          <w:rFonts w:ascii="Arial" w:hAnsi="Arial" w:cs="Arial"/>
          <w:sz w:val="24"/>
          <w:szCs w:val="24"/>
        </w:rPr>
        <w:t>A h</w:t>
      </w:r>
      <w:r w:rsidR="00A44639" w:rsidRPr="009465B6">
        <w:rPr>
          <w:rFonts w:ascii="Arial" w:hAnsi="Arial" w:cs="Arial"/>
          <w:sz w:val="24"/>
          <w:szCs w:val="24"/>
        </w:rPr>
        <w:t>ighly regulated reporting regime may affect the flexibility of the company to adjust any changes and to make adjustment</w:t>
      </w:r>
      <w:r w:rsidRPr="009465B6">
        <w:rPr>
          <w:rFonts w:ascii="Arial" w:hAnsi="Arial" w:cs="Arial"/>
          <w:sz w:val="24"/>
          <w:szCs w:val="24"/>
        </w:rPr>
        <w:t>s</w:t>
      </w:r>
      <w:r w:rsidR="00A44639" w:rsidRPr="009465B6">
        <w:rPr>
          <w:rFonts w:ascii="Arial" w:hAnsi="Arial" w:cs="Arial"/>
          <w:sz w:val="24"/>
          <w:szCs w:val="24"/>
        </w:rPr>
        <w:t xml:space="preserve">. It can be costly for small businesses in the market to afford </w:t>
      </w:r>
      <w:r w:rsidRPr="009465B6">
        <w:rPr>
          <w:rFonts w:ascii="Arial" w:hAnsi="Arial" w:cs="Arial"/>
          <w:sz w:val="24"/>
          <w:szCs w:val="24"/>
        </w:rPr>
        <w:t xml:space="preserve">a </w:t>
      </w:r>
      <w:r w:rsidR="00A44639" w:rsidRPr="009465B6">
        <w:rPr>
          <w:rFonts w:ascii="Arial" w:hAnsi="Arial" w:cs="Arial"/>
          <w:sz w:val="24"/>
          <w:szCs w:val="24"/>
        </w:rPr>
        <w:t>highly regulated regime for accounting and reporting</w:t>
      </w:r>
      <w:r w:rsidR="0044725C" w:rsidRPr="009465B6">
        <w:rPr>
          <w:rFonts w:ascii="Arial" w:hAnsi="Arial" w:cs="Arial"/>
          <w:sz w:val="24"/>
          <w:szCs w:val="24"/>
        </w:rPr>
        <w:t xml:space="preserve"> (</w:t>
      </w:r>
      <w:r w:rsidR="0044725C" w:rsidRPr="009465B6">
        <w:rPr>
          <w:rFonts w:ascii="Arial" w:hAnsi="Arial" w:cs="Arial"/>
          <w:color w:val="222222"/>
          <w:sz w:val="24"/>
          <w:szCs w:val="24"/>
          <w:shd w:val="clear" w:color="auto" w:fill="FFFFFF"/>
        </w:rPr>
        <w:t>Ahmed et al., 2013)</w:t>
      </w:r>
      <w:r w:rsidR="00A44639" w:rsidRPr="009465B6">
        <w:rPr>
          <w:rFonts w:ascii="Arial" w:hAnsi="Arial" w:cs="Arial"/>
          <w:sz w:val="24"/>
          <w:szCs w:val="24"/>
        </w:rPr>
        <w:t>. The regulatory regime may affect the firms to provide actual information because it can make mandatory something that may influence the investment in the firm. Too many regulations of accounting and financial reporting may cause loss and this may lead</w:t>
      </w:r>
      <w:r w:rsidRPr="009465B6">
        <w:rPr>
          <w:rFonts w:ascii="Arial" w:hAnsi="Arial" w:cs="Arial"/>
          <w:sz w:val="24"/>
          <w:szCs w:val="24"/>
        </w:rPr>
        <w:t xml:space="preserve"> to</w:t>
      </w:r>
      <w:r w:rsidR="00A44639" w:rsidRPr="009465B6">
        <w:rPr>
          <w:rFonts w:ascii="Arial" w:hAnsi="Arial" w:cs="Arial"/>
          <w:sz w:val="24"/>
          <w:szCs w:val="24"/>
        </w:rPr>
        <w:t xml:space="preserve"> conflicts. For example, fair value accounting may affect the profitability of the firms by reducing the cost of the </w:t>
      </w:r>
      <w:r w:rsidR="00486659" w:rsidRPr="009465B6">
        <w:rPr>
          <w:rFonts w:ascii="Arial" w:hAnsi="Arial" w:cs="Arial"/>
          <w:sz w:val="24"/>
          <w:szCs w:val="24"/>
        </w:rPr>
        <w:t xml:space="preserve">assets over the years. </w:t>
      </w:r>
    </w:p>
    <w:p w14:paraId="4E78BBDC" w14:textId="2566AF43" w:rsidR="003C63C9" w:rsidRDefault="00B521D4" w:rsidP="00B521D4">
      <w:pPr>
        <w:pStyle w:val="Heading2"/>
        <w:rPr>
          <w:rFonts w:ascii="Arial" w:hAnsi="Arial" w:cs="Arial"/>
          <w:sz w:val="24"/>
          <w:szCs w:val="24"/>
        </w:rPr>
      </w:pPr>
      <w:bookmarkStart w:id="5" w:name="_Toc46062888"/>
      <w:r w:rsidRPr="009465B6">
        <w:rPr>
          <w:rFonts w:ascii="Arial" w:hAnsi="Arial" w:cs="Arial"/>
          <w:sz w:val="24"/>
          <w:szCs w:val="24"/>
        </w:rPr>
        <w:t>Financial Statements’ Limitation</w:t>
      </w:r>
      <w:bookmarkEnd w:id="5"/>
    </w:p>
    <w:p w14:paraId="6F5E5888" w14:textId="77777777" w:rsidR="009465B6" w:rsidRPr="009465B6" w:rsidRDefault="009465B6" w:rsidP="009465B6"/>
    <w:p w14:paraId="08CBBBE5" w14:textId="77777777" w:rsidR="00B521D4" w:rsidRPr="009465B6" w:rsidRDefault="00B521D4" w:rsidP="003278B3">
      <w:pPr>
        <w:spacing w:line="360" w:lineRule="auto"/>
        <w:jc w:val="both"/>
        <w:rPr>
          <w:rFonts w:ascii="Arial" w:hAnsi="Arial" w:cs="Arial"/>
          <w:sz w:val="24"/>
          <w:szCs w:val="24"/>
        </w:rPr>
      </w:pPr>
      <w:r w:rsidRPr="009465B6">
        <w:rPr>
          <w:rFonts w:ascii="Arial" w:hAnsi="Arial" w:cs="Arial"/>
          <w:sz w:val="24"/>
          <w:szCs w:val="24"/>
        </w:rPr>
        <w:lastRenderedPageBreak/>
        <w:t>Financial statements are the kinds of reports presented in the annual report of the firm to offer financial information regarding profit or loss, assets or liabilities</w:t>
      </w:r>
      <w:r w:rsidR="00C321B0" w:rsidRPr="009465B6">
        <w:rPr>
          <w:rFonts w:ascii="Arial" w:hAnsi="Arial" w:cs="Arial"/>
          <w:sz w:val="24"/>
          <w:szCs w:val="24"/>
        </w:rPr>
        <w:t>,</w:t>
      </w:r>
      <w:r w:rsidRPr="009465B6">
        <w:rPr>
          <w:rFonts w:ascii="Arial" w:hAnsi="Arial" w:cs="Arial"/>
          <w:sz w:val="24"/>
          <w:szCs w:val="24"/>
        </w:rPr>
        <w:t xml:space="preserve"> and cash flows. </w:t>
      </w:r>
      <w:r w:rsidR="00D66950" w:rsidRPr="009465B6">
        <w:rPr>
          <w:rFonts w:ascii="Arial" w:hAnsi="Arial" w:cs="Arial"/>
          <w:sz w:val="24"/>
          <w:szCs w:val="24"/>
        </w:rPr>
        <w:t>There are different kinds of the statement of finance such as income, financial position, cash flow</w:t>
      </w:r>
      <w:r w:rsidR="00B404F2" w:rsidRPr="009465B6">
        <w:rPr>
          <w:rFonts w:ascii="Arial" w:hAnsi="Arial" w:cs="Arial"/>
          <w:sz w:val="24"/>
          <w:szCs w:val="24"/>
        </w:rPr>
        <w:t>,</w:t>
      </w:r>
      <w:r w:rsidR="00D66950" w:rsidRPr="009465B6">
        <w:rPr>
          <w:rFonts w:ascii="Arial" w:hAnsi="Arial" w:cs="Arial"/>
          <w:sz w:val="24"/>
          <w:szCs w:val="24"/>
        </w:rPr>
        <w:t xml:space="preserve"> and change in equity. </w:t>
      </w:r>
    </w:p>
    <w:p w14:paraId="0AF3F2EC" w14:textId="77777777" w:rsidR="00453255" w:rsidRPr="009465B6" w:rsidRDefault="00453255" w:rsidP="003278B3">
      <w:pPr>
        <w:spacing w:line="360" w:lineRule="auto"/>
        <w:jc w:val="both"/>
        <w:rPr>
          <w:rFonts w:ascii="Arial" w:hAnsi="Arial" w:cs="Arial"/>
          <w:sz w:val="24"/>
          <w:szCs w:val="24"/>
        </w:rPr>
      </w:pPr>
      <w:r w:rsidRPr="009465B6">
        <w:rPr>
          <w:rFonts w:ascii="Arial" w:hAnsi="Arial" w:cs="Arial"/>
          <w:sz w:val="24"/>
          <w:szCs w:val="24"/>
        </w:rPr>
        <w:t xml:space="preserve">Financial statements play a vital role in reporting necessary information to the stakeholder of the firm to assist them </w:t>
      </w:r>
      <w:r w:rsidR="00B404F2" w:rsidRPr="009465B6">
        <w:rPr>
          <w:rFonts w:ascii="Arial" w:hAnsi="Arial" w:cs="Arial"/>
          <w:sz w:val="24"/>
          <w:szCs w:val="24"/>
        </w:rPr>
        <w:t xml:space="preserve">in </w:t>
      </w:r>
      <w:r w:rsidRPr="009465B6">
        <w:rPr>
          <w:rFonts w:ascii="Arial" w:hAnsi="Arial" w:cs="Arial"/>
          <w:sz w:val="24"/>
          <w:szCs w:val="24"/>
        </w:rPr>
        <w:t xml:space="preserve">making </w:t>
      </w:r>
      <w:r w:rsidR="00B404F2" w:rsidRPr="009465B6">
        <w:rPr>
          <w:rFonts w:ascii="Arial" w:hAnsi="Arial" w:cs="Arial"/>
          <w:sz w:val="24"/>
          <w:szCs w:val="24"/>
        </w:rPr>
        <w:t xml:space="preserve">a </w:t>
      </w:r>
      <w:r w:rsidRPr="009465B6">
        <w:rPr>
          <w:rFonts w:ascii="Arial" w:hAnsi="Arial" w:cs="Arial"/>
          <w:sz w:val="24"/>
          <w:szCs w:val="24"/>
        </w:rPr>
        <w:t xml:space="preserve">good decision for the investment. The information presented in the financial statements </w:t>
      </w:r>
      <w:r w:rsidR="00B404F2" w:rsidRPr="009465B6">
        <w:rPr>
          <w:rFonts w:ascii="Arial" w:hAnsi="Arial" w:cs="Arial"/>
          <w:sz w:val="24"/>
          <w:szCs w:val="24"/>
        </w:rPr>
        <w:t>is</w:t>
      </w:r>
      <w:r w:rsidRPr="009465B6">
        <w:rPr>
          <w:rFonts w:ascii="Arial" w:hAnsi="Arial" w:cs="Arial"/>
          <w:sz w:val="24"/>
          <w:szCs w:val="24"/>
        </w:rPr>
        <w:t xml:space="preserve"> not exact but they are approximate</w:t>
      </w:r>
      <w:r w:rsidR="00B404F2" w:rsidRPr="009465B6">
        <w:rPr>
          <w:rFonts w:ascii="Arial" w:hAnsi="Arial" w:cs="Arial"/>
          <w:sz w:val="24"/>
          <w:szCs w:val="24"/>
        </w:rPr>
        <w:t>d</w:t>
      </w:r>
      <w:r w:rsidRPr="009465B6">
        <w:rPr>
          <w:rFonts w:ascii="Arial" w:hAnsi="Arial" w:cs="Arial"/>
          <w:sz w:val="24"/>
          <w:szCs w:val="24"/>
        </w:rPr>
        <w:t>. The costs are allocated based on personal judgment of the managers in the company and they comprise of the contingent liabilities and assets that make the statements imprecise</w:t>
      </w:r>
      <w:r w:rsidR="009019D6" w:rsidRPr="009465B6">
        <w:rPr>
          <w:rFonts w:ascii="Arial" w:hAnsi="Arial" w:cs="Arial"/>
          <w:sz w:val="24"/>
          <w:szCs w:val="24"/>
        </w:rPr>
        <w:t xml:space="preserve"> (</w:t>
      </w:r>
      <w:r w:rsidR="009019D6" w:rsidRPr="009465B6">
        <w:rPr>
          <w:rFonts w:ascii="Arial" w:hAnsi="Arial" w:cs="Arial"/>
          <w:color w:val="222222"/>
          <w:sz w:val="24"/>
          <w:szCs w:val="24"/>
          <w:shd w:val="clear" w:color="auto" w:fill="FFFFFF"/>
        </w:rPr>
        <w:t>Brigham and Houston, 2012)</w:t>
      </w:r>
      <w:r w:rsidRPr="009465B6">
        <w:rPr>
          <w:rFonts w:ascii="Arial" w:hAnsi="Arial" w:cs="Arial"/>
          <w:sz w:val="24"/>
          <w:szCs w:val="24"/>
        </w:rPr>
        <w:t xml:space="preserve">. The rules, methods and conventions are applied in </w:t>
      </w:r>
      <w:r w:rsidR="00B404F2" w:rsidRPr="009465B6">
        <w:rPr>
          <w:rFonts w:ascii="Arial" w:hAnsi="Arial" w:cs="Arial"/>
          <w:sz w:val="24"/>
          <w:szCs w:val="24"/>
        </w:rPr>
        <w:t xml:space="preserve">the </w:t>
      </w:r>
      <w:r w:rsidRPr="009465B6">
        <w:rPr>
          <w:rFonts w:ascii="Arial" w:hAnsi="Arial" w:cs="Arial"/>
          <w:sz w:val="24"/>
          <w:szCs w:val="24"/>
        </w:rPr>
        <w:t>preparation of accounts and financial statements but sometime</w:t>
      </w:r>
      <w:r w:rsidR="00B404F2" w:rsidRPr="009465B6">
        <w:rPr>
          <w:rFonts w:ascii="Arial" w:hAnsi="Arial" w:cs="Arial"/>
          <w:sz w:val="24"/>
          <w:szCs w:val="24"/>
        </w:rPr>
        <w:t>s</w:t>
      </w:r>
      <w:r w:rsidRPr="009465B6">
        <w:rPr>
          <w:rFonts w:ascii="Arial" w:hAnsi="Arial" w:cs="Arial"/>
          <w:sz w:val="24"/>
          <w:szCs w:val="24"/>
        </w:rPr>
        <w:t xml:space="preserve"> the experience can be used by the accountants. This may influence the quality and accuracy </w:t>
      </w:r>
      <w:r w:rsidR="00B404F2" w:rsidRPr="009465B6">
        <w:rPr>
          <w:rFonts w:ascii="Arial" w:hAnsi="Arial" w:cs="Arial"/>
          <w:sz w:val="24"/>
          <w:szCs w:val="24"/>
        </w:rPr>
        <w:t>of</w:t>
      </w:r>
      <w:r w:rsidRPr="009465B6">
        <w:rPr>
          <w:rFonts w:ascii="Arial" w:hAnsi="Arial" w:cs="Arial"/>
          <w:sz w:val="24"/>
          <w:szCs w:val="24"/>
        </w:rPr>
        <w:t xml:space="preserve"> brief information. </w:t>
      </w:r>
    </w:p>
    <w:p w14:paraId="5F18FA3A" w14:textId="11774648" w:rsidR="00263040" w:rsidRPr="009465B6" w:rsidRDefault="00B404F2" w:rsidP="009465B6">
      <w:pPr>
        <w:spacing w:line="360" w:lineRule="auto"/>
        <w:jc w:val="both"/>
        <w:rPr>
          <w:rFonts w:ascii="Arial" w:hAnsi="Arial" w:cs="Arial"/>
          <w:sz w:val="24"/>
          <w:szCs w:val="24"/>
        </w:rPr>
      </w:pPr>
      <w:r w:rsidRPr="009465B6">
        <w:rPr>
          <w:rFonts w:ascii="Arial" w:hAnsi="Arial" w:cs="Arial"/>
          <w:sz w:val="24"/>
          <w:szCs w:val="24"/>
        </w:rPr>
        <w:t>The f</w:t>
      </w:r>
      <w:r w:rsidR="00973F91" w:rsidRPr="009465B6">
        <w:rPr>
          <w:rFonts w:ascii="Arial" w:hAnsi="Arial" w:cs="Arial"/>
          <w:sz w:val="24"/>
          <w:szCs w:val="24"/>
        </w:rPr>
        <w:t xml:space="preserve">inancial statement </w:t>
      </w:r>
      <w:r w:rsidR="00072E95" w:rsidRPr="009465B6">
        <w:rPr>
          <w:rFonts w:ascii="Arial" w:hAnsi="Arial" w:cs="Arial"/>
          <w:sz w:val="24"/>
          <w:szCs w:val="24"/>
        </w:rPr>
        <w:t>provides financial data and information only but does not include the information regarding non-financial performance and factors influencing the performance of the firm</w:t>
      </w:r>
      <w:r w:rsidR="000C317D" w:rsidRPr="009465B6">
        <w:rPr>
          <w:rFonts w:ascii="Arial" w:hAnsi="Arial" w:cs="Arial"/>
          <w:sz w:val="24"/>
          <w:szCs w:val="24"/>
        </w:rPr>
        <w:t xml:space="preserve"> (Accounting Tools, 2018)</w:t>
      </w:r>
      <w:r w:rsidR="00072E95" w:rsidRPr="009465B6">
        <w:rPr>
          <w:rFonts w:ascii="Arial" w:hAnsi="Arial" w:cs="Arial"/>
          <w:sz w:val="24"/>
          <w:szCs w:val="24"/>
        </w:rPr>
        <w:t xml:space="preserve">. </w:t>
      </w:r>
      <w:r w:rsidR="008778C4" w:rsidRPr="009465B6">
        <w:rPr>
          <w:rFonts w:ascii="Arial" w:hAnsi="Arial" w:cs="Arial"/>
          <w:sz w:val="24"/>
          <w:szCs w:val="24"/>
        </w:rPr>
        <w:t xml:space="preserve">It does not include information regarding employee productivity, customer relationship, employee turnover and others which may affect the operation and financial performance of </w:t>
      </w:r>
      <w:r w:rsidRPr="009465B6">
        <w:rPr>
          <w:rFonts w:ascii="Arial" w:hAnsi="Arial" w:cs="Arial"/>
          <w:sz w:val="24"/>
          <w:szCs w:val="24"/>
        </w:rPr>
        <w:t xml:space="preserve">the </w:t>
      </w:r>
      <w:r w:rsidR="008778C4" w:rsidRPr="009465B6">
        <w:rPr>
          <w:rFonts w:ascii="Arial" w:hAnsi="Arial" w:cs="Arial"/>
          <w:sz w:val="24"/>
          <w:szCs w:val="24"/>
        </w:rPr>
        <w:t xml:space="preserve">enterprise. </w:t>
      </w:r>
      <w:r w:rsidR="00263040" w:rsidRPr="009465B6">
        <w:rPr>
          <w:rFonts w:ascii="Arial" w:hAnsi="Arial" w:cs="Arial"/>
          <w:sz w:val="24"/>
          <w:szCs w:val="24"/>
        </w:rPr>
        <w:br w:type="page"/>
      </w:r>
    </w:p>
    <w:p w14:paraId="5C4473E9" w14:textId="3275713A" w:rsidR="00973F91" w:rsidRDefault="00263040" w:rsidP="00263040">
      <w:pPr>
        <w:pStyle w:val="Heading1"/>
        <w:rPr>
          <w:rFonts w:ascii="Arial" w:hAnsi="Arial" w:cs="Arial"/>
          <w:sz w:val="24"/>
          <w:szCs w:val="24"/>
        </w:rPr>
      </w:pPr>
      <w:bookmarkStart w:id="6" w:name="_Toc46062889"/>
      <w:r w:rsidRPr="009465B6">
        <w:rPr>
          <w:rFonts w:ascii="Arial" w:hAnsi="Arial" w:cs="Arial"/>
          <w:sz w:val="24"/>
          <w:szCs w:val="24"/>
        </w:rPr>
        <w:lastRenderedPageBreak/>
        <w:t>References</w:t>
      </w:r>
      <w:bookmarkEnd w:id="6"/>
    </w:p>
    <w:p w14:paraId="5E857E22" w14:textId="77777777" w:rsidR="009465B6" w:rsidRPr="009465B6" w:rsidRDefault="009465B6" w:rsidP="009465B6"/>
    <w:p w14:paraId="491FA09D" w14:textId="77777777" w:rsidR="00F76FF6" w:rsidRPr="009465B6" w:rsidRDefault="00F76FF6" w:rsidP="00732CC1">
      <w:pPr>
        <w:spacing w:line="360" w:lineRule="auto"/>
        <w:ind w:left="720" w:hanging="720"/>
        <w:rPr>
          <w:rFonts w:ascii="Arial" w:hAnsi="Arial" w:cs="Arial"/>
          <w:sz w:val="24"/>
          <w:szCs w:val="24"/>
        </w:rPr>
      </w:pPr>
      <w:r w:rsidRPr="009465B6">
        <w:rPr>
          <w:rFonts w:ascii="Arial" w:hAnsi="Arial" w:cs="Arial"/>
          <w:sz w:val="24"/>
          <w:szCs w:val="24"/>
        </w:rPr>
        <w:t xml:space="preserve">Accounting Tools (2018) </w:t>
      </w:r>
      <w:r w:rsidRPr="009465B6">
        <w:rPr>
          <w:rFonts w:ascii="Arial" w:hAnsi="Arial" w:cs="Arial"/>
          <w:i/>
          <w:sz w:val="24"/>
          <w:szCs w:val="24"/>
        </w:rPr>
        <w:t>Limitations of Financial Statements</w:t>
      </w:r>
      <w:r w:rsidRPr="009465B6">
        <w:rPr>
          <w:rFonts w:ascii="Arial" w:hAnsi="Arial" w:cs="Arial"/>
          <w:sz w:val="24"/>
          <w:szCs w:val="24"/>
        </w:rPr>
        <w:t xml:space="preserve">. [Online] Available at: </w:t>
      </w:r>
      <w:hyperlink r:id="rId12" w:history="1">
        <w:r w:rsidRPr="009465B6">
          <w:rPr>
            <w:rStyle w:val="Hyperlink"/>
            <w:rFonts w:ascii="Arial" w:hAnsi="Arial" w:cs="Arial"/>
            <w:color w:val="auto"/>
            <w:sz w:val="24"/>
            <w:szCs w:val="24"/>
            <w:u w:val="none"/>
          </w:rPr>
          <w:t>https://www.accountingtools.com/articles/limitations-of-financial-statements.html</w:t>
        </w:r>
      </w:hyperlink>
      <w:r w:rsidRPr="009465B6">
        <w:rPr>
          <w:rFonts w:ascii="Arial" w:hAnsi="Arial" w:cs="Arial"/>
          <w:sz w:val="24"/>
          <w:szCs w:val="24"/>
        </w:rPr>
        <w:t xml:space="preserve">  (Accessed: 19 July 2020). </w:t>
      </w:r>
    </w:p>
    <w:p w14:paraId="5D61813F" w14:textId="77777777" w:rsidR="00F76FF6" w:rsidRPr="009465B6" w:rsidRDefault="00F76FF6" w:rsidP="00732CC1">
      <w:pPr>
        <w:spacing w:line="360" w:lineRule="auto"/>
        <w:ind w:left="720" w:hanging="720"/>
        <w:rPr>
          <w:rFonts w:ascii="Arial" w:hAnsi="Arial" w:cs="Arial"/>
          <w:sz w:val="24"/>
          <w:szCs w:val="24"/>
        </w:rPr>
      </w:pPr>
      <w:r w:rsidRPr="009465B6">
        <w:rPr>
          <w:rFonts w:ascii="Arial" w:hAnsi="Arial" w:cs="Arial"/>
          <w:sz w:val="24"/>
          <w:szCs w:val="24"/>
          <w:shd w:val="clear" w:color="auto" w:fill="FFFFFF"/>
        </w:rPr>
        <w:t xml:space="preserve">Ahmed, K., Chalmers, K., and </w:t>
      </w:r>
      <w:proofErr w:type="spellStart"/>
      <w:r w:rsidRPr="009465B6">
        <w:rPr>
          <w:rFonts w:ascii="Arial" w:hAnsi="Arial" w:cs="Arial"/>
          <w:sz w:val="24"/>
          <w:szCs w:val="24"/>
          <w:shd w:val="clear" w:color="auto" w:fill="FFFFFF"/>
        </w:rPr>
        <w:t>Khlif</w:t>
      </w:r>
      <w:proofErr w:type="spellEnd"/>
      <w:r w:rsidRPr="009465B6">
        <w:rPr>
          <w:rFonts w:ascii="Arial" w:hAnsi="Arial" w:cs="Arial"/>
          <w:sz w:val="24"/>
          <w:szCs w:val="24"/>
          <w:shd w:val="clear" w:color="auto" w:fill="FFFFFF"/>
        </w:rPr>
        <w:t>, H. (2013) A meta-analysis of IFRS adoption effects. </w:t>
      </w:r>
      <w:r w:rsidRPr="009465B6">
        <w:rPr>
          <w:rFonts w:ascii="Arial" w:hAnsi="Arial" w:cs="Arial"/>
          <w:i/>
          <w:iCs/>
          <w:sz w:val="24"/>
          <w:szCs w:val="24"/>
          <w:shd w:val="clear" w:color="auto" w:fill="FFFFFF"/>
        </w:rPr>
        <w:t>The International Journal of Accounting</w:t>
      </w:r>
      <w:r w:rsidRPr="009465B6">
        <w:rPr>
          <w:rFonts w:ascii="Arial" w:hAnsi="Arial" w:cs="Arial"/>
          <w:sz w:val="24"/>
          <w:szCs w:val="24"/>
          <w:shd w:val="clear" w:color="auto" w:fill="FFFFFF"/>
        </w:rPr>
        <w:t>, </w:t>
      </w:r>
      <w:r w:rsidRPr="009465B6">
        <w:rPr>
          <w:rFonts w:ascii="Arial" w:hAnsi="Arial" w:cs="Arial"/>
          <w:i/>
          <w:iCs/>
          <w:sz w:val="24"/>
          <w:szCs w:val="24"/>
          <w:shd w:val="clear" w:color="auto" w:fill="FFFFFF"/>
        </w:rPr>
        <w:t>48</w:t>
      </w:r>
      <w:r w:rsidRPr="009465B6">
        <w:rPr>
          <w:rFonts w:ascii="Arial" w:hAnsi="Arial" w:cs="Arial"/>
          <w:sz w:val="24"/>
          <w:szCs w:val="24"/>
          <w:shd w:val="clear" w:color="auto" w:fill="FFFFFF"/>
        </w:rPr>
        <w:t>(2), 173-217.</w:t>
      </w:r>
    </w:p>
    <w:p w14:paraId="00A84268" w14:textId="77777777" w:rsidR="00F76FF6" w:rsidRPr="009465B6" w:rsidRDefault="00F76FF6" w:rsidP="00732CC1">
      <w:pPr>
        <w:spacing w:line="360" w:lineRule="auto"/>
        <w:ind w:left="720" w:hanging="720"/>
        <w:jc w:val="both"/>
        <w:rPr>
          <w:rFonts w:ascii="Arial" w:hAnsi="Arial" w:cs="Arial"/>
          <w:sz w:val="24"/>
          <w:szCs w:val="24"/>
          <w:shd w:val="clear" w:color="auto" w:fill="FFFFFF"/>
        </w:rPr>
      </w:pPr>
      <w:r w:rsidRPr="009465B6">
        <w:rPr>
          <w:rFonts w:ascii="Arial" w:hAnsi="Arial" w:cs="Arial"/>
          <w:sz w:val="24"/>
          <w:szCs w:val="24"/>
          <w:shd w:val="clear" w:color="auto" w:fill="FFFFFF"/>
        </w:rPr>
        <w:t>Brigham, E. F., and Ehrhardt, M. C. (2013) </w:t>
      </w:r>
      <w:r w:rsidRPr="009465B6">
        <w:rPr>
          <w:rFonts w:ascii="Arial" w:hAnsi="Arial" w:cs="Arial"/>
          <w:i/>
          <w:iCs/>
          <w:sz w:val="24"/>
          <w:szCs w:val="24"/>
          <w:shd w:val="clear" w:color="auto" w:fill="FFFFFF"/>
        </w:rPr>
        <w:t>Financial management: Theory &amp; practice</w:t>
      </w:r>
      <w:r w:rsidRPr="009465B6">
        <w:rPr>
          <w:rFonts w:ascii="Arial" w:hAnsi="Arial" w:cs="Arial"/>
          <w:sz w:val="24"/>
          <w:szCs w:val="24"/>
          <w:shd w:val="clear" w:color="auto" w:fill="FFFFFF"/>
        </w:rPr>
        <w:t>. USA: Cengage Learning.</w:t>
      </w:r>
    </w:p>
    <w:p w14:paraId="52082E34" w14:textId="77777777" w:rsidR="00F76FF6" w:rsidRPr="009465B6" w:rsidRDefault="00F76FF6" w:rsidP="00732CC1">
      <w:pPr>
        <w:spacing w:line="360" w:lineRule="auto"/>
        <w:ind w:left="720" w:hanging="720"/>
        <w:jc w:val="both"/>
        <w:rPr>
          <w:rFonts w:ascii="Arial" w:hAnsi="Arial" w:cs="Arial"/>
          <w:sz w:val="24"/>
          <w:szCs w:val="24"/>
          <w:shd w:val="clear" w:color="auto" w:fill="FFFFFF"/>
        </w:rPr>
      </w:pPr>
      <w:r w:rsidRPr="009465B6">
        <w:rPr>
          <w:rFonts w:ascii="Arial" w:hAnsi="Arial" w:cs="Arial"/>
          <w:sz w:val="24"/>
          <w:szCs w:val="24"/>
          <w:shd w:val="clear" w:color="auto" w:fill="FFFFFF"/>
        </w:rPr>
        <w:t>Brigham, E. F., and Houston, J. F. (2012) </w:t>
      </w:r>
      <w:r w:rsidRPr="009465B6">
        <w:rPr>
          <w:rFonts w:ascii="Arial" w:hAnsi="Arial" w:cs="Arial"/>
          <w:i/>
          <w:iCs/>
          <w:sz w:val="24"/>
          <w:szCs w:val="24"/>
          <w:shd w:val="clear" w:color="auto" w:fill="FFFFFF"/>
        </w:rPr>
        <w:t>Fundamentals of financial management</w:t>
      </w:r>
      <w:r w:rsidRPr="009465B6">
        <w:rPr>
          <w:rFonts w:ascii="Arial" w:hAnsi="Arial" w:cs="Arial"/>
          <w:sz w:val="24"/>
          <w:szCs w:val="24"/>
          <w:shd w:val="clear" w:color="auto" w:fill="FFFFFF"/>
        </w:rPr>
        <w:t>. USA: Cengage Learning.</w:t>
      </w:r>
    </w:p>
    <w:p w14:paraId="1EE150FE" w14:textId="77777777" w:rsidR="00F76FF6" w:rsidRPr="009465B6" w:rsidRDefault="007A2E79" w:rsidP="00732CC1">
      <w:pPr>
        <w:spacing w:after="0" w:line="360" w:lineRule="auto"/>
        <w:ind w:left="720" w:hanging="720"/>
        <w:jc w:val="both"/>
        <w:rPr>
          <w:rFonts w:ascii="Arial" w:hAnsi="Arial" w:cs="Arial"/>
          <w:sz w:val="24"/>
          <w:szCs w:val="24"/>
          <w:shd w:val="clear" w:color="auto" w:fill="FFFFFF"/>
        </w:rPr>
      </w:pPr>
      <w:hyperlink r:id="rId13" w:history="1">
        <w:r w:rsidR="00F76FF6" w:rsidRPr="009465B6">
          <w:rPr>
            <w:rStyle w:val="Hyperlink"/>
            <w:rFonts w:ascii="Arial" w:hAnsi="Arial" w:cs="Arial"/>
            <w:color w:val="auto"/>
            <w:sz w:val="24"/>
            <w:szCs w:val="24"/>
            <w:u w:val="none"/>
            <w:shd w:val="clear" w:color="auto" w:fill="FFFFFF"/>
          </w:rPr>
          <w:t>Brigham</w:t>
        </w:r>
      </w:hyperlink>
      <w:r w:rsidR="00F76FF6" w:rsidRPr="009465B6">
        <w:rPr>
          <w:rFonts w:ascii="Arial" w:hAnsi="Arial" w:cs="Arial"/>
          <w:sz w:val="24"/>
          <w:szCs w:val="24"/>
          <w:shd w:val="clear" w:color="auto" w:fill="FFFFFF"/>
        </w:rPr>
        <w:t xml:space="preserve">, E., </w:t>
      </w:r>
      <w:r w:rsidR="00F76FF6" w:rsidRPr="009465B6">
        <w:rPr>
          <w:rFonts w:ascii="Arial" w:hAnsi="Arial" w:cs="Arial"/>
          <w:noProof/>
          <w:sz w:val="24"/>
          <w:szCs w:val="24"/>
          <w:shd w:val="clear" w:color="auto" w:fill="FFFFFF"/>
        </w:rPr>
        <w:t>and</w:t>
      </w:r>
      <w:r w:rsidR="00F76FF6" w:rsidRPr="009465B6">
        <w:rPr>
          <w:rStyle w:val="apple-converted-space"/>
          <w:rFonts w:ascii="Arial" w:hAnsi="Arial" w:cs="Arial"/>
          <w:sz w:val="24"/>
          <w:szCs w:val="24"/>
          <w:shd w:val="clear" w:color="auto" w:fill="FFFFFF"/>
        </w:rPr>
        <w:t> </w:t>
      </w:r>
      <w:hyperlink r:id="rId14" w:history="1">
        <w:r w:rsidR="00F76FF6" w:rsidRPr="009465B6">
          <w:rPr>
            <w:rStyle w:val="Hyperlink"/>
            <w:rFonts w:ascii="Arial" w:hAnsi="Arial" w:cs="Arial"/>
            <w:color w:val="auto"/>
            <w:sz w:val="24"/>
            <w:szCs w:val="24"/>
            <w:u w:val="none"/>
            <w:shd w:val="clear" w:color="auto" w:fill="FFFFFF"/>
          </w:rPr>
          <w:t xml:space="preserve"> </w:t>
        </w:r>
        <w:proofErr w:type="spellStart"/>
        <w:r w:rsidR="00F76FF6" w:rsidRPr="009465B6">
          <w:rPr>
            <w:rStyle w:val="Hyperlink"/>
            <w:rFonts w:ascii="Arial" w:hAnsi="Arial" w:cs="Arial"/>
            <w:color w:val="auto"/>
            <w:sz w:val="24"/>
            <w:szCs w:val="24"/>
            <w:u w:val="none"/>
            <w:shd w:val="clear" w:color="auto" w:fill="FFFFFF"/>
          </w:rPr>
          <w:t>Daves</w:t>
        </w:r>
        <w:proofErr w:type="spellEnd"/>
      </w:hyperlink>
      <w:r w:rsidR="00F76FF6" w:rsidRPr="009465B6">
        <w:rPr>
          <w:rFonts w:ascii="Arial" w:hAnsi="Arial" w:cs="Arial"/>
          <w:sz w:val="24"/>
          <w:szCs w:val="24"/>
        </w:rPr>
        <w:t xml:space="preserve">, P. (2012) </w:t>
      </w:r>
      <w:r w:rsidR="00F76FF6" w:rsidRPr="009465B6">
        <w:rPr>
          <w:rFonts w:ascii="Arial" w:hAnsi="Arial" w:cs="Arial"/>
          <w:i/>
          <w:sz w:val="24"/>
          <w:szCs w:val="24"/>
          <w:shd w:val="clear" w:color="auto" w:fill="FFFFFF"/>
        </w:rPr>
        <w:t>Intermediate Financial Management</w:t>
      </w:r>
      <w:r w:rsidR="00F76FF6" w:rsidRPr="009465B6">
        <w:rPr>
          <w:rFonts w:ascii="Arial" w:hAnsi="Arial" w:cs="Arial"/>
          <w:sz w:val="24"/>
          <w:szCs w:val="24"/>
          <w:shd w:val="clear" w:color="auto" w:fill="FFFFFF"/>
        </w:rPr>
        <w:t xml:space="preserve">. USA: Cengage Learning. </w:t>
      </w:r>
    </w:p>
    <w:p w14:paraId="44ECE5E2" w14:textId="77777777" w:rsidR="00F76FF6" w:rsidRPr="009465B6" w:rsidRDefault="00F76FF6" w:rsidP="00732CC1">
      <w:pPr>
        <w:spacing w:line="360" w:lineRule="auto"/>
        <w:ind w:left="720" w:hanging="720"/>
        <w:rPr>
          <w:rFonts w:ascii="Arial" w:hAnsi="Arial" w:cs="Arial"/>
          <w:sz w:val="24"/>
          <w:szCs w:val="24"/>
          <w:shd w:val="clear" w:color="auto" w:fill="FFFFFF"/>
        </w:rPr>
      </w:pPr>
      <w:r w:rsidRPr="009465B6">
        <w:rPr>
          <w:rFonts w:ascii="Arial" w:hAnsi="Arial" w:cs="Arial"/>
          <w:sz w:val="24"/>
          <w:szCs w:val="24"/>
          <w:shd w:val="clear" w:color="auto" w:fill="FFFFFF"/>
        </w:rPr>
        <w:t>Collier, P. M. (2015) </w:t>
      </w:r>
      <w:r w:rsidRPr="009465B6">
        <w:rPr>
          <w:rFonts w:ascii="Arial" w:hAnsi="Arial" w:cs="Arial"/>
          <w:i/>
          <w:iCs/>
          <w:sz w:val="24"/>
          <w:szCs w:val="24"/>
          <w:shd w:val="clear" w:color="auto" w:fill="FFFFFF"/>
        </w:rPr>
        <w:t>Accounting for managers: Interpreting accounting information for decision making</w:t>
      </w:r>
      <w:r w:rsidRPr="009465B6">
        <w:rPr>
          <w:rFonts w:ascii="Arial" w:hAnsi="Arial" w:cs="Arial"/>
          <w:sz w:val="24"/>
          <w:szCs w:val="24"/>
          <w:shd w:val="clear" w:color="auto" w:fill="FFFFFF"/>
        </w:rPr>
        <w:t>. USA: John Wiley &amp; Sons.</w:t>
      </w:r>
    </w:p>
    <w:p w14:paraId="4F3BDF20" w14:textId="77777777" w:rsidR="00F76FF6" w:rsidRPr="009465B6" w:rsidRDefault="00F76FF6" w:rsidP="00732CC1">
      <w:pPr>
        <w:spacing w:line="360" w:lineRule="auto"/>
        <w:ind w:left="720" w:hanging="720"/>
        <w:jc w:val="both"/>
        <w:rPr>
          <w:rFonts w:ascii="Arial" w:hAnsi="Arial" w:cs="Arial"/>
          <w:sz w:val="24"/>
          <w:szCs w:val="24"/>
          <w:shd w:val="clear" w:color="auto" w:fill="FFFFFF"/>
        </w:rPr>
      </w:pPr>
      <w:r w:rsidRPr="009465B6">
        <w:rPr>
          <w:rFonts w:ascii="Arial" w:hAnsi="Arial" w:cs="Arial"/>
          <w:sz w:val="24"/>
          <w:szCs w:val="24"/>
          <w:shd w:val="clear" w:color="auto" w:fill="FFFFFF"/>
        </w:rPr>
        <w:t xml:space="preserve">Epstein, M. and </w:t>
      </w:r>
      <w:r w:rsidRPr="009465B6">
        <w:rPr>
          <w:rFonts w:ascii="Arial" w:hAnsi="Arial" w:cs="Arial"/>
          <w:sz w:val="24"/>
          <w:szCs w:val="24"/>
          <w:shd w:val="clear" w:color="auto" w:fill="FFFFFF"/>
        </w:rPr>
        <w:tab/>
        <w:t xml:space="preserve">Lee, J. (2014) </w:t>
      </w:r>
      <w:r w:rsidRPr="009465B6">
        <w:rPr>
          <w:rFonts w:ascii="Arial" w:hAnsi="Arial" w:cs="Arial"/>
          <w:i/>
          <w:sz w:val="24"/>
          <w:szCs w:val="24"/>
          <w:shd w:val="clear" w:color="auto" w:fill="FFFFFF"/>
        </w:rPr>
        <w:t>Principle of Managerial Finance</w:t>
      </w:r>
      <w:r w:rsidRPr="009465B6">
        <w:rPr>
          <w:rFonts w:ascii="Arial" w:hAnsi="Arial" w:cs="Arial"/>
          <w:sz w:val="24"/>
          <w:szCs w:val="24"/>
          <w:shd w:val="clear" w:color="auto" w:fill="FFFFFF"/>
        </w:rPr>
        <w:t xml:space="preserve">. AU: Pearson Higher Education. </w:t>
      </w:r>
    </w:p>
    <w:p w14:paraId="46EBA82A" w14:textId="77777777" w:rsidR="00F76FF6" w:rsidRPr="009465B6" w:rsidRDefault="00F76FF6" w:rsidP="00732CC1">
      <w:pPr>
        <w:spacing w:line="360" w:lineRule="auto"/>
        <w:ind w:left="720" w:hanging="720"/>
        <w:rPr>
          <w:rFonts w:ascii="Arial" w:hAnsi="Arial" w:cs="Arial"/>
          <w:sz w:val="24"/>
          <w:szCs w:val="24"/>
          <w:shd w:val="clear" w:color="auto" w:fill="FFFFFF"/>
        </w:rPr>
      </w:pPr>
      <w:r w:rsidRPr="009465B6">
        <w:rPr>
          <w:rFonts w:ascii="Arial" w:hAnsi="Arial" w:cs="Arial"/>
          <w:sz w:val="24"/>
          <w:szCs w:val="24"/>
          <w:shd w:val="clear" w:color="auto" w:fill="FFFFFF"/>
        </w:rPr>
        <w:t>Flower, J., and Ebbers, G. (2018) </w:t>
      </w:r>
      <w:r w:rsidRPr="009465B6">
        <w:rPr>
          <w:rFonts w:ascii="Arial" w:hAnsi="Arial" w:cs="Arial"/>
          <w:i/>
          <w:iCs/>
          <w:sz w:val="24"/>
          <w:szCs w:val="24"/>
          <w:shd w:val="clear" w:color="auto" w:fill="FFFFFF"/>
        </w:rPr>
        <w:t>Global financial reporting</w:t>
      </w:r>
      <w:r w:rsidRPr="009465B6">
        <w:rPr>
          <w:rFonts w:ascii="Arial" w:hAnsi="Arial" w:cs="Arial"/>
          <w:sz w:val="24"/>
          <w:szCs w:val="24"/>
          <w:shd w:val="clear" w:color="auto" w:fill="FFFFFF"/>
        </w:rPr>
        <w:t>. USA: Macmillan International Higher Education.</w:t>
      </w:r>
    </w:p>
    <w:p w14:paraId="599F2F6B" w14:textId="77777777" w:rsidR="00F76FF6" w:rsidRPr="009465B6" w:rsidRDefault="00F76FF6" w:rsidP="00732CC1">
      <w:pPr>
        <w:spacing w:line="360" w:lineRule="auto"/>
        <w:ind w:left="720" w:hanging="720"/>
        <w:rPr>
          <w:rFonts w:ascii="Arial" w:hAnsi="Arial" w:cs="Arial"/>
          <w:sz w:val="24"/>
          <w:szCs w:val="24"/>
          <w:shd w:val="clear" w:color="auto" w:fill="FFFFFF"/>
        </w:rPr>
      </w:pPr>
      <w:proofErr w:type="spellStart"/>
      <w:r w:rsidRPr="009465B6">
        <w:rPr>
          <w:rFonts w:ascii="Arial" w:hAnsi="Arial" w:cs="Arial"/>
          <w:sz w:val="24"/>
          <w:szCs w:val="24"/>
          <w:shd w:val="clear" w:color="auto" w:fill="FFFFFF"/>
        </w:rPr>
        <w:t>Kanakriyah</w:t>
      </w:r>
      <w:proofErr w:type="spellEnd"/>
      <w:r w:rsidRPr="009465B6">
        <w:rPr>
          <w:rFonts w:ascii="Arial" w:hAnsi="Arial" w:cs="Arial"/>
          <w:sz w:val="24"/>
          <w:szCs w:val="24"/>
          <w:shd w:val="clear" w:color="auto" w:fill="FFFFFF"/>
        </w:rPr>
        <w:t>, R. (2016) The Effect of Using Accounting information Systems on the Quality of Accounting Information According to Users Perspective in Jordan. </w:t>
      </w:r>
      <w:r w:rsidRPr="009465B6">
        <w:rPr>
          <w:rFonts w:ascii="Arial" w:hAnsi="Arial" w:cs="Arial"/>
          <w:i/>
          <w:iCs/>
          <w:sz w:val="24"/>
          <w:szCs w:val="24"/>
          <w:shd w:val="clear" w:color="auto" w:fill="FFFFFF"/>
        </w:rPr>
        <w:t>European Journal of Accounting, Auditing and Finance Research</w:t>
      </w:r>
      <w:r w:rsidRPr="009465B6">
        <w:rPr>
          <w:rFonts w:ascii="Arial" w:hAnsi="Arial" w:cs="Arial"/>
          <w:sz w:val="24"/>
          <w:szCs w:val="24"/>
          <w:shd w:val="clear" w:color="auto" w:fill="FFFFFF"/>
        </w:rPr>
        <w:t>, </w:t>
      </w:r>
      <w:r w:rsidRPr="009465B6">
        <w:rPr>
          <w:rFonts w:ascii="Arial" w:hAnsi="Arial" w:cs="Arial"/>
          <w:i/>
          <w:iCs/>
          <w:sz w:val="24"/>
          <w:szCs w:val="24"/>
          <w:shd w:val="clear" w:color="auto" w:fill="FFFFFF"/>
        </w:rPr>
        <w:t>4</w:t>
      </w:r>
      <w:r w:rsidRPr="009465B6">
        <w:rPr>
          <w:rFonts w:ascii="Arial" w:hAnsi="Arial" w:cs="Arial"/>
          <w:sz w:val="24"/>
          <w:szCs w:val="24"/>
          <w:shd w:val="clear" w:color="auto" w:fill="FFFFFF"/>
        </w:rPr>
        <w:t>(11), 58-75.</w:t>
      </w:r>
    </w:p>
    <w:p w14:paraId="4AEB05BF" w14:textId="27CFE8C9" w:rsidR="00F76FF6" w:rsidRPr="009465B6" w:rsidRDefault="00F76FF6" w:rsidP="00732CC1">
      <w:pPr>
        <w:spacing w:after="0" w:line="360" w:lineRule="auto"/>
        <w:ind w:left="720" w:hanging="720"/>
        <w:jc w:val="both"/>
        <w:rPr>
          <w:rFonts w:ascii="Arial" w:hAnsi="Arial" w:cs="Arial"/>
          <w:sz w:val="24"/>
          <w:szCs w:val="24"/>
        </w:rPr>
      </w:pPr>
      <w:r w:rsidRPr="009465B6">
        <w:rPr>
          <w:rFonts w:ascii="Arial" w:hAnsi="Arial" w:cs="Arial"/>
          <w:sz w:val="24"/>
          <w:szCs w:val="24"/>
        </w:rPr>
        <w:t xml:space="preserve">Martin, S. and Alvarez, F. (2011) </w:t>
      </w:r>
      <w:r w:rsidRPr="009465B6">
        <w:rPr>
          <w:rFonts w:ascii="Arial" w:hAnsi="Arial" w:cs="Arial"/>
          <w:i/>
          <w:sz w:val="24"/>
          <w:szCs w:val="24"/>
        </w:rPr>
        <w:t xml:space="preserve">Financial Statement Analysis Workbook: A Practitioner's Guide </w:t>
      </w:r>
      <w:r w:rsidRPr="009465B6">
        <w:rPr>
          <w:rFonts w:ascii="Arial" w:hAnsi="Arial" w:cs="Arial"/>
          <w:sz w:val="24"/>
          <w:szCs w:val="24"/>
        </w:rPr>
        <w:t>USA: John Wiley &amp; Sons.</w:t>
      </w:r>
    </w:p>
    <w:p w14:paraId="35483D1D" w14:textId="77777777" w:rsidR="00F76FF6" w:rsidRPr="009465B6" w:rsidRDefault="00F76FF6" w:rsidP="00732CC1">
      <w:pPr>
        <w:spacing w:line="360" w:lineRule="auto"/>
        <w:ind w:left="720" w:hanging="720"/>
        <w:rPr>
          <w:rFonts w:ascii="Arial" w:hAnsi="Arial" w:cs="Arial"/>
          <w:sz w:val="24"/>
          <w:szCs w:val="24"/>
          <w:shd w:val="clear" w:color="auto" w:fill="FFFFFF"/>
        </w:rPr>
      </w:pPr>
      <w:r w:rsidRPr="009465B6">
        <w:rPr>
          <w:rFonts w:ascii="Arial" w:hAnsi="Arial" w:cs="Arial"/>
          <w:sz w:val="24"/>
          <w:szCs w:val="24"/>
          <w:shd w:val="clear" w:color="auto" w:fill="FFFFFF"/>
        </w:rPr>
        <w:t>Robinson, T. R. (2020) </w:t>
      </w:r>
      <w:r w:rsidRPr="009465B6">
        <w:rPr>
          <w:rFonts w:ascii="Arial" w:hAnsi="Arial" w:cs="Arial"/>
          <w:i/>
          <w:iCs/>
          <w:sz w:val="24"/>
          <w:szCs w:val="24"/>
          <w:shd w:val="clear" w:color="auto" w:fill="FFFFFF"/>
        </w:rPr>
        <w:t>International financial statement analysis</w:t>
      </w:r>
      <w:r w:rsidRPr="009465B6">
        <w:rPr>
          <w:rFonts w:ascii="Arial" w:hAnsi="Arial" w:cs="Arial"/>
          <w:sz w:val="24"/>
          <w:szCs w:val="24"/>
          <w:shd w:val="clear" w:color="auto" w:fill="FFFFFF"/>
        </w:rPr>
        <w:t>. USA: John Wiley &amp; Sons.</w:t>
      </w:r>
    </w:p>
    <w:p w14:paraId="2F5D5B60" w14:textId="77777777" w:rsidR="00F76FF6" w:rsidRPr="009465B6" w:rsidRDefault="00F76FF6" w:rsidP="00732CC1">
      <w:pPr>
        <w:spacing w:line="360" w:lineRule="auto"/>
        <w:ind w:left="720" w:hanging="720"/>
        <w:jc w:val="both"/>
        <w:rPr>
          <w:rFonts w:ascii="Arial" w:hAnsi="Arial" w:cs="Arial"/>
          <w:sz w:val="24"/>
          <w:szCs w:val="24"/>
        </w:rPr>
      </w:pPr>
      <w:r w:rsidRPr="009465B6">
        <w:rPr>
          <w:rFonts w:ascii="Arial" w:hAnsi="Arial" w:cs="Arial"/>
          <w:sz w:val="24"/>
          <w:szCs w:val="24"/>
        </w:rPr>
        <w:lastRenderedPageBreak/>
        <w:t xml:space="preserve">Robinson, T. R., Henry, E., Pirie, W. L., and </w:t>
      </w:r>
      <w:proofErr w:type="spellStart"/>
      <w:r w:rsidRPr="009465B6">
        <w:rPr>
          <w:rFonts w:ascii="Arial" w:hAnsi="Arial" w:cs="Arial"/>
          <w:sz w:val="24"/>
          <w:szCs w:val="24"/>
        </w:rPr>
        <w:t>Broihahn</w:t>
      </w:r>
      <w:proofErr w:type="spellEnd"/>
      <w:r w:rsidRPr="009465B6">
        <w:rPr>
          <w:rFonts w:ascii="Arial" w:hAnsi="Arial" w:cs="Arial"/>
          <w:sz w:val="24"/>
          <w:szCs w:val="24"/>
        </w:rPr>
        <w:t>, M. A. (2015) </w:t>
      </w:r>
      <w:r w:rsidRPr="009465B6">
        <w:rPr>
          <w:rFonts w:ascii="Arial" w:hAnsi="Arial" w:cs="Arial"/>
          <w:i/>
          <w:iCs/>
          <w:sz w:val="24"/>
          <w:szCs w:val="24"/>
        </w:rPr>
        <w:t>International financial statement analysis</w:t>
      </w:r>
      <w:r w:rsidRPr="009465B6">
        <w:rPr>
          <w:rFonts w:ascii="Arial" w:hAnsi="Arial" w:cs="Arial"/>
          <w:sz w:val="24"/>
          <w:szCs w:val="24"/>
        </w:rPr>
        <w:t>. USA: John Wiley &amp; Sons.</w:t>
      </w:r>
    </w:p>
    <w:p w14:paraId="2B87438C" w14:textId="77777777" w:rsidR="00F76FF6" w:rsidRPr="009465B6" w:rsidRDefault="007A2E79" w:rsidP="00732CC1">
      <w:pPr>
        <w:spacing w:line="360" w:lineRule="auto"/>
        <w:ind w:left="720" w:hanging="720"/>
        <w:jc w:val="both"/>
        <w:rPr>
          <w:rFonts w:ascii="Arial" w:hAnsi="Arial" w:cs="Arial"/>
          <w:sz w:val="24"/>
          <w:szCs w:val="24"/>
        </w:rPr>
      </w:pPr>
      <w:hyperlink r:id="rId15" w:history="1">
        <w:r w:rsidR="00F76FF6" w:rsidRPr="009465B6">
          <w:rPr>
            <w:rStyle w:val="Hyperlink"/>
            <w:rFonts w:ascii="Arial" w:hAnsi="Arial" w:cs="Arial"/>
            <w:color w:val="auto"/>
            <w:sz w:val="24"/>
            <w:szCs w:val="24"/>
            <w:u w:val="none"/>
          </w:rPr>
          <w:t>Warren</w:t>
        </w:r>
      </w:hyperlink>
      <w:r w:rsidR="00F76FF6" w:rsidRPr="009465B6">
        <w:rPr>
          <w:rFonts w:ascii="Arial" w:hAnsi="Arial" w:cs="Arial"/>
          <w:sz w:val="24"/>
          <w:szCs w:val="24"/>
        </w:rPr>
        <w:t xml:space="preserve">, C., </w:t>
      </w:r>
      <w:hyperlink r:id="rId16" w:history="1">
        <w:r w:rsidR="00F76FF6" w:rsidRPr="009465B6">
          <w:rPr>
            <w:rStyle w:val="Hyperlink"/>
            <w:rFonts w:ascii="Arial" w:hAnsi="Arial" w:cs="Arial"/>
            <w:color w:val="auto"/>
            <w:sz w:val="24"/>
            <w:szCs w:val="24"/>
            <w:u w:val="none"/>
          </w:rPr>
          <w:t>Reeve</w:t>
        </w:r>
      </w:hyperlink>
      <w:r w:rsidR="00F76FF6" w:rsidRPr="009465B6">
        <w:rPr>
          <w:rFonts w:ascii="Arial" w:hAnsi="Arial" w:cs="Arial"/>
          <w:sz w:val="24"/>
          <w:szCs w:val="24"/>
        </w:rPr>
        <w:t xml:space="preserve">, J., and </w:t>
      </w:r>
      <w:hyperlink r:id="rId17" w:history="1">
        <w:r w:rsidR="00F76FF6" w:rsidRPr="009465B6">
          <w:rPr>
            <w:rStyle w:val="Hyperlink"/>
            <w:rFonts w:ascii="Arial" w:hAnsi="Arial" w:cs="Arial"/>
            <w:color w:val="auto"/>
            <w:sz w:val="24"/>
            <w:szCs w:val="24"/>
            <w:u w:val="none"/>
          </w:rPr>
          <w:t xml:space="preserve"> </w:t>
        </w:r>
        <w:proofErr w:type="spellStart"/>
        <w:r w:rsidR="00F76FF6" w:rsidRPr="009465B6">
          <w:rPr>
            <w:rStyle w:val="Hyperlink"/>
            <w:rFonts w:ascii="Arial" w:hAnsi="Arial" w:cs="Arial"/>
            <w:color w:val="auto"/>
            <w:sz w:val="24"/>
            <w:szCs w:val="24"/>
            <w:u w:val="none"/>
          </w:rPr>
          <w:t>Duchac</w:t>
        </w:r>
        <w:proofErr w:type="spellEnd"/>
      </w:hyperlink>
      <w:r w:rsidR="00F76FF6" w:rsidRPr="009465B6">
        <w:rPr>
          <w:rFonts w:ascii="Arial" w:hAnsi="Arial" w:cs="Arial"/>
          <w:sz w:val="24"/>
          <w:szCs w:val="24"/>
        </w:rPr>
        <w:t xml:space="preserve">, J. (2011) </w:t>
      </w:r>
      <w:r w:rsidR="00F76FF6" w:rsidRPr="009465B6">
        <w:rPr>
          <w:rFonts w:ascii="Arial" w:hAnsi="Arial" w:cs="Arial"/>
          <w:i/>
          <w:sz w:val="24"/>
          <w:szCs w:val="24"/>
        </w:rPr>
        <w:t>Financial &amp; Managerial Accounting</w:t>
      </w:r>
      <w:r w:rsidR="00F76FF6" w:rsidRPr="009465B6">
        <w:rPr>
          <w:rFonts w:ascii="Arial" w:hAnsi="Arial" w:cs="Arial"/>
          <w:sz w:val="24"/>
          <w:szCs w:val="24"/>
        </w:rPr>
        <w:t xml:space="preserve">. USA: Cengage Learning </w:t>
      </w:r>
    </w:p>
    <w:p w14:paraId="7F372B3F" w14:textId="77777777" w:rsidR="00F76FF6" w:rsidRPr="009465B6" w:rsidRDefault="00F76FF6" w:rsidP="00732CC1">
      <w:pPr>
        <w:spacing w:line="360" w:lineRule="auto"/>
        <w:ind w:left="720" w:hanging="720"/>
        <w:rPr>
          <w:rFonts w:ascii="Arial" w:hAnsi="Arial" w:cs="Arial"/>
          <w:sz w:val="24"/>
          <w:szCs w:val="24"/>
        </w:rPr>
      </w:pPr>
      <w:r w:rsidRPr="009465B6">
        <w:rPr>
          <w:rFonts w:ascii="Arial" w:hAnsi="Arial" w:cs="Arial"/>
          <w:sz w:val="24"/>
          <w:szCs w:val="24"/>
        </w:rPr>
        <w:t xml:space="preserve">Watson, D. and Head, A. (2013) </w:t>
      </w:r>
      <w:r w:rsidRPr="009465B6">
        <w:rPr>
          <w:rFonts w:ascii="Arial" w:hAnsi="Arial" w:cs="Arial"/>
          <w:i/>
          <w:sz w:val="24"/>
          <w:szCs w:val="24"/>
        </w:rPr>
        <w:t>Corporate Finance Principles and Practice, 6th edition</w:t>
      </w:r>
      <w:r w:rsidRPr="009465B6">
        <w:rPr>
          <w:rFonts w:ascii="Arial" w:hAnsi="Arial" w:cs="Arial"/>
          <w:sz w:val="24"/>
          <w:szCs w:val="24"/>
        </w:rPr>
        <w:t xml:space="preserve">. AU: Pearson Education </w:t>
      </w:r>
    </w:p>
    <w:p w14:paraId="0283047B" w14:textId="77777777" w:rsidR="00F76FF6" w:rsidRPr="009465B6" w:rsidRDefault="00F76FF6" w:rsidP="00732CC1">
      <w:pPr>
        <w:spacing w:line="360" w:lineRule="auto"/>
        <w:ind w:left="720" w:hanging="720"/>
        <w:rPr>
          <w:rFonts w:ascii="Arial" w:hAnsi="Arial" w:cs="Arial"/>
          <w:sz w:val="24"/>
          <w:szCs w:val="24"/>
        </w:rPr>
      </w:pPr>
      <w:proofErr w:type="spellStart"/>
      <w:r w:rsidRPr="009465B6">
        <w:rPr>
          <w:rFonts w:ascii="Arial" w:hAnsi="Arial" w:cs="Arial"/>
          <w:sz w:val="24"/>
          <w:szCs w:val="24"/>
        </w:rPr>
        <w:t>Weetman</w:t>
      </w:r>
      <w:proofErr w:type="spellEnd"/>
      <w:r w:rsidRPr="009465B6">
        <w:rPr>
          <w:rFonts w:ascii="Arial" w:hAnsi="Arial" w:cs="Arial"/>
          <w:sz w:val="24"/>
          <w:szCs w:val="24"/>
        </w:rPr>
        <w:t xml:space="preserve">, P. (2013) </w:t>
      </w:r>
      <w:r w:rsidRPr="009465B6">
        <w:rPr>
          <w:rFonts w:ascii="Arial" w:hAnsi="Arial" w:cs="Arial"/>
          <w:i/>
          <w:sz w:val="24"/>
          <w:szCs w:val="24"/>
        </w:rPr>
        <w:t>Financial and Management Accounting, An Introduction, 6th edition</w:t>
      </w:r>
      <w:r w:rsidRPr="009465B6">
        <w:rPr>
          <w:rFonts w:ascii="Arial" w:hAnsi="Arial" w:cs="Arial"/>
          <w:sz w:val="24"/>
          <w:szCs w:val="24"/>
        </w:rPr>
        <w:t>. AU: Pearson Education</w:t>
      </w:r>
    </w:p>
    <w:p w14:paraId="774F8812" w14:textId="77777777" w:rsidR="00F76FF6" w:rsidRPr="009465B6" w:rsidRDefault="00F76FF6" w:rsidP="00732CC1">
      <w:pPr>
        <w:spacing w:line="360" w:lineRule="auto"/>
        <w:ind w:left="720" w:hanging="720"/>
        <w:rPr>
          <w:rFonts w:ascii="Arial" w:hAnsi="Arial" w:cs="Arial"/>
          <w:sz w:val="24"/>
          <w:szCs w:val="24"/>
        </w:rPr>
      </w:pPr>
      <w:r w:rsidRPr="009465B6">
        <w:rPr>
          <w:rFonts w:ascii="Arial" w:hAnsi="Arial" w:cs="Arial"/>
          <w:sz w:val="24"/>
          <w:szCs w:val="24"/>
          <w:shd w:val="clear" w:color="auto" w:fill="FFFFFF"/>
        </w:rPr>
        <w:t>Weil, R. L., Schipper, K., and Francis, J. (2013) </w:t>
      </w:r>
      <w:r w:rsidRPr="009465B6">
        <w:rPr>
          <w:rFonts w:ascii="Arial" w:hAnsi="Arial" w:cs="Arial"/>
          <w:i/>
          <w:iCs/>
          <w:sz w:val="24"/>
          <w:szCs w:val="24"/>
          <w:shd w:val="clear" w:color="auto" w:fill="FFFFFF"/>
        </w:rPr>
        <w:t>Financial accounting: an introduction to concepts, methods and uses</w:t>
      </w:r>
      <w:r w:rsidRPr="009465B6">
        <w:rPr>
          <w:rFonts w:ascii="Arial" w:hAnsi="Arial" w:cs="Arial"/>
          <w:sz w:val="24"/>
          <w:szCs w:val="24"/>
          <w:shd w:val="clear" w:color="auto" w:fill="FFFFFF"/>
        </w:rPr>
        <w:t>. USA: Cengage Learning.</w:t>
      </w:r>
      <w:r w:rsidRPr="009465B6">
        <w:rPr>
          <w:rFonts w:ascii="Arial" w:hAnsi="Arial" w:cs="Arial"/>
          <w:sz w:val="24"/>
          <w:szCs w:val="24"/>
        </w:rPr>
        <w:t xml:space="preserve"> </w:t>
      </w:r>
    </w:p>
    <w:p w14:paraId="41240CE2" w14:textId="77777777" w:rsidR="00263040" w:rsidRPr="009465B6" w:rsidRDefault="00263040" w:rsidP="003278B3">
      <w:pPr>
        <w:spacing w:line="360" w:lineRule="auto"/>
        <w:jc w:val="both"/>
        <w:rPr>
          <w:rFonts w:ascii="Arial" w:hAnsi="Arial" w:cs="Arial"/>
          <w:sz w:val="24"/>
          <w:szCs w:val="24"/>
        </w:rPr>
      </w:pPr>
    </w:p>
    <w:sectPr w:rsidR="00263040" w:rsidRPr="009465B6" w:rsidSect="00983FFF">
      <w:head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B18A5" w14:textId="77777777" w:rsidR="007A2E79" w:rsidRDefault="007A2E79" w:rsidP="00415D73">
      <w:pPr>
        <w:spacing w:after="0" w:line="240" w:lineRule="auto"/>
      </w:pPr>
      <w:r>
        <w:separator/>
      </w:r>
    </w:p>
  </w:endnote>
  <w:endnote w:type="continuationSeparator" w:id="0">
    <w:p w14:paraId="007B89E8" w14:textId="77777777" w:rsidR="007A2E79" w:rsidRDefault="007A2E79" w:rsidP="00415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0FF32" w14:textId="77777777" w:rsidR="007A2E79" w:rsidRDefault="007A2E79" w:rsidP="00415D73">
      <w:pPr>
        <w:spacing w:after="0" w:line="240" w:lineRule="auto"/>
      </w:pPr>
      <w:r>
        <w:separator/>
      </w:r>
    </w:p>
  </w:footnote>
  <w:footnote w:type="continuationSeparator" w:id="0">
    <w:p w14:paraId="1E1999EF" w14:textId="77777777" w:rsidR="007A2E79" w:rsidRDefault="007A2E79" w:rsidP="00415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267587969"/>
      <w:docPartObj>
        <w:docPartGallery w:val="Page Numbers (Top of Page)"/>
        <w:docPartUnique/>
      </w:docPartObj>
    </w:sdtPr>
    <w:sdtEndPr/>
    <w:sdtContent>
      <w:p w14:paraId="5537E961" w14:textId="77777777" w:rsidR="00025563" w:rsidRPr="00415D73" w:rsidRDefault="00025563">
        <w:pPr>
          <w:pStyle w:val="Header"/>
          <w:jc w:val="right"/>
          <w:rPr>
            <w:rFonts w:ascii="Times New Roman" w:hAnsi="Times New Roman" w:cs="Times New Roman"/>
            <w:sz w:val="24"/>
            <w:szCs w:val="24"/>
          </w:rPr>
        </w:pPr>
        <w:r>
          <w:rPr>
            <w:rFonts w:ascii="Times New Roman" w:hAnsi="Times New Roman" w:cs="Times New Roman"/>
            <w:noProof/>
            <w:sz w:val="24"/>
            <w:szCs w:val="24"/>
          </w:rPr>
          <w:t>4</w:t>
        </w:r>
      </w:p>
    </w:sdtContent>
  </w:sdt>
  <w:p w14:paraId="5D010CCC" w14:textId="77777777" w:rsidR="00025563" w:rsidRPr="00415D73" w:rsidRDefault="00025563">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jQ1NjY1M7G0NDQ0NjVW0lEKTi0uzszPAymwqAUAzPrinCwAAAA="/>
  </w:docVars>
  <w:rsids>
    <w:rsidRoot w:val="005414E8"/>
    <w:rsid w:val="00012C87"/>
    <w:rsid w:val="00025563"/>
    <w:rsid w:val="000543FC"/>
    <w:rsid w:val="000606A1"/>
    <w:rsid w:val="00071AF0"/>
    <w:rsid w:val="00072E95"/>
    <w:rsid w:val="000A7FB2"/>
    <w:rsid w:val="000B33D7"/>
    <w:rsid w:val="000C317D"/>
    <w:rsid w:val="000D3870"/>
    <w:rsid w:val="00103F13"/>
    <w:rsid w:val="00114B63"/>
    <w:rsid w:val="00172207"/>
    <w:rsid w:val="001810DE"/>
    <w:rsid w:val="001C147F"/>
    <w:rsid w:val="001E0BC8"/>
    <w:rsid w:val="001F0B53"/>
    <w:rsid w:val="00223B4A"/>
    <w:rsid w:val="00233EEF"/>
    <w:rsid w:val="00250DFB"/>
    <w:rsid w:val="002563BC"/>
    <w:rsid w:val="00260EDB"/>
    <w:rsid w:val="00263040"/>
    <w:rsid w:val="002A19A4"/>
    <w:rsid w:val="002B3E1F"/>
    <w:rsid w:val="002D3C63"/>
    <w:rsid w:val="00320A15"/>
    <w:rsid w:val="003278B3"/>
    <w:rsid w:val="003962B5"/>
    <w:rsid w:val="003B3EF4"/>
    <w:rsid w:val="003C1C07"/>
    <w:rsid w:val="003C63C9"/>
    <w:rsid w:val="003F4D0D"/>
    <w:rsid w:val="00415D73"/>
    <w:rsid w:val="004204A9"/>
    <w:rsid w:val="0044725C"/>
    <w:rsid w:val="00453255"/>
    <w:rsid w:val="00486659"/>
    <w:rsid w:val="004A7759"/>
    <w:rsid w:val="004C07E6"/>
    <w:rsid w:val="004C2543"/>
    <w:rsid w:val="004C7554"/>
    <w:rsid w:val="004C7E14"/>
    <w:rsid w:val="00506F28"/>
    <w:rsid w:val="00532A51"/>
    <w:rsid w:val="005414E8"/>
    <w:rsid w:val="0056143A"/>
    <w:rsid w:val="00596C81"/>
    <w:rsid w:val="005A4958"/>
    <w:rsid w:val="005B02D5"/>
    <w:rsid w:val="005C76AA"/>
    <w:rsid w:val="005E1C57"/>
    <w:rsid w:val="005E34D5"/>
    <w:rsid w:val="006020DC"/>
    <w:rsid w:val="006374F9"/>
    <w:rsid w:val="00655DBB"/>
    <w:rsid w:val="00655EF8"/>
    <w:rsid w:val="0066214F"/>
    <w:rsid w:val="006A01AE"/>
    <w:rsid w:val="006E19AC"/>
    <w:rsid w:val="006E57AD"/>
    <w:rsid w:val="007070EE"/>
    <w:rsid w:val="00716C3F"/>
    <w:rsid w:val="00725AE2"/>
    <w:rsid w:val="00732CC1"/>
    <w:rsid w:val="00733DA9"/>
    <w:rsid w:val="007560E7"/>
    <w:rsid w:val="00763FD0"/>
    <w:rsid w:val="00766B93"/>
    <w:rsid w:val="00791013"/>
    <w:rsid w:val="00793C39"/>
    <w:rsid w:val="007A024E"/>
    <w:rsid w:val="007A2E79"/>
    <w:rsid w:val="007C203A"/>
    <w:rsid w:val="007D098D"/>
    <w:rsid w:val="007E4A60"/>
    <w:rsid w:val="007F20E3"/>
    <w:rsid w:val="008362EE"/>
    <w:rsid w:val="00837E27"/>
    <w:rsid w:val="00853CCB"/>
    <w:rsid w:val="008558E0"/>
    <w:rsid w:val="008778C4"/>
    <w:rsid w:val="008818D4"/>
    <w:rsid w:val="008A5178"/>
    <w:rsid w:val="009019D6"/>
    <w:rsid w:val="00932C2B"/>
    <w:rsid w:val="009465B6"/>
    <w:rsid w:val="009575D6"/>
    <w:rsid w:val="00973F91"/>
    <w:rsid w:val="00983FFF"/>
    <w:rsid w:val="009845BB"/>
    <w:rsid w:val="009B13AD"/>
    <w:rsid w:val="009B4EF1"/>
    <w:rsid w:val="009C16B6"/>
    <w:rsid w:val="009E474D"/>
    <w:rsid w:val="00A235D2"/>
    <w:rsid w:val="00A35D66"/>
    <w:rsid w:val="00A4223C"/>
    <w:rsid w:val="00A44639"/>
    <w:rsid w:val="00A45659"/>
    <w:rsid w:val="00A465FE"/>
    <w:rsid w:val="00A527DD"/>
    <w:rsid w:val="00A6164D"/>
    <w:rsid w:val="00A66FA1"/>
    <w:rsid w:val="00A83891"/>
    <w:rsid w:val="00AE6DC8"/>
    <w:rsid w:val="00B404F2"/>
    <w:rsid w:val="00B521D4"/>
    <w:rsid w:val="00B521EE"/>
    <w:rsid w:val="00B529DE"/>
    <w:rsid w:val="00B740DB"/>
    <w:rsid w:val="00B91001"/>
    <w:rsid w:val="00BA7B6A"/>
    <w:rsid w:val="00BD008E"/>
    <w:rsid w:val="00BF1562"/>
    <w:rsid w:val="00BF1C22"/>
    <w:rsid w:val="00C020BD"/>
    <w:rsid w:val="00C02C4C"/>
    <w:rsid w:val="00C31D4B"/>
    <w:rsid w:val="00C321B0"/>
    <w:rsid w:val="00C4749B"/>
    <w:rsid w:val="00C82402"/>
    <w:rsid w:val="00CB5B3A"/>
    <w:rsid w:val="00CD0592"/>
    <w:rsid w:val="00CE0254"/>
    <w:rsid w:val="00CE2244"/>
    <w:rsid w:val="00CF4583"/>
    <w:rsid w:val="00D04D78"/>
    <w:rsid w:val="00D07682"/>
    <w:rsid w:val="00D360B9"/>
    <w:rsid w:val="00D41760"/>
    <w:rsid w:val="00D66950"/>
    <w:rsid w:val="00D7232D"/>
    <w:rsid w:val="00D92A2A"/>
    <w:rsid w:val="00D939B3"/>
    <w:rsid w:val="00DF69F2"/>
    <w:rsid w:val="00E355E4"/>
    <w:rsid w:val="00E5390E"/>
    <w:rsid w:val="00E55186"/>
    <w:rsid w:val="00E6088D"/>
    <w:rsid w:val="00E621CD"/>
    <w:rsid w:val="00E63FBD"/>
    <w:rsid w:val="00E6403C"/>
    <w:rsid w:val="00E81CD0"/>
    <w:rsid w:val="00E9168E"/>
    <w:rsid w:val="00ED7485"/>
    <w:rsid w:val="00EE5A31"/>
    <w:rsid w:val="00EF530D"/>
    <w:rsid w:val="00F06CDF"/>
    <w:rsid w:val="00F07A02"/>
    <w:rsid w:val="00F40665"/>
    <w:rsid w:val="00F75692"/>
    <w:rsid w:val="00F76FF6"/>
    <w:rsid w:val="00F93665"/>
    <w:rsid w:val="00FA3AA7"/>
    <w:rsid w:val="00FA4B4C"/>
    <w:rsid w:val="00FD7781"/>
    <w:rsid w:val="00FF31CB"/>
    <w:rsid w:val="00FF6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680F347"/>
  <w15:docId w15:val="{FB73867F-973B-4DBF-8E5D-3976912E3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554"/>
  </w:style>
  <w:style w:type="paragraph" w:styleId="Heading1">
    <w:name w:val="heading 1"/>
    <w:basedOn w:val="Normal"/>
    <w:next w:val="Normal"/>
    <w:link w:val="Heading1Char"/>
    <w:uiPriority w:val="9"/>
    <w:qFormat/>
    <w:rsid w:val="00D360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45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0B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F458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15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D73"/>
  </w:style>
  <w:style w:type="paragraph" w:styleId="Footer">
    <w:name w:val="footer"/>
    <w:basedOn w:val="Normal"/>
    <w:link w:val="FooterChar"/>
    <w:uiPriority w:val="99"/>
    <w:semiHidden/>
    <w:unhideWhenUsed/>
    <w:rsid w:val="00415D7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15D73"/>
  </w:style>
  <w:style w:type="paragraph" w:styleId="TOCHeading">
    <w:name w:val="TOC Heading"/>
    <w:basedOn w:val="Heading1"/>
    <w:next w:val="Normal"/>
    <w:uiPriority w:val="39"/>
    <w:semiHidden/>
    <w:unhideWhenUsed/>
    <w:qFormat/>
    <w:rsid w:val="00415D73"/>
    <w:pPr>
      <w:outlineLvl w:val="9"/>
    </w:pPr>
  </w:style>
  <w:style w:type="paragraph" w:styleId="TOC1">
    <w:name w:val="toc 1"/>
    <w:basedOn w:val="Normal"/>
    <w:next w:val="Normal"/>
    <w:autoRedefine/>
    <w:uiPriority w:val="39"/>
    <w:unhideWhenUsed/>
    <w:rsid w:val="00415D73"/>
    <w:pPr>
      <w:spacing w:after="100"/>
    </w:pPr>
  </w:style>
  <w:style w:type="paragraph" w:styleId="TOC2">
    <w:name w:val="toc 2"/>
    <w:basedOn w:val="Normal"/>
    <w:next w:val="Normal"/>
    <w:autoRedefine/>
    <w:uiPriority w:val="39"/>
    <w:unhideWhenUsed/>
    <w:rsid w:val="00415D73"/>
    <w:pPr>
      <w:spacing w:after="100"/>
      <w:ind w:left="220"/>
    </w:pPr>
  </w:style>
  <w:style w:type="character" w:styleId="Hyperlink">
    <w:name w:val="Hyperlink"/>
    <w:basedOn w:val="DefaultParagraphFont"/>
    <w:uiPriority w:val="99"/>
    <w:unhideWhenUsed/>
    <w:rsid w:val="00415D73"/>
    <w:rPr>
      <w:color w:val="0000FF" w:themeColor="hyperlink"/>
      <w:u w:val="single"/>
    </w:rPr>
  </w:style>
  <w:style w:type="paragraph" w:styleId="BalloonText">
    <w:name w:val="Balloon Text"/>
    <w:basedOn w:val="Normal"/>
    <w:link w:val="BalloonTextChar"/>
    <w:uiPriority w:val="99"/>
    <w:semiHidden/>
    <w:unhideWhenUsed/>
    <w:rsid w:val="00415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D73"/>
    <w:rPr>
      <w:rFonts w:ascii="Tahoma" w:hAnsi="Tahoma" w:cs="Tahoma"/>
      <w:sz w:val="16"/>
      <w:szCs w:val="16"/>
    </w:rPr>
  </w:style>
  <w:style w:type="character" w:customStyle="1" w:styleId="apple-converted-space">
    <w:name w:val="apple-converted-space"/>
    <w:basedOn w:val="DefaultParagraphFont"/>
    <w:rsid w:val="005E1C57"/>
  </w:style>
  <w:style w:type="paragraph" w:styleId="NoSpacing">
    <w:name w:val="No Spacing"/>
    <w:link w:val="NoSpacingChar"/>
    <w:uiPriority w:val="1"/>
    <w:qFormat/>
    <w:rsid w:val="00983FFF"/>
    <w:pPr>
      <w:spacing w:after="0" w:line="240" w:lineRule="auto"/>
    </w:pPr>
  </w:style>
  <w:style w:type="character" w:customStyle="1" w:styleId="NoSpacingChar">
    <w:name w:val="No Spacing Char"/>
    <w:basedOn w:val="DefaultParagraphFont"/>
    <w:link w:val="NoSpacing"/>
    <w:uiPriority w:val="1"/>
    <w:rsid w:val="00983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347841">
      <w:bodyDiv w:val="1"/>
      <w:marLeft w:val="0"/>
      <w:marRight w:val="0"/>
      <w:marTop w:val="0"/>
      <w:marBottom w:val="0"/>
      <w:divBdr>
        <w:top w:val="none" w:sz="0" w:space="0" w:color="auto"/>
        <w:left w:val="none" w:sz="0" w:space="0" w:color="auto"/>
        <w:bottom w:val="none" w:sz="0" w:space="0" w:color="auto"/>
        <w:right w:val="none" w:sz="0" w:space="0" w:color="auto"/>
      </w:divBdr>
    </w:div>
    <w:div w:id="145322826">
      <w:bodyDiv w:val="1"/>
      <w:marLeft w:val="0"/>
      <w:marRight w:val="0"/>
      <w:marTop w:val="0"/>
      <w:marBottom w:val="0"/>
      <w:divBdr>
        <w:top w:val="none" w:sz="0" w:space="0" w:color="auto"/>
        <w:left w:val="none" w:sz="0" w:space="0" w:color="auto"/>
        <w:bottom w:val="none" w:sz="0" w:space="0" w:color="auto"/>
        <w:right w:val="none" w:sz="0" w:space="0" w:color="auto"/>
      </w:divBdr>
    </w:div>
    <w:div w:id="361396942">
      <w:bodyDiv w:val="1"/>
      <w:marLeft w:val="0"/>
      <w:marRight w:val="0"/>
      <w:marTop w:val="0"/>
      <w:marBottom w:val="0"/>
      <w:divBdr>
        <w:top w:val="none" w:sz="0" w:space="0" w:color="auto"/>
        <w:left w:val="none" w:sz="0" w:space="0" w:color="auto"/>
        <w:bottom w:val="none" w:sz="0" w:space="0" w:color="auto"/>
        <w:right w:val="none" w:sz="0" w:space="0" w:color="auto"/>
      </w:divBdr>
    </w:div>
    <w:div w:id="410280016">
      <w:bodyDiv w:val="1"/>
      <w:marLeft w:val="0"/>
      <w:marRight w:val="0"/>
      <w:marTop w:val="0"/>
      <w:marBottom w:val="0"/>
      <w:divBdr>
        <w:top w:val="none" w:sz="0" w:space="0" w:color="auto"/>
        <w:left w:val="none" w:sz="0" w:space="0" w:color="auto"/>
        <w:bottom w:val="none" w:sz="0" w:space="0" w:color="auto"/>
        <w:right w:val="none" w:sz="0" w:space="0" w:color="auto"/>
      </w:divBdr>
    </w:div>
    <w:div w:id="702949267">
      <w:bodyDiv w:val="1"/>
      <w:marLeft w:val="0"/>
      <w:marRight w:val="0"/>
      <w:marTop w:val="0"/>
      <w:marBottom w:val="0"/>
      <w:divBdr>
        <w:top w:val="none" w:sz="0" w:space="0" w:color="auto"/>
        <w:left w:val="none" w:sz="0" w:space="0" w:color="auto"/>
        <w:bottom w:val="none" w:sz="0" w:space="0" w:color="auto"/>
        <w:right w:val="none" w:sz="0" w:space="0" w:color="auto"/>
      </w:divBdr>
    </w:div>
    <w:div w:id="937523287">
      <w:bodyDiv w:val="1"/>
      <w:marLeft w:val="0"/>
      <w:marRight w:val="0"/>
      <w:marTop w:val="0"/>
      <w:marBottom w:val="0"/>
      <w:divBdr>
        <w:top w:val="none" w:sz="0" w:space="0" w:color="auto"/>
        <w:left w:val="none" w:sz="0" w:space="0" w:color="auto"/>
        <w:bottom w:val="none" w:sz="0" w:space="0" w:color="auto"/>
        <w:right w:val="none" w:sz="0" w:space="0" w:color="auto"/>
      </w:divBdr>
    </w:div>
    <w:div w:id="104406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85A5A-4BE6-451B-B076-B904F618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Pages>
  <Words>3546</Words>
  <Characters>20217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AUGUST 25, 2020                                                                                                       UNIVERSITY of WALES Trinity Saint David                                                  STUDENT ID:1919080</Company>
  <LinksUpToDate>false</LinksUpToDate>
  <CharactersWithSpaces>23716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By Cosmin Daniel Popa</dc:subject>
  <dc:creator/>
  <cp:keywords/>
  <dc:description/>
  <cp:lastModifiedBy>Andreea Popa</cp:lastModifiedBy>
  <cp:revision>134</cp:revision>
  <dcterms:created xsi:type="dcterms:W3CDTF">2020-07-18T08:12:00Z</dcterms:created>
  <dcterms:modified xsi:type="dcterms:W3CDTF">2020-08-25T22:35:00Z</dcterms:modified>
</cp:coreProperties>
</file>