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016E69DE" w:rsidR="005E788F" w:rsidRDefault="00000000">
      <w:pPr>
        <w:pStyle w:val="Title"/>
        <w:rPr>
          <w:b/>
          <w:color w:val="31849B"/>
          <w:sz w:val="36"/>
          <w:szCs w:val="36"/>
        </w:rPr>
      </w:pPr>
      <w:bookmarkStart w:id="0" w:name="_heading=h.gjdgxs" w:colFirst="0" w:colLast="0"/>
      <w:bookmarkEnd w:id="0"/>
      <w:r>
        <w:t xml:space="preserve">   </w:t>
      </w:r>
      <w:r>
        <w:rPr>
          <w:sz w:val="54"/>
          <w:szCs w:val="54"/>
        </w:rPr>
        <w:t xml:space="preserve">         </w:t>
      </w:r>
      <w:r>
        <w:rPr>
          <w:b/>
          <w:color w:val="31849B"/>
          <w:sz w:val="36"/>
          <w:szCs w:val="36"/>
        </w:rPr>
        <w:t>Assignment 2 - Equality and Diversity</w:t>
      </w:r>
    </w:p>
    <w:p w14:paraId="00000002" w14:textId="77777777" w:rsidR="005E788F" w:rsidRDefault="005E788F">
      <w:pPr>
        <w:spacing w:line="480" w:lineRule="auto"/>
        <w:jc w:val="both"/>
        <w:rPr>
          <w:b/>
          <w:sz w:val="28"/>
          <w:szCs w:val="28"/>
        </w:rPr>
      </w:pPr>
    </w:p>
    <w:p w14:paraId="00000003" w14:textId="77777777" w:rsidR="005E788F" w:rsidRDefault="005E788F">
      <w:pPr>
        <w:spacing w:before="240" w:after="240" w:line="480" w:lineRule="auto"/>
        <w:jc w:val="both"/>
        <w:rPr>
          <w:b/>
          <w:sz w:val="28"/>
          <w:szCs w:val="28"/>
        </w:rPr>
      </w:pPr>
    </w:p>
    <w:p w14:paraId="00000004" w14:textId="0970AD41" w:rsidR="005E788F" w:rsidRDefault="00000000">
      <w:pPr>
        <w:spacing w:before="240" w:after="240" w:line="480" w:lineRule="auto"/>
        <w:jc w:val="both"/>
        <w:rPr>
          <w:b/>
          <w:sz w:val="28"/>
          <w:szCs w:val="28"/>
        </w:rPr>
      </w:pPr>
      <w:r>
        <w:rPr>
          <w:b/>
          <w:sz w:val="28"/>
          <w:szCs w:val="28"/>
        </w:rPr>
        <w:t>Student name:</w:t>
      </w:r>
      <w:r w:rsidR="0004135C">
        <w:rPr>
          <w:b/>
          <w:sz w:val="28"/>
          <w:szCs w:val="28"/>
        </w:rPr>
        <w:t xml:space="preserve"> </w:t>
      </w:r>
      <w:r w:rsidR="0004135C">
        <w:rPr>
          <w:b/>
          <w:sz w:val="28"/>
          <w:szCs w:val="28"/>
        </w:rPr>
        <w:tab/>
      </w:r>
      <w:r w:rsidR="0004135C">
        <w:rPr>
          <w:b/>
          <w:sz w:val="28"/>
          <w:szCs w:val="28"/>
        </w:rPr>
        <w:tab/>
      </w:r>
      <w:r w:rsidR="0004135C" w:rsidRPr="0004135C">
        <w:rPr>
          <w:b/>
          <w:sz w:val="28"/>
          <w:szCs w:val="28"/>
        </w:rPr>
        <w:t xml:space="preserve">Abul </w:t>
      </w:r>
      <w:proofErr w:type="spellStart"/>
      <w:r w:rsidR="0004135C" w:rsidRPr="0004135C">
        <w:rPr>
          <w:b/>
          <w:sz w:val="28"/>
          <w:szCs w:val="28"/>
        </w:rPr>
        <w:t>Khair</w:t>
      </w:r>
      <w:proofErr w:type="spellEnd"/>
      <w:r w:rsidR="0004135C" w:rsidRPr="0004135C">
        <w:rPr>
          <w:b/>
          <w:sz w:val="28"/>
          <w:szCs w:val="28"/>
        </w:rPr>
        <w:t xml:space="preserve"> Amin</w:t>
      </w:r>
    </w:p>
    <w:p w14:paraId="00000005" w14:textId="70E6A047" w:rsidR="005E788F" w:rsidRDefault="00000000">
      <w:pPr>
        <w:spacing w:before="240" w:after="240" w:line="480" w:lineRule="auto"/>
        <w:jc w:val="both"/>
        <w:rPr>
          <w:b/>
          <w:sz w:val="28"/>
          <w:szCs w:val="28"/>
        </w:rPr>
      </w:pPr>
      <w:r>
        <w:rPr>
          <w:b/>
          <w:sz w:val="28"/>
          <w:szCs w:val="28"/>
        </w:rPr>
        <w:t>Student ID:</w:t>
      </w:r>
      <w:r w:rsidR="0004135C" w:rsidRPr="0004135C">
        <w:rPr>
          <w:b/>
          <w:sz w:val="28"/>
          <w:szCs w:val="28"/>
        </w:rPr>
        <w:t xml:space="preserve"> </w:t>
      </w:r>
      <w:r w:rsidR="0004135C">
        <w:rPr>
          <w:b/>
          <w:sz w:val="28"/>
          <w:szCs w:val="28"/>
        </w:rPr>
        <w:tab/>
      </w:r>
      <w:r w:rsidR="0004135C">
        <w:rPr>
          <w:b/>
          <w:sz w:val="28"/>
          <w:szCs w:val="28"/>
        </w:rPr>
        <w:tab/>
      </w:r>
      <w:r w:rsidR="0004135C" w:rsidRPr="0004135C">
        <w:rPr>
          <w:b/>
          <w:sz w:val="28"/>
          <w:szCs w:val="28"/>
        </w:rPr>
        <w:t>1904959</w:t>
      </w:r>
    </w:p>
    <w:p w14:paraId="00000007" w14:textId="77777777" w:rsidR="005E788F" w:rsidRDefault="005E788F">
      <w:pPr>
        <w:spacing w:line="480" w:lineRule="auto"/>
        <w:jc w:val="both"/>
        <w:rPr>
          <w:b/>
          <w:sz w:val="28"/>
          <w:szCs w:val="28"/>
        </w:rPr>
      </w:pPr>
    </w:p>
    <w:p w14:paraId="00000008" w14:textId="77777777" w:rsidR="005E788F" w:rsidRDefault="005E788F">
      <w:pPr>
        <w:spacing w:line="480" w:lineRule="auto"/>
        <w:jc w:val="both"/>
      </w:pPr>
    </w:p>
    <w:p w14:paraId="00000009" w14:textId="77777777" w:rsidR="005E788F" w:rsidRDefault="005E788F">
      <w:pPr>
        <w:spacing w:line="480" w:lineRule="auto"/>
        <w:jc w:val="both"/>
      </w:pPr>
    </w:p>
    <w:p w14:paraId="0000000A" w14:textId="77777777" w:rsidR="005E788F" w:rsidRDefault="005E788F">
      <w:pPr>
        <w:spacing w:line="480" w:lineRule="auto"/>
        <w:jc w:val="both"/>
      </w:pPr>
    </w:p>
    <w:p w14:paraId="0000000B" w14:textId="77777777" w:rsidR="005E788F" w:rsidRDefault="005E788F">
      <w:pPr>
        <w:spacing w:line="480" w:lineRule="auto"/>
        <w:jc w:val="both"/>
      </w:pPr>
    </w:p>
    <w:p w14:paraId="0000000C" w14:textId="77777777" w:rsidR="005E788F" w:rsidRDefault="005E788F">
      <w:pPr>
        <w:spacing w:line="480" w:lineRule="auto"/>
        <w:jc w:val="both"/>
      </w:pPr>
    </w:p>
    <w:p w14:paraId="0000000D" w14:textId="77777777" w:rsidR="005E788F" w:rsidRDefault="005E788F">
      <w:pPr>
        <w:spacing w:line="480" w:lineRule="auto"/>
        <w:jc w:val="both"/>
      </w:pPr>
    </w:p>
    <w:p w14:paraId="0000000E" w14:textId="77777777" w:rsidR="005E788F" w:rsidRDefault="005E788F">
      <w:pPr>
        <w:spacing w:line="480" w:lineRule="auto"/>
        <w:jc w:val="both"/>
      </w:pPr>
    </w:p>
    <w:p w14:paraId="0000000F" w14:textId="77777777" w:rsidR="005E788F" w:rsidRDefault="005E788F">
      <w:pPr>
        <w:spacing w:line="480" w:lineRule="auto"/>
        <w:jc w:val="both"/>
      </w:pPr>
    </w:p>
    <w:p w14:paraId="00000010" w14:textId="77777777" w:rsidR="005E788F" w:rsidRDefault="005E788F">
      <w:pPr>
        <w:spacing w:line="480" w:lineRule="auto"/>
        <w:jc w:val="both"/>
      </w:pPr>
    </w:p>
    <w:p w14:paraId="00000011" w14:textId="77777777" w:rsidR="005E788F" w:rsidRDefault="005E788F">
      <w:pPr>
        <w:spacing w:line="480" w:lineRule="auto"/>
        <w:jc w:val="both"/>
      </w:pPr>
    </w:p>
    <w:p w14:paraId="00000012" w14:textId="77777777" w:rsidR="005E788F" w:rsidRDefault="005E788F">
      <w:pPr>
        <w:spacing w:line="480" w:lineRule="auto"/>
        <w:jc w:val="both"/>
      </w:pPr>
    </w:p>
    <w:p w14:paraId="00000013" w14:textId="77777777" w:rsidR="005E788F" w:rsidRDefault="005E788F">
      <w:pPr>
        <w:spacing w:line="480" w:lineRule="auto"/>
        <w:jc w:val="both"/>
      </w:pPr>
    </w:p>
    <w:p w14:paraId="00000014" w14:textId="77777777" w:rsidR="005E788F" w:rsidRDefault="005E788F">
      <w:pPr>
        <w:spacing w:line="480" w:lineRule="auto"/>
        <w:jc w:val="both"/>
      </w:pPr>
    </w:p>
    <w:p w14:paraId="00000015" w14:textId="77777777" w:rsidR="005E788F" w:rsidRDefault="00000000">
      <w:pPr>
        <w:pStyle w:val="Title"/>
        <w:jc w:val="center"/>
        <w:rPr>
          <w:sz w:val="36"/>
          <w:szCs w:val="36"/>
        </w:rPr>
      </w:pPr>
      <w:bookmarkStart w:id="1" w:name="_heading=h.30j0zll" w:colFirst="0" w:colLast="0"/>
      <w:bookmarkEnd w:id="1"/>
      <w:r>
        <w:rPr>
          <w:sz w:val="36"/>
          <w:szCs w:val="36"/>
        </w:rPr>
        <w:t>Table Of Content</w:t>
      </w:r>
    </w:p>
    <w:p w14:paraId="00000016" w14:textId="77777777" w:rsidR="005E788F" w:rsidRDefault="005E788F">
      <w:pPr>
        <w:spacing w:line="480" w:lineRule="auto"/>
        <w:jc w:val="both"/>
        <w:rPr>
          <w:sz w:val="24"/>
          <w:szCs w:val="24"/>
        </w:rPr>
      </w:pPr>
    </w:p>
    <w:sdt>
      <w:sdtPr>
        <w:id w:val="35938696"/>
        <w:docPartObj>
          <w:docPartGallery w:val="Table of Contents"/>
          <w:docPartUnique/>
        </w:docPartObj>
      </w:sdtPr>
      <w:sdtContent>
        <w:p w14:paraId="00000017" w14:textId="77777777" w:rsidR="005E788F" w:rsidRDefault="00000000">
          <w:pPr>
            <w:widowControl w:val="0"/>
            <w:tabs>
              <w:tab w:val="right" w:pos="9360"/>
            </w:tabs>
            <w:spacing w:before="60" w:line="480" w:lineRule="auto"/>
            <w:jc w:val="both"/>
            <w:rPr>
              <w:b/>
              <w:color w:val="000000"/>
              <w:sz w:val="24"/>
              <w:szCs w:val="24"/>
            </w:rPr>
          </w:pPr>
          <w:r>
            <w:fldChar w:fldCharType="begin"/>
          </w:r>
          <w:r>
            <w:instrText xml:space="preserve"> TOC \h \u \z \t "Heading 1,1,Heading 2,2,Heading 3,3,Heading 4,4,Heading 5,5,Heading 6,6,"</w:instrText>
          </w:r>
          <w:r>
            <w:fldChar w:fldCharType="separate"/>
          </w:r>
          <w:hyperlink w:anchor="_heading=h.1fob9te">
            <w:r>
              <w:rPr>
                <w:b/>
                <w:color w:val="000000"/>
                <w:sz w:val="24"/>
                <w:szCs w:val="24"/>
              </w:rPr>
              <w:t>Introduction</w:t>
            </w:r>
            <w:r>
              <w:rPr>
                <w:b/>
                <w:color w:val="000000"/>
                <w:sz w:val="24"/>
                <w:szCs w:val="24"/>
              </w:rPr>
              <w:tab/>
            </w:r>
          </w:hyperlink>
          <w:r>
            <w:fldChar w:fldCharType="begin"/>
          </w:r>
          <w:r>
            <w:instrText xml:space="preserve"> PAGEREF _heading=h.1fob9te \h </w:instrText>
          </w:r>
          <w:r>
            <w:fldChar w:fldCharType="separate"/>
          </w:r>
          <w:r>
            <w:rPr>
              <w:b/>
              <w:sz w:val="24"/>
              <w:szCs w:val="24"/>
            </w:rPr>
            <w:t>2</w:t>
          </w:r>
          <w:hyperlink w:anchor="_heading=h.1fob9te" w:history="1"/>
        </w:p>
        <w:p w14:paraId="00000018" w14:textId="77777777" w:rsidR="005E788F" w:rsidRDefault="00000000">
          <w:pPr>
            <w:widowControl w:val="0"/>
            <w:tabs>
              <w:tab w:val="right" w:pos="9360"/>
            </w:tabs>
            <w:spacing w:before="60" w:line="480" w:lineRule="auto"/>
            <w:jc w:val="both"/>
            <w:rPr>
              <w:b/>
              <w:color w:val="000000"/>
              <w:sz w:val="24"/>
              <w:szCs w:val="24"/>
            </w:rPr>
          </w:pPr>
          <w:r>
            <w:fldChar w:fldCharType="end"/>
          </w:r>
          <w:hyperlink w:anchor="_heading=h.2et92p0">
            <w:r>
              <w:rPr>
                <w:b/>
                <w:color w:val="000000"/>
                <w:sz w:val="24"/>
                <w:szCs w:val="24"/>
              </w:rPr>
              <w:t>Legal Profession Equality: The Meaning of Equal Opportunity in the Law and Its Real-World Implications</w:t>
            </w:r>
            <w:r>
              <w:rPr>
                <w:b/>
                <w:color w:val="000000"/>
                <w:sz w:val="24"/>
                <w:szCs w:val="24"/>
              </w:rPr>
              <w:tab/>
            </w:r>
          </w:hyperlink>
          <w:r>
            <w:fldChar w:fldCharType="begin"/>
          </w:r>
          <w:r>
            <w:instrText xml:space="preserve"> PAGEREF _heading=h.2et92p0 \h </w:instrText>
          </w:r>
          <w:r>
            <w:fldChar w:fldCharType="separate"/>
          </w:r>
          <w:r>
            <w:rPr>
              <w:b/>
              <w:sz w:val="24"/>
              <w:szCs w:val="24"/>
            </w:rPr>
            <w:t>3</w:t>
          </w:r>
          <w:hyperlink w:anchor="_heading=h.2et92p0" w:history="1"/>
        </w:p>
        <w:p w14:paraId="00000019" w14:textId="77777777" w:rsidR="005E788F" w:rsidRDefault="00000000">
          <w:pPr>
            <w:widowControl w:val="0"/>
            <w:tabs>
              <w:tab w:val="right" w:pos="9360"/>
            </w:tabs>
            <w:spacing w:before="60" w:line="480" w:lineRule="auto"/>
            <w:jc w:val="both"/>
            <w:rPr>
              <w:b/>
              <w:color w:val="000000"/>
              <w:sz w:val="24"/>
              <w:szCs w:val="24"/>
            </w:rPr>
          </w:pPr>
          <w:r>
            <w:fldChar w:fldCharType="end"/>
          </w:r>
          <w:hyperlink w:anchor="_heading=h.tyjcwt">
            <w:r>
              <w:rPr>
                <w:b/>
                <w:color w:val="000000"/>
                <w:sz w:val="24"/>
                <w:szCs w:val="24"/>
              </w:rPr>
              <w:t>Diversity in the Legal Profession: Exploring the Meaning of it Under the Law and How It Plays Out in Practice</w:t>
            </w:r>
            <w:r>
              <w:rPr>
                <w:b/>
                <w:color w:val="000000"/>
                <w:sz w:val="24"/>
                <w:szCs w:val="24"/>
              </w:rPr>
              <w:tab/>
            </w:r>
          </w:hyperlink>
          <w:r>
            <w:fldChar w:fldCharType="begin"/>
          </w:r>
          <w:r>
            <w:instrText xml:space="preserve"> PAGEREF _heading=h.tyjcwt \h </w:instrText>
          </w:r>
          <w:r>
            <w:fldChar w:fldCharType="separate"/>
          </w:r>
          <w:r>
            <w:rPr>
              <w:b/>
              <w:sz w:val="24"/>
              <w:szCs w:val="24"/>
            </w:rPr>
            <w:t>6</w:t>
          </w:r>
          <w:hyperlink w:anchor="_heading=h.tyjcwt" w:history="1"/>
        </w:p>
        <w:p w14:paraId="0000001A" w14:textId="77777777" w:rsidR="005E788F" w:rsidRDefault="00000000">
          <w:pPr>
            <w:widowControl w:val="0"/>
            <w:tabs>
              <w:tab w:val="right" w:pos="9360"/>
            </w:tabs>
            <w:spacing w:before="60" w:line="480" w:lineRule="auto"/>
            <w:jc w:val="both"/>
            <w:rPr>
              <w:b/>
              <w:color w:val="000000"/>
              <w:sz w:val="24"/>
              <w:szCs w:val="24"/>
            </w:rPr>
          </w:pPr>
          <w:r>
            <w:fldChar w:fldCharType="end"/>
          </w:r>
          <w:hyperlink w:anchor="_heading=h.3dy6vkm">
            <w:r>
              <w:rPr>
                <w:b/>
                <w:color w:val="000000"/>
                <w:sz w:val="24"/>
                <w:szCs w:val="24"/>
              </w:rPr>
              <w:t>Conclusion</w:t>
            </w:r>
            <w:r>
              <w:rPr>
                <w:b/>
                <w:color w:val="000000"/>
                <w:sz w:val="24"/>
                <w:szCs w:val="24"/>
              </w:rPr>
              <w:tab/>
            </w:r>
          </w:hyperlink>
          <w:r>
            <w:fldChar w:fldCharType="begin"/>
          </w:r>
          <w:r>
            <w:instrText xml:space="preserve"> PAGEREF _heading=h.3dy6vkm \h </w:instrText>
          </w:r>
          <w:r>
            <w:fldChar w:fldCharType="separate"/>
          </w:r>
          <w:r>
            <w:rPr>
              <w:b/>
              <w:sz w:val="24"/>
              <w:szCs w:val="24"/>
            </w:rPr>
            <w:t>8</w:t>
          </w:r>
          <w:hyperlink w:anchor="_heading=h.3dy6vkm" w:history="1"/>
        </w:p>
        <w:p w14:paraId="0000001B" w14:textId="77777777" w:rsidR="005E788F" w:rsidRDefault="00000000">
          <w:pPr>
            <w:widowControl w:val="0"/>
            <w:tabs>
              <w:tab w:val="right" w:pos="9360"/>
            </w:tabs>
            <w:spacing w:before="60" w:line="480" w:lineRule="auto"/>
            <w:jc w:val="both"/>
            <w:rPr>
              <w:b/>
              <w:color w:val="000000"/>
            </w:rPr>
          </w:pPr>
          <w:r>
            <w:fldChar w:fldCharType="end"/>
          </w:r>
          <w:hyperlink w:anchor="_heading=h.4d34og8">
            <w:r>
              <w:rPr>
                <w:b/>
                <w:color w:val="000000"/>
                <w:sz w:val="24"/>
                <w:szCs w:val="24"/>
              </w:rPr>
              <w:t>References</w:t>
            </w:r>
          </w:hyperlink>
          <w:hyperlink w:anchor="_heading=h.4d34og8">
            <w:r>
              <w:rPr>
                <w:b/>
                <w:color w:val="000000"/>
              </w:rPr>
              <w:tab/>
            </w:r>
          </w:hyperlink>
          <w:r>
            <w:fldChar w:fldCharType="begin"/>
          </w:r>
          <w:r>
            <w:instrText xml:space="preserve"> PAGEREF _heading=h.4d34og8 \h </w:instrText>
          </w:r>
          <w:r>
            <w:fldChar w:fldCharType="separate"/>
          </w:r>
          <w:r>
            <w:rPr>
              <w:b/>
            </w:rPr>
            <w:t>9</w:t>
          </w:r>
          <w:r>
            <w:fldChar w:fldCharType="end"/>
          </w:r>
          <w:r>
            <w:fldChar w:fldCharType="end"/>
          </w:r>
        </w:p>
      </w:sdtContent>
    </w:sdt>
    <w:p w14:paraId="0000001C" w14:textId="77777777" w:rsidR="005E788F" w:rsidRDefault="005E788F">
      <w:pPr>
        <w:spacing w:line="480" w:lineRule="auto"/>
        <w:jc w:val="both"/>
        <w:rPr>
          <w:sz w:val="24"/>
          <w:szCs w:val="24"/>
        </w:rPr>
      </w:pPr>
    </w:p>
    <w:p w14:paraId="0000001D" w14:textId="77777777" w:rsidR="005E788F" w:rsidRDefault="005E788F">
      <w:pPr>
        <w:spacing w:line="480" w:lineRule="auto"/>
        <w:jc w:val="both"/>
        <w:rPr>
          <w:b/>
          <w:sz w:val="32"/>
          <w:szCs w:val="32"/>
        </w:rPr>
      </w:pPr>
    </w:p>
    <w:p w14:paraId="0000001E" w14:textId="77777777" w:rsidR="005E788F" w:rsidRDefault="005E788F">
      <w:pPr>
        <w:spacing w:line="480" w:lineRule="auto"/>
        <w:jc w:val="both"/>
        <w:rPr>
          <w:b/>
          <w:sz w:val="32"/>
          <w:szCs w:val="32"/>
        </w:rPr>
      </w:pPr>
    </w:p>
    <w:p w14:paraId="0000001F" w14:textId="77777777" w:rsidR="005E788F" w:rsidRDefault="005E788F">
      <w:pPr>
        <w:spacing w:line="480" w:lineRule="auto"/>
        <w:jc w:val="both"/>
        <w:rPr>
          <w:b/>
          <w:sz w:val="32"/>
          <w:szCs w:val="32"/>
        </w:rPr>
      </w:pPr>
    </w:p>
    <w:p w14:paraId="00000020" w14:textId="77777777" w:rsidR="005E788F" w:rsidRDefault="005E788F">
      <w:pPr>
        <w:spacing w:line="480" w:lineRule="auto"/>
        <w:jc w:val="both"/>
        <w:rPr>
          <w:b/>
          <w:sz w:val="32"/>
          <w:szCs w:val="32"/>
        </w:rPr>
      </w:pPr>
    </w:p>
    <w:p w14:paraId="00000021" w14:textId="77777777" w:rsidR="005E788F" w:rsidRDefault="005E788F">
      <w:pPr>
        <w:spacing w:line="480" w:lineRule="auto"/>
        <w:jc w:val="both"/>
        <w:rPr>
          <w:b/>
          <w:sz w:val="32"/>
          <w:szCs w:val="32"/>
        </w:rPr>
      </w:pPr>
    </w:p>
    <w:p w14:paraId="00000022" w14:textId="77777777" w:rsidR="005E788F" w:rsidRDefault="005E788F">
      <w:pPr>
        <w:spacing w:line="480" w:lineRule="auto"/>
        <w:jc w:val="both"/>
        <w:rPr>
          <w:b/>
          <w:sz w:val="32"/>
          <w:szCs w:val="32"/>
        </w:rPr>
      </w:pPr>
    </w:p>
    <w:p w14:paraId="00000023" w14:textId="77777777" w:rsidR="005E788F" w:rsidRDefault="00000000">
      <w:pPr>
        <w:pStyle w:val="Heading1"/>
        <w:jc w:val="both"/>
      </w:pPr>
      <w:bookmarkStart w:id="2" w:name="_heading=h.1fob9te" w:colFirst="0" w:colLast="0"/>
      <w:bookmarkEnd w:id="2"/>
      <w:r>
        <w:lastRenderedPageBreak/>
        <w:t>Introduction</w:t>
      </w:r>
    </w:p>
    <w:p w14:paraId="00000024" w14:textId="77777777" w:rsidR="005E788F" w:rsidRDefault="00000000">
      <w:pPr>
        <w:pStyle w:val="Title"/>
      </w:pPr>
      <w:bookmarkStart w:id="3" w:name="_heading=h.3znysh7" w:colFirst="0" w:colLast="0"/>
      <w:bookmarkEnd w:id="3"/>
      <w:r>
        <w:t>The legal profession protects justice and ensures all individuals are treated fairly and impartially. In general practice, equal opportunity is typically viewed as treating individuals and groups without discrimination (Equality Act 2010). Promoting equality and diversity is vital within the legal profession, as it guarantees that justice is delivered impartially, regardless of an individual's history or identity (Solicitors Regulation Authority, 2019). if the legal profession does not foster equality and diversity, it may not appropriately reflect the unique demands of different communities and individuals (Bell &amp; Collier, 2016). An unpleasant work environment caused by discrimination might cause talented employees to leave the company, leading to an absence of diversity among professionals. Suppose justice is to be administered relatively, and all people, regardless of their background or identity, should be treated with respect and dignity (</w:t>
      </w:r>
      <w:proofErr w:type="spellStart"/>
      <w:r>
        <w:t>Chugh</w:t>
      </w:r>
      <w:proofErr w:type="spellEnd"/>
      <w:r>
        <w:t>, 2018). In that case, the legal profession must embrace equality and diversity, as outlined in the Equality Act of 2010 and the SRA Code of Conduct (2019).</w:t>
      </w:r>
    </w:p>
    <w:p w14:paraId="00000025" w14:textId="77777777" w:rsidR="005E788F" w:rsidRDefault="005E788F">
      <w:pPr>
        <w:spacing w:line="480" w:lineRule="auto"/>
        <w:jc w:val="both"/>
        <w:rPr>
          <w:sz w:val="24"/>
          <w:szCs w:val="24"/>
        </w:rPr>
      </w:pPr>
    </w:p>
    <w:p w14:paraId="00000026" w14:textId="77777777" w:rsidR="005E788F" w:rsidRDefault="005E788F">
      <w:pPr>
        <w:spacing w:line="480" w:lineRule="auto"/>
        <w:jc w:val="both"/>
        <w:rPr>
          <w:sz w:val="24"/>
          <w:szCs w:val="24"/>
        </w:rPr>
      </w:pPr>
    </w:p>
    <w:p w14:paraId="00000027" w14:textId="77777777" w:rsidR="005E788F" w:rsidRDefault="005E788F">
      <w:pPr>
        <w:spacing w:line="480" w:lineRule="auto"/>
        <w:jc w:val="both"/>
        <w:rPr>
          <w:sz w:val="24"/>
          <w:szCs w:val="24"/>
        </w:rPr>
      </w:pPr>
    </w:p>
    <w:p w14:paraId="00000028" w14:textId="77777777" w:rsidR="005E788F" w:rsidRDefault="005E788F">
      <w:pPr>
        <w:spacing w:line="480" w:lineRule="auto"/>
        <w:jc w:val="both"/>
        <w:rPr>
          <w:sz w:val="24"/>
          <w:szCs w:val="24"/>
        </w:rPr>
      </w:pPr>
    </w:p>
    <w:p w14:paraId="00000029" w14:textId="77777777" w:rsidR="005E788F" w:rsidRDefault="005E788F">
      <w:pPr>
        <w:spacing w:line="480" w:lineRule="auto"/>
        <w:jc w:val="both"/>
        <w:rPr>
          <w:sz w:val="24"/>
          <w:szCs w:val="24"/>
        </w:rPr>
      </w:pPr>
    </w:p>
    <w:p w14:paraId="0000002A" w14:textId="77777777" w:rsidR="005E788F" w:rsidRDefault="005E788F">
      <w:pPr>
        <w:spacing w:line="480" w:lineRule="auto"/>
        <w:jc w:val="both"/>
        <w:rPr>
          <w:sz w:val="24"/>
          <w:szCs w:val="24"/>
        </w:rPr>
      </w:pPr>
    </w:p>
    <w:p w14:paraId="0000002B" w14:textId="77777777" w:rsidR="005E788F" w:rsidRDefault="005E788F">
      <w:pPr>
        <w:spacing w:line="480" w:lineRule="auto"/>
        <w:jc w:val="both"/>
        <w:rPr>
          <w:sz w:val="24"/>
          <w:szCs w:val="24"/>
        </w:rPr>
      </w:pPr>
    </w:p>
    <w:p w14:paraId="0000002C" w14:textId="77777777" w:rsidR="005E788F" w:rsidRDefault="00000000">
      <w:pPr>
        <w:pStyle w:val="Heading1"/>
        <w:jc w:val="both"/>
      </w:pPr>
      <w:bookmarkStart w:id="4" w:name="_heading=h.2et92p0" w:colFirst="0" w:colLast="0"/>
      <w:bookmarkEnd w:id="4"/>
      <w:r>
        <w:lastRenderedPageBreak/>
        <w:t>Equal Opportunity in the Law and Its Real-World Implications</w:t>
      </w:r>
    </w:p>
    <w:p w14:paraId="0000002D" w14:textId="77777777" w:rsidR="005E788F" w:rsidRDefault="00000000">
      <w:pPr>
        <w:spacing w:line="480" w:lineRule="auto"/>
        <w:jc w:val="both"/>
        <w:rPr>
          <w:sz w:val="24"/>
          <w:szCs w:val="24"/>
        </w:rPr>
      </w:pPr>
      <w:r>
        <w:rPr>
          <w:sz w:val="24"/>
          <w:szCs w:val="24"/>
        </w:rPr>
        <w:t>Pursuing fairness and justice in the legal system depends on a commitment to equality as a core value (</w:t>
      </w:r>
      <w:proofErr w:type="spellStart"/>
      <w:r>
        <w:rPr>
          <w:sz w:val="24"/>
          <w:szCs w:val="24"/>
        </w:rPr>
        <w:t>Dreachslin</w:t>
      </w:r>
      <w:proofErr w:type="spellEnd"/>
      <w:r>
        <w:rPr>
          <w:sz w:val="24"/>
          <w:szCs w:val="24"/>
        </w:rPr>
        <w:t>, 2017). Although the concept of equal opportunity is defined in law, in common usage, it refers to eliminating bias in one's treatment of individuals and groups. Lawyers must promote this value according to the Equality Act of 2010 and the SRA Code of Conduct (2019). A more egalitarian legal community can foster a fair and impartial judicial system (Griffin &amp; Wilson, 2018). Regardless of who they are or where they come from, everyone should be treated with respect and decency and have equal access to the legal system (Ely &amp; Thomas, 2016). Discrimination can damage public faith in the justice system and undermine the rule of law.</w:t>
      </w:r>
    </w:p>
    <w:p w14:paraId="0000002E" w14:textId="77777777" w:rsidR="005E788F" w:rsidRDefault="005E788F">
      <w:pPr>
        <w:spacing w:line="480" w:lineRule="auto"/>
        <w:jc w:val="both"/>
        <w:rPr>
          <w:sz w:val="24"/>
          <w:szCs w:val="24"/>
        </w:rPr>
      </w:pPr>
    </w:p>
    <w:p w14:paraId="0000002F" w14:textId="77777777" w:rsidR="005E788F" w:rsidRDefault="00000000">
      <w:pPr>
        <w:spacing w:line="480" w:lineRule="auto"/>
        <w:jc w:val="both"/>
        <w:rPr>
          <w:sz w:val="24"/>
          <w:szCs w:val="24"/>
        </w:rPr>
      </w:pPr>
      <w:r>
        <w:rPr>
          <w:sz w:val="24"/>
          <w:szCs w:val="24"/>
        </w:rPr>
        <w:t xml:space="preserve">A lack of diversity in the legal profession may hypothetically result if the legal community actively promotes equality (Konrad &amp; </w:t>
      </w:r>
      <w:proofErr w:type="spellStart"/>
      <w:r>
        <w:rPr>
          <w:sz w:val="24"/>
          <w:szCs w:val="24"/>
        </w:rPr>
        <w:t>Linnehan</w:t>
      </w:r>
      <w:proofErr w:type="spellEnd"/>
      <w:r>
        <w:rPr>
          <w:sz w:val="24"/>
          <w:szCs w:val="24"/>
        </w:rPr>
        <w:t xml:space="preserve">, 2018). This could cause one to lose perspective and fail to </w:t>
      </w:r>
      <w:proofErr w:type="spellStart"/>
      <w:r>
        <w:rPr>
          <w:sz w:val="24"/>
          <w:szCs w:val="24"/>
        </w:rPr>
        <w:t>recognise</w:t>
      </w:r>
      <w:proofErr w:type="spellEnd"/>
      <w:r>
        <w:rPr>
          <w:sz w:val="24"/>
          <w:szCs w:val="24"/>
        </w:rPr>
        <w:t xml:space="preserve"> the value of the needs of others. Workplace hostility caused by discrimination has been linked to low morale and increased turnover. If this happened, the judicial system would suffer, and fewer people would have access to skilled representation. Equal opportunity in the legal profession is a crucial factor in attracting and retaining top talent from all walks of life. Black, Asian, and Minority-Ethnic (BAME) people and those with disabilities are underrepresented in the legal profession, which can help fix that (</w:t>
      </w:r>
      <w:proofErr w:type="spellStart"/>
      <w:r>
        <w:rPr>
          <w:sz w:val="24"/>
          <w:szCs w:val="24"/>
        </w:rPr>
        <w:t>Kossek</w:t>
      </w:r>
      <w:proofErr w:type="spellEnd"/>
      <w:r>
        <w:rPr>
          <w:sz w:val="24"/>
          <w:szCs w:val="24"/>
        </w:rPr>
        <w:t xml:space="preserve">, </w:t>
      </w:r>
      <w:proofErr w:type="spellStart"/>
      <w:r>
        <w:rPr>
          <w:sz w:val="24"/>
          <w:szCs w:val="24"/>
        </w:rPr>
        <w:t>Lautsch</w:t>
      </w:r>
      <w:proofErr w:type="spellEnd"/>
      <w:r>
        <w:rPr>
          <w:sz w:val="24"/>
          <w:szCs w:val="24"/>
        </w:rPr>
        <w:t xml:space="preserve">, &amp; Eaton, 2019). The legal industry may benefit from the talents and perspectives of people from all walks of life by fostering an inclusive work environment. The SRA Code of Conduct (2019) details professional requirements for solicitors. Solicitors are prohibited from engaging in any conduct that constitutes </w:t>
      </w:r>
      <w:r>
        <w:rPr>
          <w:sz w:val="24"/>
          <w:szCs w:val="24"/>
        </w:rPr>
        <w:lastRenderedPageBreak/>
        <w:t>discrimination based on a protected feature (Lloyd-Hughes, 2020). This means treating all clients equally and avoiding bias in all hiring, training, and advancement aspects.</w:t>
      </w:r>
    </w:p>
    <w:p w14:paraId="00000030" w14:textId="77777777" w:rsidR="005E788F" w:rsidRDefault="005E788F">
      <w:pPr>
        <w:spacing w:line="480" w:lineRule="auto"/>
        <w:jc w:val="both"/>
        <w:rPr>
          <w:sz w:val="24"/>
          <w:szCs w:val="24"/>
        </w:rPr>
      </w:pPr>
    </w:p>
    <w:p w14:paraId="00000031" w14:textId="77777777" w:rsidR="005E788F" w:rsidRDefault="00000000">
      <w:pPr>
        <w:spacing w:line="480" w:lineRule="auto"/>
        <w:jc w:val="both"/>
        <w:rPr>
          <w:sz w:val="24"/>
          <w:szCs w:val="24"/>
        </w:rPr>
      </w:pPr>
      <w:r>
        <w:rPr>
          <w:sz w:val="24"/>
          <w:szCs w:val="24"/>
        </w:rPr>
        <w:t xml:space="preserve">Solicitors also must foster an inclusive workplace actively. As part of this process, they will gather information about the demographics of their current staff, establish goals for increasing diversity, and craft practices to foster an inclusive environment (Noland, Moran, &amp; </w:t>
      </w:r>
      <w:proofErr w:type="spellStart"/>
      <w:r>
        <w:rPr>
          <w:sz w:val="24"/>
          <w:szCs w:val="24"/>
        </w:rPr>
        <w:t>Kotschwar</w:t>
      </w:r>
      <w:proofErr w:type="spellEnd"/>
      <w:r>
        <w:rPr>
          <w:sz w:val="24"/>
          <w:szCs w:val="24"/>
        </w:rPr>
        <w:t xml:space="preserve">, 2016). Educating people about diversity concerns and encouraging good practices is another training goal in this area. In addition to being the law, promoting equality is just the moral thing to do. Everyone has the right to be treated fairly and courteously and enjoy equal privileges and benefits (Pande &amp; Ford, 2017). Those who </w:t>
      </w:r>
      <w:proofErr w:type="spellStart"/>
      <w:r>
        <w:rPr>
          <w:sz w:val="24"/>
          <w:szCs w:val="24"/>
        </w:rPr>
        <w:t>practise</w:t>
      </w:r>
      <w:proofErr w:type="spellEnd"/>
      <w:r>
        <w:rPr>
          <w:sz w:val="24"/>
          <w:szCs w:val="24"/>
        </w:rPr>
        <w:t xml:space="preserve"> law are responsible for upholding these ideals and opposing discrimination whenever and wherever it arises. The victim of discrimination and the company's reputation could suffer severe consequences if this doesn't happen.</w:t>
      </w:r>
    </w:p>
    <w:p w14:paraId="00000032" w14:textId="77777777" w:rsidR="005E788F" w:rsidRDefault="00000000">
      <w:pPr>
        <w:spacing w:line="480" w:lineRule="auto"/>
        <w:jc w:val="both"/>
        <w:rPr>
          <w:sz w:val="24"/>
          <w:szCs w:val="24"/>
        </w:rPr>
      </w:pPr>
      <w:r>
        <w:rPr>
          <w:sz w:val="24"/>
          <w:szCs w:val="24"/>
        </w:rPr>
        <w:t xml:space="preserve">It is essential to defend justice, protect the rights of individuals and society, and recruit and retain brilliant professionals from varied backgrounds, all of which can be advanced through promoting equality within the legal profession (Rosette &amp; </w:t>
      </w:r>
      <w:proofErr w:type="spellStart"/>
      <w:r>
        <w:rPr>
          <w:sz w:val="24"/>
          <w:szCs w:val="24"/>
        </w:rPr>
        <w:t>Tost</w:t>
      </w:r>
      <w:proofErr w:type="spellEnd"/>
      <w:r>
        <w:rPr>
          <w:sz w:val="24"/>
          <w:szCs w:val="24"/>
        </w:rPr>
        <w:t>, 2018). The Equality Act of 2010 and the SRA Code of Conduct (2019) both make it clear that lawyers must work to advance diversity and inclusion. The administration of justice and treating all people with respect and dignity, regardless of their background or identity, depend on a legal profession that fosters an inclusive workplace culture and actively challenges discrimination.</w:t>
      </w:r>
    </w:p>
    <w:p w14:paraId="00000033" w14:textId="77777777" w:rsidR="005E788F" w:rsidRDefault="00000000">
      <w:pPr>
        <w:pStyle w:val="Heading1"/>
        <w:jc w:val="both"/>
      </w:pPr>
      <w:bookmarkStart w:id="5" w:name="_heading=h.tyjcwt" w:colFirst="0" w:colLast="0"/>
      <w:bookmarkEnd w:id="5"/>
      <w:r>
        <w:lastRenderedPageBreak/>
        <w:t xml:space="preserve">Diversity in the Legal Profession </w:t>
      </w:r>
    </w:p>
    <w:p w14:paraId="00000034" w14:textId="77777777" w:rsidR="005E788F" w:rsidRDefault="00000000">
      <w:pPr>
        <w:spacing w:line="480" w:lineRule="auto"/>
        <w:jc w:val="both"/>
        <w:rPr>
          <w:sz w:val="24"/>
          <w:szCs w:val="24"/>
        </w:rPr>
      </w:pPr>
      <w:r>
        <w:rPr>
          <w:sz w:val="24"/>
          <w:szCs w:val="24"/>
        </w:rPr>
        <w:t>The legal field, like any other, greatly benefits from a diverse workforce. While "equal opportunity" has a specific legal meaning, it is commonly understood to mean not discriminating against people or groups because of who they are or what they look like (Equality Act 2010). The Equality Act of 2010 and the SRA Code of Conduct (2019) clarify that lawyers must uphold this value.</w:t>
      </w:r>
    </w:p>
    <w:p w14:paraId="00000035" w14:textId="77777777" w:rsidR="005E788F" w:rsidRDefault="005E788F">
      <w:pPr>
        <w:spacing w:line="480" w:lineRule="auto"/>
        <w:jc w:val="both"/>
        <w:rPr>
          <w:sz w:val="24"/>
          <w:szCs w:val="24"/>
        </w:rPr>
      </w:pPr>
    </w:p>
    <w:p w14:paraId="00000036" w14:textId="77777777" w:rsidR="005E788F" w:rsidRDefault="00000000">
      <w:pPr>
        <w:spacing w:line="480" w:lineRule="auto"/>
        <w:jc w:val="both"/>
        <w:rPr>
          <w:sz w:val="24"/>
          <w:szCs w:val="24"/>
        </w:rPr>
      </w:pPr>
      <w:r>
        <w:rPr>
          <w:sz w:val="24"/>
          <w:szCs w:val="24"/>
        </w:rPr>
        <w:t xml:space="preserve">Diversity in the legal field is vital for many reasons, not the least of which is that it fosters acceptance and ensures that everyone, regardless of background or socioeconomic status, has equal access to and satisfaction from the justice system (Simard &amp; Bacharach, 2019). Legal services have the potential to improve if they are delivered by a more representative cross-section of society, which is why it is important to encourage diversity in the legal field. A lack of understanding and appreciation for the needs of different communities and individuals might result if the legal profession actively encourages diversity (Solicitors Regulation Authority, 2019). Because of this, we risk losing perspective and creating inequalities in applying the law. Legal services should be given fairly and equitably, and fostering diversity in the legal community can help fix this problem. Increasing the representation of people of BAME origins and people with disabilities in the legal profession can assist in remedying the underrepresentation of those groups (Bell &amp; Collier, 2016). The legal industry may benefit from a more diverse workforce's unique perspectives and experiences if it adopts a more welcoming attitude. Solicitors must adhere to the standards and </w:t>
      </w:r>
      <w:proofErr w:type="spellStart"/>
      <w:r>
        <w:rPr>
          <w:sz w:val="24"/>
          <w:szCs w:val="24"/>
        </w:rPr>
        <w:t>practise</w:t>
      </w:r>
      <w:proofErr w:type="spellEnd"/>
      <w:r>
        <w:rPr>
          <w:sz w:val="24"/>
          <w:szCs w:val="24"/>
        </w:rPr>
        <w:t xml:space="preserve"> outlined in the SRA Code of Conduct (2019). Solicitors must take measures to improve workplace diversity, including assessing </w:t>
      </w:r>
      <w:r>
        <w:rPr>
          <w:sz w:val="24"/>
          <w:szCs w:val="24"/>
        </w:rPr>
        <w:lastRenderedPageBreak/>
        <w:t>the demographics of their current staff, establishing plans to increase diversity, and implementing new practices (</w:t>
      </w:r>
      <w:proofErr w:type="spellStart"/>
      <w:r>
        <w:rPr>
          <w:sz w:val="24"/>
          <w:szCs w:val="24"/>
        </w:rPr>
        <w:t>Chugh</w:t>
      </w:r>
      <w:proofErr w:type="spellEnd"/>
      <w:r>
        <w:rPr>
          <w:sz w:val="24"/>
          <w:szCs w:val="24"/>
        </w:rPr>
        <w:t>, 2018). Diversity training is also highly suggested to educate people on the problems and encourage productive solutions. Increasing variety is not only the lawful thing to do but also the morally correct thing to do. The legal community should advance the value of equal access to justice (</w:t>
      </w:r>
      <w:proofErr w:type="spellStart"/>
      <w:r>
        <w:rPr>
          <w:sz w:val="24"/>
          <w:szCs w:val="24"/>
        </w:rPr>
        <w:t>Dreachslin</w:t>
      </w:r>
      <w:proofErr w:type="spellEnd"/>
      <w:r>
        <w:rPr>
          <w:sz w:val="24"/>
          <w:szCs w:val="24"/>
        </w:rPr>
        <w:t>, 2017). The legal industry can attract and retain a more diverse pool of top talent by fostering an inclusive work environment where all employees are valued and respected.</w:t>
      </w:r>
    </w:p>
    <w:p w14:paraId="00000037" w14:textId="77777777" w:rsidR="005E788F" w:rsidRDefault="005E788F">
      <w:pPr>
        <w:spacing w:line="480" w:lineRule="auto"/>
        <w:jc w:val="both"/>
        <w:rPr>
          <w:sz w:val="24"/>
          <w:szCs w:val="24"/>
        </w:rPr>
      </w:pPr>
    </w:p>
    <w:p w14:paraId="00000038" w14:textId="77777777" w:rsidR="005E788F" w:rsidRDefault="00000000">
      <w:pPr>
        <w:spacing w:line="480" w:lineRule="auto"/>
        <w:jc w:val="both"/>
        <w:rPr>
          <w:sz w:val="24"/>
          <w:szCs w:val="24"/>
        </w:rPr>
      </w:pPr>
      <w:r>
        <w:rPr>
          <w:sz w:val="24"/>
          <w:szCs w:val="24"/>
        </w:rPr>
        <w:t xml:space="preserve">Increasing diversity in the legal sector has been shown to have several tangible benefits, including enhancing service quality. The legal community can better serve the public and meet the demands of its constituents by actively encouraging a wide range of viewpoints and life experiences among its members (Ely &amp; Thomas, 2016). The legal system may benefit from this in the long run. Underrepresentation and inequality are two problems that can be helped by increasing diversity in the legal profession. The legal industry may benefit from a more diverse workforce's unique perspectives and experiences if it adopts a more welcoming attitude (Griffin &amp; Wilson, 2018). The underrepresentation of people of </w:t>
      </w:r>
      <w:proofErr w:type="spellStart"/>
      <w:r>
        <w:rPr>
          <w:sz w:val="24"/>
          <w:szCs w:val="24"/>
        </w:rPr>
        <w:t>colour</w:t>
      </w:r>
      <w:proofErr w:type="spellEnd"/>
      <w:r>
        <w:rPr>
          <w:sz w:val="24"/>
          <w:szCs w:val="24"/>
        </w:rPr>
        <w:t xml:space="preserve"> and people with disabilities in the field may be helped by this measure. A lack of understanding and appreciation for the needs of different communities and individuals might result if the legal profession did not actively encourage diversity. Because of this, we risk losing perspective and creating inequalities in applying the law. Legal services should be given fairly and equitably, and fostering diversity in the legal community can help fix this problem.</w:t>
      </w:r>
    </w:p>
    <w:p w14:paraId="00000039" w14:textId="77777777" w:rsidR="005E788F" w:rsidRDefault="005E788F">
      <w:pPr>
        <w:spacing w:line="480" w:lineRule="auto"/>
        <w:jc w:val="both"/>
        <w:rPr>
          <w:sz w:val="24"/>
          <w:szCs w:val="24"/>
        </w:rPr>
      </w:pPr>
    </w:p>
    <w:p w14:paraId="0000003A" w14:textId="77777777" w:rsidR="005E788F" w:rsidRDefault="00000000">
      <w:pPr>
        <w:spacing w:line="480" w:lineRule="auto"/>
        <w:jc w:val="both"/>
        <w:rPr>
          <w:sz w:val="24"/>
          <w:szCs w:val="24"/>
        </w:rPr>
      </w:pPr>
      <w:r>
        <w:rPr>
          <w:sz w:val="24"/>
          <w:szCs w:val="24"/>
        </w:rPr>
        <w:lastRenderedPageBreak/>
        <w:t xml:space="preserve">Encouraging diversity in the legal sector can help boost the sector's standing in the public eye (Jones &amp; Berman, 2019). The legal community may show it supports equality and diversity by modelling these values in the workplace. In addition to fostering excellent practice and upholding the ideals of respect and dignity for all individuals, this can also help attract and retain bright professionals from various backgrounds (Konrad &amp; </w:t>
      </w:r>
      <w:proofErr w:type="spellStart"/>
      <w:r>
        <w:rPr>
          <w:sz w:val="24"/>
          <w:szCs w:val="24"/>
        </w:rPr>
        <w:t>Linnehan</w:t>
      </w:r>
      <w:proofErr w:type="spellEnd"/>
      <w:r>
        <w:rPr>
          <w:sz w:val="24"/>
          <w:szCs w:val="24"/>
        </w:rPr>
        <w:t xml:space="preserve">, 2018). Increasing diversity among lawyers is essential for meeting the demands of a wide range of communities and individuals. </w:t>
      </w:r>
    </w:p>
    <w:p w14:paraId="0000003B" w14:textId="77777777" w:rsidR="005E788F" w:rsidRDefault="005E788F">
      <w:pPr>
        <w:spacing w:line="480" w:lineRule="auto"/>
        <w:jc w:val="both"/>
        <w:rPr>
          <w:sz w:val="24"/>
          <w:szCs w:val="24"/>
        </w:rPr>
      </w:pPr>
    </w:p>
    <w:p w14:paraId="0000003C" w14:textId="77777777" w:rsidR="005E788F" w:rsidRDefault="005E788F">
      <w:pPr>
        <w:spacing w:line="480" w:lineRule="auto"/>
        <w:jc w:val="both"/>
        <w:rPr>
          <w:sz w:val="24"/>
          <w:szCs w:val="24"/>
        </w:rPr>
      </w:pPr>
    </w:p>
    <w:p w14:paraId="0000003D" w14:textId="77777777" w:rsidR="005E788F" w:rsidRDefault="005E788F">
      <w:pPr>
        <w:spacing w:line="480" w:lineRule="auto"/>
        <w:jc w:val="both"/>
        <w:rPr>
          <w:sz w:val="24"/>
          <w:szCs w:val="24"/>
        </w:rPr>
      </w:pPr>
    </w:p>
    <w:p w14:paraId="0000003E" w14:textId="77777777" w:rsidR="005E788F" w:rsidRDefault="005E788F">
      <w:pPr>
        <w:spacing w:line="480" w:lineRule="auto"/>
        <w:jc w:val="both"/>
        <w:rPr>
          <w:sz w:val="24"/>
          <w:szCs w:val="24"/>
        </w:rPr>
      </w:pPr>
    </w:p>
    <w:p w14:paraId="0000003F" w14:textId="77777777" w:rsidR="005E788F" w:rsidRDefault="005E788F">
      <w:pPr>
        <w:spacing w:line="480" w:lineRule="auto"/>
        <w:jc w:val="both"/>
        <w:rPr>
          <w:sz w:val="24"/>
          <w:szCs w:val="24"/>
        </w:rPr>
      </w:pPr>
    </w:p>
    <w:p w14:paraId="00000040" w14:textId="77777777" w:rsidR="005E788F" w:rsidRDefault="005E788F">
      <w:pPr>
        <w:spacing w:line="480" w:lineRule="auto"/>
        <w:jc w:val="both"/>
        <w:rPr>
          <w:sz w:val="24"/>
          <w:szCs w:val="24"/>
        </w:rPr>
      </w:pPr>
    </w:p>
    <w:p w14:paraId="00000041" w14:textId="77777777" w:rsidR="005E788F" w:rsidRDefault="005E788F">
      <w:pPr>
        <w:spacing w:line="480" w:lineRule="auto"/>
        <w:jc w:val="both"/>
        <w:rPr>
          <w:sz w:val="24"/>
          <w:szCs w:val="24"/>
        </w:rPr>
      </w:pPr>
    </w:p>
    <w:p w14:paraId="00000042" w14:textId="77777777" w:rsidR="005E788F" w:rsidRDefault="005E788F">
      <w:pPr>
        <w:spacing w:line="480" w:lineRule="auto"/>
        <w:jc w:val="both"/>
        <w:rPr>
          <w:sz w:val="24"/>
          <w:szCs w:val="24"/>
        </w:rPr>
      </w:pPr>
    </w:p>
    <w:p w14:paraId="00000043" w14:textId="77777777" w:rsidR="005E788F" w:rsidRDefault="005E788F">
      <w:pPr>
        <w:spacing w:line="480" w:lineRule="auto"/>
        <w:jc w:val="both"/>
        <w:rPr>
          <w:sz w:val="24"/>
          <w:szCs w:val="24"/>
        </w:rPr>
      </w:pPr>
    </w:p>
    <w:p w14:paraId="00000044" w14:textId="77777777" w:rsidR="005E788F" w:rsidRDefault="005E788F">
      <w:pPr>
        <w:spacing w:line="480" w:lineRule="auto"/>
        <w:jc w:val="both"/>
        <w:rPr>
          <w:sz w:val="24"/>
          <w:szCs w:val="24"/>
        </w:rPr>
      </w:pPr>
    </w:p>
    <w:p w14:paraId="00000045" w14:textId="77777777" w:rsidR="005E788F" w:rsidRDefault="005E788F">
      <w:pPr>
        <w:spacing w:line="480" w:lineRule="auto"/>
        <w:jc w:val="both"/>
        <w:rPr>
          <w:sz w:val="24"/>
          <w:szCs w:val="24"/>
        </w:rPr>
      </w:pPr>
    </w:p>
    <w:p w14:paraId="00000046" w14:textId="77777777" w:rsidR="005E788F" w:rsidRDefault="005E788F">
      <w:pPr>
        <w:spacing w:line="480" w:lineRule="auto"/>
        <w:jc w:val="both"/>
        <w:rPr>
          <w:sz w:val="24"/>
          <w:szCs w:val="24"/>
        </w:rPr>
      </w:pPr>
    </w:p>
    <w:p w14:paraId="00000047" w14:textId="77777777" w:rsidR="005E788F" w:rsidRDefault="005E788F">
      <w:pPr>
        <w:spacing w:line="480" w:lineRule="auto"/>
        <w:jc w:val="both"/>
        <w:rPr>
          <w:sz w:val="24"/>
          <w:szCs w:val="24"/>
        </w:rPr>
      </w:pPr>
    </w:p>
    <w:p w14:paraId="2ECE150F" w14:textId="77777777" w:rsidR="0037245F" w:rsidRDefault="0037245F">
      <w:pPr>
        <w:rPr>
          <w:b/>
          <w:color w:val="351C75"/>
          <w:sz w:val="32"/>
          <w:szCs w:val="32"/>
        </w:rPr>
      </w:pPr>
      <w:bookmarkStart w:id="6" w:name="_heading=h.3dy6vkm" w:colFirst="0" w:colLast="0"/>
      <w:bookmarkEnd w:id="6"/>
      <w:r>
        <w:br w:type="page"/>
      </w:r>
    </w:p>
    <w:p w14:paraId="00000048" w14:textId="08A7F77C" w:rsidR="005E788F" w:rsidRDefault="00000000">
      <w:pPr>
        <w:pStyle w:val="Heading1"/>
        <w:jc w:val="both"/>
      </w:pPr>
      <w:r>
        <w:lastRenderedPageBreak/>
        <w:t>Conclusion</w:t>
      </w:r>
    </w:p>
    <w:p w14:paraId="00000049" w14:textId="77777777" w:rsidR="005E788F" w:rsidRDefault="00000000">
      <w:pPr>
        <w:spacing w:line="480" w:lineRule="auto"/>
        <w:jc w:val="both"/>
        <w:rPr>
          <w:sz w:val="24"/>
          <w:szCs w:val="24"/>
        </w:rPr>
      </w:pPr>
      <w:r>
        <w:rPr>
          <w:sz w:val="24"/>
          <w:szCs w:val="24"/>
        </w:rPr>
        <w:t>The Equality Act of 2010 and the SRA Code of Conduct (2019) clearly state that the legal profession is responsible for advancing diversity and inclusion. These principles must be upheld to ensure justice is administered fairly and equally and to attract and keep a diverse pool of bright professionals. By fostering a welcoming environment for employees of all backgrounds and identities, the legal sector will be better able to draw on the expertise of a more diverse workforce, disseminate best practices, and ensure that everyone is treated with the respect they deserve.</w:t>
      </w:r>
    </w:p>
    <w:p w14:paraId="0000004A" w14:textId="77777777" w:rsidR="005E788F" w:rsidRDefault="005E788F">
      <w:pPr>
        <w:spacing w:line="480" w:lineRule="auto"/>
        <w:jc w:val="both"/>
        <w:rPr>
          <w:sz w:val="24"/>
          <w:szCs w:val="24"/>
        </w:rPr>
      </w:pPr>
    </w:p>
    <w:p w14:paraId="0000004B" w14:textId="77777777" w:rsidR="005E788F" w:rsidRDefault="005E788F">
      <w:pPr>
        <w:spacing w:line="480" w:lineRule="auto"/>
        <w:jc w:val="both"/>
        <w:rPr>
          <w:sz w:val="24"/>
          <w:szCs w:val="24"/>
        </w:rPr>
      </w:pPr>
    </w:p>
    <w:p w14:paraId="0000004C" w14:textId="77777777" w:rsidR="005E788F" w:rsidRDefault="005E788F">
      <w:pPr>
        <w:spacing w:line="480" w:lineRule="auto"/>
        <w:jc w:val="both"/>
        <w:rPr>
          <w:sz w:val="24"/>
          <w:szCs w:val="24"/>
        </w:rPr>
      </w:pPr>
    </w:p>
    <w:p w14:paraId="0000004D" w14:textId="77777777" w:rsidR="005E788F" w:rsidRDefault="005E788F">
      <w:pPr>
        <w:spacing w:line="480" w:lineRule="auto"/>
        <w:jc w:val="both"/>
        <w:rPr>
          <w:sz w:val="24"/>
          <w:szCs w:val="24"/>
        </w:rPr>
      </w:pPr>
    </w:p>
    <w:p w14:paraId="0000004E" w14:textId="77777777" w:rsidR="005E788F" w:rsidRDefault="005E788F">
      <w:pPr>
        <w:spacing w:line="480" w:lineRule="auto"/>
        <w:jc w:val="both"/>
        <w:rPr>
          <w:sz w:val="24"/>
          <w:szCs w:val="24"/>
        </w:rPr>
      </w:pPr>
    </w:p>
    <w:p w14:paraId="0000004F" w14:textId="77777777" w:rsidR="005E788F" w:rsidRDefault="005E788F">
      <w:pPr>
        <w:spacing w:line="480" w:lineRule="auto"/>
        <w:jc w:val="both"/>
        <w:rPr>
          <w:sz w:val="24"/>
          <w:szCs w:val="24"/>
        </w:rPr>
      </w:pPr>
    </w:p>
    <w:p w14:paraId="00000050" w14:textId="77777777" w:rsidR="005E788F" w:rsidRDefault="005E788F">
      <w:pPr>
        <w:spacing w:line="480" w:lineRule="auto"/>
        <w:jc w:val="both"/>
        <w:rPr>
          <w:sz w:val="24"/>
          <w:szCs w:val="24"/>
        </w:rPr>
      </w:pPr>
    </w:p>
    <w:p w14:paraId="00000051" w14:textId="77777777" w:rsidR="005E788F" w:rsidRDefault="005E788F">
      <w:pPr>
        <w:spacing w:line="480" w:lineRule="auto"/>
        <w:jc w:val="both"/>
        <w:rPr>
          <w:sz w:val="24"/>
          <w:szCs w:val="24"/>
        </w:rPr>
      </w:pPr>
    </w:p>
    <w:p w14:paraId="00000052" w14:textId="77777777" w:rsidR="005E788F" w:rsidRDefault="005E788F">
      <w:pPr>
        <w:spacing w:line="480" w:lineRule="auto"/>
        <w:jc w:val="both"/>
        <w:rPr>
          <w:sz w:val="24"/>
          <w:szCs w:val="24"/>
        </w:rPr>
      </w:pPr>
    </w:p>
    <w:p w14:paraId="00000053" w14:textId="77777777" w:rsidR="005E788F" w:rsidRDefault="005E788F">
      <w:pPr>
        <w:spacing w:line="480" w:lineRule="auto"/>
        <w:jc w:val="both"/>
        <w:rPr>
          <w:sz w:val="24"/>
          <w:szCs w:val="24"/>
        </w:rPr>
      </w:pPr>
    </w:p>
    <w:p w14:paraId="00000054" w14:textId="77777777" w:rsidR="005E788F" w:rsidRDefault="005E788F">
      <w:pPr>
        <w:spacing w:line="480" w:lineRule="auto"/>
        <w:jc w:val="both"/>
        <w:rPr>
          <w:sz w:val="24"/>
          <w:szCs w:val="24"/>
        </w:rPr>
      </w:pPr>
    </w:p>
    <w:p w14:paraId="00000055" w14:textId="77777777" w:rsidR="005E788F" w:rsidRDefault="005E788F">
      <w:pPr>
        <w:spacing w:line="480" w:lineRule="auto"/>
        <w:jc w:val="both"/>
        <w:rPr>
          <w:sz w:val="24"/>
          <w:szCs w:val="24"/>
        </w:rPr>
      </w:pPr>
    </w:p>
    <w:p w14:paraId="00000056" w14:textId="77777777" w:rsidR="005E788F" w:rsidRDefault="005E788F">
      <w:pPr>
        <w:spacing w:line="480" w:lineRule="auto"/>
        <w:jc w:val="both"/>
        <w:rPr>
          <w:sz w:val="24"/>
          <w:szCs w:val="24"/>
        </w:rPr>
      </w:pPr>
    </w:p>
    <w:p w14:paraId="00000057" w14:textId="77777777" w:rsidR="005E788F" w:rsidRDefault="005E788F">
      <w:pPr>
        <w:spacing w:line="480" w:lineRule="auto"/>
        <w:jc w:val="both"/>
        <w:rPr>
          <w:sz w:val="24"/>
          <w:szCs w:val="24"/>
        </w:rPr>
      </w:pPr>
    </w:p>
    <w:p w14:paraId="00000058" w14:textId="77777777" w:rsidR="005E788F" w:rsidRDefault="00000000">
      <w:pPr>
        <w:pStyle w:val="Heading1"/>
        <w:jc w:val="both"/>
      </w:pPr>
      <w:bookmarkStart w:id="7" w:name="_heading=h.1t3h5sf" w:colFirst="0" w:colLast="0"/>
      <w:bookmarkEnd w:id="7"/>
      <w:r>
        <w:lastRenderedPageBreak/>
        <w:t>References</w:t>
      </w:r>
    </w:p>
    <w:p w14:paraId="00000059"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before="280" w:line="480" w:lineRule="auto"/>
        <w:rPr>
          <w:sz w:val="24"/>
          <w:szCs w:val="24"/>
        </w:rPr>
      </w:pPr>
      <w:r>
        <w:rPr>
          <w:sz w:val="24"/>
          <w:szCs w:val="24"/>
        </w:rPr>
        <w:t>Equality Act 2010, c. 15. Retrieved from</w:t>
      </w:r>
      <w:hyperlink r:id="rId6">
        <w:r>
          <w:rPr>
            <w:sz w:val="24"/>
            <w:szCs w:val="24"/>
          </w:rPr>
          <w:t xml:space="preserve"> </w:t>
        </w:r>
      </w:hyperlink>
      <w:hyperlink r:id="rId7">
        <w:r>
          <w:rPr>
            <w:color w:val="1155CC"/>
            <w:sz w:val="24"/>
            <w:szCs w:val="24"/>
            <w:u w:val="single"/>
          </w:rPr>
          <w:t>http://www.legislation.gov.uk/ukpga/2010/15/contents</w:t>
        </w:r>
      </w:hyperlink>
    </w:p>
    <w:p w14:paraId="0000005A"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Solicitors Regulation Authority. (2019). SRA Handbook: Code of Conduct for Solicitors, RELs and RFLs. Retrieved from</w:t>
      </w:r>
      <w:hyperlink r:id="rId8">
        <w:r>
          <w:rPr>
            <w:sz w:val="24"/>
            <w:szCs w:val="24"/>
          </w:rPr>
          <w:t xml:space="preserve"> </w:t>
        </w:r>
      </w:hyperlink>
      <w:hyperlink r:id="rId9">
        <w:r>
          <w:rPr>
            <w:color w:val="1155CC"/>
            <w:sz w:val="24"/>
            <w:szCs w:val="24"/>
            <w:u w:val="single"/>
          </w:rPr>
          <w:t>https://www.sra.org.uk/solicitors/handbook/code/content.page</w:t>
        </w:r>
      </w:hyperlink>
    </w:p>
    <w:p w14:paraId="0000005B"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Bell, M. P., &amp; Collier, P. J. (2016). How to create a diversity program. Harvard Business Review, 94(7-8), 96-103.</w:t>
      </w:r>
    </w:p>
    <w:p w14:paraId="0000005C"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proofErr w:type="spellStart"/>
      <w:r>
        <w:rPr>
          <w:sz w:val="24"/>
          <w:szCs w:val="24"/>
        </w:rPr>
        <w:t>Chugh</w:t>
      </w:r>
      <w:proofErr w:type="spellEnd"/>
      <w:r>
        <w:rPr>
          <w:sz w:val="24"/>
          <w:szCs w:val="24"/>
        </w:rPr>
        <w:t>, D. (2018). The person you mean to be: How good people fight bias. Harvard Business Review Press.</w:t>
      </w:r>
    </w:p>
    <w:p w14:paraId="0000005D"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proofErr w:type="spellStart"/>
      <w:r>
        <w:rPr>
          <w:sz w:val="24"/>
          <w:szCs w:val="24"/>
        </w:rPr>
        <w:t>Dreachslin</w:t>
      </w:r>
      <w:proofErr w:type="spellEnd"/>
      <w:r>
        <w:rPr>
          <w:sz w:val="24"/>
          <w:szCs w:val="24"/>
        </w:rPr>
        <w:t>, J. L. (2017). Healthcare management: A case study approach. Health Administration Press.</w:t>
      </w:r>
    </w:p>
    <w:p w14:paraId="0000005E"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Ely, R. J., &amp; Thomas, D. A. (2016). Getting serious about diversity: Enough already with the business case. Harvard Business Review, 94(6), 106-114.</w:t>
      </w:r>
    </w:p>
    <w:p w14:paraId="0000005F"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Griffin, J., &amp; Wilson, C. (2018). Inclusion worldwide: The state of LGBTQ equality in the workplace globally. Human Rights Campaign.</w:t>
      </w:r>
    </w:p>
    <w:p w14:paraId="00000060"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Jones, T. M., &amp; Berman, E. M. (2019). Diversity and inclusion in the workplace: A review, synthesis, and future research agenda. Annual Review of Organizational Psychology and Organizational Behavior, 6, 69-88.</w:t>
      </w:r>
    </w:p>
    <w:p w14:paraId="00000061"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 xml:space="preserve">Konrad, A. M., &amp; </w:t>
      </w:r>
      <w:proofErr w:type="spellStart"/>
      <w:r>
        <w:rPr>
          <w:sz w:val="24"/>
          <w:szCs w:val="24"/>
        </w:rPr>
        <w:t>Linnehan</w:t>
      </w:r>
      <w:proofErr w:type="spellEnd"/>
      <w:r>
        <w:rPr>
          <w:sz w:val="24"/>
          <w:szCs w:val="24"/>
        </w:rPr>
        <w:t>, F. (2018). Diversity management in the workplace. In Handbook of the Psychology of Women and Gender (pp. 401-418). Springer.</w:t>
      </w:r>
    </w:p>
    <w:p w14:paraId="00000062"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proofErr w:type="spellStart"/>
      <w:r>
        <w:rPr>
          <w:sz w:val="24"/>
          <w:szCs w:val="24"/>
        </w:rPr>
        <w:lastRenderedPageBreak/>
        <w:t>Kossek</w:t>
      </w:r>
      <w:proofErr w:type="spellEnd"/>
      <w:r>
        <w:rPr>
          <w:sz w:val="24"/>
          <w:szCs w:val="24"/>
        </w:rPr>
        <w:t xml:space="preserve">, E. E., </w:t>
      </w:r>
      <w:proofErr w:type="spellStart"/>
      <w:r>
        <w:rPr>
          <w:sz w:val="24"/>
          <w:szCs w:val="24"/>
        </w:rPr>
        <w:t>Lautsch</w:t>
      </w:r>
      <w:proofErr w:type="spellEnd"/>
      <w:r>
        <w:rPr>
          <w:sz w:val="24"/>
          <w:szCs w:val="24"/>
        </w:rPr>
        <w:t>, B. A., &amp; Eaton, S. C. (2019). Telecommuting, control, and boundary management: Correlates of policy use and practice, job control, and work–family effectiveness. Journal of Vocational Behavior, 110, 170-182.</w:t>
      </w:r>
    </w:p>
    <w:p w14:paraId="00000063"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Lloyd-Hughes, M. (2020). “Women Don't Want to Work in Tech,” and Other Myths. Harvard Business Review, 98(6), 38-47.</w:t>
      </w:r>
    </w:p>
    <w:p w14:paraId="00000064"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 xml:space="preserve">Noland, M., Moran, T., &amp; </w:t>
      </w:r>
      <w:proofErr w:type="spellStart"/>
      <w:r>
        <w:rPr>
          <w:sz w:val="24"/>
          <w:szCs w:val="24"/>
        </w:rPr>
        <w:t>Kotschwar</w:t>
      </w:r>
      <w:proofErr w:type="spellEnd"/>
      <w:r>
        <w:rPr>
          <w:sz w:val="24"/>
          <w:szCs w:val="24"/>
        </w:rPr>
        <w:t>, B. (2016). Is gender diversity profitable? Evidence from a global survey. Peterson Institute for International Economics.</w:t>
      </w:r>
    </w:p>
    <w:p w14:paraId="00000065"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Pande, R., &amp; Ford, J. (2017). Fighting discrimination in the gig economy. Harvard Business Review, 95(3), 22-23.</w:t>
      </w:r>
    </w:p>
    <w:p w14:paraId="00000066"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 xml:space="preserve">Rosette, A. S., &amp; </w:t>
      </w:r>
      <w:proofErr w:type="spellStart"/>
      <w:r>
        <w:rPr>
          <w:sz w:val="24"/>
          <w:szCs w:val="24"/>
        </w:rPr>
        <w:t>Tost</w:t>
      </w:r>
      <w:proofErr w:type="spellEnd"/>
      <w:r>
        <w:rPr>
          <w:sz w:val="24"/>
          <w:szCs w:val="24"/>
        </w:rPr>
        <w:t>, L. P. (2018). When and how diversity benefits teams: The importance of members’ need for cognition. Academy of Management Journal, 61(4), 1327-1354.</w:t>
      </w:r>
    </w:p>
    <w:p w14:paraId="00000067" w14:textId="77777777" w:rsidR="005E788F" w:rsidRDefault="00000000">
      <w:pPr>
        <w:numPr>
          <w:ilvl w:val="0"/>
          <w:numId w:val="1"/>
        </w:numPr>
        <w:pBdr>
          <w:top w:val="none" w:sz="0" w:space="0" w:color="D9D9E3"/>
          <w:left w:val="none" w:sz="0" w:space="0" w:color="D9D9E3"/>
          <w:bottom w:val="none" w:sz="0" w:space="0" w:color="D9D9E3"/>
          <w:right w:val="none" w:sz="0" w:space="0" w:color="D9D9E3"/>
          <w:between w:val="none" w:sz="0" w:space="0" w:color="D9D9E3"/>
        </w:pBdr>
        <w:spacing w:line="480" w:lineRule="auto"/>
        <w:rPr>
          <w:sz w:val="24"/>
          <w:szCs w:val="24"/>
        </w:rPr>
      </w:pPr>
      <w:r>
        <w:rPr>
          <w:sz w:val="24"/>
          <w:szCs w:val="24"/>
        </w:rPr>
        <w:t xml:space="preserve">Simard, C., &amp; Bacharach, S. B. (2019). Inclusion nudges for </w:t>
      </w:r>
      <w:proofErr w:type="spellStart"/>
      <w:r>
        <w:rPr>
          <w:sz w:val="24"/>
          <w:szCs w:val="24"/>
        </w:rPr>
        <w:t>organisational</w:t>
      </w:r>
      <w:proofErr w:type="spellEnd"/>
      <w:r>
        <w:rPr>
          <w:sz w:val="24"/>
          <w:szCs w:val="24"/>
        </w:rPr>
        <w:t xml:space="preserve"> change. Harvard Business Review, 97(3), 92-101.</w:t>
      </w:r>
    </w:p>
    <w:p w14:paraId="00000068" w14:textId="77777777" w:rsidR="005E788F" w:rsidRDefault="005E788F">
      <w:pPr>
        <w:spacing w:line="480" w:lineRule="auto"/>
        <w:jc w:val="both"/>
        <w:rPr>
          <w:sz w:val="24"/>
          <w:szCs w:val="24"/>
        </w:rPr>
      </w:pPr>
    </w:p>
    <w:sectPr w:rsidR="005E788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2D6BC0"/>
    <w:multiLevelType w:val="multilevel"/>
    <w:tmpl w:val="E03882EA"/>
    <w:lvl w:ilvl="0">
      <w:start w:val="1"/>
      <w:numFmt w:val="decimal"/>
      <w:lvlText w:val="%1."/>
      <w:lvlJc w:val="left"/>
      <w:pPr>
        <w:ind w:left="720" w:hanging="360"/>
      </w:pPr>
      <w:rPr>
        <w:rFonts w:ascii="Roboto" w:eastAsia="Roboto" w:hAnsi="Roboto" w:cs="Roboto"/>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10842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88F"/>
    <w:rsid w:val="0004135C"/>
    <w:rsid w:val="0037245F"/>
    <w:rsid w:val="005E788F"/>
    <w:rsid w:val="006D2F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ED69C"/>
  <w15:docId w15:val="{BFCF88E2-81EB-4FF2-92F5-5FBE920BE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color w:val="351C75"/>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480" w:lineRule="auto"/>
      <w:jc w:val="both"/>
    </w:pPr>
    <w:rPr>
      <w:sz w:val="24"/>
      <w:szCs w:val="24"/>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handbook/code/content.page" TargetMode="External"/><Relationship Id="rId3" Type="http://schemas.openxmlformats.org/officeDocument/2006/relationships/styles" Target="styles.xml"/><Relationship Id="rId7" Type="http://schemas.openxmlformats.org/officeDocument/2006/relationships/hyperlink" Target="http://www.legislation.gov.uk/ukpga/2010/15/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egislation.gov.uk/ukpga/2010/15/content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ra.org.uk/solicitors/handbook/code/content.p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JYu1s5AJlWv31JixIhgyQ3fdP+w==">AMUW2mXUfDSmqp70ZvZsS2HsqnxhWTqv04AxsTIaXAEYvXOM87VEnIna266++nlY2dKh/3sDL7TfAdfNbgaXla/2JrMzPYLYiI60xZw3JiydSXr+uBQ9O4tEcI9bpDhzW80XnRLfb+cMT2Cp0fquTiefz1gmZ/43lT1KS61v5BAGReB3Kt8tq+v1CLhaJhUVggVQwt7swn/CwDrqkKznh6EijlrTCraKsySs6Zg6gdLraXsOiipx5kw=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1937</Words>
  <Characters>11043</Characters>
  <Application>Microsoft Office Word</Application>
  <DocSecurity>0</DocSecurity>
  <Lines>92</Lines>
  <Paragraphs>25</Paragraphs>
  <ScaleCrop>false</ScaleCrop>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Hussan, Istiaque</cp:lastModifiedBy>
  <cp:revision>3</cp:revision>
  <dcterms:created xsi:type="dcterms:W3CDTF">2023-05-02T08:09:00Z</dcterms:created>
  <dcterms:modified xsi:type="dcterms:W3CDTF">2023-05-05T15:25:00Z</dcterms:modified>
</cp:coreProperties>
</file>