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D318E" w14:textId="5003FF99" w:rsidR="00100748" w:rsidRDefault="00100748" w:rsidP="00BC6743">
      <w:pPr>
        <w:autoSpaceDE w:val="0"/>
        <w:autoSpaceDN w:val="0"/>
        <w:adjustRightInd w:val="0"/>
        <w:rPr>
          <w:rFonts w:ascii="Calibri" w:hAnsi="Calibri" w:cs="Calibri"/>
          <w:b/>
          <w:bCs/>
          <w:color w:val="000000"/>
          <w:kern w:val="0"/>
          <w:sz w:val="22"/>
          <w:szCs w:val="22"/>
          <w:u w:val="single"/>
        </w:rPr>
      </w:pPr>
      <w:r w:rsidRPr="00100748">
        <w:rPr>
          <w:rFonts w:ascii="Calibri" w:hAnsi="Calibri" w:cs="Calibri"/>
          <w:b/>
          <w:bCs/>
          <w:color w:val="000000"/>
          <w:kern w:val="0"/>
          <w:sz w:val="22"/>
          <w:szCs w:val="22"/>
          <w:u w:val="single"/>
        </w:rPr>
        <w:t>Targets</w:t>
      </w:r>
    </w:p>
    <w:p w14:paraId="17701E33" w14:textId="77777777" w:rsidR="00100748" w:rsidRDefault="00100748" w:rsidP="00BC6743">
      <w:pPr>
        <w:autoSpaceDE w:val="0"/>
        <w:autoSpaceDN w:val="0"/>
        <w:adjustRightInd w:val="0"/>
        <w:rPr>
          <w:rFonts w:ascii="Calibri" w:hAnsi="Calibri" w:cs="Calibri"/>
          <w:b/>
          <w:bCs/>
          <w:color w:val="000000"/>
          <w:kern w:val="0"/>
          <w:sz w:val="22"/>
          <w:szCs w:val="22"/>
          <w:u w:val="single"/>
        </w:rPr>
      </w:pPr>
    </w:p>
    <w:tbl>
      <w:tblPr>
        <w:tblStyle w:val="TableGrid"/>
        <w:tblW w:w="0" w:type="auto"/>
        <w:tblLook w:val="04A0" w:firstRow="1" w:lastRow="0" w:firstColumn="1" w:lastColumn="0" w:noHBand="0" w:noVBand="1"/>
      </w:tblPr>
      <w:tblGrid>
        <w:gridCol w:w="4675"/>
        <w:gridCol w:w="4675"/>
      </w:tblGrid>
      <w:tr w:rsidR="00100748" w14:paraId="27FA12B8" w14:textId="77777777" w:rsidTr="00100748">
        <w:tc>
          <w:tcPr>
            <w:tcW w:w="4675" w:type="dxa"/>
          </w:tcPr>
          <w:p w14:paraId="53D85209" w14:textId="0D2E14B6" w:rsidR="00100748" w:rsidRPr="00100748" w:rsidRDefault="00100748" w:rsidP="00100748">
            <w:pPr>
              <w:autoSpaceDE w:val="0"/>
              <w:autoSpaceDN w:val="0"/>
              <w:adjustRightInd w:val="0"/>
              <w:rPr>
                <w:rFonts w:ascii="Calibri" w:hAnsi="Calibri" w:cs="Calibri"/>
                <w:color w:val="000000"/>
                <w:kern w:val="0"/>
                <w:sz w:val="22"/>
                <w:szCs w:val="22"/>
              </w:rPr>
            </w:pPr>
            <w:r>
              <w:rPr>
                <w:rFonts w:ascii="Calibri" w:hAnsi="Calibri" w:cs="Calibri"/>
                <w:color w:val="000000"/>
                <w:kern w:val="0"/>
                <w:sz w:val="22"/>
                <w:szCs w:val="22"/>
              </w:rPr>
              <w:t>1.</w:t>
            </w:r>
            <w:r w:rsidRPr="00100748">
              <w:rPr>
                <w:rFonts w:ascii="Calibri" w:hAnsi="Calibri" w:cs="Calibri"/>
                <w:color w:val="000000"/>
                <w:kern w:val="0"/>
                <w:sz w:val="22"/>
                <w:szCs w:val="22"/>
              </w:rPr>
              <w:t>Engage with an even wider range of literature and double-check your referencing technique for accuracy. Please see the Harvard referencing handbook here: </w:t>
            </w:r>
            <w:hyperlink r:id="rId5" w:history="1">
              <w:r w:rsidRPr="00100748">
                <w:rPr>
                  <w:rStyle w:val="Hyperlink"/>
                  <w:rFonts w:ascii="Calibri" w:hAnsi="Calibri" w:cs="Calibri"/>
                  <w:kern w:val="0"/>
                  <w:sz w:val="22"/>
                  <w:szCs w:val="22"/>
                  <w:u w:val="none"/>
                </w:rPr>
                <w:t>Referencing handbooks | UWTSD Intranet</w:t>
              </w:r>
            </w:hyperlink>
            <w:r w:rsidRPr="00100748">
              <w:rPr>
                <w:rFonts w:ascii="Calibri" w:hAnsi="Calibri" w:cs="Calibri"/>
                <w:color w:val="000000"/>
                <w:kern w:val="0"/>
                <w:sz w:val="22"/>
                <w:szCs w:val="22"/>
              </w:rPr>
              <w:t> along with information in the InfoSkills section of the Library's webpages to find out more about searching for relevant literature.</w:t>
            </w:r>
          </w:p>
          <w:p w14:paraId="218F8550" w14:textId="77777777" w:rsidR="00100748" w:rsidRDefault="00100748" w:rsidP="00BC6743">
            <w:pPr>
              <w:autoSpaceDE w:val="0"/>
              <w:autoSpaceDN w:val="0"/>
              <w:adjustRightInd w:val="0"/>
              <w:rPr>
                <w:rFonts w:ascii="Calibri" w:hAnsi="Calibri" w:cs="Calibri"/>
                <w:b/>
                <w:bCs/>
                <w:color w:val="000000"/>
                <w:kern w:val="0"/>
                <w:sz w:val="22"/>
                <w:szCs w:val="22"/>
                <w:u w:val="single"/>
              </w:rPr>
            </w:pPr>
          </w:p>
        </w:tc>
        <w:tc>
          <w:tcPr>
            <w:tcW w:w="4675" w:type="dxa"/>
          </w:tcPr>
          <w:p w14:paraId="19FA0763" w14:textId="41EE61A7" w:rsidR="00100748" w:rsidRPr="00100748" w:rsidRDefault="00100748" w:rsidP="00BC6743">
            <w:pPr>
              <w:autoSpaceDE w:val="0"/>
              <w:autoSpaceDN w:val="0"/>
              <w:adjustRightInd w:val="0"/>
              <w:rPr>
                <w:rFonts w:ascii="Calibri" w:hAnsi="Calibri" w:cs="Calibri"/>
                <w:color w:val="000000"/>
                <w:kern w:val="0"/>
                <w:sz w:val="22"/>
                <w:szCs w:val="22"/>
              </w:rPr>
            </w:pPr>
            <w:r w:rsidRPr="00100748">
              <w:rPr>
                <w:rFonts w:ascii="Calibri" w:hAnsi="Calibri" w:cs="Calibri"/>
                <w:color w:val="000000"/>
                <w:kern w:val="0"/>
                <w:sz w:val="22"/>
                <w:szCs w:val="22"/>
              </w:rPr>
              <w:t xml:space="preserve">I re-read </w:t>
            </w:r>
            <w:r>
              <w:rPr>
                <w:rFonts w:ascii="Calibri" w:hAnsi="Calibri" w:cs="Calibri"/>
                <w:color w:val="000000"/>
                <w:kern w:val="0"/>
                <w:sz w:val="22"/>
                <w:szCs w:val="22"/>
              </w:rPr>
              <w:t>through the Harvard referencing guide and have tried to improve on my referencing.</w:t>
            </w:r>
          </w:p>
        </w:tc>
      </w:tr>
      <w:tr w:rsidR="00100748" w14:paraId="574FB524" w14:textId="77777777" w:rsidTr="00100748">
        <w:tc>
          <w:tcPr>
            <w:tcW w:w="4675" w:type="dxa"/>
          </w:tcPr>
          <w:p w14:paraId="456F8757" w14:textId="63002E2D" w:rsidR="00100748" w:rsidRPr="00100748" w:rsidRDefault="00100748" w:rsidP="00100748">
            <w:pPr>
              <w:autoSpaceDE w:val="0"/>
              <w:autoSpaceDN w:val="0"/>
              <w:adjustRightInd w:val="0"/>
              <w:rPr>
                <w:rFonts w:ascii="Calibri" w:hAnsi="Calibri" w:cs="Calibri"/>
                <w:color w:val="000000"/>
                <w:kern w:val="0"/>
                <w:sz w:val="22"/>
                <w:szCs w:val="22"/>
              </w:rPr>
            </w:pPr>
            <w:r>
              <w:rPr>
                <w:rFonts w:ascii="Calibri" w:hAnsi="Calibri" w:cs="Calibri"/>
                <w:color w:val="000000"/>
                <w:kern w:val="0"/>
                <w:sz w:val="22"/>
                <w:szCs w:val="22"/>
              </w:rPr>
              <w:t xml:space="preserve">2. </w:t>
            </w:r>
            <w:r w:rsidRPr="00100748">
              <w:rPr>
                <w:rFonts w:ascii="Calibri" w:hAnsi="Calibri" w:cs="Calibri"/>
                <w:color w:val="000000"/>
                <w:kern w:val="0"/>
                <w:sz w:val="22"/>
                <w:szCs w:val="22"/>
              </w:rPr>
              <w:t>Further strengthen your critical writing by making references to literature throughout your work. This will help to avoid large chunks of descriptive writing and unsupported conclusions towards the end of your work.</w:t>
            </w:r>
          </w:p>
          <w:p w14:paraId="3FACE7B3" w14:textId="77777777" w:rsidR="00100748" w:rsidRDefault="00100748" w:rsidP="00BC6743">
            <w:pPr>
              <w:autoSpaceDE w:val="0"/>
              <w:autoSpaceDN w:val="0"/>
              <w:adjustRightInd w:val="0"/>
              <w:rPr>
                <w:rFonts w:ascii="Calibri" w:hAnsi="Calibri" w:cs="Calibri"/>
                <w:b/>
                <w:bCs/>
                <w:color w:val="000000"/>
                <w:kern w:val="0"/>
                <w:sz w:val="22"/>
                <w:szCs w:val="22"/>
                <w:u w:val="single"/>
              </w:rPr>
            </w:pPr>
          </w:p>
        </w:tc>
        <w:tc>
          <w:tcPr>
            <w:tcW w:w="4675" w:type="dxa"/>
          </w:tcPr>
          <w:p w14:paraId="6741831C" w14:textId="11A61057" w:rsidR="00100748" w:rsidRPr="00100748" w:rsidRDefault="00100748" w:rsidP="00BC6743">
            <w:pPr>
              <w:autoSpaceDE w:val="0"/>
              <w:autoSpaceDN w:val="0"/>
              <w:adjustRightInd w:val="0"/>
              <w:rPr>
                <w:rFonts w:ascii="Calibri" w:hAnsi="Calibri" w:cs="Calibri"/>
                <w:color w:val="000000"/>
                <w:kern w:val="0"/>
                <w:sz w:val="22"/>
                <w:szCs w:val="22"/>
              </w:rPr>
            </w:pPr>
            <w:r w:rsidRPr="00100748">
              <w:rPr>
                <w:rFonts w:ascii="Calibri" w:hAnsi="Calibri" w:cs="Calibri"/>
                <w:color w:val="000000"/>
                <w:kern w:val="0"/>
                <w:sz w:val="22"/>
                <w:szCs w:val="22"/>
              </w:rPr>
              <w:t xml:space="preserve">I have </w:t>
            </w:r>
            <w:r>
              <w:rPr>
                <w:rFonts w:ascii="Calibri" w:hAnsi="Calibri" w:cs="Calibri"/>
                <w:color w:val="000000"/>
                <w:kern w:val="0"/>
                <w:sz w:val="22"/>
                <w:szCs w:val="22"/>
              </w:rPr>
              <w:t>tried</w:t>
            </w:r>
            <w:r w:rsidRPr="00100748">
              <w:rPr>
                <w:rFonts w:ascii="Calibri" w:hAnsi="Calibri" w:cs="Calibri"/>
                <w:color w:val="000000"/>
                <w:kern w:val="0"/>
                <w:sz w:val="22"/>
                <w:szCs w:val="22"/>
              </w:rPr>
              <w:t xml:space="preserve"> to make my writing less descriptive</w:t>
            </w:r>
            <w:r>
              <w:rPr>
                <w:rFonts w:ascii="Calibri" w:hAnsi="Calibri" w:cs="Calibri"/>
                <w:color w:val="000000"/>
                <w:kern w:val="0"/>
                <w:sz w:val="22"/>
                <w:szCs w:val="22"/>
              </w:rPr>
              <w:t>.</w:t>
            </w:r>
            <w:r w:rsidRPr="00100748">
              <w:rPr>
                <w:rFonts w:ascii="Calibri" w:hAnsi="Calibri" w:cs="Calibri"/>
                <w:color w:val="000000"/>
                <w:kern w:val="0"/>
                <w:sz w:val="22"/>
                <w:szCs w:val="22"/>
              </w:rPr>
              <w:t xml:space="preserve"> </w:t>
            </w:r>
          </w:p>
        </w:tc>
      </w:tr>
      <w:tr w:rsidR="00100748" w14:paraId="5FB293BA" w14:textId="77777777" w:rsidTr="00100748">
        <w:tc>
          <w:tcPr>
            <w:tcW w:w="4675" w:type="dxa"/>
          </w:tcPr>
          <w:p w14:paraId="41F85A68" w14:textId="77777777" w:rsidR="00100748" w:rsidRPr="00100748" w:rsidRDefault="00100748" w:rsidP="00100748">
            <w:pPr>
              <w:autoSpaceDE w:val="0"/>
              <w:autoSpaceDN w:val="0"/>
              <w:adjustRightInd w:val="0"/>
              <w:rPr>
                <w:rFonts w:ascii="Calibri" w:hAnsi="Calibri" w:cs="Calibri"/>
                <w:color w:val="000000"/>
                <w:kern w:val="0"/>
                <w:sz w:val="22"/>
                <w:szCs w:val="22"/>
              </w:rPr>
            </w:pPr>
            <w:r w:rsidRPr="00100748">
              <w:rPr>
                <w:rFonts w:ascii="Calibri" w:hAnsi="Calibri" w:cs="Calibri"/>
                <w:color w:val="000000"/>
                <w:kern w:val="0"/>
                <w:sz w:val="22"/>
                <w:szCs w:val="22"/>
              </w:rPr>
              <w:t>3. Develop more of an academic tone and critical voice in your writing by avoiding writing in the first person where possible. It's appropriate to do so in some places, e.g. when reflecting on your own personal classroom practice and setting yourself targets towards the end of the assignment. Please see my comments on the pages I've marked for accuracy.</w:t>
            </w:r>
          </w:p>
          <w:p w14:paraId="27E51C77" w14:textId="77777777" w:rsidR="00100748" w:rsidRDefault="00100748" w:rsidP="00BC6743">
            <w:pPr>
              <w:autoSpaceDE w:val="0"/>
              <w:autoSpaceDN w:val="0"/>
              <w:adjustRightInd w:val="0"/>
              <w:rPr>
                <w:rFonts w:ascii="Calibri" w:hAnsi="Calibri" w:cs="Calibri"/>
                <w:b/>
                <w:bCs/>
                <w:color w:val="000000"/>
                <w:kern w:val="0"/>
                <w:sz w:val="22"/>
                <w:szCs w:val="22"/>
                <w:u w:val="single"/>
              </w:rPr>
            </w:pPr>
          </w:p>
        </w:tc>
        <w:tc>
          <w:tcPr>
            <w:tcW w:w="4675" w:type="dxa"/>
          </w:tcPr>
          <w:p w14:paraId="1B81DAC6" w14:textId="03871C09" w:rsidR="00100748" w:rsidRPr="00100748" w:rsidRDefault="00100748" w:rsidP="00BC6743">
            <w:pPr>
              <w:autoSpaceDE w:val="0"/>
              <w:autoSpaceDN w:val="0"/>
              <w:adjustRightInd w:val="0"/>
              <w:rPr>
                <w:rFonts w:ascii="Calibri" w:hAnsi="Calibri" w:cs="Calibri"/>
                <w:color w:val="000000"/>
                <w:kern w:val="0"/>
                <w:sz w:val="22"/>
                <w:szCs w:val="22"/>
              </w:rPr>
            </w:pPr>
            <w:r w:rsidRPr="00100748">
              <w:rPr>
                <w:rFonts w:ascii="Calibri" w:hAnsi="Calibri" w:cs="Calibri"/>
                <w:color w:val="000000"/>
                <w:kern w:val="0"/>
                <w:sz w:val="22"/>
                <w:szCs w:val="22"/>
              </w:rPr>
              <w:t>I have tried to be more critical in my writing.</w:t>
            </w:r>
          </w:p>
        </w:tc>
      </w:tr>
    </w:tbl>
    <w:p w14:paraId="04D9C79C" w14:textId="77777777" w:rsidR="00100748" w:rsidRDefault="00100748" w:rsidP="00BC6743">
      <w:pPr>
        <w:autoSpaceDE w:val="0"/>
        <w:autoSpaceDN w:val="0"/>
        <w:adjustRightInd w:val="0"/>
        <w:rPr>
          <w:rFonts w:ascii="Calibri" w:hAnsi="Calibri" w:cs="Calibri"/>
          <w:b/>
          <w:bCs/>
          <w:color w:val="000000"/>
          <w:kern w:val="0"/>
          <w:sz w:val="22"/>
          <w:szCs w:val="22"/>
          <w:u w:val="single"/>
        </w:rPr>
      </w:pPr>
    </w:p>
    <w:p w14:paraId="2240B6A7" w14:textId="77777777" w:rsidR="0078427E" w:rsidRDefault="0078427E" w:rsidP="00BC6743">
      <w:pPr>
        <w:autoSpaceDE w:val="0"/>
        <w:autoSpaceDN w:val="0"/>
        <w:adjustRightInd w:val="0"/>
        <w:rPr>
          <w:rFonts w:ascii="Calibri" w:hAnsi="Calibri" w:cs="Calibri"/>
          <w:b/>
          <w:bCs/>
          <w:color w:val="000000"/>
          <w:kern w:val="0"/>
          <w:sz w:val="22"/>
          <w:szCs w:val="22"/>
        </w:rPr>
      </w:pPr>
    </w:p>
    <w:p w14:paraId="4B49D2E4" w14:textId="469020A2" w:rsidR="00BC6743" w:rsidRPr="00BC6743" w:rsidRDefault="00BC6743" w:rsidP="00BC6743">
      <w:pPr>
        <w:autoSpaceDE w:val="0"/>
        <w:autoSpaceDN w:val="0"/>
        <w:adjustRightInd w:val="0"/>
        <w:rPr>
          <w:rFonts w:ascii="Calibri" w:hAnsi="Calibri" w:cs="Calibri"/>
          <w:b/>
          <w:bCs/>
          <w:color w:val="000000"/>
          <w:kern w:val="0"/>
          <w:sz w:val="22"/>
          <w:szCs w:val="22"/>
        </w:rPr>
      </w:pPr>
      <w:r w:rsidRPr="00BC6743">
        <w:rPr>
          <w:rFonts w:ascii="Calibri" w:hAnsi="Calibri" w:cs="Calibri"/>
          <w:b/>
          <w:bCs/>
          <w:color w:val="000000"/>
          <w:kern w:val="0"/>
          <w:sz w:val="22"/>
          <w:szCs w:val="22"/>
        </w:rPr>
        <w:t>Demonstrate how cross-curricular teaching and learning can influence in-depth skills and understanding. Underpin this with reference to relevant research, a detailed lesson plan and an enhanced provision material.</w:t>
      </w:r>
    </w:p>
    <w:p w14:paraId="0B762C63" w14:textId="77777777" w:rsidR="008C2668" w:rsidRDefault="008C2668"/>
    <w:p w14:paraId="6515A5F4" w14:textId="223A4A6A" w:rsidR="00695AE9" w:rsidRPr="00695AE9" w:rsidRDefault="00695AE9" w:rsidP="00695AE9">
      <w:pPr>
        <w:tabs>
          <w:tab w:val="left" w:pos="610"/>
        </w:tabs>
        <w:rPr>
          <w:rFonts w:ascii="Calibri" w:hAnsi="Calibri" w:cs="Calibri"/>
          <w:color w:val="000000"/>
          <w:sz w:val="20"/>
          <w:szCs w:val="20"/>
        </w:rPr>
      </w:pPr>
      <w:r w:rsidRPr="00695AE9">
        <w:rPr>
          <w:rFonts w:ascii="Calibri" w:hAnsi="Calibri" w:cs="Calibri"/>
          <w:color w:val="000000"/>
          <w:sz w:val="20"/>
          <w:szCs w:val="20"/>
        </w:rPr>
        <w:t xml:space="preserve">Cross curricular teaching is a way of teaching and organising the curriculum so that subjects are taught in an integrated way rather than in stand-alone areas. One theorist who agrees with cross curricular learning is Howard Gardner with his theory of Multiple Intelligences (1983). He found that there were eight different intelligences some of these include visual, naturalistic, and logical. By employing cross curricular teaching approaches teachers can teach through a variety of different learning styles therefore helping all children learn. However, there are some criticisms of Multiple Intelligences one being that the eight different intelligences represent talents, abilities, and personality traits (Cherry, 2023). In the curriculum for Wales there are six Areas of Learning Experiences (AOLE) these are Expressive Arts, Health and Well-being, Humanities, Language, Literacy and Communication, Maths and Numeracy, and Science and Technology. While being on school enrichment I have seen </w:t>
      </w:r>
      <w:r w:rsidRPr="00695AE9">
        <w:rPr>
          <w:rFonts w:ascii="Calibri" w:hAnsi="Calibri" w:cs="Calibri"/>
          <w:color w:val="000000"/>
          <w:sz w:val="20"/>
          <w:szCs w:val="20"/>
        </w:rPr>
        <w:t>first-hand</w:t>
      </w:r>
      <w:r w:rsidRPr="00695AE9">
        <w:rPr>
          <w:rFonts w:ascii="Calibri" w:hAnsi="Calibri" w:cs="Calibri"/>
          <w:color w:val="000000"/>
          <w:sz w:val="20"/>
          <w:szCs w:val="20"/>
        </w:rPr>
        <w:t xml:space="preserve"> how cross curricular learning takes place. The topic for this term has been space. The children watched a video of an alien walking through the school, after that, they then created a 'missing person' poster for the alien which links to both the expressive arts and language, literacy, and communication AOLEs. As part of their independent learning </w:t>
      </w:r>
      <w:r w:rsidRPr="00695AE9">
        <w:rPr>
          <w:rFonts w:ascii="Calibri" w:hAnsi="Calibri" w:cs="Calibri"/>
          <w:color w:val="000000"/>
          <w:sz w:val="20"/>
          <w:szCs w:val="20"/>
        </w:rPr>
        <w:t>challenges,</w:t>
      </w:r>
      <w:r w:rsidRPr="00695AE9">
        <w:rPr>
          <w:rFonts w:ascii="Calibri" w:hAnsi="Calibri" w:cs="Calibri"/>
          <w:color w:val="000000"/>
          <w:sz w:val="20"/>
          <w:szCs w:val="20"/>
        </w:rPr>
        <w:t xml:space="preserve"> they had to count and sort different pictures relating to space, this is a link to the maths and numeracy AOLE. While being on a bridging day I observed a lesson on being brave. To achieve this the children were all sat on the carpet and listened to a short film, this fits into expressive arts. After they had listened to the film, they had to describe what they had heard, after this, they went off into groups and wrote about what they thought they heard and drew a picture, this fits into both language, literacy, and communication, and expressive arts. Then at the end of the day, the children got to watch the film they had previously listened to and compared it to what they thought </w:t>
      </w:r>
      <w:r w:rsidRPr="00695AE9">
        <w:rPr>
          <w:rFonts w:ascii="Calibri" w:hAnsi="Calibri" w:cs="Calibri"/>
          <w:color w:val="000000"/>
          <w:sz w:val="20"/>
          <w:szCs w:val="20"/>
        </w:rPr>
        <w:lastRenderedPageBreak/>
        <w:t>they heard. From university lectures I have learned how cross curricular learning can be done through physical education, during the lectures we learned how health and well-being could be connected to languages through yoga and oracy, by acting out yoga moves to create a story the children will be developing their movement skills as well as the storytelling skills, this can then be taken further and the children can write the story they acted out to develop their literacy skills. By doing this the children are not focussed on the literacy aspect of their development, but the aim is to have them more focused on immersing themselves. Some of the benefits of cross curricular teaching have been recorded in research carried out by the National Teacher Research Panel states that students generally collaborate effectively and the more tasks that were completed the more this improved.  Some of the lower attaining children found the approach empowering and therefore built self-confidence, there was an improvement in the confidence of the middle attaining pupils who began to ask more questions about the assumptions of more dominant members of the class (Price, 2010).</w:t>
      </w:r>
    </w:p>
    <w:p w14:paraId="0A8C7CC0" w14:textId="77777777" w:rsidR="00695AE9" w:rsidRPr="00695AE9" w:rsidRDefault="00695AE9" w:rsidP="00695AE9">
      <w:pPr>
        <w:tabs>
          <w:tab w:val="left" w:pos="610"/>
        </w:tabs>
        <w:rPr>
          <w:rFonts w:ascii="Calibri" w:hAnsi="Calibri" w:cs="Calibri"/>
          <w:color w:val="000000"/>
          <w:sz w:val="20"/>
          <w:szCs w:val="20"/>
        </w:rPr>
      </w:pPr>
    </w:p>
    <w:p w14:paraId="4A9A95EF" w14:textId="5A74FF32" w:rsidR="00695AE9" w:rsidRPr="00695AE9" w:rsidRDefault="00695AE9" w:rsidP="00695AE9">
      <w:pPr>
        <w:tabs>
          <w:tab w:val="left" w:pos="610"/>
        </w:tabs>
        <w:rPr>
          <w:rFonts w:ascii="Calibri" w:hAnsi="Calibri" w:cs="Calibri"/>
          <w:color w:val="000000"/>
          <w:sz w:val="20"/>
          <w:szCs w:val="20"/>
        </w:rPr>
      </w:pPr>
      <w:r w:rsidRPr="00695AE9">
        <w:rPr>
          <w:rFonts w:ascii="Calibri" w:hAnsi="Calibri" w:cs="Calibri"/>
          <w:color w:val="000000"/>
          <w:sz w:val="20"/>
          <w:szCs w:val="20"/>
        </w:rPr>
        <w:t xml:space="preserve">Within the new curriculum for Wales, there are three mandatory cross curricular skills, these are literacy, numeracy, and digital competence, how these are delivered is down to each individual school's approaches. To support schools in successfully employing this the Digital Competency Framework (DCF), Literacy and Numeracy Framework (LNF) has been developed (Welsh Government, 2019). Within the LNF and DCF, there are strands and elements with progression steps that help teachers incorporate cross-curricular learning into each lesson. It is important that children are given the opportunity to develop listening, reading writing, and communication skills, be able to use numbers and solve problems, and be confident using a variety of different techniques to communicate and understand the world (Equal Education Partners, 2023). My resource and lesson plan intends to give the children in my class knowledge and understanding of space as well as working on their Health and Well-being and their Maths and Numeracy Skills. For the enhanced provision material to support my lesson I will print out enlarged photos of all the planets and laminate them, this will be used as a science resource but will utilise cross curricular links to health and well-being and maths and numeracy. The lesson plan explains how I will use the enhanced provision material to complete the learning intention, it also demonstrates how I will make the lesson meet the cross curricular needs. I will be teaching the lesson on our planets and the solar system, </w:t>
      </w:r>
      <w:r w:rsidRPr="00695AE9">
        <w:rPr>
          <w:rFonts w:ascii="Calibri" w:hAnsi="Calibri" w:cs="Calibri"/>
          <w:color w:val="000000"/>
          <w:sz w:val="20"/>
          <w:szCs w:val="20"/>
        </w:rPr>
        <w:t>to</w:t>
      </w:r>
      <w:r w:rsidRPr="00695AE9">
        <w:rPr>
          <w:rFonts w:ascii="Calibri" w:hAnsi="Calibri" w:cs="Calibri"/>
          <w:color w:val="000000"/>
          <w:sz w:val="20"/>
          <w:szCs w:val="20"/>
        </w:rPr>
        <w:t xml:space="preserve"> do this, I will read a story called 'Meet the planets'.  I will be using this book as the hook for my lesson, this is likely to be the first time that the children have had knowledge of the solar system so grabbing their attention will be important, after I have finished reading the story I will reinforce their addition and subtraction skills on the carpet through quickfire questions, to help the lower ability children in the class I will utilise learning aids like a number chart or numicon to help them answer the question. For the main part of the lesson, we will be using the sports hall. I will spread out the planets through the sports hall and have the children use different types of movement to navigate through the planets, this will include movements such as jumping, skipping, or crawling, this will link to the Health and Well-being AOLE which will see them working on their movement skills and gross motor skills. Once all the children have had opportunities to complete this, I will split the group into two smaller groups which I will then get them to correctly order the planets, while doing they will be working on their communication skills. Once we have ordered them repeatedly, I will then make it into more of a game and have them race each other to see who can complete the task the quickest, this builds on their ability to work together quickly and </w:t>
      </w:r>
      <w:r w:rsidRPr="00695AE9">
        <w:rPr>
          <w:rFonts w:ascii="Calibri" w:hAnsi="Calibri" w:cs="Calibri"/>
          <w:color w:val="000000"/>
          <w:sz w:val="20"/>
          <w:szCs w:val="20"/>
        </w:rPr>
        <w:t>understand</w:t>
      </w:r>
      <w:r w:rsidRPr="00695AE9">
        <w:rPr>
          <w:rFonts w:ascii="Calibri" w:hAnsi="Calibri" w:cs="Calibri"/>
          <w:color w:val="000000"/>
          <w:sz w:val="20"/>
          <w:szCs w:val="20"/>
        </w:rPr>
        <w:t xml:space="preserve"> timing. After the planets have been ordered I will then be asking maths-based questions which </w:t>
      </w:r>
      <w:r w:rsidRPr="00695AE9">
        <w:rPr>
          <w:rFonts w:ascii="Calibri" w:hAnsi="Calibri" w:cs="Calibri"/>
          <w:color w:val="000000"/>
          <w:sz w:val="20"/>
          <w:szCs w:val="20"/>
        </w:rPr>
        <w:t>in cooperates</w:t>
      </w:r>
      <w:r w:rsidRPr="00695AE9">
        <w:rPr>
          <w:rFonts w:ascii="Calibri" w:hAnsi="Calibri" w:cs="Calibri"/>
          <w:color w:val="000000"/>
          <w:sz w:val="20"/>
          <w:szCs w:val="20"/>
        </w:rPr>
        <w:t xml:space="preserve"> the maths and numeracy AOLE. I will ask questions that require addition and subtraction, the question will be based around the planets such as if you start on Earth how many planets to Saturn? The children must then work the answer to the question and make a movement of choice between the planets, once they have worked out the correct answer, they must then find the numicon that represents the correct answer. While this group are in the sports hall completing this challenge the other members of the class will stay in the classroom working on other challenges like the reading area which will consist of reading the same story</w:t>
      </w:r>
      <w:r>
        <w:rPr>
          <w:rFonts w:ascii="Calibri" w:hAnsi="Calibri" w:cs="Calibri"/>
          <w:color w:val="000000"/>
          <w:sz w:val="20"/>
          <w:szCs w:val="20"/>
        </w:rPr>
        <w:t xml:space="preserve"> I</w:t>
      </w:r>
      <w:r w:rsidRPr="00695AE9">
        <w:rPr>
          <w:rFonts w:ascii="Calibri" w:hAnsi="Calibri" w:cs="Calibri"/>
          <w:color w:val="000000"/>
          <w:sz w:val="20"/>
          <w:szCs w:val="20"/>
        </w:rPr>
        <w:t xml:space="preserve"> that introduced the lesson and other space related stories, there will also be challenges in the writing area which will consist of them practising writing the names of the planets and the creative area which will have pictures of planets which they can colour in as well as plain paper which allows them to attempt to draw their own planet. This resource would work when with getting the children engaged in the task which is also helping their health and well-being and maths. However, one challenge I could see happening is that the more able members of the class could find the task too simple, to overcome this, I would get them to think of their own maths equations which they can ask another. Another way in which I could improve this lesson would be to set up a group that has the use of iPads. The iPads could be used for naming and ordering the planets digitally, therefore building on their digital competence skills. This lesson aimed to teach the children about space </w:t>
      </w:r>
      <w:r w:rsidRPr="00695AE9">
        <w:rPr>
          <w:rFonts w:ascii="Calibri" w:hAnsi="Calibri" w:cs="Calibri"/>
          <w:color w:val="000000"/>
          <w:sz w:val="20"/>
          <w:szCs w:val="20"/>
        </w:rPr>
        <w:lastRenderedPageBreak/>
        <w:t xml:space="preserve">while supporting the children in meeting the four purposes set out in the Curriculum for Wales, these are ambitious and capable learners, enterprising and creative contributors, ethically informed citizens, and healthy confident individuals (Welsh Government, 2020) When making the lesson plan and creating the enhanced provision material I ensured that it was underpinned by the 12 pedagogical principles some of which include ranged within and across Areas, encourages collaboration and creates authentic contexts for learning principles (Welsh Government, 2023). There are several opportunities that arise from the implementation cross curricular learning which include authentic experiences. Craswell (2023) talks about some of the opportunities that come from this, these include enhanced student understanding and the retention of information by linking new knowledge to existing knowledge. It also makes for more meaningful and engaging lessons showing how different lessons relate to each other. Research carried out by Cardiff University (2017) talks about the benefits of authentic experiences some of these include being better prepared to succeed, transferring knowledge to the outside world, and having the opportunity to collaborate and practise problem solving skills. Research carried out by Sphero (2023) talks about the benefits of cross-curricular teaching, these include increased student engagement, and a chance to not only inspire students in subjects they enjoy but also harness their enjoyment for another. It also makes academic subjects feel realistic and relevant. By giving students, the ability to make connections between subjects makes the classroom an effective way to teach problem solving skills giving the classroom setting a real world meaning. Although it is mostly argued that cross curricular teaching is beneficial, there are also some downsides to it some of these include the additional planning that is required aside from regular classwork. The way in which regular teaching is assessed could be different from that of the cross curricular teaching therefore taking more time (Lynch, 2022). </w:t>
      </w:r>
    </w:p>
    <w:p w14:paraId="2776D6E8" w14:textId="77777777" w:rsidR="00695AE9" w:rsidRPr="00695AE9" w:rsidRDefault="00695AE9" w:rsidP="00695AE9">
      <w:pPr>
        <w:tabs>
          <w:tab w:val="left" w:pos="610"/>
        </w:tabs>
        <w:rPr>
          <w:rFonts w:ascii="Calibri" w:hAnsi="Calibri" w:cs="Calibri"/>
          <w:color w:val="000000"/>
          <w:sz w:val="20"/>
          <w:szCs w:val="20"/>
        </w:rPr>
      </w:pPr>
    </w:p>
    <w:p w14:paraId="151F3709" w14:textId="77777777" w:rsidR="00695AE9" w:rsidRPr="00695AE9" w:rsidRDefault="00695AE9" w:rsidP="00695AE9">
      <w:pPr>
        <w:tabs>
          <w:tab w:val="left" w:pos="610"/>
        </w:tabs>
        <w:rPr>
          <w:rFonts w:ascii="Calibri" w:hAnsi="Calibri" w:cs="Calibri"/>
          <w:color w:val="000000"/>
          <w:sz w:val="20"/>
          <w:szCs w:val="20"/>
        </w:rPr>
      </w:pPr>
    </w:p>
    <w:p w14:paraId="698F02F3" w14:textId="7161A303" w:rsidR="00695AE9" w:rsidRPr="00695AE9" w:rsidRDefault="00695AE9" w:rsidP="00695AE9">
      <w:pPr>
        <w:tabs>
          <w:tab w:val="left" w:pos="610"/>
        </w:tabs>
        <w:rPr>
          <w:rFonts w:ascii="Calibri" w:hAnsi="Calibri" w:cs="Calibri"/>
          <w:color w:val="000000"/>
          <w:sz w:val="20"/>
          <w:szCs w:val="20"/>
        </w:rPr>
      </w:pPr>
      <w:r w:rsidRPr="00695AE9">
        <w:rPr>
          <w:rFonts w:ascii="Calibri" w:hAnsi="Calibri" w:cs="Calibri"/>
          <w:color w:val="000000"/>
          <w:sz w:val="20"/>
          <w:szCs w:val="20"/>
        </w:rPr>
        <w:t xml:space="preserve">The Literacy Numeracy Framework and the Digital Competency Framework is a crucial part of the Curriculum for Wales, it allows learners to develop skills in three key areas. The LNF and DCF help teachers and children work towards the four purposes. Another important aspect of the LNF and DCF is that with the help of progression steps, it can be used as a tool for assessment and for teachers to understand the children's progress, areas of strength, and the areas for development. The skills developed are transferable skills that learners can take into the real world enabling them to succeed in life, this links to one of the four purposes. The LNF and DCF influence teaching and learning massively in school, each lesson can the opportunity to develop these skills, sometimes without the children even realising their working on them. Some of the benefits I have seen on school enrichment days are how the children make the links to things they have learned previously, how much information they can recall after the lesson is complete, and the general engagement from the class. The class teacher spends more time and gives extra support to the children in the lower ability groups which keeps them engaged. Cross curricular teaching will influence me when I'm in school, I will look to make as many links as possible to the LNF where possible, and I will also look to incorporate digital aspects to my lessons where applicable </w:t>
      </w:r>
      <w:r w:rsidRPr="00695AE9">
        <w:rPr>
          <w:rFonts w:ascii="Calibri" w:hAnsi="Calibri" w:cs="Calibri"/>
          <w:color w:val="000000"/>
          <w:sz w:val="20"/>
          <w:szCs w:val="20"/>
        </w:rPr>
        <w:t>to</w:t>
      </w:r>
      <w:r w:rsidRPr="00695AE9">
        <w:rPr>
          <w:rFonts w:ascii="Calibri" w:hAnsi="Calibri" w:cs="Calibri"/>
          <w:color w:val="000000"/>
          <w:sz w:val="20"/>
          <w:szCs w:val="20"/>
        </w:rPr>
        <w:t xml:space="preserve"> achieve the DCF. As well as linking the LNF and DCF I will make links to the other AOLE where possible. However, I have learned the importance of the content being authentic and not forced and therefore if the link is not clear I will not try and force it in. There are five professional teaching standards which include pedagogy, leadership, professional learning, innovation and collaboration I intend to achieve targets identified by the Professional Teaching Standards some of the include Welsh Language Skills (professional learning), to do this I will look to use more incidental Welsh where possible. By doing this I will be working in line with the Welsh government policy of 1 million Welsh Speakers by 2050 I will look to develop new techniques (innovation) and seek advice and support (collaboration); I will do this by using the support and expertise from my class teacher and mentor. </w:t>
      </w:r>
    </w:p>
    <w:p w14:paraId="34B6D4FC" w14:textId="77777777" w:rsidR="00695AE9" w:rsidRDefault="00695AE9"/>
    <w:p w14:paraId="5497DCCF" w14:textId="5F5C1FB3" w:rsidR="00BC6743" w:rsidRDefault="00BC6743"/>
    <w:p w14:paraId="056B77C3" w14:textId="7CF133BE" w:rsidR="00913C43" w:rsidRDefault="00913C43" w:rsidP="003033AD">
      <w:pPr>
        <w:tabs>
          <w:tab w:val="left" w:pos="610"/>
        </w:tabs>
        <w:rPr>
          <w:rFonts w:ascii="Calibri" w:hAnsi="Calibri" w:cs="Calibri"/>
          <w:color w:val="000000"/>
          <w:sz w:val="20"/>
          <w:szCs w:val="20"/>
        </w:rPr>
      </w:pPr>
      <w:r w:rsidRPr="00100748">
        <w:rPr>
          <w:rFonts w:ascii="Calibri" w:hAnsi="Calibri" w:cs="Calibri"/>
          <w:color w:val="000000"/>
          <w:sz w:val="20"/>
          <w:szCs w:val="20"/>
        </w:rPr>
        <w:t>Word count-20</w:t>
      </w:r>
      <w:r w:rsidR="00695AE9">
        <w:rPr>
          <w:rFonts w:ascii="Calibri" w:hAnsi="Calibri" w:cs="Calibri"/>
          <w:color w:val="000000"/>
          <w:sz w:val="20"/>
          <w:szCs w:val="20"/>
        </w:rPr>
        <w:t>15</w:t>
      </w:r>
    </w:p>
    <w:p w14:paraId="019D4787" w14:textId="77777777" w:rsidR="00B57EE9" w:rsidRDefault="00B57EE9" w:rsidP="003033AD">
      <w:pPr>
        <w:tabs>
          <w:tab w:val="left" w:pos="610"/>
        </w:tabs>
        <w:rPr>
          <w:rFonts w:ascii="Calibri" w:hAnsi="Calibri" w:cs="Calibri"/>
          <w:color w:val="000000"/>
          <w:sz w:val="20"/>
          <w:szCs w:val="20"/>
        </w:rPr>
      </w:pPr>
    </w:p>
    <w:p w14:paraId="5E124F54" w14:textId="77777777" w:rsidR="00913C43" w:rsidRDefault="00913C43" w:rsidP="003033AD">
      <w:pPr>
        <w:tabs>
          <w:tab w:val="left" w:pos="610"/>
        </w:tabs>
        <w:rPr>
          <w:rFonts w:ascii="Calibri" w:hAnsi="Calibri" w:cs="Calibri"/>
          <w:color w:val="000000"/>
          <w:sz w:val="20"/>
          <w:szCs w:val="20"/>
        </w:rPr>
      </w:pPr>
    </w:p>
    <w:p w14:paraId="6B65D6C7" w14:textId="26704C65" w:rsidR="00913C43" w:rsidRPr="00913C43" w:rsidRDefault="00913C43" w:rsidP="00913C43">
      <w:pPr>
        <w:tabs>
          <w:tab w:val="left" w:pos="610"/>
        </w:tabs>
        <w:rPr>
          <w:rFonts w:ascii="Calibri" w:hAnsi="Calibri" w:cs="Calibri"/>
          <w:b/>
          <w:bCs/>
          <w:color w:val="000000"/>
          <w:sz w:val="22"/>
          <w:szCs w:val="22"/>
        </w:rPr>
      </w:pPr>
      <w:r w:rsidRPr="00913C43">
        <w:rPr>
          <w:rFonts w:ascii="Calibri" w:hAnsi="Calibri" w:cs="Calibri"/>
          <w:b/>
          <w:bCs/>
          <w:color w:val="000000"/>
          <w:sz w:val="22"/>
          <w:szCs w:val="22"/>
        </w:rPr>
        <w:t xml:space="preserve">Reference List </w:t>
      </w:r>
    </w:p>
    <w:p w14:paraId="0EFE1359" w14:textId="77777777" w:rsidR="00913C43" w:rsidRPr="00913C43" w:rsidRDefault="00913C43" w:rsidP="00913C43">
      <w:pPr>
        <w:tabs>
          <w:tab w:val="left" w:pos="610"/>
        </w:tabs>
        <w:rPr>
          <w:rFonts w:ascii="Calibri" w:hAnsi="Calibri" w:cs="Calibri"/>
          <w:color w:val="000000"/>
          <w:sz w:val="20"/>
          <w:szCs w:val="20"/>
        </w:rPr>
      </w:pPr>
    </w:p>
    <w:p w14:paraId="5E0AA3AA" w14:textId="7C3DD6C9"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lastRenderedPageBreak/>
        <w:t>Cardiff University (2017). </w:t>
      </w:r>
      <w:r w:rsidRPr="00913C43">
        <w:rPr>
          <w:rFonts w:ascii="Times New Roman" w:eastAsia="Times New Roman" w:hAnsi="Times New Roman" w:cs="Times New Roman"/>
          <w:i/>
          <w:iCs/>
          <w:color w:val="000000"/>
          <w:kern w:val="0"/>
          <w:sz w:val="20"/>
          <w:szCs w:val="20"/>
          <w:lang w:eastAsia="en-GB"/>
          <w14:ligatures w14:val="none"/>
        </w:rPr>
        <w:t>Use Authentic Learning Experiences in your Teaching</w:t>
      </w:r>
      <w:r w:rsidRPr="00913C43">
        <w:rPr>
          <w:rFonts w:ascii="Times New Roman" w:eastAsia="Times New Roman" w:hAnsi="Times New Roman" w:cs="Times New Roman"/>
          <w:color w:val="000000"/>
          <w:kern w:val="0"/>
          <w:sz w:val="20"/>
          <w:szCs w:val="20"/>
          <w:lang w:eastAsia="en-GB"/>
          <w14:ligatures w14:val="none"/>
        </w:rPr>
        <w:t>. [online] Cardiff University . Available at: https://www.cardiff.ac.uk/__data/assets/pdf_file/0012/1164999/how_to_use_authenticteaching_experiences_in_your_teaching.pdf [Accessed 21 Mar. 2024].</w:t>
      </w:r>
    </w:p>
    <w:p w14:paraId="59359D54"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Cherry, K. (2023). </w:t>
      </w:r>
      <w:r w:rsidRPr="00913C43">
        <w:rPr>
          <w:rFonts w:ascii="Times New Roman" w:eastAsia="Times New Roman" w:hAnsi="Times New Roman" w:cs="Times New Roman"/>
          <w:i/>
          <w:iCs/>
          <w:color w:val="000000"/>
          <w:kern w:val="0"/>
          <w:sz w:val="20"/>
          <w:szCs w:val="20"/>
          <w:lang w:eastAsia="en-GB"/>
          <w14:ligatures w14:val="none"/>
        </w:rPr>
        <w:t>Gardner’s theory of multiple intelligences</w:t>
      </w:r>
      <w:r w:rsidRPr="00913C43">
        <w:rPr>
          <w:rFonts w:ascii="Times New Roman" w:eastAsia="Times New Roman" w:hAnsi="Times New Roman" w:cs="Times New Roman"/>
          <w:color w:val="000000"/>
          <w:kern w:val="0"/>
          <w:sz w:val="20"/>
          <w:szCs w:val="20"/>
          <w:lang w:eastAsia="en-GB"/>
          <w14:ligatures w14:val="none"/>
        </w:rPr>
        <w:t>. [online] Verywell Mind. Available at: https://www.verywellmind.com/gardners-theory-of-multiple-intelligences-2795161 [Accessed 18 Mar. 2024].</w:t>
      </w:r>
    </w:p>
    <w:p w14:paraId="78E180EB"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Craswell, L. (2023). </w:t>
      </w:r>
      <w:r w:rsidRPr="00913C43">
        <w:rPr>
          <w:rFonts w:ascii="Times New Roman" w:eastAsia="Times New Roman" w:hAnsi="Times New Roman" w:cs="Times New Roman"/>
          <w:i/>
          <w:iCs/>
          <w:color w:val="000000"/>
          <w:kern w:val="0"/>
          <w:sz w:val="20"/>
          <w:szCs w:val="20"/>
          <w:lang w:eastAsia="en-GB"/>
          <w14:ligatures w14:val="none"/>
        </w:rPr>
        <w:t>Incorporating Cross-Curricular Learning in Primary PE</w:t>
      </w:r>
      <w:r w:rsidRPr="00913C43">
        <w:rPr>
          <w:rFonts w:ascii="Times New Roman" w:eastAsia="Times New Roman" w:hAnsi="Times New Roman" w:cs="Times New Roman"/>
          <w:color w:val="000000"/>
          <w:kern w:val="0"/>
          <w:sz w:val="20"/>
          <w:szCs w:val="20"/>
          <w:lang w:eastAsia="en-GB"/>
          <w14:ligatures w14:val="none"/>
        </w:rPr>
        <w:t>. [online] Primary Physical Education Specialist. Available at: https://primaryphysicaleducation.co.uk/blogs/news/incorporating-cross-curricular-learning-in-primary-pe [Accessed 21 Mar. 2024].</w:t>
      </w:r>
    </w:p>
    <w:p w14:paraId="7E1BBCAA"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Equal Education Partners (2023). </w:t>
      </w:r>
      <w:r w:rsidRPr="00913C43">
        <w:rPr>
          <w:rFonts w:ascii="Times New Roman" w:eastAsia="Times New Roman" w:hAnsi="Times New Roman" w:cs="Times New Roman"/>
          <w:i/>
          <w:iCs/>
          <w:color w:val="000000"/>
          <w:kern w:val="0"/>
          <w:sz w:val="20"/>
          <w:szCs w:val="20"/>
          <w:lang w:eastAsia="en-GB"/>
          <w14:ligatures w14:val="none"/>
        </w:rPr>
        <w:t>Curriculum for Wales: The Three Cross-Curricular Skills</w:t>
      </w:r>
      <w:r w:rsidRPr="00913C43">
        <w:rPr>
          <w:rFonts w:ascii="Times New Roman" w:eastAsia="Times New Roman" w:hAnsi="Times New Roman" w:cs="Times New Roman"/>
          <w:color w:val="000000"/>
          <w:kern w:val="0"/>
          <w:sz w:val="20"/>
          <w:szCs w:val="20"/>
          <w:lang w:eastAsia="en-GB"/>
          <w14:ligatures w14:val="none"/>
        </w:rPr>
        <w:t>. [online] Equal Education Partners. Available at: https://equaleducationpartners.com/blog/curriculum-for-wales-the-three-cross-curricular-skills/ [Accessed 21 Mar. 2024].</w:t>
      </w:r>
    </w:p>
    <w:p w14:paraId="0921CB5C"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Lynch, M. (2022). </w:t>
      </w:r>
      <w:r w:rsidRPr="00913C43">
        <w:rPr>
          <w:rFonts w:ascii="Times New Roman" w:eastAsia="Times New Roman" w:hAnsi="Times New Roman" w:cs="Times New Roman"/>
          <w:i/>
          <w:iCs/>
          <w:color w:val="000000"/>
          <w:kern w:val="0"/>
          <w:sz w:val="20"/>
          <w:szCs w:val="20"/>
          <w:lang w:eastAsia="en-GB"/>
          <w14:ligatures w14:val="none"/>
        </w:rPr>
        <w:t>Examining Cross-Curricular Teaching</w:t>
      </w:r>
      <w:r w:rsidRPr="00913C43">
        <w:rPr>
          <w:rFonts w:ascii="Times New Roman" w:eastAsia="Times New Roman" w:hAnsi="Times New Roman" w:cs="Times New Roman"/>
          <w:color w:val="000000"/>
          <w:kern w:val="0"/>
          <w:sz w:val="20"/>
          <w:szCs w:val="20"/>
          <w:lang w:eastAsia="en-GB"/>
          <w14:ligatures w14:val="none"/>
        </w:rPr>
        <w:t>. [online] The Tech Edvocate. Available at: https://www.thetechedvocate.org/examining-cross-curricular-teaching/ [Accessed 21 Mar. 2024].</w:t>
      </w:r>
    </w:p>
    <w:p w14:paraId="708336CD"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Price, A. (2010). </w:t>
      </w:r>
      <w:r w:rsidRPr="00913C43">
        <w:rPr>
          <w:rFonts w:ascii="Times New Roman" w:eastAsia="Times New Roman" w:hAnsi="Times New Roman" w:cs="Times New Roman"/>
          <w:i/>
          <w:iCs/>
          <w:color w:val="000000"/>
          <w:kern w:val="0"/>
          <w:sz w:val="20"/>
          <w:szCs w:val="20"/>
          <w:lang w:eastAsia="en-GB"/>
          <w14:ligatures w14:val="none"/>
        </w:rPr>
        <w:t>What are the benefits for teaching and learning of cross-curricular work using thinking skills, techniques and language?</w:t>
      </w:r>
      <w:r w:rsidRPr="00913C43">
        <w:rPr>
          <w:rFonts w:ascii="Times New Roman" w:eastAsia="Times New Roman" w:hAnsi="Times New Roman" w:cs="Times New Roman"/>
          <w:color w:val="000000"/>
          <w:kern w:val="0"/>
          <w:sz w:val="20"/>
          <w:szCs w:val="20"/>
          <w:lang w:eastAsia="en-GB"/>
          <w14:ligatures w14:val="none"/>
        </w:rPr>
        <w:t> [online] National Teacher Research Panel. Available at: http://www.curee.co.uk/files/RMHolyRosary/Resources/What_are_the_benefits_for_teaching_and_learning_of_cross_curricular_work.pdf [Accessed 18 Mar. 2024].</w:t>
      </w:r>
    </w:p>
    <w:p w14:paraId="74DA4105"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Sphero (2023). </w:t>
      </w:r>
      <w:r w:rsidRPr="00913C43">
        <w:rPr>
          <w:rFonts w:ascii="Times New Roman" w:eastAsia="Times New Roman" w:hAnsi="Times New Roman" w:cs="Times New Roman"/>
          <w:i/>
          <w:iCs/>
          <w:color w:val="000000"/>
          <w:kern w:val="0"/>
          <w:sz w:val="20"/>
          <w:szCs w:val="20"/>
          <w:lang w:eastAsia="en-GB"/>
          <w14:ligatures w14:val="none"/>
        </w:rPr>
        <w:t>Cross-Curricular Teaching: Helping Students Make Connections – Sphero</w:t>
      </w:r>
      <w:r w:rsidRPr="00913C43">
        <w:rPr>
          <w:rFonts w:ascii="Times New Roman" w:eastAsia="Times New Roman" w:hAnsi="Times New Roman" w:cs="Times New Roman"/>
          <w:color w:val="000000"/>
          <w:kern w:val="0"/>
          <w:sz w:val="20"/>
          <w:szCs w:val="20"/>
          <w:lang w:eastAsia="en-GB"/>
          <w14:ligatures w14:val="none"/>
        </w:rPr>
        <w:t>. [online] sphero.com. Available at: https://sphero.com/blogs/news/cross-curricular-teaching#:~:text=Cross%2Dcurricular%20teaching%20also%20increases [Accessed 21 Mar. 2024].</w:t>
      </w:r>
    </w:p>
    <w:p w14:paraId="73FD41E4"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Welsh Government (2023). </w:t>
      </w:r>
      <w:r w:rsidRPr="00913C43">
        <w:rPr>
          <w:rFonts w:ascii="Times New Roman" w:eastAsia="Times New Roman" w:hAnsi="Times New Roman" w:cs="Times New Roman"/>
          <w:i/>
          <w:iCs/>
          <w:color w:val="000000"/>
          <w:kern w:val="0"/>
          <w:sz w:val="20"/>
          <w:szCs w:val="20"/>
          <w:lang w:eastAsia="en-GB"/>
          <w14:ligatures w14:val="none"/>
        </w:rPr>
        <w:t>Pedagogy - Hwb</w:t>
      </w:r>
      <w:r w:rsidRPr="00913C43">
        <w:rPr>
          <w:rFonts w:ascii="Times New Roman" w:eastAsia="Times New Roman" w:hAnsi="Times New Roman" w:cs="Times New Roman"/>
          <w:color w:val="000000"/>
          <w:kern w:val="0"/>
          <w:sz w:val="20"/>
          <w:szCs w:val="20"/>
          <w:lang w:eastAsia="en-GB"/>
          <w14:ligatures w14:val="none"/>
        </w:rPr>
        <w:t>. [online] hwb.gov.wales. Available at: https://hwb.gov.wales/curriculum-for-wales/designing-your-curriculum/pedagogy [Accessed 21 Mar. 2024].</w:t>
      </w:r>
    </w:p>
    <w:p w14:paraId="55D5C961"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Welsh Government (2019). </w:t>
      </w:r>
      <w:r w:rsidRPr="00913C43">
        <w:rPr>
          <w:rFonts w:ascii="Times New Roman" w:eastAsia="Times New Roman" w:hAnsi="Times New Roman" w:cs="Times New Roman"/>
          <w:i/>
          <w:iCs/>
          <w:color w:val="000000"/>
          <w:kern w:val="0"/>
          <w:sz w:val="20"/>
          <w:szCs w:val="20"/>
          <w:lang w:eastAsia="en-GB"/>
          <w14:ligatures w14:val="none"/>
        </w:rPr>
        <w:t>Cross-curricular skills frameworks - Hwb</w:t>
      </w:r>
      <w:r w:rsidRPr="00913C43">
        <w:rPr>
          <w:rFonts w:ascii="Times New Roman" w:eastAsia="Times New Roman" w:hAnsi="Times New Roman" w:cs="Times New Roman"/>
          <w:color w:val="000000"/>
          <w:kern w:val="0"/>
          <w:sz w:val="20"/>
          <w:szCs w:val="20"/>
          <w:lang w:eastAsia="en-GB"/>
          <w14:ligatures w14:val="none"/>
        </w:rPr>
        <w:t>. [online] hwb.gov.wales. Available at: https://hwb.gov.wales/curriculum-for-wales/cross-curricular-skills-frameworks#:~:text=Literacy%2C%20numeracy%20and%20digital%20competence [Accessed 18 Mar. 2024].</w:t>
      </w:r>
    </w:p>
    <w:p w14:paraId="059B6A54" w14:textId="77777777" w:rsidR="00913C43" w:rsidRPr="00913C43" w:rsidRDefault="00913C43" w:rsidP="00913C43">
      <w:pPr>
        <w:spacing w:after="240" w:line="360" w:lineRule="atLeast"/>
        <w:rPr>
          <w:rFonts w:ascii="Times New Roman" w:eastAsia="Times New Roman" w:hAnsi="Times New Roman" w:cs="Times New Roman"/>
          <w:color w:val="000000"/>
          <w:kern w:val="0"/>
          <w:sz w:val="20"/>
          <w:szCs w:val="20"/>
          <w:lang w:eastAsia="en-GB"/>
          <w14:ligatures w14:val="none"/>
        </w:rPr>
      </w:pPr>
      <w:r w:rsidRPr="00913C43">
        <w:rPr>
          <w:rFonts w:ascii="Times New Roman" w:eastAsia="Times New Roman" w:hAnsi="Times New Roman" w:cs="Times New Roman"/>
          <w:color w:val="000000"/>
          <w:kern w:val="0"/>
          <w:sz w:val="20"/>
          <w:szCs w:val="20"/>
          <w:lang w:eastAsia="en-GB"/>
          <w14:ligatures w14:val="none"/>
        </w:rPr>
        <w:t>Welsh Government (2020). </w:t>
      </w:r>
      <w:r w:rsidRPr="00913C43">
        <w:rPr>
          <w:rFonts w:ascii="Times New Roman" w:eastAsia="Times New Roman" w:hAnsi="Times New Roman" w:cs="Times New Roman"/>
          <w:i/>
          <w:iCs/>
          <w:color w:val="000000"/>
          <w:kern w:val="0"/>
          <w:sz w:val="20"/>
          <w:szCs w:val="20"/>
          <w:lang w:eastAsia="en-GB"/>
          <w14:ligatures w14:val="none"/>
        </w:rPr>
        <w:t>Developing a vision for curriculum design - Hwb</w:t>
      </w:r>
      <w:r w:rsidRPr="00913C43">
        <w:rPr>
          <w:rFonts w:ascii="Times New Roman" w:eastAsia="Times New Roman" w:hAnsi="Times New Roman" w:cs="Times New Roman"/>
          <w:color w:val="000000"/>
          <w:kern w:val="0"/>
          <w:sz w:val="20"/>
          <w:szCs w:val="20"/>
          <w:lang w:eastAsia="en-GB"/>
          <w14:ligatures w14:val="none"/>
        </w:rPr>
        <w:t>. [online] hwb.gov.wales. Available at: https://hwb.gov.wales/curriculum-for-wales/designing-your-curriculum/developing-a-vision-for-curriculum-design [Accessed 21 Mar. 2024].</w:t>
      </w:r>
    </w:p>
    <w:p w14:paraId="4317E277" w14:textId="77777777" w:rsidR="00913C43" w:rsidRDefault="00913C43" w:rsidP="003033AD">
      <w:pPr>
        <w:tabs>
          <w:tab w:val="left" w:pos="610"/>
        </w:tabs>
        <w:rPr>
          <w:rFonts w:ascii="Calibri" w:hAnsi="Calibri" w:cs="Calibri"/>
          <w:color w:val="000000"/>
          <w:sz w:val="20"/>
          <w:szCs w:val="20"/>
        </w:rPr>
      </w:pPr>
    </w:p>
    <w:p w14:paraId="3145182B" w14:textId="77777777" w:rsidR="00B57EE9" w:rsidRDefault="00B57EE9" w:rsidP="003033AD">
      <w:pPr>
        <w:tabs>
          <w:tab w:val="left" w:pos="610"/>
        </w:tabs>
        <w:rPr>
          <w:rFonts w:ascii="Calibri" w:hAnsi="Calibri" w:cs="Calibri"/>
          <w:color w:val="000000"/>
          <w:sz w:val="20"/>
          <w:szCs w:val="20"/>
        </w:rPr>
      </w:pPr>
    </w:p>
    <w:p w14:paraId="6564C831" w14:textId="77777777" w:rsidR="00B57EE9" w:rsidRDefault="00B57EE9" w:rsidP="003033AD">
      <w:pPr>
        <w:tabs>
          <w:tab w:val="left" w:pos="610"/>
        </w:tabs>
        <w:rPr>
          <w:rFonts w:ascii="Calibri" w:hAnsi="Calibri" w:cs="Calibri"/>
          <w:color w:val="000000"/>
          <w:sz w:val="20"/>
          <w:szCs w:val="20"/>
        </w:rPr>
      </w:pPr>
    </w:p>
    <w:p w14:paraId="3F80091C" w14:textId="77777777" w:rsidR="00695AE9" w:rsidRPr="00695AE9" w:rsidRDefault="00695AE9" w:rsidP="00695AE9">
      <w:pPr>
        <w:tabs>
          <w:tab w:val="left" w:pos="610"/>
        </w:tabs>
        <w:rPr>
          <w:rFonts w:ascii="Calibri" w:hAnsi="Calibri" w:cs="Calibri"/>
          <w:color w:val="000000"/>
          <w:sz w:val="20"/>
          <w:szCs w:val="20"/>
        </w:rPr>
      </w:pPr>
    </w:p>
    <w:p w14:paraId="60C959F4" w14:textId="58C643B5" w:rsidR="002F013E" w:rsidRPr="004412E6" w:rsidRDefault="002F013E" w:rsidP="003033AD">
      <w:pPr>
        <w:tabs>
          <w:tab w:val="left" w:pos="610"/>
        </w:tabs>
        <w:rPr>
          <w:rFonts w:ascii="Calibri" w:hAnsi="Calibri" w:cs="Calibri"/>
          <w:color w:val="000000"/>
          <w:sz w:val="20"/>
          <w:szCs w:val="20"/>
        </w:rPr>
      </w:pPr>
    </w:p>
    <w:sectPr w:rsidR="002F013E" w:rsidRPr="004412E6" w:rsidSect="00CB79B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75BB7"/>
    <w:multiLevelType w:val="hybridMultilevel"/>
    <w:tmpl w:val="5E2E9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586C85"/>
    <w:multiLevelType w:val="hybridMultilevel"/>
    <w:tmpl w:val="8CB45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02240"/>
    <w:multiLevelType w:val="hybridMultilevel"/>
    <w:tmpl w:val="34FAA70A"/>
    <w:lvl w:ilvl="0" w:tplc="A7B69840">
      <w:start w:val="1"/>
      <w:numFmt w:val="bullet"/>
      <w:lvlText w:val="•"/>
      <w:lvlJc w:val="left"/>
      <w:pPr>
        <w:tabs>
          <w:tab w:val="num" w:pos="720"/>
        </w:tabs>
        <w:ind w:left="720" w:hanging="360"/>
      </w:pPr>
      <w:rPr>
        <w:rFonts w:ascii="Arial" w:hAnsi="Arial" w:hint="default"/>
      </w:rPr>
    </w:lvl>
    <w:lvl w:ilvl="1" w:tplc="410271F4" w:tentative="1">
      <w:start w:val="1"/>
      <w:numFmt w:val="bullet"/>
      <w:lvlText w:val="•"/>
      <w:lvlJc w:val="left"/>
      <w:pPr>
        <w:tabs>
          <w:tab w:val="num" w:pos="1440"/>
        </w:tabs>
        <w:ind w:left="1440" w:hanging="360"/>
      </w:pPr>
      <w:rPr>
        <w:rFonts w:ascii="Arial" w:hAnsi="Arial" w:hint="default"/>
      </w:rPr>
    </w:lvl>
    <w:lvl w:ilvl="2" w:tplc="2F0A20AC" w:tentative="1">
      <w:start w:val="1"/>
      <w:numFmt w:val="bullet"/>
      <w:lvlText w:val="•"/>
      <w:lvlJc w:val="left"/>
      <w:pPr>
        <w:tabs>
          <w:tab w:val="num" w:pos="2160"/>
        </w:tabs>
        <w:ind w:left="2160" w:hanging="360"/>
      </w:pPr>
      <w:rPr>
        <w:rFonts w:ascii="Arial" w:hAnsi="Arial" w:hint="default"/>
      </w:rPr>
    </w:lvl>
    <w:lvl w:ilvl="3" w:tplc="C51E8ADE" w:tentative="1">
      <w:start w:val="1"/>
      <w:numFmt w:val="bullet"/>
      <w:lvlText w:val="•"/>
      <w:lvlJc w:val="left"/>
      <w:pPr>
        <w:tabs>
          <w:tab w:val="num" w:pos="2880"/>
        </w:tabs>
        <w:ind w:left="2880" w:hanging="360"/>
      </w:pPr>
      <w:rPr>
        <w:rFonts w:ascii="Arial" w:hAnsi="Arial" w:hint="default"/>
      </w:rPr>
    </w:lvl>
    <w:lvl w:ilvl="4" w:tplc="FAB6C8FC" w:tentative="1">
      <w:start w:val="1"/>
      <w:numFmt w:val="bullet"/>
      <w:lvlText w:val="•"/>
      <w:lvlJc w:val="left"/>
      <w:pPr>
        <w:tabs>
          <w:tab w:val="num" w:pos="3600"/>
        </w:tabs>
        <w:ind w:left="3600" w:hanging="360"/>
      </w:pPr>
      <w:rPr>
        <w:rFonts w:ascii="Arial" w:hAnsi="Arial" w:hint="default"/>
      </w:rPr>
    </w:lvl>
    <w:lvl w:ilvl="5" w:tplc="22906B32" w:tentative="1">
      <w:start w:val="1"/>
      <w:numFmt w:val="bullet"/>
      <w:lvlText w:val="•"/>
      <w:lvlJc w:val="left"/>
      <w:pPr>
        <w:tabs>
          <w:tab w:val="num" w:pos="4320"/>
        </w:tabs>
        <w:ind w:left="4320" w:hanging="360"/>
      </w:pPr>
      <w:rPr>
        <w:rFonts w:ascii="Arial" w:hAnsi="Arial" w:hint="default"/>
      </w:rPr>
    </w:lvl>
    <w:lvl w:ilvl="6" w:tplc="FC805864" w:tentative="1">
      <w:start w:val="1"/>
      <w:numFmt w:val="bullet"/>
      <w:lvlText w:val="•"/>
      <w:lvlJc w:val="left"/>
      <w:pPr>
        <w:tabs>
          <w:tab w:val="num" w:pos="5040"/>
        </w:tabs>
        <w:ind w:left="5040" w:hanging="360"/>
      </w:pPr>
      <w:rPr>
        <w:rFonts w:ascii="Arial" w:hAnsi="Arial" w:hint="default"/>
      </w:rPr>
    </w:lvl>
    <w:lvl w:ilvl="7" w:tplc="6D42E3EA" w:tentative="1">
      <w:start w:val="1"/>
      <w:numFmt w:val="bullet"/>
      <w:lvlText w:val="•"/>
      <w:lvlJc w:val="left"/>
      <w:pPr>
        <w:tabs>
          <w:tab w:val="num" w:pos="5760"/>
        </w:tabs>
        <w:ind w:left="5760" w:hanging="360"/>
      </w:pPr>
      <w:rPr>
        <w:rFonts w:ascii="Arial" w:hAnsi="Arial" w:hint="default"/>
      </w:rPr>
    </w:lvl>
    <w:lvl w:ilvl="8" w:tplc="4C0E05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6C45CF8"/>
    <w:multiLevelType w:val="hybridMultilevel"/>
    <w:tmpl w:val="CE401A94"/>
    <w:lvl w:ilvl="0" w:tplc="249E0510">
      <w:start w:val="1"/>
      <w:numFmt w:val="bullet"/>
      <w:lvlText w:val="•"/>
      <w:lvlJc w:val="left"/>
      <w:pPr>
        <w:tabs>
          <w:tab w:val="num" w:pos="720"/>
        </w:tabs>
        <w:ind w:left="720" w:hanging="360"/>
      </w:pPr>
      <w:rPr>
        <w:rFonts w:ascii="Arial" w:hAnsi="Arial" w:hint="default"/>
      </w:rPr>
    </w:lvl>
    <w:lvl w:ilvl="1" w:tplc="9EC67AEA" w:tentative="1">
      <w:start w:val="1"/>
      <w:numFmt w:val="bullet"/>
      <w:lvlText w:val="•"/>
      <w:lvlJc w:val="left"/>
      <w:pPr>
        <w:tabs>
          <w:tab w:val="num" w:pos="1440"/>
        </w:tabs>
        <w:ind w:left="1440" w:hanging="360"/>
      </w:pPr>
      <w:rPr>
        <w:rFonts w:ascii="Arial" w:hAnsi="Arial" w:hint="default"/>
      </w:rPr>
    </w:lvl>
    <w:lvl w:ilvl="2" w:tplc="FC26D8F4" w:tentative="1">
      <w:start w:val="1"/>
      <w:numFmt w:val="bullet"/>
      <w:lvlText w:val="•"/>
      <w:lvlJc w:val="left"/>
      <w:pPr>
        <w:tabs>
          <w:tab w:val="num" w:pos="2160"/>
        </w:tabs>
        <w:ind w:left="2160" w:hanging="360"/>
      </w:pPr>
      <w:rPr>
        <w:rFonts w:ascii="Arial" w:hAnsi="Arial" w:hint="default"/>
      </w:rPr>
    </w:lvl>
    <w:lvl w:ilvl="3" w:tplc="A9EA101C" w:tentative="1">
      <w:start w:val="1"/>
      <w:numFmt w:val="bullet"/>
      <w:lvlText w:val="•"/>
      <w:lvlJc w:val="left"/>
      <w:pPr>
        <w:tabs>
          <w:tab w:val="num" w:pos="2880"/>
        </w:tabs>
        <w:ind w:left="2880" w:hanging="360"/>
      </w:pPr>
      <w:rPr>
        <w:rFonts w:ascii="Arial" w:hAnsi="Arial" w:hint="default"/>
      </w:rPr>
    </w:lvl>
    <w:lvl w:ilvl="4" w:tplc="57B65D74" w:tentative="1">
      <w:start w:val="1"/>
      <w:numFmt w:val="bullet"/>
      <w:lvlText w:val="•"/>
      <w:lvlJc w:val="left"/>
      <w:pPr>
        <w:tabs>
          <w:tab w:val="num" w:pos="3600"/>
        </w:tabs>
        <w:ind w:left="3600" w:hanging="360"/>
      </w:pPr>
      <w:rPr>
        <w:rFonts w:ascii="Arial" w:hAnsi="Arial" w:hint="default"/>
      </w:rPr>
    </w:lvl>
    <w:lvl w:ilvl="5" w:tplc="AE2AEBDE" w:tentative="1">
      <w:start w:val="1"/>
      <w:numFmt w:val="bullet"/>
      <w:lvlText w:val="•"/>
      <w:lvlJc w:val="left"/>
      <w:pPr>
        <w:tabs>
          <w:tab w:val="num" w:pos="4320"/>
        </w:tabs>
        <w:ind w:left="4320" w:hanging="360"/>
      </w:pPr>
      <w:rPr>
        <w:rFonts w:ascii="Arial" w:hAnsi="Arial" w:hint="default"/>
      </w:rPr>
    </w:lvl>
    <w:lvl w:ilvl="6" w:tplc="45AA0F2A" w:tentative="1">
      <w:start w:val="1"/>
      <w:numFmt w:val="bullet"/>
      <w:lvlText w:val="•"/>
      <w:lvlJc w:val="left"/>
      <w:pPr>
        <w:tabs>
          <w:tab w:val="num" w:pos="5040"/>
        </w:tabs>
        <w:ind w:left="5040" w:hanging="360"/>
      </w:pPr>
      <w:rPr>
        <w:rFonts w:ascii="Arial" w:hAnsi="Arial" w:hint="default"/>
      </w:rPr>
    </w:lvl>
    <w:lvl w:ilvl="7" w:tplc="1EC8620A" w:tentative="1">
      <w:start w:val="1"/>
      <w:numFmt w:val="bullet"/>
      <w:lvlText w:val="•"/>
      <w:lvlJc w:val="left"/>
      <w:pPr>
        <w:tabs>
          <w:tab w:val="num" w:pos="5760"/>
        </w:tabs>
        <w:ind w:left="5760" w:hanging="360"/>
      </w:pPr>
      <w:rPr>
        <w:rFonts w:ascii="Arial" w:hAnsi="Arial" w:hint="default"/>
      </w:rPr>
    </w:lvl>
    <w:lvl w:ilvl="8" w:tplc="B6E4F1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DAD7F6E"/>
    <w:multiLevelType w:val="hybridMultilevel"/>
    <w:tmpl w:val="EAE29376"/>
    <w:lvl w:ilvl="0" w:tplc="8F46DD78">
      <w:start w:val="1"/>
      <w:numFmt w:val="bullet"/>
      <w:lvlText w:val="•"/>
      <w:lvlJc w:val="left"/>
      <w:pPr>
        <w:tabs>
          <w:tab w:val="num" w:pos="720"/>
        </w:tabs>
        <w:ind w:left="720" w:hanging="360"/>
      </w:pPr>
      <w:rPr>
        <w:rFonts w:ascii="Arial" w:hAnsi="Arial" w:hint="default"/>
      </w:rPr>
    </w:lvl>
    <w:lvl w:ilvl="1" w:tplc="C1D4867A" w:tentative="1">
      <w:start w:val="1"/>
      <w:numFmt w:val="bullet"/>
      <w:lvlText w:val="•"/>
      <w:lvlJc w:val="left"/>
      <w:pPr>
        <w:tabs>
          <w:tab w:val="num" w:pos="1440"/>
        </w:tabs>
        <w:ind w:left="1440" w:hanging="360"/>
      </w:pPr>
      <w:rPr>
        <w:rFonts w:ascii="Arial" w:hAnsi="Arial" w:hint="default"/>
      </w:rPr>
    </w:lvl>
    <w:lvl w:ilvl="2" w:tplc="61989ABC" w:tentative="1">
      <w:start w:val="1"/>
      <w:numFmt w:val="bullet"/>
      <w:lvlText w:val="•"/>
      <w:lvlJc w:val="left"/>
      <w:pPr>
        <w:tabs>
          <w:tab w:val="num" w:pos="2160"/>
        </w:tabs>
        <w:ind w:left="2160" w:hanging="360"/>
      </w:pPr>
      <w:rPr>
        <w:rFonts w:ascii="Arial" w:hAnsi="Arial" w:hint="default"/>
      </w:rPr>
    </w:lvl>
    <w:lvl w:ilvl="3" w:tplc="B00E8F2E" w:tentative="1">
      <w:start w:val="1"/>
      <w:numFmt w:val="bullet"/>
      <w:lvlText w:val="•"/>
      <w:lvlJc w:val="left"/>
      <w:pPr>
        <w:tabs>
          <w:tab w:val="num" w:pos="2880"/>
        </w:tabs>
        <w:ind w:left="2880" w:hanging="360"/>
      </w:pPr>
      <w:rPr>
        <w:rFonts w:ascii="Arial" w:hAnsi="Arial" w:hint="default"/>
      </w:rPr>
    </w:lvl>
    <w:lvl w:ilvl="4" w:tplc="5F3ABBE4" w:tentative="1">
      <w:start w:val="1"/>
      <w:numFmt w:val="bullet"/>
      <w:lvlText w:val="•"/>
      <w:lvlJc w:val="left"/>
      <w:pPr>
        <w:tabs>
          <w:tab w:val="num" w:pos="3600"/>
        </w:tabs>
        <w:ind w:left="3600" w:hanging="360"/>
      </w:pPr>
      <w:rPr>
        <w:rFonts w:ascii="Arial" w:hAnsi="Arial" w:hint="default"/>
      </w:rPr>
    </w:lvl>
    <w:lvl w:ilvl="5" w:tplc="C70242AC" w:tentative="1">
      <w:start w:val="1"/>
      <w:numFmt w:val="bullet"/>
      <w:lvlText w:val="•"/>
      <w:lvlJc w:val="left"/>
      <w:pPr>
        <w:tabs>
          <w:tab w:val="num" w:pos="4320"/>
        </w:tabs>
        <w:ind w:left="4320" w:hanging="360"/>
      </w:pPr>
      <w:rPr>
        <w:rFonts w:ascii="Arial" w:hAnsi="Arial" w:hint="default"/>
      </w:rPr>
    </w:lvl>
    <w:lvl w:ilvl="6" w:tplc="1C14B0A4" w:tentative="1">
      <w:start w:val="1"/>
      <w:numFmt w:val="bullet"/>
      <w:lvlText w:val="•"/>
      <w:lvlJc w:val="left"/>
      <w:pPr>
        <w:tabs>
          <w:tab w:val="num" w:pos="5040"/>
        </w:tabs>
        <w:ind w:left="5040" w:hanging="360"/>
      </w:pPr>
      <w:rPr>
        <w:rFonts w:ascii="Arial" w:hAnsi="Arial" w:hint="default"/>
      </w:rPr>
    </w:lvl>
    <w:lvl w:ilvl="7" w:tplc="387C7672" w:tentative="1">
      <w:start w:val="1"/>
      <w:numFmt w:val="bullet"/>
      <w:lvlText w:val="•"/>
      <w:lvlJc w:val="left"/>
      <w:pPr>
        <w:tabs>
          <w:tab w:val="num" w:pos="5760"/>
        </w:tabs>
        <w:ind w:left="5760" w:hanging="360"/>
      </w:pPr>
      <w:rPr>
        <w:rFonts w:ascii="Arial" w:hAnsi="Arial" w:hint="default"/>
      </w:rPr>
    </w:lvl>
    <w:lvl w:ilvl="8" w:tplc="61D46114" w:tentative="1">
      <w:start w:val="1"/>
      <w:numFmt w:val="bullet"/>
      <w:lvlText w:val="•"/>
      <w:lvlJc w:val="left"/>
      <w:pPr>
        <w:tabs>
          <w:tab w:val="num" w:pos="6480"/>
        </w:tabs>
        <w:ind w:left="6480" w:hanging="360"/>
      </w:pPr>
      <w:rPr>
        <w:rFonts w:ascii="Arial" w:hAnsi="Arial" w:hint="default"/>
      </w:rPr>
    </w:lvl>
  </w:abstractNum>
  <w:num w:numId="1" w16cid:durableId="737871755">
    <w:abstractNumId w:val="3"/>
  </w:num>
  <w:num w:numId="2" w16cid:durableId="1662192376">
    <w:abstractNumId w:val="4"/>
  </w:num>
  <w:num w:numId="3" w16cid:durableId="195893865">
    <w:abstractNumId w:val="2"/>
  </w:num>
  <w:num w:numId="4" w16cid:durableId="1703751390">
    <w:abstractNumId w:val="0"/>
  </w:num>
  <w:num w:numId="5" w16cid:durableId="1360664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743"/>
    <w:rsid w:val="00100748"/>
    <w:rsid w:val="001F2B81"/>
    <w:rsid w:val="002166A1"/>
    <w:rsid w:val="002F013E"/>
    <w:rsid w:val="003033AD"/>
    <w:rsid w:val="003135AC"/>
    <w:rsid w:val="0033115F"/>
    <w:rsid w:val="00361A48"/>
    <w:rsid w:val="003A03FC"/>
    <w:rsid w:val="003C5677"/>
    <w:rsid w:val="00413F46"/>
    <w:rsid w:val="004412E6"/>
    <w:rsid w:val="00483D12"/>
    <w:rsid w:val="004E1782"/>
    <w:rsid w:val="004F6A36"/>
    <w:rsid w:val="00534A73"/>
    <w:rsid w:val="00583621"/>
    <w:rsid w:val="005A6BC2"/>
    <w:rsid w:val="005D1108"/>
    <w:rsid w:val="00695AE9"/>
    <w:rsid w:val="006B03C5"/>
    <w:rsid w:val="0078427E"/>
    <w:rsid w:val="007D63CE"/>
    <w:rsid w:val="00810BB4"/>
    <w:rsid w:val="00817599"/>
    <w:rsid w:val="00837F4E"/>
    <w:rsid w:val="008C2668"/>
    <w:rsid w:val="008D5583"/>
    <w:rsid w:val="00913C43"/>
    <w:rsid w:val="00A24F0D"/>
    <w:rsid w:val="00AD19D0"/>
    <w:rsid w:val="00B06F36"/>
    <w:rsid w:val="00B57EE9"/>
    <w:rsid w:val="00BC6743"/>
    <w:rsid w:val="00C5696B"/>
    <w:rsid w:val="00C62E7A"/>
    <w:rsid w:val="00CB79BD"/>
    <w:rsid w:val="00CF7A60"/>
    <w:rsid w:val="00DE7570"/>
    <w:rsid w:val="00E314EE"/>
    <w:rsid w:val="00E35DE1"/>
    <w:rsid w:val="00E81543"/>
    <w:rsid w:val="00F4329C"/>
    <w:rsid w:val="00FA5C46"/>
    <w:rsid w:val="00FC41C1"/>
    <w:rsid w:val="00FC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9F3F4"/>
  <w15:chartTrackingRefBased/>
  <w15:docId w15:val="{54C42DA5-D4E9-B14F-BF0B-E74731186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7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7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7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7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743"/>
    <w:rPr>
      <w:rFonts w:eastAsiaTheme="majorEastAsia" w:cstheme="majorBidi"/>
      <w:color w:val="272727" w:themeColor="text1" w:themeTint="D8"/>
    </w:rPr>
  </w:style>
  <w:style w:type="paragraph" w:styleId="Title">
    <w:name w:val="Title"/>
    <w:basedOn w:val="Normal"/>
    <w:next w:val="Normal"/>
    <w:link w:val="TitleChar"/>
    <w:uiPriority w:val="10"/>
    <w:qFormat/>
    <w:rsid w:val="00BC67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7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7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6743"/>
    <w:rPr>
      <w:i/>
      <w:iCs/>
      <w:color w:val="404040" w:themeColor="text1" w:themeTint="BF"/>
    </w:rPr>
  </w:style>
  <w:style w:type="paragraph" w:styleId="ListParagraph">
    <w:name w:val="List Paragraph"/>
    <w:basedOn w:val="Normal"/>
    <w:uiPriority w:val="34"/>
    <w:qFormat/>
    <w:rsid w:val="00BC6743"/>
    <w:pPr>
      <w:ind w:left="720"/>
      <w:contextualSpacing/>
    </w:pPr>
  </w:style>
  <w:style w:type="character" w:styleId="IntenseEmphasis">
    <w:name w:val="Intense Emphasis"/>
    <w:basedOn w:val="DefaultParagraphFont"/>
    <w:uiPriority w:val="21"/>
    <w:qFormat/>
    <w:rsid w:val="00BC6743"/>
    <w:rPr>
      <w:i/>
      <w:iCs/>
      <w:color w:val="0F4761" w:themeColor="accent1" w:themeShade="BF"/>
    </w:rPr>
  </w:style>
  <w:style w:type="paragraph" w:styleId="IntenseQuote">
    <w:name w:val="Intense Quote"/>
    <w:basedOn w:val="Normal"/>
    <w:next w:val="Normal"/>
    <w:link w:val="IntenseQuoteChar"/>
    <w:uiPriority w:val="30"/>
    <w:qFormat/>
    <w:rsid w:val="00BC6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743"/>
    <w:rPr>
      <w:i/>
      <w:iCs/>
      <w:color w:val="0F4761" w:themeColor="accent1" w:themeShade="BF"/>
    </w:rPr>
  </w:style>
  <w:style w:type="character" w:styleId="IntenseReference">
    <w:name w:val="Intense Reference"/>
    <w:basedOn w:val="DefaultParagraphFont"/>
    <w:uiPriority w:val="32"/>
    <w:qFormat/>
    <w:rsid w:val="00BC6743"/>
    <w:rPr>
      <w:b/>
      <w:bCs/>
      <w:smallCaps/>
      <w:color w:val="0F4761" w:themeColor="accent1" w:themeShade="BF"/>
      <w:spacing w:val="5"/>
    </w:rPr>
  </w:style>
  <w:style w:type="character" w:styleId="Hyperlink">
    <w:name w:val="Hyperlink"/>
    <w:basedOn w:val="DefaultParagraphFont"/>
    <w:uiPriority w:val="99"/>
    <w:unhideWhenUsed/>
    <w:rsid w:val="00100748"/>
    <w:rPr>
      <w:color w:val="467886" w:themeColor="hyperlink"/>
      <w:u w:val="single"/>
    </w:rPr>
  </w:style>
  <w:style w:type="character" w:styleId="UnresolvedMention">
    <w:name w:val="Unresolved Mention"/>
    <w:basedOn w:val="DefaultParagraphFont"/>
    <w:uiPriority w:val="99"/>
    <w:semiHidden/>
    <w:unhideWhenUsed/>
    <w:rsid w:val="00100748"/>
    <w:rPr>
      <w:color w:val="605E5C"/>
      <w:shd w:val="clear" w:color="auto" w:fill="E1DFDD"/>
    </w:rPr>
  </w:style>
  <w:style w:type="table" w:styleId="TableGrid">
    <w:name w:val="Table Grid"/>
    <w:basedOn w:val="TableNormal"/>
    <w:uiPriority w:val="39"/>
    <w:rsid w:val="001007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1893">
      <w:bodyDiv w:val="1"/>
      <w:marLeft w:val="0"/>
      <w:marRight w:val="0"/>
      <w:marTop w:val="0"/>
      <w:marBottom w:val="0"/>
      <w:divBdr>
        <w:top w:val="none" w:sz="0" w:space="0" w:color="auto"/>
        <w:left w:val="none" w:sz="0" w:space="0" w:color="auto"/>
        <w:bottom w:val="none" w:sz="0" w:space="0" w:color="auto"/>
        <w:right w:val="none" w:sz="0" w:space="0" w:color="auto"/>
      </w:divBdr>
    </w:div>
    <w:div w:id="1070421747">
      <w:bodyDiv w:val="1"/>
      <w:marLeft w:val="0"/>
      <w:marRight w:val="0"/>
      <w:marTop w:val="0"/>
      <w:marBottom w:val="0"/>
      <w:divBdr>
        <w:top w:val="none" w:sz="0" w:space="0" w:color="auto"/>
        <w:left w:val="none" w:sz="0" w:space="0" w:color="auto"/>
        <w:bottom w:val="none" w:sz="0" w:space="0" w:color="auto"/>
        <w:right w:val="none" w:sz="0" w:space="0" w:color="auto"/>
      </w:divBdr>
      <w:divsChild>
        <w:div w:id="21326242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tranet.uwtsd.ac.uk/departments/library-and-learning-resources/academic-and-infoskills/referencing-handbook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5</Pages>
  <Words>2443</Words>
  <Characters>13929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James (1900368)</dc:creator>
  <cp:keywords/>
  <dc:description/>
  <cp:lastModifiedBy>Josh James (1900368)</cp:lastModifiedBy>
  <cp:revision>4</cp:revision>
  <dcterms:created xsi:type="dcterms:W3CDTF">2024-03-18T09:48:00Z</dcterms:created>
  <dcterms:modified xsi:type="dcterms:W3CDTF">2024-04-14T15:32:00Z</dcterms:modified>
</cp:coreProperties>
</file>