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0A6C" w:rsidRPr="00A8468E" w:rsidRDefault="008A1D76" w:rsidP="00820A6C">
      <w:pPr>
        <w:rPr>
          <w:rStyle w:val="Emphasis"/>
          <w:rFonts w:cstheme="minorHAnsi"/>
          <w:bCs/>
          <w:i w:val="0"/>
          <w:sz w:val="23"/>
          <w:szCs w:val="23"/>
        </w:rPr>
      </w:pPr>
      <w:r>
        <w:rPr>
          <w:noProof/>
          <w:lang w:eastAsia="en-GB"/>
        </w:rPr>
        <mc:AlternateContent>
          <mc:Choice Requires="wps">
            <w:drawing>
              <wp:anchor distT="0" distB="0" distL="114300" distR="114300" simplePos="0" relativeHeight="251663360" behindDoc="0" locked="0" layoutInCell="1" allowOverlap="1" wp14:anchorId="5C776F24" wp14:editId="6CEFA22D">
                <wp:simplePos x="0" y="0"/>
                <wp:positionH relativeFrom="margin">
                  <wp:posOffset>266700</wp:posOffset>
                </wp:positionH>
                <wp:positionV relativeFrom="paragraph">
                  <wp:posOffset>-352425</wp:posOffset>
                </wp:positionV>
                <wp:extent cx="8248650" cy="134302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8248650" cy="1343025"/>
                        </a:xfrm>
                        <a:prstGeom prst="rect">
                          <a:avLst/>
                        </a:prstGeom>
                        <a:ln w="25400"/>
                      </wps:spPr>
                      <wps:style>
                        <a:lnRef idx="2">
                          <a:schemeClr val="dk1"/>
                        </a:lnRef>
                        <a:fillRef idx="1">
                          <a:schemeClr val="lt1"/>
                        </a:fillRef>
                        <a:effectRef idx="0">
                          <a:schemeClr val="dk1"/>
                        </a:effectRef>
                        <a:fontRef idx="minor">
                          <a:schemeClr val="dk1"/>
                        </a:fontRef>
                      </wps:style>
                      <wps:txbx>
                        <w:txbxContent>
                          <w:p w:rsidR="008A1D76" w:rsidRPr="008A1D76" w:rsidRDefault="008A1D76" w:rsidP="008A1D76">
                            <w:pPr>
                              <w:jc w:val="center"/>
                              <w:rPr>
                                <w:rFonts w:cstheme="minorHAnsi"/>
                                <w:bCs/>
                                <w:iCs/>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cstheme="minorHAnsi"/>
                                <w:bCs/>
                                <w:iCs/>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What is Health, Well-being and Healthy Lifestyle?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776F24" id="_x0000_t202" coordsize="21600,21600" o:spt="202" path="m,l,21600r21600,l21600,xe">
                <v:stroke joinstyle="miter"/>
                <v:path gradientshapeok="t" o:connecttype="rect"/>
              </v:shapetype>
              <v:shape id="Text Box 1" o:spid="_x0000_s1026" type="#_x0000_t202" style="position:absolute;margin-left:21pt;margin-top:-27.75pt;width:649.5pt;height:105.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" fillcolor="white [3201]" strokecolor="black [3200]" strokeweight="2pt">
                <v:textbox>
                  <w:txbxContent>
                    <w:p w:rsidR="008A1D76" w:rsidRPr="008A1D76" w:rsidRDefault="008A1D76" w:rsidP="008A1D76">
                      <w:pPr>
                        <w:jc w:val="center"/>
                        <w:rPr>
                          <w:rFonts w:cstheme="minorHAnsi"/>
                          <w:bCs/>
                          <w:iCs/>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cstheme="minorHAnsi"/>
                          <w:bCs/>
                          <w:iCs/>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What is Health, Well-being and Healthy Lifestyle?</w:t>
                      </w:r>
                    </w:p>
                  </w:txbxContent>
                </v:textbox>
                <w10:wrap anchorx="margin"/>
              </v:shape>
            </w:pict>
          </mc:Fallback>
        </mc:AlternateContent>
      </w:r>
    </w:p>
    <w:p w:rsidR="00820A6C" w:rsidRPr="00A8468E" w:rsidRDefault="00820A6C" w:rsidP="00820A6C">
      <w:pPr>
        <w:rPr>
          <w:rStyle w:val="Emphasis"/>
          <w:rFonts w:cstheme="minorHAnsi"/>
          <w:bCs/>
          <w:i w:val="0"/>
          <w:sz w:val="23"/>
          <w:szCs w:val="23"/>
        </w:rPr>
      </w:pPr>
    </w:p>
    <w:p w:rsidR="00820A6C" w:rsidRPr="00A8468E" w:rsidRDefault="00820A6C" w:rsidP="00820A6C">
      <w:pPr>
        <w:rPr>
          <w:rStyle w:val="Emphasis"/>
          <w:rFonts w:cstheme="minorHAnsi"/>
          <w:bCs/>
          <w:i w:val="0"/>
          <w:sz w:val="23"/>
          <w:szCs w:val="23"/>
        </w:rPr>
      </w:pPr>
    </w:p>
    <w:p w:rsidR="000D6550" w:rsidRPr="00A8468E" w:rsidRDefault="008A1D76" w:rsidP="000D6550">
      <w:pPr>
        <w:pStyle w:val="NormalWeb"/>
        <w:shd w:val="clear" w:color="auto" w:fill="FFFFFF"/>
        <w:spacing w:before="0" w:beforeAutospacing="0" w:after="0" w:afterAutospacing="0"/>
        <w:rPr>
          <w:rFonts w:asciiTheme="minorHAnsi" w:hAnsiTheme="minorHAnsi" w:cstheme="minorHAnsi"/>
          <w:sz w:val="23"/>
          <w:szCs w:val="23"/>
        </w:rPr>
      </w:pPr>
      <w:r w:rsidRPr="00A8468E">
        <w:rPr>
          <w:rStyle w:val="Emphasis"/>
          <w:rFonts w:cstheme="minorHAnsi"/>
          <w:bCs/>
          <w:i w:val="0"/>
          <w:noProof/>
          <w:sz w:val="23"/>
          <w:szCs w:val="23"/>
        </w:rPr>
        <mc:AlternateContent>
          <mc:Choice Requires="wps">
            <w:drawing>
              <wp:anchor distT="45720" distB="45720" distL="114300" distR="114300" simplePos="0" relativeHeight="251659264" behindDoc="0" locked="0" layoutInCell="1" allowOverlap="1" wp14:anchorId="6AFD1D9F" wp14:editId="0B664896">
                <wp:simplePos x="0" y="0"/>
                <wp:positionH relativeFrom="column">
                  <wp:posOffset>-285750</wp:posOffset>
                </wp:positionH>
                <wp:positionV relativeFrom="paragraph">
                  <wp:posOffset>241935</wp:posOffset>
                </wp:positionV>
                <wp:extent cx="5000625" cy="2743200"/>
                <wp:effectExtent l="0" t="0" r="2857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0625" cy="2743200"/>
                        </a:xfrm>
                        <a:prstGeom prst="rect">
                          <a:avLst/>
                        </a:prstGeom>
                        <a:solidFill>
                          <a:srgbClr val="FFFFFF"/>
                        </a:solidFill>
                        <a:ln w="9525">
                          <a:solidFill>
                            <a:srgbClr val="FF0000"/>
                          </a:solidFill>
                          <a:miter lim="800000"/>
                          <a:headEnd/>
                          <a:tailEnd/>
                        </a:ln>
                      </wps:spPr>
                      <wps:txbx>
                        <w:txbxContent>
                          <w:p w:rsidR="00820A6C" w:rsidRPr="00C20796" w:rsidRDefault="00820A6C" w:rsidP="00820A6C">
                            <w:pPr>
                              <w:jc w:val="center"/>
                              <w:rPr>
                                <w:rFonts w:ascii="Arial" w:hAnsi="Arial" w:cs="Arial"/>
                                <w:sz w:val="23"/>
                                <w:szCs w:val="23"/>
                                <w:u w:val="thick" w:color="FF0000"/>
                              </w:rPr>
                            </w:pPr>
                            <w:r w:rsidRPr="00C20796">
                              <w:rPr>
                                <w:rFonts w:ascii="Arial" w:hAnsi="Arial" w:cs="Arial"/>
                                <w:sz w:val="23"/>
                                <w:szCs w:val="23"/>
                                <w:u w:val="thick" w:color="FF0000"/>
                              </w:rPr>
                              <w:t>Introduction</w:t>
                            </w:r>
                          </w:p>
                          <w:p w:rsidR="00820A6C" w:rsidRPr="00C20796" w:rsidRDefault="00820A6C" w:rsidP="00820A6C">
                            <w:pPr>
                              <w:rPr>
                                <w:rFonts w:ascii="Arial" w:hAnsi="Arial" w:cs="Arial"/>
                                <w:sz w:val="23"/>
                                <w:szCs w:val="23"/>
                              </w:rPr>
                            </w:pPr>
                            <w:r w:rsidRPr="00C20796">
                              <w:rPr>
                                <w:rFonts w:ascii="Arial" w:hAnsi="Arial" w:cs="Arial"/>
                                <w:sz w:val="23"/>
                                <w:szCs w:val="23"/>
                              </w:rPr>
                              <w:t>The concepts of health, wellbeing and lifestyles will be explored and defining within this poster. The importance of these with the early years will be explored along with the different models and theories around these and how they link in to practice in the early years’ environments. This poster will also be exploring the practitioner’s role in supporting children's health, wellbeing and lifestyle, how it affects their holistic development, within the early years’ environment. Connections between the three concepts along will also be explored throughout this poster with links to positive relationships. Berliniski and Schady (2015) mentions that within the early years’ children are able to thrive and become more productive members of the community. Investing in children’s wellbeing is an investment that will create returns over the long term, affecting the success and viability of the society well in to the future.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D1D9F" id="Text Box 2" o:spid="_x0000_s1027" type="#_x0000_t202" style="position:absolute;margin-left:-22.5pt;margin-top:19.05pt;width:393.75pt;height:3in;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" strokecolor="red">
                <v:textbox>
                  <w:txbxContent>
                    <w:p w:rsidR="00820A6C" w:rsidRPr="00C20796" w:rsidRDefault="00820A6C" w:rsidP="00820A6C">
                      <w:pPr>
                        <w:jc w:val="center"/>
                        <w:rPr>
                          <w:rFonts w:ascii="Arial" w:hAnsi="Arial" w:cs="Arial"/>
                          <w:sz w:val="23"/>
                          <w:szCs w:val="23"/>
                          <w:u w:val="thick" w:color="FF0000"/>
                        </w:rPr>
                      </w:pPr>
                      <w:r w:rsidRPr="00C20796">
                        <w:rPr>
                          <w:rFonts w:ascii="Arial" w:hAnsi="Arial" w:cs="Arial"/>
                          <w:sz w:val="23"/>
                          <w:szCs w:val="23"/>
                          <w:u w:val="thick" w:color="FF0000"/>
                        </w:rPr>
                        <w:t>Introduction</w:t>
                      </w:r>
                    </w:p>
                    <w:p w:rsidR="00820A6C" w:rsidRPr="00C20796" w:rsidRDefault="00820A6C" w:rsidP="00820A6C">
                      <w:pPr>
                        <w:rPr>
                          <w:rFonts w:ascii="Arial" w:hAnsi="Arial" w:cs="Arial"/>
                          <w:sz w:val="23"/>
                          <w:szCs w:val="23"/>
                        </w:rPr>
                      </w:pPr>
                      <w:r w:rsidRPr="00C20796">
                        <w:rPr>
                          <w:rFonts w:ascii="Arial" w:hAnsi="Arial" w:cs="Arial"/>
                          <w:sz w:val="23"/>
                          <w:szCs w:val="23"/>
                        </w:rPr>
                        <w:t>The concepts of health, wellbeing and lifestyles will be explored and defining within this poster. The importance of these with the early years will be explored along with the different models and theories around these and how they link in to practice in the early years’ environments. This poster will also be exploring the practitioner’s role in supporting children's health, wellbeing and lifestyle, how it affects their holistic development, within the early years’ environment. Connections between the three concepts along will also be explored throughout this poster with links to positive relationships. Berliniski and Schady (2015) mentions that within the early years’ children are able to thrive and become more productive members of the community. Investing in children’s wellbeing is an investment that will create returns over the long term, affecting the success and viability of the society well in to the future.</w:t>
                      </w:r>
                    </w:p>
                  </w:txbxContent>
                </v:textbox>
              </v:shape>
            </w:pict>
          </mc:Fallback>
        </mc:AlternateContent>
      </w:r>
    </w:p>
    <w:p w:rsidR="00820A6C" w:rsidRPr="00A8468E" w:rsidRDefault="00820A6C" w:rsidP="000D6550">
      <w:pPr>
        <w:pStyle w:val="NormalWeb"/>
        <w:shd w:val="clear" w:color="auto" w:fill="FFFFFF"/>
        <w:spacing w:before="0" w:beforeAutospacing="0" w:after="0" w:afterAutospacing="0"/>
        <w:rPr>
          <w:rFonts w:asciiTheme="minorHAnsi" w:hAnsiTheme="minorHAnsi" w:cstheme="minorHAnsi"/>
          <w:sz w:val="23"/>
          <w:szCs w:val="23"/>
        </w:rPr>
      </w:pPr>
    </w:p>
    <w:p w:rsidR="00820A6C" w:rsidRPr="00A8468E" w:rsidRDefault="009905B6" w:rsidP="000D6550">
      <w:pPr>
        <w:pStyle w:val="NormalWeb"/>
        <w:shd w:val="clear" w:color="auto" w:fill="FFFFFF"/>
        <w:spacing w:before="0" w:beforeAutospacing="0" w:after="0" w:afterAutospacing="0"/>
        <w:rPr>
          <w:rFonts w:asciiTheme="minorHAnsi" w:hAnsiTheme="minorHAnsi" w:cstheme="minorHAnsi"/>
          <w:sz w:val="23"/>
          <w:szCs w:val="23"/>
        </w:rPr>
      </w:pPr>
      <w:r w:rsidRPr="00A8468E">
        <w:rPr>
          <w:rFonts w:cstheme="minorHAnsi"/>
          <w:noProof/>
          <w:sz w:val="23"/>
          <w:szCs w:val="23"/>
        </w:rPr>
        <mc:AlternateContent>
          <mc:Choice Requires="wps">
            <w:drawing>
              <wp:anchor distT="45720" distB="45720" distL="114300" distR="114300" simplePos="0" relativeHeight="251661312" behindDoc="0" locked="0" layoutInCell="1" allowOverlap="1" wp14:anchorId="142B403A" wp14:editId="5A4BACA3">
                <wp:simplePos x="0" y="0"/>
                <wp:positionH relativeFrom="column">
                  <wp:posOffset>4781550</wp:posOffset>
                </wp:positionH>
                <wp:positionV relativeFrom="paragraph">
                  <wp:posOffset>9525</wp:posOffset>
                </wp:positionV>
                <wp:extent cx="4572000" cy="434340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4343400"/>
                        </a:xfrm>
                        <a:prstGeom prst="rect">
                          <a:avLst/>
                        </a:prstGeom>
                        <a:solidFill>
                          <a:srgbClr val="FFFFFF"/>
                        </a:solidFill>
                        <a:ln w="9525">
                          <a:solidFill>
                            <a:srgbClr val="FFC000"/>
                          </a:solidFill>
                          <a:miter lim="800000"/>
                          <a:headEnd/>
                          <a:tailEnd/>
                        </a:ln>
                      </wps:spPr>
                      <wps:txbx>
                        <w:txbxContent>
                          <w:p w:rsidR="00820A6C" w:rsidRPr="00C20796" w:rsidRDefault="00820A6C" w:rsidP="00820A6C">
                            <w:pPr>
                              <w:jc w:val="center"/>
                              <w:rPr>
                                <w:rFonts w:ascii="Arial" w:hAnsi="Arial" w:cs="Arial"/>
                                <w:sz w:val="26"/>
                                <w:szCs w:val="26"/>
                                <w:u w:val="thick" w:color="FFFF00"/>
                              </w:rPr>
                            </w:pPr>
                            <w:r w:rsidRPr="00C20796">
                              <w:rPr>
                                <w:rFonts w:ascii="Arial" w:hAnsi="Arial" w:cs="Arial"/>
                                <w:sz w:val="26"/>
                                <w:szCs w:val="26"/>
                                <w:u w:val="thick" w:color="FFFF00"/>
                              </w:rPr>
                              <w:t>Concepts</w:t>
                            </w:r>
                          </w:p>
                          <w:p w:rsidR="00820A6C" w:rsidRPr="00C20796" w:rsidRDefault="00820A6C" w:rsidP="00820A6C">
                            <w:pPr>
                              <w:rPr>
                                <w:rFonts w:ascii="Arial" w:hAnsi="Arial" w:cs="Arial"/>
                                <w:sz w:val="26"/>
                                <w:szCs w:val="26"/>
                              </w:rPr>
                            </w:pPr>
                            <w:r w:rsidRPr="00C20796">
                              <w:rPr>
                                <w:rFonts w:ascii="Arial" w:hAnsi="Arial" w:cs="Arial"/>
                                <w:sz w:val="26"/>
                                <w:szCs w:val="26"/>
                              </w:rPr>
                              <w:t>Rose, J. et al. (2016) mentions that it can be a challenge to define health and well-being as these can mean different things to different people in different socio-cultural contexts. they mention that individuals may think of health as solely relating to physical health but does not reflect how it emotional health can affect individual’s physical health. Considering this, they mention that being healthy also includes mental health and well-being. Similarly, the Department of Health (2014) mentions that health and wellbeing is not one way. They mention that health will influences individuals wellbeing and on the reverse wellbeing itself will influence an individual’s health. Although the Department of Health mentions that physical and mental health can influence wellbeing, they mention that mental health and wellbeing are independent dimensions for example it is possible for someone to have low levels of wellbeing but not have a mental health in disorder as well as it being possible for an individual to have a mental health disorder but have high levels of wellbeing.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2B403A" id="_x0000_s1028" type="#_x0000_t202" style="position:absolute;margin-left:376.5pt;margin-top:.75pt;width:5in;height:34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" strokecolor="#ffc000">
                <v:textbox>
                  <w:txbxContent>
                    <w:p w:rsidR="00820A6C" w:rsidRPr="00C20796" w:rsidRDefault="00820A6C" w:rsidP="00820A6C">
                      <w:pPr>
                        <w:jc w:val="center"/>
                        <w:rPr>
                          <w:rFonts w:ascii="Arial" w:hAnsi="Arial" w:cs="Arial"/>
                          <w:sz w:val="26"/>
                          <w:szCs w:val="26"/>
                          <w:u w:val="thick" w:color="FFFF00"/>
                        </w:rPr>
                      </w:pPr>
                      <w:r w:rsidRPr="00C20796">
                        <w:rPr>
                          <w:rFonts w:ascii="Arial" w:hAnsi="Arial" w:cs="Arial"/>
                          <w:sz w:val="26"/>
                          <w:szCs w:val="26"/>
                          <w:u w:val="thick" w:color="FFFF00"/>
                        </w:rPr>
                        <w:t>Concepts</w:t>
                      </w:r>
                    </w:p>
                    <w:p w:rsidR="00820A6C" w:rsidRPr="00C20796" w:rsidRDefault="00820A6C" w:rsidP="00820A6C">
                      <w:pPr>
                        <w:rPr>
                          <w:rFonts w:ascii="Arial" w:hAnsi="Arial" w:cs="Arial"/>
                          <w:sz w:val="26"/>
                          <w:szCs w:val="26"/>
                        </w:rPr>
                      </w:pPr>
                      <w:r w:rsidRPr="00C20796">
                        <w:rPr>
                          <w:rFonts w:ascii="Arial" w:hAnsi="Arial" w:cs="Arial"/>
                          <w:sz w:val="26"/>
                          <w:szCs w:val="26"/>
                        </w:rPr>
                        <w:t>Rose, J. et al. (2016) mentions that it can be a challenge to define health and well-being as these can mean different things to different people in different socio-cultural contexts. they mention that individuals may think of health as solely relating to physical health but does not reflect how it emotional health can affect individual’s physical health. Considering this, they mention that being healthy also includes mental health and well-being. Similarly, the Department of Health (2014) mentions that health and wellbeing is not one way. They mention that health will influences individuals wellbeing and on the reverse wellbeing itself will influence an individual’s health. Although the Department of Health mentions that physical and mental health can influence wellbeing, they mention that mental health and wellbeing are independent dimensions for example it is possible for someone to have low levels of wellbeing but not have a mental health in disorder as well as it being possible for an individual to have a mental health disorder but have high levels of wellbeing.</w:t>
                      </w:r>
                    </w:p>
                  </w:txbxContent>
                </v:textbox>
                <w10:wrap type="square"/>
              </v:shape>
            </w:pict>
          </mc:Fallback>
        </mc:AlternateContent>
      </w:r>
    </w:p>
    <w:p w:rsidR="00820A6C" w:rsidRPr="00A8468E" w:rsidRDefault="00820A6C" w:rsidP="000D6550">
      <w:pPr>
        <w:pStyle w:val="NormalWeb"/>
        <w:shd w:val="clear" w:color="auto" w:fill="FFFFFF"/>
        <w:spacing w:before="0" w:beforeAutospacing="0" w:after="0" w:afterAutospacing="0"/>
        <w:rPr>
          <w:rFonts w:asciiTheme="minorHAnsi" w:hAnsiTheme="minorHAnsi" w:cstheme="minorHAnsi"/>
          <w:sz w:val="23"/>
          <w:szCs w:val="23"/>
        </w:rPr>
      </w:pPr>
    </w:p>
    <w:p w:rsidR="00820A6C" w:rsidRPr="00A8468E" w:rsidRDefault="00820A6C" w:rsidP="000D6550">
      <w:pPr>
        <w:pStyle w:val="NormalWeb"/>
        <w:shd w:val="clear" w:color="auto" w:fill="FFFFFF"/>
        <w:spacing w:before="0" w:beforeAutospacing="0" w:after="0" w:afterAutospacing="0"/>
        <w:rPr>
          <w:rFonts w:asciiTheme="minorHAnsi" w:hAnsiTheme="minorHAnsi" w:cstheme="minorHAnsi"/>
          <w:sz w:val="23"/>
          <w:szCs w:val="23"/>
        </w:rPr>
      </w:pPr>
    </w:p>
    <w:p w:rsidR="00820A6C" w:rsidRPr="00A8468E" w:rsidRDefault="00820A6C" w:rsidP="000D6550">
      <w:pPr>
        <w:pStyle w:val="NormalWeb"/>
        <w:shd w:val="clear" w:color="auto" w:fill="FFFFFF"/>
        <w:spacing w:before="0" w:beforeAutospacing="0" w:after="0" w:afterAutospacing="0"/>
        <w:rPr>
          <w:rFonts w:asciiTheme="minorHAnsi" w:hAnsiTheme="minorHAnsi" w:cstheme="minorHAnsi"/>
          <w:sz w:val="23"/>
          <w:szCs w:val="23"/>
        </w:rPr>
      </w:pPr>
    </w:p>
    <w:p w:rsidR="00820A6C" w:rsidRPr="00A8468E" w:rsidRDefault="00820A6C" w:rsidP="000D6550">
      <w:pPr>
        <w:pStyle w:val="NormalWeb"/>
        <w:shd w:val="clear" w:color="auto" w:fill="FFFFFF"/>
        <w:spacing w:before="0" w:beforeAutospacing="0" w:after="0" w:afterAutospacing="0"/>
        <w:rPr>
          <w:rFonts w:asciiTheme="minorHAnsi" w:hAnsiTheme="minorHAnsi" w:cstheme="minorHAnsi"/>
          <w:sz w:val="23"/>
          <w:szCs w:val="23"/>
        </w:rPr>
      </w:pPr>
    </w:p>
    <w:p w:rsidR="00820A6C" w:rsidRPr="00A8468E" w:rsidRDefault="00820A6C" w:rsidP="000D6550">
      <w:pPr>
        <w:pStyle w:val="NormalWeb"/>
        <w:shd w:val="clear" w:color="auto" w:fill="FFFFFF"/>
        <w:spacing w:before="0" w:beforeAutospacing="0" w:after="0" w:afterAutospacing="0"/>
        <w:rPr>
          <w:rFonts w:asciiTheme="minorHAnsi" w:hAnsiTheme="minorHAnsi" w:cstheme="minorHAnsi"/>
          <w:sz w:val="23"/>
          <w:szCs w:val="23"/>
        </w:rPr>
      </w:pPr>
    </w:p>
    <w:p w:rsidR="00820A6C" w:rsidRPr="00A8468E" w:rsidRDefault="00820A6C" w:rsidP="000D6550">
      <w:pPr>
        <w:pStyle w:val="NormalWeb"/>
        <w:shd w:val="clear" w:color="auto" w:fill="FFFFFF"/>
        <w:spacing w:before="0" w:beforeAutospacing="0" w:after="0" w:afterAutospacing="0"/>
        <w:rPr>
          <w:rFonts w:asciiTheme="minorHAnsi" w:hAnsiTheme="minorHAnsi" w:cstheme="minorHAnsi"/>
          <w:sz w:val="23"/>
          <w:szCs w:val="23"/>
        </w:rPr>
      </w:pPr>
    </w:p>
    <w:p w:rsidR="00820A6C" w:rsidRPr="00A8468E" w:rsidRDefault="00820A6C" w:rsidP="000D6550">
      <w:pPr>
        <w:pStyle w:val="NormalWeb"/>
        <w:shd w:val="clear" w:color="auto" w:fill="FFFFFF"/>
        <w:spacing w:before="0" w:beforeAutospacing="0" w:after="0" w:afterAutospacing="0"/>
        <w:rPr>
          <w:rFonts w:asciiTheme="minorHAnsi" w:hAnsiTheme="minorHAnsi" w:cstheme="minorHAnsi"/>
          <w:sz w:val="23"/>
          <w:szCs w:val="23"/>
        </w:rPr>
      </w:pPr>
    </w:p>
    <w:p w:rsidR="00820A6C" w:rsidRPr="00A8468E" w:rsidRDefault="00820A6C" w:rsidP="000D6550">
      <w:pPr>
        <w:pStyle w:val="NormalWeb"/>
        <w:shd w:val="clear" w:color="auto" w:fill="FFFFFF"/>
        <w:spacing w:before="0" w:beforeAutospacing="0" w:after="0" w:afterAutospacing="0"/>
        <w:rPr>
          <w:rFonts w:asciiTheme="minorHAnsi" w:hAnsiTheme="minorHAnsi" w:cstheme="minorHAnsi"/>
          <w:sz w:val="23"/>
          <w:szCs w:val="23"/>
        </w:rPr>
      </w:pPr>
    </w:p>
    <w:p w:rsidR="00820A6C" w:rsidRPr="00A8468E" w:rsidRDefault="00820A6C" w:rsidP="000D6550">
      <w:pPr>
        <w:pStyle w:val="NormalWeb"/>
        <w:shd w:val="clear" w:color="auto" w:fill="FFFFFF"/>
        <w:spacing w:before="0" w:beforeAutospacing="0" w:after="0" w:afterAutospacing="0"/>
        <w:rPr>
          <w:rFonts w:asciiTheme="minorHAnsi" w:hAnsiTheme="minorHAnsi" w:cstheme="minorHAnsi"/>
          <w:sz w:val="23"/>
          <w:szCs w:val="23"/>
        </w:rPr>
      </w:pPr>
    </w:p>
    <w:p w:rsidR="00820A6C" w:rsidRDefault="00820A6C" w:rsidP="00A8468E">
      <w:pPr>
        <w:pStyle w:val="NormalWeb"/>
        <w:shd w:val="clear" w:color="auto" w:fill="FFFFFF"/>
        <w:tabs>
          <w:tab w:val="left" w:pos="1980"/>
        </w:tabs>
        <w:spacing w:before="0" w:beforeAutospacing="0" w:after="0" w:afterAutospacing="0"/>
        <w:rPr>
          <w:rFonts w:asciiTheme="minorHAnsi" w:hAnsiTheme="minorHAnsi" w:cstheme="minorHAnsi"/>
          <w:sz w:val="23"/>
          <w:szCs w:val="23"/>
        </w:rPr>
      </w:pPr>
    </w:p>
    <w:p w:rsidR="00A8468E" w:rsidRDefault="00A8468E" w:rsidP="00A8468E">
      <w:pPr>
        <w:pStyle w:val="NormalWeb"/>
        <w:shd w:val="clear" w:color="auto" w:fill="FFFFFF"/>
        <w:tabs>
          <w:tab w:val="left" w:pos="1980"/>
        </w:tabs>
        <w:spacing w:before="0" w:beforeAutospacing="0" w:after="0" w:afterAutospacing="0"/>
        <w:rPr>
          <w:rFonts w:asciiTheme="minorHAnsi" w:hAnsiTheme="minorHAnsi" w:cstheme="minorHAnsi"/>
          <w:sz w:val="23"/>
          <w:szCs w:val="23"/>
        </w:rPr>
      </w:pPr>
    </w:p>
    <w:p w:rsidR="008A1D76" w:rsidRDefault="008A1D76" w:rsidP="00A8468E">
      <w:pPr>
        <w:pStyle w:val="NormalWeb"/>
        <w:shd w:val="clear" w:color="auto" w:fill="FFFFFF"/>
        <w:tabs>
          <w:tab w:val="left" w:pos="1980"/>
        </w:tabs>
        <w:spacing w:before="0" w:beforeAutospacing="0" w:after="0" w:afterAutospacing="0"/>
        <w:rPr>
          <w:rFonts w:asciiTheme="minorHAnsi" w:hAnsiTheme="minorHAnsi" w:cstheme="minorHAnsi"/>
          <w:sz w:val="23"/>
          <w:szCs w:val="23"/>
        </w:rPr>
      </w:pPr>
    </w:p>
    <w:p w:rsidR="008A1D76" w:rsidRDefault="008A1D76" w:rsidP="00A8468E">
      <w:pPr>
        <w:pStyle w:val="NormalWeb"/>
        <w:shd w:val="clear" w:color="auto" w:fill="FFFFFF"/>
        <w:tabs>
          <w:tab w:val="left" w:pos="1980"/>
        </w:tabs>
        <w:spacing w:before="0" w:beforeAutospacing="0" w:after="0" w:afterAutospacing="0"/>
        <w:rPr>
          <w:rFonts w:asciiTheme="minorHAnsi" w:hAnsiTheme="minorHAnsi" w:cstheme="minorHAnsi"/>
          <w:sz w:val="23"/>
          <w:szCs w:val="23"/>
        </w:rPr>
      </w:pPr>
    </w:p>
    <w:p w:rsidR="008A1D76" w:rsidRDefault="009905B6" w:rsidP="00A8468E">
      <w:pPr>
        <w:pStyle w:val="NormalWeb"/>
        <w:shd w:val="clear" w:color="auto" w:fill="FFFFFF"/>
        <w:tabs>
          <w:tab w:val="left" w:pos="1980"/>
        </w:tabs>
        <w:spacing w:before="0" w:beforeAutospacing="0" w:after="0" w:afterAutospacing="0"/>
        <w:rPr>
          <w:rFonts w:asciiTheme="minorHAnsi" w:hAnsiTheme="minorHAnsi" w:cstheme="minorHAnsi"/>
          <w:sz w:val="23"/>
          <w:szCs w:val="23"/>
        </w:rPr>
      </w:pPr>
      <w:r w:rsidRPr="008A1D76">
        <w:rPr>
          <w:rFonts w:asciiTheme="minorHAnsi" w:hAnsiTheme="minorHAnsi" w:cstheme="minorHAnsi"/>
          <w:noProof/>
          <w:sz w:val="23"/>
          <w:szCs w:val="23"/>
        </w:rPr>
        <w:drawing>
          <wp:anchor distT="0" distB="0" distL="114300" distR="114300" simplePos="0" relativeHeight="251664384" behindDoc="0" locked="0" layoutInCell="1" allowOverlap="1" wp14:anchorId="215E81D3" wp14:editId="41A743F5">
            <wp:simplePos x="0" y="0"/>
            <wp:positionH relativeFrom="margin">
              <wp:posOffset>-209550</wp:posOffset>
            </wp:positionH>
            <wp:positionV relativeFrom="paragraph">
              <wp:posOffset>208915</wp:posOffset>
            </wp:positionV>
            <wp:extent cx="4876800" cy="1419225"/>
            <wp:effectExtent l="0" t="0" r="0" b="9525"/>
            <wp:wrapNone/>
            <wp:docPr id="4" name="Picture 4" descr="https://www.nurseryworld.co.uk/media/231076/leyf1.jpg?&amp;width=780&amp;quality=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nurseryworld.co.uk/media/231076/leyf1.jpg?&amp;width=780&amp;quality=6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76800" cy="14192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A1D76" w:rsidRDefault="008A1D76" w:rsidP="00A8468E">
      <w:pPr>
        <w:pStyle w:val="NormalWeb"/>
        <w:shd w:val="clear" w:color="auto" w:fill="FFFFFF"/>
        <w:tabs>
          <w:tab w:val="left" w:pos="1980"/>
        </w:tabs>
        <w:spacing w:before="0" w:beforeAutospacing="0" w:after="0" w:afterAutospacing="0"/>
        <w:rPr>
          <w:rFonts w:asciiTheme="minorHAnsi" w:hAnsiTheme="minorHAnsi" w:cstheme="minorHAnsi"/>
          <w:sz w:val="23"/>
          <w:szCs w:val="23"/>
        </w:rPr>
      </w:pPr>
    </w:p>
    <w:p w:rsidR="008A1D76" w:rsidRDefault="008A1D76" w:rsidP="00A8468E">
      <w:pPr>
        <w:pStyle w:val="NormalWeb"/>
        <w:shd w:val="clear" w:color="auto" w:fill="FFFFFF"/>
        <w:tabs>
          <w:tab w:val="left" w:pos="1980"/>
        </w:tabs>
        <w:spacing w:before="0" w:beforeAutospacing="0" w:after="0" w:afterAutospacing="0"/>
        <w:rPr>
          <w:rFonts w:asciiTheme="minorHAnsi" w:hAnsiTheme="minorHAnsi" w:cstheme="minorHAnsi"/>
          <w:sz w:val="23"/>
          <w:szCs w:val="23"/>
        </w:rPr>
      </w:pPr>
    </w:p>
    <w:p w:rsidR="008A1D76" w:rsidRDefault="008A1D76" w:rsidP="00A8468E">
      <w:pPr>
        <w:pStyle w:val="NormalWeb"/>
        <w:shd w:val="clear" w:color="auto" w:fill="FFFFFF"/>
        <w:tabs>
          <w:tab w:val="left" w:pos="1980"/>
        </w:tabs>
        <w:spacing w:before="0" w:beforeAutospacing="0" w:after="0" w:afterAutospacing="0"/>
        <w:rPr>
          <w:rFonts w:asciiTheme="minorHAnsi" w:hAnsiTheme="minorHAnsi" w:cstheme="minorHAnsi"/>
          <w:sz w:val="23"/>
          <w:szCs w:val="23"/>
        </w:rPr>
      </w:pPr>
    </w:p>
    <w:p w:rsidR="008A1D76" w:rsidRDefault="008A1D76" w:rsidP="00A8468E">
      <w:pPr>
        <w:pStyle w:val="NormalWeb"/>
        <w:shd w:val="clear" w:color="auto" w:fill="FFFFFF"/>
        <w:tabs>
          <w:tab w:val="left" w:pos="1980"/>
        </w:tabs>
        <w:spacing w:before="0" w:beforeAutospacing="0" w:after="0" w:afterAutospacing="0"/>
        <w:rPr>
          <w:rFonts w:asciiTheme="minorHAnsi" w:hAnsiTheme="minorHAnsi" w:cstheme="minorHAnsi"/>
          <w:sz w:val="23"/>
          <w:szCs w:val="23"/>
        </w:rPr>
      </w:pPr>
    </w:p>
    <w:p w:rsidR="008A1D76" w:rsidRDefault="008A1D76" w:rsidP="00A8468E">
      <w:pPr>
        <w:pStyle w:val="NormalWeb"/>
        <w:shd w:val="clear" w:color="auto" w:fill="FFFFFF"/>
        <w:tabs>
          <w:tab w:val="left" w:pos="1980"/>
        </w:tabs>
        <w:spacing w:before="0" w:beforeAutospacing="0" w:after="0" w:afterAutospacing="0"/>
        <w:rPr>
          <w:rFonts w:asciiTheme="minorHAnsi" w:hAnsiTheme="minorHAnsi" w:cstheme="minorHAnsi"/>
          <w:sz w:val="23"/>
          <w:szCs w:val="23"/>
        </w:rPr>
      </w:pPr>
    </w:p>
    <w:p w:rsidR="008A1D76" w:rsidRDefault="008A1D76" w:rsidP="00A8468E">
      <w:pPr>
        <w:pStyle w:val="NormalWeb"/>
        <w:shd w:val="clear" w:color="auto" w:fill="FFFFFF"/>
        <w:tabs>
          <w:tab w:val="left" w:pos="1980"/>
        </w:tabs>
        <w:spacing w:before="0" w:beforeAutospacing="0" w:after="0" w:afterAutospacing="0"/>
        <w:rPr>
          <w:rFonts w:asciiTheme="minorHAnsi" w:hAnsiTheme="minorHAnsi" w:cstheme="minorHAnsi"/>
          <w:sz w:val="23"/>
          <w:szCs w:val="23"/>
        </w:rPr>
      </w:pPr>
    </w:p>
    <w:p w:rsidR="00C20796" w:rsidRPr="00F141E4" w:rsidRDefault="00C20796" w:rsidP="00F141E4">
      <w:pPr>
        <w:pStyle w:val="NormalWeb"/>
        <w:shd w:val="clear" w:color="auto" w:fill="FFFFFF"/>
        <w:tabs>
          <w:tab w:val="left" w:pos="1980"/>
        </w:tabs>
        <w:spacing w:before="0" w:beforeAutospacing="0" w:after="0" w:afterAutospacing="0"/>
        <w:rPr>
          <w:rFonts w:asciiTheme="minorHAnsi" w:hAnsiTheme="minorHAnsi" w:cstheme="minorHAnsi"/>
          <w:sz w:val="23"/>
          <w:szCs w:val="23"/>
        </w:rPr>
      </w:pPr>
    </w:p>
    <w:p w:rsidR="00C20796" w:rsidRDefault="00C20796" w:rsidP="000743F5">
      <w:pPr>
        <w:pStyle w:val="NormalWeb"/>
        <w:shd w:val="clear" w:color="auto" w:fill="FFFFFF"/>
        <w:spacing w:before="0" w:beforeAutospacing="0" w:after="0" w:afterAutospacing="0"/>
        <w:rPr>
          <w:rFonts w:asciiTheme="minorHAnsi" w:hAnsiTheme="minorHAnsi" w:cstheme="minorHAnsi"/>
          <w:b/>
          <w:i/>
          <w:sz w:val="23"/>
          <w:szCs w:val="23"/>
        </w:rPr>
      </w:pPr>
    </w:p>
    <w:p w:rsidR="009905B6" w:rsidRDefault="00EC3065"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r w:rsidRPr="00EC3065">
        <w:rPr>
          <w:rFonts w:asciiTheme="minorHAnsi" w:eastAsiaTheme="minorHAnsi" w:hAnsiTheme="minorHAnsi" w:cstheme="minorBidi"/>
          <w:sz w:val="22"/>
          <w:szCs w:val="22"/>
          <w:lang w:eastAsia="en-US"/>
        </w:rPr>
        <w:t xml:space="preserve"> </w:t>
      </w:r>
    </w:p>
    <w:p w:rsidR="009905B6" w:rsidRDefault="009905B6" w:rsidP="009905B6">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r w:rsidRPr="009905B6">
        <w:rPr>
          <w:rFonts w:ascii="Arial" w:hAnsi="Arial" w:cs="Arial"/>
        </w:rPr>
        <w:t>(Nursery World, image, no date)</w:t>
      </w:r>
    </w:p>
    <w:p w:rsidR="00C20796" w:rsidRDefault="00FE7390"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r w:rsidRPr="00C20796">
        <w:rPr>
          <w:rFonts w:asciiTheme="minorHAnsi" w:hAnsiTheme="minorHAnsi" w:cstheme="minorHAnsi"/>
          <w:noProof/>
          <w:sz w:val="23"/>
          <w:szCs w:val="23"/>
        </w:rPr>
        <w:lastRenderedPageBreak/>
        <mc:AlternateContent>
          <mc:Choice Requires="wps">
            <w:drawing>
              <wp:anchor distT="45720" distB="45720" distL="114300" distR="114300" simplePos="0" relativeHeight="251666432" behindDoc="0" locked="0" layoutInCell="1" allowOverlap="1" wp14:anchorId="44215370" wp14:editId="4D8AD01F">
                <wp:simplePos x="0" y="0"/>
                <wp:positionH relativeFrom="margin">
                  <wp:posOffset>-619125</wp:posOffset>
                </wp:positionH>
                <wp:positionV relativeFrom="paragraph">
                  <wp:posOffset>-600075</wp:posOffset>
                </wp:positionV>
                <wp:extent cx="10039350" cy="3448050"/>
                <wp:effectExtent l="38100" t="38100" r="38100" b="3810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39350" cy="3448050"/>
                        </a:xfrm>
                        <a:prstGeom prst="rect">
                          <a:avLst/>
                        </a:prstGeom>
                        <a:solidFill>
                          <a:srgbClr val="FFFFFF"/>
                        </a:solidFill>
                        <a:ln w="76200">
                          <a:solidFill>
                            <a:schemeClr val="accent2"/>
                          </a:solidFill>
                          <a:miter lim="800000"/>
                          <a:headEnd/>
                          <a:tailEnd/>
                        </a:ln>
                      </wps:spPr>
                      <wps:txbx>
                        <w:txbxContent>
                          <w:p w:rsidR="0075207E" w:rsidRPr="007A35A1" w:rsidRDefault="0075207E" w:rsidP="007A35A1">
                            <w:pPr>
                              <w:jc w:val="center"/>
                              <w:rPr>
                                <w:rFonts w:ascii="Arial" w:hAnsi="Arial" w:cs="Arial"/>
                                <w:u w:val="thick" w:color="ED7D31" w:themeColor="accent2"/>
                              </w:rPr>
                            </w:pPr>
                            <w:r w:rsidRPr="007A35A1">
                              <w:rPr>
                                <w:rFonts w:ascii="Arial" w:hAnsi="Arial" w:cs="Arial"/>
                                <w:u w:val="thick" w:color="ED7D31" w:themeColor="accent2"/>
                              </w:rPr>
                              <w:t>Health</w:t>
                            </w:r>
                          </w:p>
                          <w:p w:rsidR="00C20796" w:rsidRPr="009905B6" w:rsidRDefault="0075207E" w:rsidP="0075207E">
                            <w:pPr>
                              <w:rPr>
                                <w:rFonts w:ascii="Arial" w:hAnsi="Arial" w:cs="Arial"/>
                              </w:rPr>
                            </w:pPr>
                            <w:r w:rsidRPr="009905B6">
                              <w:rPr>
                                <w:rFonts w:ascii="Arial" w:hAnsi="Arial" w:cs="Arial"/>
                              </w:rPr>
                              <w:t>The World Health Organisation (WHO) (no date) mentions that health is no just purely the absence of disease or infirmary, but is a state of complete mental, social and physical wellbeing. They mention that from this definition of heath that it implies that mental health is more than the absence of mental disorders or disabilities. National Health Service England (NHS) (no date) states that an individual’s mental health, physical health and a healthy lifestyle all contribute towards individual’s health and wellbeing. NHS England (no date) also mentions that issues around health and wellbeing can change over time not only due to environmental factors or pandemics but also it can change due to societies concep</w:t>
                            </w:r>
                            <w:r w:rsidR="006105C8" w:rsidRPr="009905B6">
                              <w:rPr>
                                <w:rFonts w:ascii="Arial" w:hAnsi="Arial" w:cs="Arial"/>
                              </w:rPr>
                              <w:t>t of health and wellbeing. Nolt</w:t>
                            </w:r>
                            <w:r w:rsidRPr="009905B6">
                              <w:rPr>
                                <w:rFonts w:ascii="Arial" w:hAnsi="Arial" w:cs="Arial"/>
                              </w:rPr>
                              <w:t xml:space="preserve">emeyer </w:t>
                            </w:r>
                            <w:r w:rsidRPr="009905B6">
                              <w:rPr>
                                <w:rFonts w:ascii="Arial" w:hAnsi="Arial" w:cs="Arial"/>
                                <w:i/>
                              </w:rPr>
                              <w:t>et al.</w:t>
                            </w:r>
                            <w:r w:rsidRPr="009905B6">
                              <w:rPr>
                                <w:rFonts w:ascii="Arial" w:hAnsi="Arial" w:cs="Arial"/>
                              </w:rPr>
                              <w:t xml:space="preserve"> (2020) mentions that Maslow’s hierarchy of needs (1943) has five basic needs and that these needs are essential for optimal health. They mention that Maslow (1943) called the lower needs (physiological, safety/security and belonging) as the ‘deficiency needs’ and the higher needs (esteem and personal accomplishm</w:t>
                            </w:r>
                            <w:r w:rsidR="006105C8" w:rsidRPr="009905B6">
                              <w:rPr>
                                <w:rFonts w:ascii="Arial" w:hAnsi="Arial" w:cs="Arial"/>
                              </w:rPr>
                              <w:t>ent). It is pointed out by Nolt</w:t>
                            </w:r>
                            <w:r w:rsidRPr="009905B6">
                              <w:rPr>
                                <w:rFonts w:ascii="Arial" w:hAnsi="Arial" w:cs="Arial"/>
                              </w:rPr>
                              <w:t xml:space="preserve">emeyer </w:t>
                            </w:r>
                            <w:r w:rsidRPr="009905B6">
                              <w:rPr>
                                <w:rFonts w:ascii="Arial" w:hAnsi="Arial" w:cs="Arial"/>
                                <w:i/>
                              </w:rPr>
                              <w:t xml:space="preserve">et al. </w:t>
                            </w:r>
                            <w:r w:rsidRPr="009905B6">
                              <w:rPr>
                                <w:rFonts w:ascii="Arial" w:hAnsi="Arial" w:cs="Arial"/>
                              </w:rPr>
                              <w:t xml:space="preserve">(2020) that Maslow (1943) suggests that these needs are not permanently ordered as such that only when the lower needs are amply met that an individual can gradually and fully progress to achieving the ‘growth needs’. They comment that Maslow (1943) argued that the ‘deficiency needs’ are the primary focus of human lives and when these are met then the higher levels become more of a driving force for the individual. Pichère and Cadiat (2015) mention that within Maslow’s hierarchy of needs (1943) the first stage is physiological needs and that this stage relates to children’s basic needs such as sleeping, eating and so on in regards to their personal survival. These are children’s basic needs are the most important and exceed the needs for security or esteem and so on. They mention that in Maslow’s theory (1943), the needs of each level need to be satisfied before moving on to the next and that the needs of the hierarchy do no always appear in the same way to everyone and that these needs can vary over time. Although Bowen (2021) mentions that the first level of needs to be met within the first few minutes/days/months of their lives and supports their basic </w:t>
                            </w:r>
                            <w:r w:rsidR="00975F40">
                              <w:rPr>
                                <w:rFonts w:ascii="Arial" w:hAnsi="Arial" w:cs="Arial"/>
                              </w:rPr>
                              <w:t>needs.</w:t>
                            </w:r>
                            <w:r w:rsidRPr="009905B6">
                              <w:rPr>
                                <w:rFonts w:ascii="Arial" w:hAnsi="Arial" w:cs="Arial"/>
                              </w:rPr>
                              <w:t xml:space="preserve"> Bowen (2021) mentions that each of these areas are important and necessary to sustain children’s lives. He mentions that through also attaining relationships will provide children with immediate safety at an emotional level and also lay the foundation for psychological and emotional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215370" id="_x0000_s1029" type="#_x0000_t202" style="position:absolute;margin-left:-48.75pt;margin-top:-47.25pt;width:790.5pt;height:271.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" strokecolor="#ed7d31 [3205]" strokeweight="6pt">
                <v:textbox>
                  <w:txbxContent>
                    <w:p w:rsidR="0075207E" w:rsidRPr="007A35A1" w:rsidRDefault="0075207E" w:rsidP="007A35A1">
                      <w:pPr>
                        <w:jc w:val="center"/>
                        <w:rPr>
                          <w:rFonts w:ascii="Arial" w:hAnsi="Arial" w:cs="Arial"/>
                          <w:u w:val="thick" w:color="ED7D31" w:themeColor="accent2"/>
                        </w:rPr>
                      </w:pPr>
                      <w:r w:rsidRPr="007A35A1">
                        <w:rPr>
                          <w:rFonts w:ascii="Arial" w:hAnsi="Arial" w:cs="Arial"/>
                          <w:u w:val="thick" w:color="ED7D31" w:themeColor="accent2"/>
                        </w:rPr>
                        <w:t>Health</w:t>
                      </w:r>
                    </w:p>
                    <w:p w:rsidR="00C20796" w:rsidRPr="009905B6" w:rsidRDefault="0075207E" w:rsidP="0075207E">
                      <w:pPr>
                        <w:rPr>
                          <w:rFonts w:ascii="Arial" w:hAnsi="Arial" w:cs="Arial"/>
                        </w:rPr>
                      </w:pPr>
                      <w:r w:rsidRPr="009905B6">
                        <w:rPr>
                          <w:rFonts w:ascii="Arial" w:hAnsi="Arial" w:cs="Arial"/>
                        </w:rPr>
                        <w:t>The World Health Organisation (WHO) (no date) mentions that health is no just purely the absence of disease or infirmary, but is a state of complete mental, social and physical wellbeing. They mention that from this definition of heath that it implies that mental health is more than the absence of mental disorders or disabilities. National Health Service England (NHS) (no date) states that an individual’s mental health, physical health and a healthy lifestyle all contribute towards individual’s health and wellbeing. NHS England (no date) also mentions that issues around health and wellbeing can change over time not only due to environmental factors or pandemics but also it can change due to societies concep</w:t>
                      </w:r>
                      <w:r w:rsidR="006105C8" w:rsidRPr="009905B6">
                        <w:rPr>
                          <w:rFonts w:ascii="Arial" w:hAnsi="Arial" w:cs="Arial"/>
                        </w:rPr>
                        <w:t>t of health and wellbeing. Nolt</w:t>
                      </w:r>
                      <w:r w:rsidRPr="009905B6">
                        <w:rPr>
                          <w:rFonts w:ascii="Arial" w:hAnsi="Arial" w:cs="Arial"/>
                        </w:rPr>
                        <w:t xml:space="preserve">emeyer </w:t>
                      </w:r>
                      <w:r w:rsidRPr="009905B6">
                        <w:rPr>
                          <w:rFonts w:ascii="Arial" w:hAnsi="Arial" w:cs="Arial"/>
                          <w:i/>
                        </w:rPr>
                        <w:t>et al.</w:t>
                      </w:r>
                      <w:r w:rsidRPr="009905B6">
                        <w:rPr>
                          <w:rFonts w:ascii="Arial" w:hAnsi="Arial" w:cs="Arial"/>
                        </w:rPr>
                        <w:t xml:space="preserve"> (2020) mentions that Maslow’s hierarchy of needs (1943) has five basic needs and that these needs are essential for optimal health. They mention that Maslow (1943) called the lower needs (physiological, safety/security and belonging) as the ‘deficiency needs’ and the higher needs (esteem and personal accomplishm</w:t>
                      </w:r>
                      <w:r w:rsidR="006105C8" w:rsidRPr="009905B6">
                        <w:rPr>
                          <w:rFonts w:ascii="Arial" w:hAnsi="Arial" w:cs="Arial"/>
                        </w:rPr>
                        <w:t>ent). It is pointed out by Nolt</w:t>
                      </w:r>
                      <w:r w:rsidRPr="009905B6">
                        <w:rPr>
                          <w:rFonts w:ascii="Arial" w:hAnsi="Arial" w:cs="Arial"/>
                        </w:rPr>
                        <w:t xml:space="preserve">emeyer </w:t>
                      </w:r>
                      <w:r w:rsidRPr="009905B6">
                        <w:rPr>
                          <w:rFonts w:ascii="Arial" w:hAnsi="Arial" w:cs="Arial"/>
                          <w:i/>
                        </w:rPr>
                        <w:t xml:space="preserve">et al. </w:t>
                      </w:r>
                      <w:r w:rsidRPr="009905B6">
                        <w:rPr>
                          <w:rFonts w:ascii="Arial" w:hAnsi="Arial" w:cs="Arial"/>
                        </w:rPr>
                        <w:t xml:space="preserve">(2020) that Maslow (1943) suggests that these needs are not permanently ordered as such that only when the lower needs are amply met that an individual can gradually and fully progress to achieving the ‘growth needs’. They comment that Maslow (1943) argued that the ‘deficiency needs’ are the primary focus of human lives and when these are met then the higher levels become more of a driving force for the individual. Pichère and Cadiat (2015) mention that within Maslow’s hierarchy of needs (1943) the first stage is physiological needs and that this stage relates to children’s basic needs such as sleeping, eating and so on in regards to their personal survival. These are children’s basic needs are the most important and exceed the needs for security or esteem and so on. They mention that in Maslow’s theory (1943), the needs of each level need to be satisfied before moving on to the next and that the needs of the hierarchy do no always appear in the same way to everyone and that these needs can vary over time. Although Bowen (2021) mentions that the first level of needs to be met within the first few minutes/days/months of their lives and supports their basic </w:t>
                      </w:r>
                      <w:r w:rsidR="00975F40">
                        <w:rPr>
                          <w:rFonts w:ascii="Arial" w:hAnsi="Arial" w:cs="Arial"/>
                        </w:rPr>
                        <w:t>needs.</w:t>
                      </w:r>
                      <w:r w:rsidRPr="009905B6">
                        <w:rPr>
                          <w:rFonts w:ascii="Arial" w:hAnsi="Arial" w:cs="Arial"/>
                        </w:rPr>
                        <w:t xml:space="preserve"> Bowen (2021) mentions that each of these areas are important and necessary to sustain children’s lives. He mentions that through also attaining relationships will provide children with immediate safety at an emotional level and also lay the foundation for psychological and emotional development.</w:t>
                      </w:r>
                    </w:p>
                  </w:txbxContent>
                </v:textbox>
                <w10:wrap anchorx="margin"/>
              </v:shape>
            </w:pict>
          </mc:Fallback>
        </mc:AlternateContent>
      </w: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7A35A1" w:rsidRDefault="007A35A1" w:rsidP="007A35A1">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7A35A1" w:rsidRDefault="007A35A1" w:rsidP="007A35A1">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Pr="007A35A1" w:rsidRDefault="007A35A1" w:rsidP="007A35A1">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r>
        <w:rPr>
          <w:noProof/>
        </w:rPr>
        <w:drawing>
          <wp:anchor distT="0" distB="0" distL="114300" distR="114300" simplePos="0" relativeHeight="251673600" behindDoc="0" locked="0" layoutInCell="1" allowOverlap="1" wp14:anchorId="3F192DC2" wp14:editId="43FD4DC8">
            <wp:simplePos x="0" y="0"/>
            <wp:positionH relativeFrom="column">
              <wp:posOffset>-542925</wp:posOffset>
            </wp:positionH>
            <wp:positionV relativeFrom="paragraph">
              <wp:posOffset>230669</wp:posOffset>
            </wp:positionV>
            <wp:extent cx="3867150" cy="2749386"/>
            <wp:effectExtent l="38100" t="38100" r="38100" b="3238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67150" cy="2749386"/>
                    </a:xfrm>
                    <a:prstGeom prst="rect">
                      <a:avLst/>
                    </a:prstGeom>
                    <a:noFill/>
                    <a:ln w="28575">
                      <a:solidFill>
                        <a:schemeClr val="accent2"/>
                      </a:solidFill>
                    </a:ln>
                  </pic:spPr>
                </pic:pic>
              </a:graphicData>
            </a:graphic>
            <wp14:sizeRelH relativeFrom="page">
              <wp14:pctWidth>0</wp14:pctWidth>
            </wp14:sizeRelH>
            <wp14:sizeRelV relativeFrom="page">
              <wp14:pctHeight>0</wp14:pctHeight>
            </wp14:sizeRelV>
          </wp:anchor>
        </w:drawing>
      </w:r>
    </w:p>
    <w:p w:rsidR="007A35A1" w:rsidRPr="00F72C36" w:rsidRDefault="0058067C" w:rsidP="007A35A1">
      <w:pPr>
        <w:tabs>
          <w:tab w:val="left" w:pos="720"/>
          <w:tab w:val="left" w:pos="1440"/>
          <w:tab w:val="left" w:pos="2160"/>
          <w:tab w:val="left" w:pos="2880"/>
          <w:tab w:val="left" w:pos="3600"/>
          <w:tab w:val="left" w:pos="4320"/>
          <w:tab w:val="left" w:pos="5040"/>
          <w:tab w:val="left" w:pos="5760"/>
        </w:tabs>
        <w:rPr>
          <w:rFonts w:ascii="Arial" w:hAnsi="Arial" w:cs="Arial"/>
        </w:rPr>
      </w:pPr>
      <w:r w:rsidRPr="00F72C36">
        <w:rPr>
          <w:rFonts w:ascii="Arial" w:hAnsi="Arial" w:cs="Arial"/>
          <w:noProof/>
          <w:lang w:eastAsia="en-GB"/>
        </w:rPr>
        <w:drawing>
          <wp:anchor distT="0" distB="0" distL="114300" distR="114300" simplePos="0" relativeHeight="251674624" behindDoc="0" locked="0" layoutInCell="1" allowOverlap="1" wp14:anchorId="3254FA0F" wp14:editId="0109CDEC">
            <wp:simplePos x="0" y="0"/>
            <wp:positionH relativeFrom="column">
              <wp:posOffset>5676265</wp:posOffset>
            </wp:positionH>
            <wp:positionV relativeFrom="paragraph">
              <wp:posOffset>271780</wp:posOffset>
            </wp:positionV>
            <wp:extent cx="3689985" cy="2542540"/>
            <wp:effectExtent l="57150" t="57150" r="62865" b="48260"/>
            <wp:wrapNone/>
            <wp:docPr id="14" name="Picture 14" descr="https://d2gppjca7iyv2p.cloudfront.net/c4ebe115-b712-45ac-979f-6dc085c72923/88775831-5d0d-4c88-96e4-79a63784e76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d2gppjca7iyv2p.cloudfront.net/c4ebe115-b712-45ac-979f-6dc085c72923/88775831-5d0d-4c88-96e4-79a63784e76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9985" cy="2542540"/>
                    </a:xfrm>
                    <a:prstGeom prst="rect">
                      <a:avLst/>
                    </a:prstGeom>
                    <a:noFill/>
                    <a:ln w="57150">
                      <a:solidFill>
                        <a:schemeClr val="accent4">
                          <a:lumMod val="50000"/>
                        </a:schemeClr>
                      </a:solidFill>
                    </a:ln>
                  </pic:spPr>
                </pic:pic>
              </a:graphicData>
            </a:graphic>
            <wp14:sizeRelH relativeFrom="margin">
              <wp14:pctWidth>0</wp14:pctWidth>
            </wp14:sizeRelH>
            <wp14:sizeRelV relativeFrom="margin">
              <wp14:pctHeight>0</wp14:pctHeight>
            </wp14:sizeRelV>
          </wp:anchor>
        </w:drawing>
      </w:r>
      <w:r>
        <w:rPr>
          <w:rFonts w:ascii="Arial" w:hAnsi="Arial" w:cs="Arial"/>
          <w:noProof/>
          <w:lang w:eastAsia="en-GB"/>
        </w:rPr>
        <mc:AlternateContent>
          <mc:Choice Requires="wps">
            <w:drawing>
              <wp:anchor distT="0" distB="0" distL="114300" distR="114300" simplePos="0" relativeHeight="251676672" behindDoc="1" locked="0" layoutInCell="1" allowOverlap="1" wp14:anchorId="11F7D584" wp14:editId="6BC6F3CE">
                <wp:simplePos x="0" y="0"/>
                <wp:positionH relativeFrom="column">
                  <wp:posOffset>3562350</wp:posOffset>
                </wp:positionH>
                <wp:positionV relativeFrom="paragraph">
                  <wp:posOffset>16510</wp:posOffset>
                </wp:positionV>
                <wp:extent cx="504825" cy="333375"/>
                <wp:effectExtent l="19050" t="19050" r="28575" b="47625"/>
                <wp:wrapNone/>
                <wp:docPr id="16" name="Left Arrow 16"/>
                <wp:cNvGraphicFramePr/>
                <a:graphic xmlns:a="http://schemas.openxmlformats.org/drawingml/2006/main">
                  <a:graphicData uri="http://schemas.microsoft.com/office/word/2010/wordprocessingShape">
                    <wps:wsp>
                      <wps:cNvSpPr/>
                      <wps:spPr>
                        <a:xfrm>
                          <a:off x="0" y="0"/>
                          <a:ext cx="504825" cy="33337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115D6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6" o:spid="_x0000_s1026" type="#_x0000_t66" style="position:absolute;margin-left:280.5pt;margin-top:1.3pt;width:39.75pt;height:26.2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" adj="7132" fillcolor="#5b9bd5 [3204]" strokecolor="#1f4d78 [1604]" strokeweight="1pt"/>
            </w:pict>
          </mc:Fallback>
        </mc:AlternateContent>
      </w:r>
      <w:r w:rsidR="007A35A1" w:rsidRPr="007A35A1">
        <w:rPr>
          <w:rFonts w:ascii="Arial" w:hAnsi="Arial" w:cs="Arial"/>
        </w:rPr>
        <w:tab/>
      </w:r>
      <w:r w:rsidR="007A35A1" w:rsidRPr="007A35A1">
        <w:rPr>
          <w:rFonts w:ascii="Arial" w:hAnsi="Arial" w:cs="Arial"/>
        </w:rPr>
        <w:tab/>
      </w:r>
      <w:r w:rsidR="007A35A1" w:rsidRPr="007A35A1">
        <w:rPr>
          <w:rFonts w:ascii="Arial" w:hAnsi="Arial" w:cs="Arial"/>
        </w:rPr>
        <w:tab/>
      </w:r>
      <w:r w:rsidR="007A35A1" w:rsidRPr="007A35A1">
        <w:rPr>
          <w:rFonts w:ascii="Arial" w:hAnsi="Arial" w:cs="Arial"/>
        </w:rPr>
        <w:tab/>
      </w:r>
      <w:r w:rsidR="007A35A1" w:rsidRPr="007A35A1">
        <w:rPr>
          <w:rFonts w:ascii="Arial" w:hAnsi="Arial" w:cs="Arial"/>
        </w:rPr>
        <w:tab/>
      </w:r>
      <w:r w:rsidR="007A35A1" w:rsidRPr="007A35A1">
        <w:rPr>
          <w:rFonts w:ascii="Arial" w:hAnsi="Arial" w:cs="Arial"/>
        </w:rPr>
        <w:tab/>
      </w:r>
      <w:r w:rsidR="007A35A1" w:rsidRPr="007A35A1">
        <w:rPr>
          <w:rFonts w:ascii="Arial" w:hAnsi="Arial" w:cs="Arial"/>
        </w:rPr>
        <w:tab/>
      </w:r>
      <w:r w:rsidR="007A35A1" w:rsidRPr="007A35A1">
        <w:rPr>
          <w:rFonts w:ascii="Arial" w:hAnsi="Arial" w:cs="Arial"/>
        </w:rPr>
        <w:tab/>
      </w:r>
      <w:r>
        <w:rPr>
          <w:rFonts w:ascii="Arial" w:hAnsi="Arial" w:cs="Arial"/>
        </w:rPr>
        <w:tab/>
      </w:r>
      <w:r w:rsidR="007A35A1" w:rsidRPr="00F72C36">
        <w:rPr>
          <w:rFonts w:ascii="Arial" w:hAnsi="Arial" w:cs="Arial"/>
        </w:rPr>
        <w:t xml:space="preserve">Maslow’s </w:t>
      </w:r>
      <w:r w:rsidRPr="00F72C36">
        <w:rPr>
          <w:rFonts w:ascii="Arial" w:hAnsi="Arial" w:cs="Arial"/>
        </w:rPr>
        <w:t>hierarchy</w:t>
      </w:r>
      <w:r w:rsidR="007A35A1" w:rsidRPr="00F72C36">
        <w:rPr>
          <w:rFonts w:ascii="Arial" w:hAnsi="Arial" w:cs="Arial"/>
        </w:rPr>
        <w:t xml:space="preserve"> of needs</w:t>
      </w:r>
      <w:r w:rsidR="00F72C36" w:rsidRPr="00F72C36">
        <w:rPr>
          <w:rFonts w:ascii="Arial" w:hAnsi="Arial" w:cs="Arial"/>
        </w:rPr>
        <w:t xml:space="preserve"> </w:t>
      </w:r>
      <w:r w:rsidR="007A35A1" w:rsidRPr="00F72C36">
        <w:rPr>
          <w:rFonts w:ascii="Arial" w:hAnsi="Arial" w:cs="Arial"/>
        </w:rPr>
        <w:t>(1943)</w:t>
      </w:r>
    </w:p>
    <w:p w:rsidR="00F72C36" w:rsidRPr="00F72C36" w:rsidRDefault="007A35A1" w:rsidP="00F72C36">
      <w:pPr>
        <w:tabs>
          <w:tab w:val="left" w:pos="720"/>
          <w:tab w:val="left" w:pos="1440"/>
          <w:tab w:val="left" w:pos="2160"/>
          <w:tab w:val="left" w:pos="2880"/>
          <w:tab w:val="left" w:pos="3600"/>
          <w:tab w:val="left" w:pos="4320"/>
          <w:tab w:val="left" w:pos="5040"/>
          <w:tab w:val="left" w:pos="5760"/>
        </w:tabs>
        <w:rPr>
          <w:rFonts w:ascii="Arial" w:hAnsi="Arial" w:cs="Arial"/>
        </w:rPr>
      </w:pPr>
      <w:r w:rsidRPr="00F72C36">
        <w:rPr>
          <w:rFonts w:ascii="Arial" w:hAnsi="Arial" w:cs="Arial"/>
        </w:rPr>
        <w:tab/>
      </w:r>
      <w:r w:rsidRPr="00F72C36">
        <w:rPr>
          <w:rFonts w:ascii="Arial" w:hAnsi="Arial" w:cs="Arial"/>
        </w:rPr>
        <w:tab/>
      </w:r>
      <w:r w:rsidRPr="00F72C36">
        <w:rPr>
          <w:rFonts w:ascii="Arial" w:hAnsi="Arial" w:cs="Arial"/>
        </w:rPr>
        <w:tab/>
      </w:r>
      <w:r w:rsidRPr="00F72C36">
        <w:rPr>
          <w:rFonts w:ascii="Arial" w:hAnsi="Arial" w:cs="Arial"/>
        </w:rPr>
        <w:tab/>
      </w:r>
      <w:r w:rsidRPr="00F72C36">
        <w:rPr>
          <w:rFonts w:ascii="Arial" w:hAnsi="Arial" w:cs="Arial"/>
        </w:rPr>
        <w:tab/>
      </w:r>
      <w:r w:rsidRPr="00F72C36">
        <w:rPr>
          <w:rFonts w:ascii="Arial" w:hAnsi="Arial" w:cs="Arial"/>
        </w:rPr>
        <w:tab/>
      </w:r>
      <w:r w:rsidRPr="00F72C36">
        <w:rPr>
          <w:rFonts w:ascii="Arial" w:hAnsi="Arial" w:cs="Arial"/>
        </w:rPr>
        <w:tab/>
      </w:r>
      <w:r w:rsidRPr="00F72C36">
        <w:rPr>
          <w:rFonts w:ascii="Arial" w:hAnsi="Arial" w:cs="Arial"/>
        </w:rPr>
        <w:tab/>
      </w:r>
      <w:r w:rsidR="0058067C">
        <w:rPr>
          <w:rFonts w:ascii="Arial" w:hAnsi="Arial" w:cs="Arial"/>
        </w:rPr>
        <w:t xml:space="preserve">   </w:t>
      </w:r>
      <w:r w:rsidRPr="00F72C36">
        <w:rPr>
          <w:rFonts w:ascii="Arial" w:hAnsi="Arial" w:cs="Arial"/>
        </w:rPr>
        <w:t>(Pichère and Cadiat, 2015).</w:t>
      </w:r>
    </w:p>
    <w:p w:rsidR="007A35A1" w:rsidRPr="00F72C36" w:rsidRDefault="0058067C" w:rsidP="007A35A1">
      <w:pPr>
        <w:tabs>
          <w:tab w:val="left" w:pos="720"/>
          <w:tab w:val="left" w:pos="1440"/>
          <w:tab w:val="left" w:pos="2160"/>
          <w:tab w:val="left" w:pos="2880"/>
          <w:tab w:val="left" w:pos="3600"/>
          <w:tab w:val="left" w:pos="4320"/>
          <w:tab w:val="left" w:pos="5040"/>
          <w:tab w:val="left" w:pos="5760"/>
        </w:tabs>
        <w:rPr>
          <w:rFonts w:ascii="Arial" w:hAnsi="Arial" w:cs="Arial"/>
        </w:rPr>
      </w:pPr>
      <w:r>
        <w:rPr>
          <w:rFonts w:ascii="Arial" w:hAnsi="Arial" w:cs="Arial"/>
          <w:noProof/>
          <w:lang w:eastAsia="en-GB"/>
        </w:rPr>
        <mc:AlternateContent>
          <mc:Choice Requires="wps">
            <w:drawing>
              <wp:anchor distT="0" distB="0" distL="114300" distR="114300" simplePos="0" relativeHeight="251677696" behindDoc="1" locked="0" layoutInCell="1" allowOverlap="1">
                <wp:simplePos x="0" y="0"/>
                <wp:positionH relativeFrom="column">
                  <wp:posOffset>5019675</wp:posOffset>
                </wp:positionH>
                <wp:positionV relativeFrom="paragraph">
                  <wp:posOffset>28575</wp:posOffset>
                </wp:positionV>
                <wp:extent cx="542925" cy="238125"/>
                <wp:effectExtent l="0" t="19050" r="47625" b="47625"/>
                <wp:wrapNone/>
                <wp:docPr id="17" name="Right Arrow 17"/>
                <wp:cNvGraphicFramePr/>
                <a:graphic xmlns:a="http://schemas.openxmlformats.org/drawingml/2006/main">
                  <a:graphicData uri="http://schemas.microsoft.com/office/word/2010/wordprocessingShape">
                    <wps:wsp>
                      <wps:cNvSpPr/>
                      <wps:spPr>
                        <a:xfrm>
                          <a:off x="0" y="0"/>
                          <a:ext cx="542925" cy="2381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E3F237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7" o:spid="_x0000_s1026" type="#_x0000_t13" style="position:absolute;margin-left:395.25pt;margin-top:2.25pt;width:42.75pt;height:18.75pt;z-index:-251638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" adj="16863" fillcolor="#5b9bd5 [3204]" strokecolor="#1f4d78 [1604]" strokeweight="1pt"/>
            </w:pict>
          </mc:Fallback>
        </mc:AlternateContent>
      </w:r>
      <w:r w:rsidR="007A35A1" w:rsidRPr="00F72C36">
        <w:rPr>
          <w:rFonts w:ascii="Arial" w:hAnsi="Arial" w:cs="Arial"/>
        </w:rPr>
        <w:tab/>
      </w:r>
      <w:r w:rsidR="007A35A1" w:rsidRPr="00F72C36">
        <w:rPr>
          <w:rFonts w:ascii="Arial" w:hAnsi="Arial" w:cs="Arial"/>
        </w:rPr>
        <w:tab/>
      </w:r>
      <w:r w:rsidR="007A35A1" w:rsidRPr="00F72C36">
        <w:rPr>
          <w:rFonts w:ascii="Arial" w:hAnsi="Arial" w:cs="Arial"/>
        </w:rPr>
        <w:tab/>
      </w:r>
      <w:r w:rsidR="00F72C36" w:rsidRPr="00F72C36">
        <w:rPr>
          <w:rFonts w:ascii="Arial" w:hAnsi="Arial" w:cs="Arial"/>
        </w:rPr>
        <w:tab/>
      </w:r>
      <w:r w:rsidR="00F72C36" w:rsidRPr="00F72C36">
        <w:rPr>
          <w:rFonts w:ascii="Arial" w:hAnsi="Arial" w:cs="Arial"/>
        </w:rPr>
        <w:tab/>
      </w:r>
      <w:r w:rsidR="00F72C36" w:rsidRPr="00F72C36">
        <w:rPr>
          <w:rFonts w:ascii="Arial" w:hAnsi="Arial" w:cs="Arial"/>
        </w:rPr>
        <w:tab/>
      </w:r>
      <w:r w:rsidR="00F72C36" w:rsidRPr="00F72C36">
        <w:rPr>
          <w:rFonts w:ascii="Arial" w:hAnsi="Arial" w:cs="Arial"/>
        </w:rPr>
        <w:tab/>
      </w:r>
      <w:r w:rsidR="00F72C36" w:rsidRPr="00F72C36">
        <w:rPr>
          <w:rFonts w:ascii="Arial" w:hAnsi="Arial" w:cs="Arial"/>
        </w:rPr>
        <w:tab/>
        <w:t>Three areas of health</w:t>
      </w:r>
    </w:p>
    <w:p w:rsidR="00F72C36" w:rsidRPr="00F72C36" w:rsidRDefault="00F72C36" w:rsidP="007A35A1">
      <w:pPr>
        <w:tabs>
          <w:tab w:val="left" w:pos="720"/>
          <w:tab w:val="left" w:pos="1440"/>
          <w:tab w:val="left" w:pos="2160"/>
          <w:tab w:val="left" w:pos="2880"/>
          <w:tab w:val="left" w:pos="3600"/>
          <w:tab w:val="left" w:pos="4320"/>
          <w:tab w:val="left" w:pos="5040"/>
          <w:tab w:val="left" w:pos="5760"/>
        </w:tabs>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(Royal Academy of Music</w:t>
      </w:r>
      <w:r w:rsidRPr="00F72C36">
        <w:rPr>
          <w:rFonts w:ascii="Arial" w:hAnsi="Arial" w:cs="Arial"/>
        </w:rPr>
        <w:t>,</w:t>
      </w:r>
    </w:p>
    <w:p w:rsidR="007A35A1" w:rsidRDefault="00F72C36" w:rsidP="007A35A1">
      <w:pPr>
        <w:tabs>
          <w:tab w:val="left" w:pos="720"/>
          <w:tab w:val="left" w:pos="1440"/>
          <w:tab w:val="left" w:pos="2160"/>
          <w:tab w:val="left" w:pos="2880"/>
          <w:tab w:val="left" w:pos="3600"/>
          <w:tab w:val="left" w:pos="4320"/>
          <w:tab w:val="left" w:pos="5040"/>
          <w:tab w:val="left" w:pos="5760"/>
        </w:tabs>
        <w:rPr>
          <w:rFonts w:ascii="Arial" w:hAnsi="Arial" w:cs="Arial"/>
        </w:rPr>
      </w:pPr>
      <w:r w:rsidRPr="00F72C36">
        <w:rPr>
          <w:rFonts w:ascii="Arial" w:hAnsi="Arial" w:cs="Arial"/>
        </w:rPr>
        <w:tab/>
      </w:r>
      <w:r w:rsidRPr="00F72C36">
        <w:rPr>
          <w:rFonts w:ascii="Arial" w:hAnsi="Arial" w:cs="Arial"/>
        </w:rPr>
        <w:tab/>
      </w:r>
      <w:r w:rsidRPr="00F72C36">
        <w:rPr>
          <w:rFonts w:ascii="Arial" w:hAnsi="Arial" w:cs="Arial"/>
        </w:rPr>
        <w:tab/>
      </w:r>
      <w:r w:rsidRPr="00F72C36">
        <w:rPr>
          <w:rFonts w:ascii="Arial" w:hAnsi="Arial" w:cs="Arial"/>
        </w:rPr>
        <w:tab/>
      </w:r>
      <w:r w:rsidRPr="00F72C36">
        <w:rPr>
          <w:rFonts w:ascii="Arial" w:hAnsi="Arial" w:cs="Arial"/>
        </w:rPr>
        <w:tab/>
      </w:r>
      <w:r w:rsidRPr="00F72C36">
        <w:rPr>
          <w:rFonts w:ascii="Arial" w:hAnsi="Arial" w:cs="Arial"/>
        </w:rPr>
        <w:tab/>
      </w:r>
      <w:r w:rsidRPr="00F72C36">
        <w:rPr>
          <w:rFonts w:ascii="Arial" w:hAnsi="Arial" w:cs="Arial"/>
        </w:rPr>
        <w:tab/>
      </w:r>
      <w:r w:rsidRPr="00F72C36">
        <w:rPr>
          <w:rFonts w:ascii="Arial" w:hAnsi="Arial" w:cs="Arial"/>
        </w:rPr>
        <w:tab/>
        <w:t>image, no date)</w:t>
      </w:r>
    </w:p>
    <w:p w:rsidR="0058067C" w:rsidRDefault="0058067C" w:rsidP="007A35A1">
      <w:pPr>
        <w:tabs>
          <w:tab w:val="left" w:pos="720"/>
          <w:tab w:val="left" w:pos="1440"/>
          <w:tab w:val="left" w:pos="2160"/>
          <w:tab w:val="left" w:pos="2880"/>
          <w:tab w:val="left" w:pos="3600"/>
          <w:tab w:val="left" w:pos="4320"/>
          <w:tab w:val="left" w:pos="5040"/>
          <w:tab w:val="left" w:pos="5760"/>
        </w:tabs>
        <w:rPr>
          <w:rFonts w:ascii="Arial" w:hAnsi="Arial" w:cs="Arial"/>
        </w:rPr>
      </w:pPr>
    </w:p>
    <w:p w:rsidR="0058067C" w:rsidRPr="00F72C36" w:rsidRDefault="0058067C" w:rsidP="007A35A1">
      <w:pPr>
        <w:tabs>
          <w:tab w:val="left" w:pos="720"/>
          <w:tab w:val="left" w:pos="1440"/>
          <w:tab w:val="left" w:pos="2160"/>
          <w:tab w:val="left" w:pos="2880"/>
          <w:tab w:val="left" w:pos="3600"/>
          <w:tab w:val="left" w:pos="4320"/>
          <w:tab w:val="left" w:pos="5040"/>
          <w:tab w:val="left" w:pos="5760"/>
        </w:tabs>
        <w:rPr>
          <w:rFonts w:ascii="Arial" w:hAnsi="Arial" w:cs="Arial"/>
        </w:rPr>
      </w:pPr>
    </w:p>
    <w:p w:rsidR="00F72C36" w:rsidRDefault="00F72C36" w:rsidP="007A35A1">
      <w:pPr>
        <w:tabs>
          <w:tab w:val="left" w:pos="720"/>
          <w:tab w:val="left" w:pos="1440"/>
          <w:tab w:val="left" w:pos="2160"/>
          <w:tab w:val="left" w:pos="2880"/>
          <w:tab w:val="left" w:pos="3600"/>
          <w:tab w:val="left" w:pos="4320"/>
          <w:tab w:val="left" w:pos="5040"/>
          <w:tab w:val="left" w:pos="5760"/>
        </w:tabs>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Default="00C2079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p>
    <w:p w:rsidR="00C20796" w:rsidRPr="00FE7390" w:rsidRDefault="00F72C36" w:rsidP="000743F5">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r w:rsidRPr="007A35A1">
        <w:rPr>
          <w:rFonts w:asciiTheme="minorHAnsi" w:eastAsiaTheme="minorHAnsi" w:hAnsiTheme="minorHAnsi" w:cstheme="minorBidi"/>
          <w:b/>
          <w:i/>
          <w:noProof/>
          <w:sz w:val="22"/>
          <w:szCs w:val="22"/>
        </w:rPr>
        <w:lastRenderedPageBreak/>
        <mc:AlternateContent>
          <mc:Choice Requires="wps">
            <w:drawing>
              <wp:anchor distT="45720" distB="45720" distL="114300" distR="114300" simplePos="0" relativeHeight="251670528" behindDoc="0" locked="0" layoutInCell="1" allowOverlap="1" wp14:anchorId="4227DE5C" wp14:editId="0E8A4A77">
                <wp:simplePos x="0" y="0"/>
                <wp:positionH relativeFrom="margin">
                  <wp:posOffset>5915025</wp:posOffset>
                </wp:positionH>
                <wp:positionV relativeFrom="paragraph">
                  <wp:posOffset>-685801</wp:posOffset>
                </wp:positionV>
                <wp:extent cx="2360930" cy="6600825"/>
                <wp:effectExtent l="19050" t="19050" r="17145" b="2857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600825"/>
                        </a:xfrm>
                        <a:prstGeom prst="rect">
                          <a:avLst/>
                        </a:prstGeom>
                        <a:solidFill>
                          <a:srgbClr val="FFFFFF"/>
                        </a:solidFill>
                        <a:ln w="28575">
                          <a:solidFill>
                            <a:srgbClr val="002060"/>
                          </a:solidFill>
                          <a:miter lim="800000"/>
                          <a:headEnd/>
                          <a:tailEnd/>
                        </a:ln>
                      </wps:spPr>
                      <wps:txbx>
                        <w:txbxContent>
                          <w:p w:rsidR="007A35A1" w:rsidRPr="007A35A1" w:rsidRDefault="007A35A1" w:rsidP="007A35A1">
                            <w:pPr>
                              <w:pStyle w:val="NormalWeb"/>
                              <w:shd w:val="clear" w:color="auto" w:fill="FFFFFF"/>
                              <w:spacing w:before="0" w:beforeAutospacing="0" w:after="0" w:afterAutospacing="0"/>
                              <w:jc w:val="center"/>
                              <w:rPr>
                                <w:rFonts w:asciiTheme="minorHAnsi" w:eastAsiaTheme="minorHAnsi" w:hAnsiTheme="minorHAnsi" w:cstheme="minorBidi"/>
                                <w:sz w:val="22"/>
                                <w:szCs w:val="22"/>
                                <w:u w:val="thick" w:color="002060"/>
                                <w:lang w:eastAsia="en-US"/>
                              </w:rPr>
                            </w:pPr>
                            <w:r w:rsidRPr="007A35A1">
                              <w:rPr>
                                <w:rFonts w:asciiTheme="minorHAnsi" w:eastAsiaTheme="minorHAnsi" w:hAnsiTheme="minorHAnsi" w:cstheme="minorBidi"/>
                                <w:sz w:val="22"/>
                                <w:szCs w:val="22"/>
                                <w:u w:val="thick" w:color="002060"/>
                                <w:lang w:eastAsia="en-US"/>
                              </w:rPr>
                              <w:t>Healthy lifestyle</w:t>
                            </w:r>
                          </w:p>
                          <w:p w:rsidR="007A35A1" w:rsidRDefault="007A35A1" w:rsidP="007A35A1">
                            <w:r>
                              <w:t>Brunton and Thornton (2010), mention that physical activity, healthy lifestyle and taking sensible precaution with personal safety and recognising the importance of good mental health is an important part of an individual’s overall health and well-being. Furthermore, Barnardos (2024) also states that a healthy lifestyle consists of many things such as good personal hygiene, healthy and balanced diet and exercise that is both physical and mental. The charity also mentions that a healthy relationship with food and drink is a key part of maintaining a healthy lifestyle for both children and adults. By fostering positive relationships in early life will enable children to be able to make constructive choices as they grow and develop. Furthermore, this is supported by Singhal (2017) who states that nutrition in childhood and adolsesnace is essential for growth, development, health and well-being. Singhal (2017) also mentions that eating behaviours that are established during childhood can be tracked in to adulthood and has shown that these behaviours can contribute towards long term and chronic disease risk. NHS (2021) mentions that being physically active on a daily basis is important for children, recommending light activity and more energetic activity for babies, toddlers and pre-schoolers. NHS (2021) suggests for the under one’s to be active through crawling, although if they are not yet crawling but are encouraged to grasp, reach, roll, push or pull and so on, with approximately 30 minutes of tummy time during the day. NHS (2021) propose that children aged between 1- 4 years old need 3 hours of light activity such as running, jumping, hopping and active play such as riding a bike, climbing frame or chasing a ball with pre-schoolers (3 to 4 year olds) to have 1 hour out of their 3 hours to be moderate to vigorous intensity physical play.</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227DE5C" id="_x0000_s1030" type="#_x0000_t202" style="position:absolute;margin-left:465.75pt;margin-top:-54pt;width:185.9pt;height:519.75pt;z-index:25167052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" strokecolor="#002060" strokeweight="2.25pt">
                <v:textbox>
                  <w:txbxContent>
                    <w:p w:rsidR="007A35A1" w:rsidRPr="007A35A1" w:rsidRDefault="007A35A1" w:rsidP="007A35A1">
                      <w:pPr>
                        <w:pStyle w:val="NormalWeb"/>
                        <w:shd w:val="clear" w:color="auto" w:fill="FFFFFF"/>
                        <w:spacing w:before="0" w:beforeAutospacing="0" w:after="0" w:afterAutospacing="0"/>
                        <w:jc w:val="center"/>
                        <w:rPr>
                          <w:rFonts w:asciiTheme="minorHAnsi" w:eastAsiaTheme="minorHAnsi" w:hAnsiTheme="minorHAnsi" w:cstheme="minorBidi"/>
                          <w:sz w:val="22"/>
                          <w:szCs w:val="22"/>
                          <w:u w:val="thick" w:color="002060"/>
                          <w:lang w:eastAsia="en-US"/>
                        </w:rPr>
                      </w:pPr>
                      <w:r w:rsidRPr="007A35A1">
                        <w:rPr>
                          <w:rFonts w:asciiTheme="minorHAnsi" w:eastAsiaTheme="minorHAnsi" w:hAnsiTheme="minorHAnsi" w:cstheme="minorBidi"/>
                          <w:sz w:val="22"/>
                          <w:szCs w:val="22"/>
                          <w:u w:val="thick" w:color="002060"/>
                          <w:lang w:eastAsia="en-US"/>
                        </w:rPr>
                        <w:t>Healthy lifestyle</w:t>
                      </w:r>
                    </w:p>
                    <w:p w:rsidR="007A35A1" w:rsidRDefault="007A35A1" w:rsidP="007A35A1">
                      <w:r>
                        <w:t>Brunton and Thornton (2010), mention that physical activity, healthy lifestyle and taking sensible precaution with personal safety and recognising the importance of good mental health is an important part of an individual’s overall health and well-being. Furthermore, Barnardos (2024) also states that a healthy lifestyle consists of many things such as good personal hygiene, healthy and balanced diet and exercise that is both physical and mental. The charity also mentions that a healthy relationship with food and drink is a key part of maintaining a healthy lifestyle for both children and adults. By fostering positive relationships in early life will enable children to be able to make constructive choices as they grow and develop. Furthermore, this is supported by Singhal (2017) who states that nutrition in childhood and adolsesnace is essential for growth, development, health and well-being. Singhal (2017) also mentions that eating behaviours that are established during childhood can be tracked in to adulthood and has shown that these behaviours can contribute towards long term and chronic disease risk. NHS (2021) mentions that being physically active on a daily basis is important for children, recommending light activity and more energetic activity for babies, toddlers and pre-schoolers. NHS (2021) suggests for the under one’s to be active through crawling, although if they are not yet crawling but are encouraged to grasp, reach, roll, push or pull and so on, with approximately 30 minutes of tummy time during the day. NHS (2021) propose that children aged between 1- 4 years old need 3 hours of light activity such as running, jumping, hopping and active play such as riding a bike, climbing frame or chasing a ball with pre-schoolers (3 to 4 year olds) to have 1 hour out of their 3 hours to be moderate to vigorous intensity physical play</w:t>
                      </w:r>
                      <w:r>
                        <w:t>.</w:t>
                      </w:r>
                    </w:p>
                  </w:txbxContent>
                </v:textbox>
                <w10:wrap anchorx="margin"/>
              </v:shape>
            </w:pict>
          </mc:Fallback>
        </mc:AlternateContent>
      </w:r>
      <w:r w:rsidRPr="00FE7390">
        <w:rPr>
          <w:rFonts w:asciiTheme="minorHAnsi" w:eastAsiaTheme="minorHAnsi" w:hAnsiTheme="minorHAnsi" w:cstheme="minorBidi"/>
          <w:noProof/>
          <w:sz w:val="22"/>
          <w:szCs w:val="22"/>
        </w:rPr>
        <mc:AlternateContent>
          <mc:Choice Requires="wps">
            <w:drawing>
              <wp:anchor distT="45720" distB="45720" distL="114300" distR="114300" simplePos="0" relativeHeight="251668480" behindDoc="0" locked="0" layoutInCell="1" allowOverlap="1" wp14:anchorId="390CA72E" wp14:editId="3576679A">
                <wp:simplePos x="0" y="0"/>
                <wp:positionH relativeFrom="column">
                  <wp:posOffset>-609600</wp:posOffset>
                </wp:positionH>
                <wp:positionV relativeFrom="paragraph">
                  <wp:posOffset>-714375</wp:posOffset>
                </wp:positionV>
                <wp:extent cx="6410325" cy="4981575"/>
                <wp:effectExtent l="19050" t="19050" r="28575" b="2857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0325" cy="4981575"/>
                        </a:xfrm>
                        <a:prstGeom prst="rect">
                          <a:avLst/>
                        </a:prstGeom>
                        <a:solidFill>
                          <a:srgbClr val="FFFFFF"/>
                        </a:solidFill>
                        <a:ln w="28575">
                          <a:solidFill>
                            <a:srgbClr val="00B050"/>
                          </a:solidFill>
                          <a:prstDash val="solid"/>
                          <a:miter lim="800000"/>
                          <a:headEnd/>
                          <a:tailEnd/>
                        </a:ln>
                      </wps:spPr>
                      <wps:txbx>
                        <w:txbxContent>
                          <w:p w:rsidR="00FE7390" w:rsidRPr="00FE7390" w:rsidRDefault="00FE7390" w:rsidP="00FE7390">
                            <w:pPr>
                              <w:jc w:val="center"/>
                              <w:rPr>
                                <w:u w:val="thick" w:color="00B050"/>
                              </w:rPr>
                            </w:pPr>
                            <w:r w:rsidRPr="00FE7390">
                              <w:rPr>
                                <w:u w:val="thick" w:color="00B050"/>
                              </w:rPr>
                              <w:t>Wellbeing</w:t>
                            </w:r>
                          </w:p>
                          <w:p w:rsidR="00FE7390" w:rsidRDefault="00FE7390" w:rsidP="00FE7390">
                            <w:r>
                              <w:t>Uncief (no date) defines well-being as an approach that values the happiness and enjoyment of every child despite their socioeconomic background. However, The Children’s Society mentions that well-being is about how individuals are feeling about their lives and how they are doing in their lives. The society mentions that low well-being has been linked to mental health conditions such as depression and that low well-being can affect relationships with family and friends and how children interact with the world around them. Public Heath Wales (2023) has created legislation called the Well-being of Future Generations Act (WFG Act) (2015) and this requires public bodies including Public Health Wales to endeavour to enhance societies wellbeing, socially, culturally, economically and environmentally. The legislation strives for a Wales that is prosperous and has health for all, a more equal wales that collaborates with other on a wider scale in increase opportunities for a fair chance of health and so on. Peill (2022) mentions that early years’ practitioners are crucial in supporting the emotional well-being of children and that the workforce will need to be confident at recognises that low health and wellbeing and the impact that it will have on children’s development. She mentions that well-being models such as the Leuven Scale that uses 5 wellbeing factors to measure children’s well-being or the SHANARRI wheel (Scottish practice) that uses 8 well-being indicators, to promote holistic philosophies. This holistic philosophy places the children at the centre of the observation, this replicates the ideologies of Frobel (1837) and Montessori (1967). Both theorist state that children should be at the centre of their learning and development. Murphy (2022) mentions that Frobel (1837) saw adults a nurturers of ideas, relationships and feelings. They support children to develop their confidence, skills and independence. According to Aubrey and Riley (2017), Montessori (1967) acknowledged within her theory that the first few years of a child’s life are important. They mention that Montessori (1967) states that the period between 0-3 years is the period of fundamental features of development that characterises the human potential are established. They state that within Montessori theory (1967) that attention was given to meeting the children’s physical needs rather than seeing the psychological needs. However, Montessori (1967) argues that this is when the personality begins and that the care of a new-born must be their mental health and not just their physical life.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0CA72E" id="_x0000_s1031" type="#_x0000_t202" style="position:absolute;margin-left:-48pt;margin-top:-56.25pt;width:504.75pt;height:392.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" strokecolor="#00b050" strokeweight="2.25pt">
                <v:textbox>
                  <w:txbxContent>
                    <w:p w:rsidR="00FE7390" w:rsidRPr="00FE7390" w:rsidRDefault="00FE7390" w:rsidP="00FE7390">
                      <w:pPr>
                        <w:jc w:val="center"/>
                        <w:rPr>
                          <w:u w:val="thick" w:color="00B050"/>
                        </w:rPr>
                      </w:pPr>
                      <w:r w:rsidRPr="00FE7390">
                        <w:rPr>
                          <w:u w:val="thick" w:color="00B050"/>
                        </w:rPr>
                        <w:t>Wellbeing</w:t>
                      </w:r>
                    </w:p>
                    <w:p w:rsidR="00FE7390" w:rsidRDefault="00FE7390" w:rsidP="00FE7390">
                      <w:r>
                        <w:t>Uncief (no date) defines well-being as an approach that values the happiness and enjoyment of every child despite their socioeconomic background. However, The Children’s Society mentions that well-being is about how individuals are feeling about their lives and how they are doing in their lives. The society mentions that low well-being has been linked to mental health conditions such as depression and that low well-being can affect relationships with family and friends and how children interact with the world around them. Public Heath Wales (2023) has created legislation called the Well-being of Future Generations Act (WFG Act) (2015) and this requires public bodies including Public Health Wales to endeavour to enhance societies wellbeing, socially, culturally, economically and environmentally. The legislation strives for a Wales that is prosperous and has health for all, a more equal wales that collaborates with other on a wider scale in increase opportunities for a fair chance of health and so on. Peill (2022) mentions that early years’ practitioners are crucial in supporting the emotional well-being of children and that the workforce will need to be confident at recognises that low health and wellbeing and the impact that it will have on children’s development. She mentions that well-being models such as the Leuven Scale that uses 5 wellbeing factors to measure children’s well-being or the SHANARRI wheel (Scottish practice) that uses 8 well-being indicators, to promote holistic philosophies. This holistic philosophy places the children at the centre of the observation, this replicates the ideologies of Frobel (1837) and Montessori (1967). Both theorist state that children should be at the centre of their learning and development. Murphy (2022) mentions that Frobel (1837) saw adults a nurturers of ideas, relationships and feelings. They support children to develop their confidence, skills and independence. According to Aubrey and Riley (2017), Montessori (1967) acknowledged within her theory that the first few years of a child’s life are important. They mention that Montessori (1967) states that the period between 0-3 years is the period of fundamental features of development that characterises the human potential are established. They state that within Montessori theory (1967) that attention was given to meeting the children’s physical needs rather than seeing the psychological needs. However, Montessori (1967) argues that this is when the personality begins and that the care of a new-born must be their mental health and not just their physical life.</w:t>
                      </w:r>
                    </w:p>
                  </w:txbxContent>
                </v:textbox>
              </v:shape>
            </w:pict>
          </mc:Fallback>
        </mc:AlternateContent>
      </w:r>
    </w:p>
    <w:p w:rsidR="00FE7390" w:rsidRP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sz w:val="22"/>
          <w:szCs w:val="22"/>
          <w:lang w:eastAsia="en-US"/>
        </w:rPr>
      </w:pPr>
    </w:p>
    <w:p w:rsidR="00FE7390" w:rsidRP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sz w:val="22"/>
          <w:szCs w:val="22"/>
          <w:lang w:eastAsia="en-US"/>
        </w:rPr>
      </w:pPr>
    </w:p>
    <w:p w:rsidR="00FE7390" w:rsidRP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FE7390" w:rsidRDefault="00FE7390" w:rsidP="000743F5">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975F40" w:rsidRDefault="00975F40" w:rsidP="00975F40">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p>
    <w:p w:rsidR="008E129D" w:rsidRDefault="00F72C36" w:rsidP="00975F40">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r>
        <w:rPr>
          <w:noProof/>
        </w:rPr>
        <w:drawing>
          <wp:anchor distT="0" distB="0" distL="114300" distR="114300" simplePos="0" relativeHeight="251675648" behindDoc="0" locked="0" layoutInCell="1" allowOverlap="1" wp14:anchorId="28B1BE2A" wp14:editId="45D919B7">
            <wp:simplePos x="0" y="0"/>
            <wp:positionH relativeFrom="margin">
              <wp:posOffset>-571500</wp:posOffset>
            </wp:positionH>
            <wp:positionV relativeFrom="paragraph">
              <wp:posOffset>175260</wp:posOffset>
            </wp:positionV>
            <wp:extent cx="3781425" cy="1964055"/>
            <wp:effectExtent l="38100" t="38100" r="47625" b="3619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1425" cy="1964055"/>
                    </a:xfrm>
                    <a:prstGeom prst="rect">
                      <a:avLst/>
                    </a:prstGeom>
                    <a:noFill/>
                    <a:ln w="41275">
                      <a:solidFill>
                        <a:srgbClr val="002060"/>
                      </a:solidFill>
                    </a:ln>
                  </pic:spPr>
                </pic:pic>
              </a:graphicData>
            </a:graphic>
            <wp14:sizeRelH relativeFrom="page">
              <wp14:pctWidth>0</wp14:pctWidth>
            </wp14:sizeRelH>
            <wp14:sizeRelV relativeFrom="page">
              <wp14:pctHeight>0</wp14:pctHeight>
            </wp14:sizeRelV>
          </wp:anchor>
        </w:drawing>
      </w:r>
    </w:p>
    <w:p w:rsidR="00975F40" w:rsidRDefault="00975F40" w:rsidP="00975F40">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t>This is an image on the left</w:t>
      </w:r>
    </w:p>
    <w:p w:rsidR="00975F40" w:rsidRDefault="00975F40" w:rsidP="00975F40">
      <w:pPr>
        <w:pStyle w:val="NormalWeb"/>
        <w:shd w:val="clear" w:color="auto" w:fill="FFFFFF"/>
        <w:spacing w:before="0" w:beforeAutospacing="0" w:after="0" w:afterAutospacing="0"/>
        <w:ind w:left="5040" w:firstLine="72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of Bronfenbrenner’s</w:t>
      </w:r>
    </w:p>
    <w:p w:rsidR="00975F40" w:rsidRPr="00975F40" w:rsidRDefault="00975F40" w:rsidP="00975F40">
      <w:pPr>
        <w:pStyle w:val="NormalWeb"/>
        <w:shd w:val="clear" w:color="auto" w:fill="FFFFFF"/>
        <w:spacing w:before="0" w:beforeAutospacing="0" w:after="0" w:afterAutospacing="0"/>
        <w:rPr>
          <w:rFonts w:asciiTheme="minorHAnsi" w:eastAsiaTheme="minorHAnsi" w:hAnsiTheme="minorHAnsi" w:cstheme="minorBidi"/>
          <w:b/>
          <w:i/>
          <w:sz w:val="22"/>
          <w:szCs w:val="22"/>
          <w:lang w:eastAsia="en-US"/>
        </w:rPr>
      </w:pP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r>
      <w:r>
        <w:rPr>
          <w:rFonts w:asciiTheme="minorHAnsi" w:eastAsiaTheme="minorHAnsi" w:hAnsiTheme="minorHAnsi" w:cstheme="minorBidi"/>
          <w:sz w:val="22"/>
          <w:szCs w:val="22"/>
          <w:lang w:eastAsia="en-US"/>
        </w:rPr>
        <w:tab/>
        <w:t>Ecological theory (1979)</w:t>
      </w:r>
    </w:p>
    <w:p w:rsidR="007A35A1" w:rsidRPr="007A35A1" w:rsidRDefault="007A35A1" w:rsidP="007A35A1">
      <w:pPr>
        <w:pStyle w:val="Header"/>
        <w:shd w:val="clear" w:color="auto" w:fill="FFFFFF"/>
        <w:jc w:val="center"/>
        <w:rPr>
          <w:u w:val="thick" w:color="7030A0"/>
        </w:rPr>
      </w:pPr>
      <w:r w:rsidRPr="007A35A1">
        <w:rPr>
          <w:noProof/>
          <w:u w:val="thick" w:color="7030A0"/>
          <w:lang w:eastAsia="en-GB"/>
        </w:rPr>
        <w:lastRenderedPageBreak/>
        <mc:AlternateContent>
          <mc:Choice Requires="wps">
            <w:drawing>
              <wp:anchor distT="45720" distB="45720" distL="114300" distR="114300" simplePos="0" relativeHeight="251672576" behindDoc="0" locked="0" layoutInCell="1" allowOverlap="1" wp14:anchorId="1063FDE1" wp14:editId="670F5749">
                <wp:simplePos x="0" y="0"/>
                <wp:positionH relativeFrom="column">
                  <wp:posOffset>123825</wp:posOffset>
                </wp:positionH>
                <wp:positionV relativeFrom="paragraph">
                  <wp:posOffset>10160</wp:posOffset>
                </wp:positionV>
                <wp:extent cx="6061710" cy="2657475"/>
                <wp:effectExtent l="19050" t="19050" r="1524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1710" cy="2657475"/>
                        </a:xfrm>
                        <a:prstGeom prst="rect">
                          <a:avLst/>
                        </a:prstGeom>
                        <a:solidFill>
                          <a:srgbClr val="FFFFFF"/>
                        </a:solidFill>
                        <a:ln w="38100">
                          <a:solidFill>
                            <a:srgbClr val="002060"/>
                          </a:solidFill>
                          <a:miter lim="800000"/>
                          <a:headEnd/>
                          <a:tailEnd/>
                        </a:ln>
                      </wps:spPr>
                      <wps:txbx>
                        <w:txbxContent>
                          <w:p w:rsidR="007A35A1" w:rsidRPr="007A35A1" w:rsidRDefault="007A35A1" w:rsidP="007A35A1">
                            <w:pPr>
                              <w:pStyle w:val="NormalWeb"/>
                              <w:shd w:val="clear" w:color="auto" w:fill="FFFFFF"/>
                              <w:spacing w:before="0" w:beforeAutospacing="0" w:after="0" w:afterAutospacing="0"/>
                              <w:jc w:val="center"/>
                              <w:rPr>
                                <w:rFonts w:asciiTheme="minorHAnsi" w:eastAsiaTheme="minorHAnsi" w:hAnsiTheme="minorHAnsi" w:cstheme="minorBidi"/>
                                <w:sz w:val="22"/>
                                <w:szCs w:val="22"/>
                                <w:u w:val="thick" w:color="002060"/>
                                <w:lang w:eastAsia="en-US"/>
                              </w:rPr>
                            </w:pPr>
                            <w:r w:rsidRPr="007A35A1">
                              <w:rPr>
                                <w:rFonts w:asciiTheme="minorHAnsi" w:eastAsiaTheme="minorHAnsi" w:hAnsiTheme="minorHAnsi" w:cstheme="minorBidi"/>
                                <w:sz w:val="22"/>
                                <w:szCs w:val="22"/>
                                <w:u w:val="thick" w:color="002060"/>
                                <w:lang w:eastAsia="en-US"/>
                              </w:rPr>
                              <w:t>Healthy Lifestyles Continued</w:t>
                            </w:r>
                          </w:p>
                          <w:p w:rsidR="007A35A1" w:rsidRDefault="007A35A1" w:rsidP="007A35A1">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Brewer and Renck-Jalongo (2018) mentions that practitioners can help to develop positive attitudes towards physical activities and develop methods to do this. For example, practitioners could develop incentives to encourage participating in physical activity, such as if a child likes to listen to music, then a method could be to allow them to listen to music whilst participating in a walk around the playground or other physical activity. This will promote positive association with physical exercise. They mention that if children view physical activity as a chore they are unlikely to participate, on the other hand of they see the physical activity as a gift they will be a more willing participate and not hesitate to partake on a regularly basis. Burton and Thornton (2010) mention that early years’ practitioners have a unique position in regard to being able to support children with physical activity whilst children are in their care. They mention that practitioners can support by doing some of the following- having healthy living as part of the settings vision and values, ensuring the policies and the organisation of the setting promotes healthy eating, help children to take responsibility of their personal health and well-being. These are just some of what practitioners are able to do to support children’s healthy lifestyle choices.</w:t>
                            </w:r>
                          </w:p>
                          <w:p w:rsidR="007A35A1" w:rsidRDefault="007A35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63FDE1" id="_x0000_s1032" type="#_x0000_t202" style="position:absolute;left:0;text-align:left;margin-left:9.75pt;margin-top:.8pt;width:477.3pt;height:209.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" strokecolor="#002060" strokeweight="3pt">
                <v:textbox>
                  <w:txbxContent>
                    <w:p w:rsidR="007A35A1" w:rsidRPr="007A35A1" w:rsidRDefault="007A35A1" w:rsidP="007A35A1">
                      <w:pPr>
                        <w:pStyle w:val="NormalWeb"/>
                        <w:shd w:val="clear" w:color="auto" w:fill="FFFFFF"/>
                        <w:spacing w:before="0" w:beforeAutospacing="0" w:after="0" w:afterAutospacing="0"/>
                        <w:jc w:val="center"/>
                        <w:rPr>
                          <w:rFonts w:asciiTheme="minorHAnsi" w:eastAsiaTheme="minorHAnsi" w:hAnsiTheme="minorHAnsi" w:cstheme="minorBidi"/>
                          <w:sz w:val="22"/>
                          <w:szCs w:val="22"/>
                          <w:u w:val="thick" w:color="002060"/>
                          <w:lang w:eastAsia="en-US"/>
                        </w:rPr>
                      </w:pPr>
                      <w:r w:rsidRPr="007A35A1">
                        <w:rPr>
                          <w:rFonts w:asciiTheme="minorHAnsi" w:eastAsiaTheme="minorHAnsi" w:hAnsiTheme="minorHAnsi" w:cstheme="minorBidi"/>
                          <w:sz w:val="22"/>
                          <w:szCs w:val="22"/>
                          <w:u w:val="thick" w:color="002060"/>
                          <w:lang w:eastAsia="en-US"/>
                        </w:rPr>
                        <w:t>Healthy Lifestyles Continued</w:t>
                      </w:r>
                    </w:p>
                    <w:p w:rsidR="007A35A1" w:rsidRDefault="007A35A1" w:rsidP="007A35A1">
                      <w:pPr>
                        <w:pStyle w:val="NormalWeb"/>
                        <w:shd w:val="clear" w:color="auto" w:fill="FFFFFF"/>
                        <w:spacing w:before="0" w:beforeAutospacing="0" w:after="0"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Brewer and Renck-Jalongo (2018) mentions that practitioners can help to develop positive attitudes towards physical activities and develop methods to do this. For example, practitioners could develop incentives to encourage participating in physical activity, such as if a child likes to listen to music, then a method could be to allow them to listen to music whilst participating in a walk around the playground or other physical activity. This will promote positive association with physical exercise. They mention that if children view physical activity as a chore they are unlikely to participate, on the other hand of they see the physical activity as a gift they will be a more willing participate and not hesitate to partake on a regularly basis. Burton and Thornton (2010) mention that early years’ practitioners have a unique position in regard to being able to support children with physical activity whilst children are in their care. They mention that practitioners can support by doing some of the following- having healthy living as part of the settings vision and values, ensuring the policies and the organisation of the setting promotes healthy eating, help children to take responsibility of their personal health and well-being. These are just some of what practitioners are able to do to support children’s healthy lifestyle choices.</w:t>
                      </w:r>
                    </w:p>
                    <w:p w:rsidR="007A35A1" w:rsidRDefault="007A35A1"/>
                  </w:txbxContent>
                </v:textbox>
                <w10:wrap type="square"/>
              </v:shape>
            </w:pict>
          </mc:Fallback>
        </mc:AlternateContent>
      </w:r>
      <w:r w:rsidRPr="007A35A1">
        <w:rPr>
          <w:u w:val="thick" w:color="7030A0"/>
        </w:rPr>
        <w:t>Role of the practitioner and multi-agency working</w:t>
      </w:r>
    </w:p>
    <w:p w:rsidR="00580597" w:rsidRDefault="00580597" w:rsidP="009905B6">
      <w:pPr>
        <w:pStyle w:val="Header"/>
        <w:shd w:val="clear" w:color="auto" w:fill="FFFFFF"/>
      </w:pPr>
      <w:r>
        <w:t>The Welsh Government (2020) mentions that within the new curriculum for Wales, there is a health and wellbeing area of learning and experience. A holistic structure approach for the understanding of health and well-bein</w:t>
      </w:r>
      <w:r w:rsidR="002E6D72">
        <w:t>g as components</w:t>
      </w:r>
      <w:r>
        <w:t xml:space="preserve"> of </w:t>
      </w:r>
      <w:r w:rsidR="002E6D72">
        <w:t>physical</w:t>
      </w:r>
      <w:r>
        <w:t xml:space="preserve"> health, mental health, social and emotional well-being. The area supports </w:t>
      </w:r>
      <w:r w:rsidR="002E6D72">
        <w:t>children’s understandi</w:t>
      </w:r>
      <w:r>
        <w:t xml:space="preserve">ng of how these different </w:t>
      </w:r>
      <w:r w:rsidR="002E6D72">
        <w:t xml:space="preserve">components </w:t>
      </w:r>
      <w:r>
        <w:t xml:space="preserve">are interconnected and </w:t>
      </w:r>
      <w:r w:rsidR="002E6D72">
        <w:t>recognising</w:t>
      </w:r>
      <w:r>
        <w:t xml:space="preserve"> that good health and well-being is important for enabling children to have successful learning.</w:t>
      </w:r>
      <w:r w:rsidR="002E6D72">
        <w:t xml:space="preserve"> Mainstone-Cotton (2017) believes that adults have an important part to play when helping children to have good well-being and are in a position to provide a starting point to help children to know they are loved,</w:t>
      </w:r>
      <w:r w:rsidR="009B195D">
        <w:t xml:space="preserve"> special and unique individuals. Musgrave (2017) </w:t>
      </w:r>
      <w:r w:rsidR="00975F40">
        <w:t>states</w:t>
      </w:r>
      <w:r w:rsidR="009B195D">
        <w:t xml:space="preserve"> that practitioners supporting children’s health a</w:t>
      </w:r>
      <w:r w:rsidR="00975F40">
        <w:t xml:space="preserve">nd well-being, </w:t>
      </w:r>
      <w:r w:rsidR="009B195D">
        <w:t xml:space="preserve">are able to promote good health and avoid ill health, with these actions in turn promoting children’s well-being. She mentions that Mcdowall-Clark (2013) has adapted Bronfenbrenner’s ecological theory </w:t>
      </w:r>
      <w:r w:rsidR="009905B6" w:rsidRPr="009905B6">
        <w:t xml:space="preserve">(1979) </w:t>
      </w:r>
      <w:r w:rsidR="009B195D">
        <w:t>in relation to children’s health in the early years. Pointing out that children have 2 microsystems their home and their early years setting</w:t>
      </w:r>
      <w:r w:rsidR="009905B6">
        <w:t xml:space="preserve">. </w:t>
      </w:r>
      <w:r w:rsidR="009905B6" w:rsidRPr="009905B6">
        <w:t xml:space="preserve">Hayes; Halpenny; and O’Toole, </w:t>
      </w:r>
      <w:r w:rsidR="009905B6">
        <w:t>(</w:t>
      </w:r>
      <w:r w:rsidR="009905B6" w:rsidRPr="009905B6">
        <w:t>2017</w:t>
      </w:r>
      <w:r w:rsidR="009905B6">
        <w:t xml:space="preserve">) mentions that within </w:t>
      </w:r>
      <w:r w:rsidR="009905B6" w:rsidRPr="009905B6">
        <w:t>Bronfenbrenner’s theory of ecological systems (1979)</w:t>
      </w:r>
      <w:r w:rsidR="00975F40">
        <w:t>,</w:t>
      </w:r>
      <w:r w:rsidR="009905B6" w:rsidRPr="009905B6">
        <w:t xml:space="preserve"> </w:t>
      </w:r>
      <w:r w:rsidR="009905B6">
        <w:t>he</w:t>
      </w:r>
      <w:r w:rsidR="009905B6" w:rsidRPr="009905B6">
        <w:t xml:space="preserve"> demonstrates that there is a</w:t>
      </w:r>
      <w:r w:rsidR="00975F40">
        <w:t xml:space="preserve"> close link between the home and the early years </w:t>
      </w:r>
      <w:r w:rsidR="0058067C">
        <w:t>setting.</w:t>
      </w:r>
      <w:r w:rsidR="009905B6" w:rsidRPr="009905B6">
        <w:t xml:space="preserve"> This link provides children with the opportunity to grow, learn and develop and encourages parental involvement, whilst making positive connections with practitioners. Practitioners will be able to develop better understandings of the child’s background outside the setting and within the exosystem and macrosystem of Bronfenbrenner’s theory (1979). </w:t>
      </w:r>
      <w:r w:rsidR="00975F40">
        <w:t>They</w:t>
      </w:r>
      <w:r w:rsidR="009905B6" w:rsidRPr="009905B6">
        <w:t xml:space="preserve"> </w:t>
      </w:r>
      <w:r w:rsidR="00975F40" w:rsidRPr="009905B6">
        <w:t>consider</w:t>
      </w:r>
      <w:r w:rsidR="009905B6" w:rsidRPr="009905B6">
        <w:t xml:space="preserve"> that working in partnership with parents can provide</w:t>
      </w:r>
      <w:r w:rsidR="00975F40">
        <w:t xml:space="preserve"> the</w:t>
      </w:r>
      <w:r w:rsidR="009905B6" w:rsidRPr="009905B6">
        <w:t xml:space="preserve"> starting blocks for open communication, promotes attachments and confidence in communicating with each other on different subjects </w:t>
      </w:r>
      <w:r w:rsidR="00975F40">
        <w:t>such as health and well-being</w:t>
      </w:r>
      <w:r w:rsidR="009905B6" w:rsidRPr="009905B6">
        <w:t>. Through partnerships practitioners are able to support children and their family holistically and establishes as menti</w:t>
      </w:r>
      <w:r w:rsidR="00975F40">
        <w:t>oned by Bronfenbrenner (1979) a</w:t>
      </w:r>
      <w:r w:rsidR="009905B6" w:rsidRPr="009905B6">
        <w:t xml:space="preserve"> team of individuals who will have a direct influence on the children’s lives.</w:t>
      </w:r>
      <w:r w:rsidR="00BA2356">
        <w:t xml:space="preserve"> Wilson (2016) mentions that there has been a change of pace in regards to policy changes with the recognition of parents, carers and </w:t>
      </w:r>
      <w:r w:rsidR="005C5EB6">
        <w:t>family’s</w:t>
      </w:r>
      <w:r w:rsidR="00BA2356">
        <w:t xml:space="preserve"> role in the development of relationships between setting and home </w:t>
      </w:r>
      <w:r w:rsidR="005C5EB6">
        <w:t>alongside</w:t>
      </w:r>
      <w:r w:rsidR="00BA2356">
        <w:t xml:space="preserve"> the </w:t>
      </w:r>
      <w:r w:rsidR="005C5EB6">
        <w:t>children’s</w:t>
      </w:r>
      <w:r w:rsidR="00BA2356">
        <w:t xml:space="preserve"> outcomes in </w:t>
      </w:r>
      <w:r w:rsidR="005C5EB6">
        <w:t>regards</w:t>
      </w:r>
      <w:r w:rsidR="00BA2356">
        <w:t xml:space="preserve"> to development and academic attainment. Models of multi-agency have the parents sitting at the centre of supporting services. In Wales, there is a Flying Start Service that not only </w:t>
      </w:r>
      <w:r w:rsidR="005C5EB6">
        <w:t>provides</w:t>
      </w:r>
      <w:r w:rsidR="00BA2356">
        <w:t xml:space="preserve"> 2-3 year olds with free childcare for 2 and ½ hours a day in deprived areas of Cardiff, but also provide families with enhanced health services and parenting support for new parents of babies from birth to 18 months. They provide support with issues </w:t>
      </w:r>
      <w:r w:rsidR="005C5EB6">
        <w:t>such</w:t>
      </w:r>
      <w:r w:rsidR="00BA2356">
        <w:t xml:space="preserve"> as caring for new baby, feeding, sleep routines, weaning and more along with sign posting to other support </w:t>
      </w:r>
      <w:r w:rsidR="005C5EB6">
        <w:t>agencies</w:t>
      </w:r>
      <w:r w:rsidR="00BA2356">
        <w:t xml:space="preserve"> within and outside flying start. </w:t>
      </w:r>
      <w:r w:rsidR="005C5EB6">
        <w:lastRenderedPageBreak/>
        <w:t>Flying</w:t>
      </w:r>
      <w:r w:rsidR="00BA2356">
        <w:t xml:space="preserve"> starts parenting team can support parents with </w:t>
      </w:r>
      <w:r w:rsidR="005C5EB6">
        <w:t>confidence</w:t>
      </w:r>
      <w:r w:rsidR="00BA2356">
        <w:t xml:space="preserve">, </w:t>
      </w:r>
      <w:r w:rsidR="005C5EB6">
        <w:t>self-regulation</w:t>
      </w:r>
      <w:r w:rsidR="00BA2356">
        <w:t xml:space="preserve">, relationship </w:t>
      </w:r>
      <w:r w:rsidR="005C5EB6">
        <w:t>and communication building and understanding the importance of play, their role and how parents can support to their children’s learning, development and well-being.</w:t>
      </w: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pPr>
    </w:p>
    <w:p w:rsidR="0058067C" w:rsidRDefault="0058067C" w:rsidP="009905B6">
      <w:pPr>
        <w:pStyle w:val="Header"/>
        <w:shd w:val="clear" w:color="auto" w:fill="FFFFFF"/>
        <w:sectPr w:rsidR="0058067C" w:rsidSect="00FE7390">
          <w:footerReference w:type="default" r:id="rId11"/>
          <w:pgSz w:w="16838" w:h="11906" w:orient="landscape"/>
          <w:pgMar w:top="1440" w:right="1440" w:bottom="1440" w:left="1440" w:header="708" w:footer="708" w:gutter="0"/>
          <w:cols w:space="708"/>
          <w:docGrid w:linePitch="360"/>
        </w:sectPr>
      </w:pPr>
    </w:p>
    <w:p w:rsidR="0099645C" w:rsidRPr="0058067C" w:rsidRDefault="0099645C" w:rsidP="0099645C">
      <w:pPr>
        <w:ind w:firstLine="720"/>
        <w:jc w:val="center"/>
        <w:rPr>
          <w:rFonts w:ascii="Arial" w:hAnsi="Arial" w:cs="Arial"/>
          <w:b/>
          <w:sz w:val="24"/>
          <w:szCs w:val="24"/>
          <w:u w:val="single"/>
        </w:rPr>
      </w:pPr>
      <w:r w:rsidRPr="0058067C">
        <w:rPr>
          <w:rFonts w:ascii="Arial" w:hAnsi="Arial" w:cs="Arial"/>
          <w:b/>
          <w:sz w:val="24"/>
          <w:szCs w:val="24"/>
          <w:u w:val="single"/>
        </w:rPr>
        <w:lastRenderedPageBreak/>
        <w:t>Script for presentation</w:t>
      </w:r>
    </w:p>
    <w:p w:rsidR="0099645C" w:rsidRPr="0058067C" w:rsidRDefault="0099645C" w:rsidP="0099645C">
      <w:pPr>
        <w:ind w:firstLine="720"/>
        <w:rPr>
          <w:rFonts w:ascii="Arial" w:hAnsi="Arial" w:cs="Arial"/>
          <w:sz w:val="24"/>
          <w:szCs w:val="24"/>
        </w:rPr>
      </w:pPr>
      <w:r w:rsidRPr="0058067C">
        <w:rPr>
          <w:rFonts w:ascii="Arial" w:hAnsi="Arial" w:cs="Arial"/>
          <w:sz w:val="24"/>
          <w:szCs w:val="24"/>
        </w:rPr>
        <w:t>This presentation will be looking at the mental health and wellbeing of children who are Deaf, how their Deafness affects their mental health and well-being and what practices could be put in place to support them.</w:t>
      </w:r>
    </w:p>
    <w:p w:rsidR="0099645C" w:rsidRPr="0058067C" w:rsidRDefault="0099645C" w:rsidP="0099645C">
      <w:pPr>
        <w:ind w:firstLine="720"/>
        <w:rPr>
          <w:rFonts w:ascii="Arial" w:hAnsi="Arial" w:cs="Arial"/>
          <w:sz w:val="24"/>
          <w:szCs w:val="24"/>
        </w:rPr>
      </w:pPr>
      <w:r w:rsidRPr="0058067C">
        <w:rPr>
          <w:rFonts w:ascii="Arial" w:hAnsi="Arial" w:cs="Arial"/>
          <w:sz w:val="24"/>
          <w:szCs w:val="24"/>
        </w:rPr>
        <w:t xml:space="preserve">The Department for Education (no date) describes children’s mental health as their well-being in regards to their emotional and social development. Similarly, Anna Freud (no date) mentions that mental health affects the way people feel, think and act. Mental health refers to the emotional, psychological and social wellbeing of individuals. There can be a range of factors that can affect a child’s mental health. National Deaf Children’s Society (NDCS) (no date) mentions that Deaf children are more likely to experience depression, anxiety and other challenges that can affect their mental health when compared to their hearing peers. The society mentions that this could be due to factors, such as challenges in communication with family members and peers leading to isolation and loneliness, not having the same access to language compared to their hearing peers causes them to struggle with expressing their emotions and individuality leading to negative feelings of frustration and anger. Children may on occasion experience exclusion from stigma, or bullying. This could occur within the community, school or at home and leading to Deaf children feeling cut off from daily experiences. Changes to routines or stressful situation such as the pandemic could cause Deaf children anxiety and worry. On a similar note, Roberts </w:t>
      </w:r>
      <w:r w:rsidRPr="0058067C">
        <w:rPr>
          <w:rFonts w:ascii="Arial" w:hAnsi="Arial" w:cs="Arial"/>
          <w:i/>
          <w:sz w:val="24"/>
          <w:szCs w:val="24"/>
        </w:rPr>
        <w:t>et al.</w:t>
      </w:r>
      <w:r w:rsidRPr="0058067C">
        <w:rPr>
          <w:rFonts w:ascii="Arial" w:hAnsi="Arial" w:cs="Arial"/>
          <w:sz w:val="24"/>
          <w:szCs w:val="24"/>
        </w:rPr>
        <w:t xml:space="preserve"> (2015) also suggests that there are various factors that have the potential to affect Deaf children’s mental health negatively. Like the NDCS (no date), they also mention that factors such as poor language and communication skills, limited parent and child communications, coexisting physical and mental health factors. However, they also mention some different factors such as the degree of the child’s deafness, the child’s age at the onset of deafness and the presence of neurological difficulties. These factors can affect children’s behaviour and emotional wellbeing.</w:t>
      </w:r>
    </w:p>
    <w:p w:rsidR="0099645C" w:rsidRPr="0058067C" w:rsidRDefault="0099645C" w:rsidP="0099645C">
      <w:pPr>
        <w:ind w:firstLine="720"/>
        <w:rPr>
          <w:rFonts w:ascii="Arial" w:hAnsi="Arial" w:cs="Arial"/>
          <w:sz w:val="24"/>
          <w:szCs w:val="24"/>
        </w:rPr>
      </w:pPr>
      <w:r w:rsidRPr="0058067C">
        <w:rPr>
          <w:rFonts w:ascii="Arial" w:hAnsi="Arial" w:cs="Arial"/>
          <w:sz w:val="24"/>
          <w:szCs w:val="24"/>
        </w:rPr>
        <w:t xml:space="preserve">A common thread that seems to affect Deaf children’s mental health is communication barriers and language acquisition skills between the Deaf children, the family and community environment around them.  Fellinger </w:t>
      </w:r>
      <w:r w:rsidRPr="0058067C">
        <w:rPr>
          <w:rFonts w:ascii="Arial" w:hAnsi="Arial" w:cs="Arial"/>
          <w:i/>
          <w:sz w:val="24"/>
          <w:szCs w:val="24"/>
        </w:rPr>
        <w:t>et al.</w:t>
      </w:r>
      <w:r w:rsidRPr="0058067C">
        <w:rPr>
          <w:rFonts w:ascii="Arial" w:hAnsi="Arial" w:cs="Arial"/>
          <w:sz w:val="24"/>
          <w:szCs w:val="24"/>
        </w:rPr>
        <w:t xml:space="preserve"> (2012) mention that there is a widespread occurrence of depression and anxiety amongst the Deaf community and the barriers they face when accessing mental health services. They mention that communication is at the centre of issues in accessing health care.  A mental health study on a sample of 144 children in England showed that 26% of these children have a probable mental health issue and were not accessing child mental health services. The study also showed that 57% of the children had a possible mental health issue (The Association of Child and Adolescent Mental Health 2021). A study in Northern Ireland have found similar findings, mentioning that Deaf children are more at risk of mental health problems such as depression, anxiety, OCD to name a few. The study revealed that at least 21% of Deaf Children have at least one mental health condition when compared to 12% of their hearing peers (Queen’s University Belfast, 2022). The British Deaf Association (BDA) (no date) and the Scottish Government (no date) both state that 90% of Deaf children are born to hearing family’s. Both mention that the majority of hearing parents lack the </w:t>
      </w:r>
      <w:r w:rsidRPr="0058067C">
        <w:rPr>
          <w:rFonts w:ascii="Arial" w:hAnsi="Arial" w:cs="Arial"/>
          <w:sz w:val="24"/>
          <w:szCs w:val="24"/>
        </w:rPr>
        <w:lastRenderedPageBreak/>
        <w:t xml:space="preserve">understanding and knowledge of sign language or have little or no understanding of the deaf experiences. It is also mentioned that parents will also worry about how to communicate with their Deaf baby. Within my local area, I volunteer at a group that provides deaf children of primary school age with the opportunities to learn BSL with qualified teachers who are deaf themselves, alongside volunteers who are deaf themselves or hearing volunteers who are BSL trained. This local group has deaf children from all over south wales and provides children not only the opportunity to be immersed in Deaf culture, identify and pride but also provides multisport opportunities they may not have accessed naturally or struggled to participate in due to their Deafness. We can also signpost them to charities such as BDA and NDCS for further support. Murray </w:t>
      </w:r>
      <w:r w:rsidRPr="0058067C">
        <w:rPr>
          <w:rFonts w:ascii="Arial" w:hAnsi="Arial" w:cs="Arial"/>
          <w:i/>
          <w:sz w:val="24"/>
          <w:szCs w:val="24"/>
        </w:rPr>
        <w:t>et al.</w:t>
      </w:r>
      <w:r w:rsidRPr="0058067C">
        <w:rPr>
          <w:rFonts w:ascii="Arial" w:hAnsi="Arial" w:cs="Arial"/>
          <w:sz w:val="24"/>
          <w:szCs w:val="24"/>
        </w:rPr>
        <w:t xml:space="preserve"> (2019) mentions through communication skills with family members and peers provides Deaf children with support to their emotional and social development including self-esteem and positive relationships. They mention that research reveals that there is a common occurrence of mental health amongst the deaf community but the research underlines the importance of early intervention. Wales Council for Deaf People (no date) mentions that they are a charity that advocates for voluntary groups and partners to help them advocate for individuals who are deaf, deafened or deafblind. They provide support to existing and new groups with effective communication skills to support individuals to attend school and community events, support with BSL and upskill opportunities, enabling skills to be developed for training, voluntary and employment opportunities. They also support with improving accessibility and bring change through collaboration and partnerships with organisation.</w:t>
      </w:r>
    </w:p>
    <w:p w:rsidR="0099645C" w:rsidRPr="0058067C" w:rsidRDefault="0099645C" w:rsidP="0099645C">
      <w:pPr>
        <w:ind w:firstLine="720"/>
        <w:rPr>
          <w:rFonts w:ascii="Arial" w:hAnsi="Arial" w:cs="Arial"/>
          <w:sz w:val="24"/>
          <w:szCs w:val="24"/>
        </w:rPr>
      </w:pPr>
      <w:r w:rsidRPr="0058067C">
        <w:rPr>
          <w:rFonts w:ascii="Arial" w:hAnsi="Arial" w:cs="Arial"/>
          <w:sz w:val="24"/>
          <w:szCs w:val="24"/>
        </w:rPr>
        <w:t>Deafness and hearing loss can also affect the health of Deaf children, Van Gent, and Sleeboom-van Raaij, (2016) mentions that factors such as genetics- for example, there is a minority of cases with syndromic deafness. Syndromes that are associated with deafness could be issues with the prenatal nervous system development that potentially shoes a leaning difficulty or some features of Autism Spectrum Disorder (ASD), issues with the organ systems that could lead to recurring physical health problems. They also mention neurological disorders such as epilepsy can affect Deaf children, environmental factors such as increased mental health problems when faced with different developmental challenges including but not limited to the degree of Deafness, the age of the onset of deafness, additional complications such as learning difficulties or physical illness and adverse social circumstances. Deafness Forum Australia (no date) also mention the effect on deaf children’s cognitive development and skills, mentioning a link between deafness and cognitive decline, this could include having difficulties with memory, problem solving and concentration. Cognitive fatigue could impact a deaf child’s overall cognitive performance. Deaf children’s safety is also compromised as they may not be able to hear warning signs or alarms when in various situations. They may also struggle with communication during an emergency situation or they might struggle with hearing instructions in turn compromising theirs and others safety.</w:t>
      </w:r>
    </w:p>
    <w:p w:rsidR="0099645C" w:rsidRPr="0058067C" w:rsidRDefault="0099645C" w:rsidP="0099645C">
      <w:pPr>
        <w:ind w:firstLine="720"/>
        <w:rPr>
          <w:rFonts w:ascii="Arial" w:hAnsi="Arial" w:cs="Arial"/>
          <w:sz w:val="24"/>
          <w:szCs w:val="24"/>
        </w:rPr>
      </w:pPr>
      <w:r w:rsidRPr="0058067C">
        <w:rPr>
          <w:rFonts w:ascii="Arial" w:hAnsi="Arial" w:cs="Arial"/>
          <w:sz w:val="24"/>
          <w:szCs w:val="24"/>
        </w:rPr>
        <w:t xml:space="preserve">Through early identification of a child’s deafness alongside the implementation of early communications skills that are supported by knowledgeable professionals and their families can greatly impact a child’s communication and </w:t>
      </w:r>
      <w:r w:rsidRPr="0058067C">
        <w:rPr>
          <w:rFonts w:ascii="Arial" w:hAnsi="Arial" w:cs="Arial"/>
          <w:sz w:val="24"/>
          <w:szCs w:val="24"/>
        </w:rPr>
        <w:lastRenderedPageBreak/>
        <w:t>language development. Whether this is through signed or spoken language or a combination of both, this provides a high quality environment for language and communication skills. In turn, this provides a foundation for successful language outcomes, however early identification in itself is not enough. Multiagency professionals including practitioners need to consider a holistic and well-rounded approach to the child’s needs in terms of early identification and support, with the child and family being at the centre of the support need (British Deaf Association Northern Ireland).</w:t>
      </w:r>
    </w:p>
    <w:p w:rsidR="0099645C" w:rsidRPr="0058067C" w:rsidRDefault="0099645C" w:rsidP="0099645C">
      <w:pPr>
        <w:ind w:firstLine="720"/>
        <w:rPr>
          <w:rFonts w:ascii="Arial" w:hAnsi="Arial" w:cs="Arial"/>
          <w:sz w:val="24"/>
          <w:szCs w:val="24"/>
        </w:rPr>
      </w:pPr>
      <w:r w:rsidRPr="0058067C">
        <w:rPr>
          <w:rFonts w:ascii="Arial" w:hAnsi="Arial" w:cs="Arial"/>
          <w:sz w:val="24"/>
          <w:szCs w:val="24"/>
        </w:rPr>
        <w:t>By supporting Deaf children within the home, community and the early years’ environment, through a multiagency approach providing practitioners, parents and other multiagency professionals the opportunity to promote positive outcomes for the Deaf children. This will rely on developing strong relationships and open communication between all agencies involved. Through this, along with a child-centred approach establishes that everyone involved is working together closely to not only safeguard Deaf children but also ensure that their welfare is also at the centre of any support systems. Practitioners and other multiagency professionals should follow the principles of the Children Act 1989 and 2004, that states that the welfare of the child is paramount with active participation from parents (HM Government 2023). Through multiagency working, parents, practitioners and other multiagency professionals are ensuring they met the rights of the child as stated in the United Nations Convention of the Rights of the Child (UNCRC). The UNCRC states that under Article 23, it is the right of a child with a disability to be able to live a decent life with dignity, to be as independent and as active in the community as possible. Article 23 also states that the government must do all they can to support disabled children and their families. Multiagency working also supports Articles 12, 28, 29 and 31 which are the children’s rights to express a view on their care, activities and more as well as the right to an education and to have educational goals, as well as their right to relax, play and take part in leisure activities within the community (Unicef, no date), this is achievable with the correct support systems in place.  Working together with parents and other agencies enables effective support to be put in to place, further instilling the child, their rights and their family at the centre of the support ensuring that children are able to access their environment, that there is family support and their developmental needs are being met (Hull City Council, 2016) and this can have a positive effect on their mental health outcomes.</w:t>
      </w:r>
    </w:p>
    <w:p w:rsidR="0099645C" w:rsidRPr="0058067C" w:rsidRDefault="0099645C" w:rsidP="0099645C">
      <w:pPr>
        <w:ind w:firstLine="720"/>
        <w:rPr>
          <w:rFonts w:ascii="Arial" w:hAnsi="Arial" w:cs="Arial"/>
          <w:sz w:val="24"/>
          <w:szCs w:val="24"/>
        </w:rPr>
      </w:pPr>
      <w:r w:rsidRPr="0058067C">
        <w:rPr>
          <w:rFonts w:ascii="Arial" w:hAnsi="Arial" w:cs="Arial"/>
          <w:sz w:val="24"/>
          <w:szCs w:val="24"/>
        </w:rPr>
        <w:t xml:space="preserve">Within my practice, as mentioned we have a fire safety visual for when the fire alarms go off, we also implement the traffic light system within the setting to serve as a visual for transitioning throughout the routine. Within the setting all staff members are trained in Makaton to support visual communication, although this is predominantly a communication aid for children who are non-verbal or struggle with speech and language, it has its benefits of providing some basic British Sign Language (BSL) skills for staff to communicate with a Deaf child. Within my setting we also have a staff member who is qualified level two BSL who could support deaf children if they attend the setting. Staff have regular ALN training, which I have recently attended that gave some lovely visual ideas to support understanding of the routine and aid communication for example visual routine boards with real pictures or </w:t>
      </w:r>
      <w:r w:rsidRPr="0058067C">
        <w:rPr>
          <w:rFonts w:ascii="Arial" w:hAnsi="Arial" w:cs="Arial"/>
          <w:sz w:val="24"/>
          <w:szCs w:val="24"/>
        </w:rPr>
        <w:lastRenderedPageBreak/>
        <w:t>an object of reference bag. This can also be used by the child to help them communicate to those around them.</w:t>
      </w:r>
    </w:p>
    <w:p w:rsidR="0058067C" w:rsidRDefault="0058067C"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Default="00F4318E" w:rsidP="0058067C">
      <w:pPr>
        <w:rPr>
          <w:rFonts w:ascii="Arial" w:hAnsi="Arial" w:cs="Arial"/>
          <w:sz w:val="24"/>
          <w:szCs w:val="24"/>
        </w:rPr>
      </w:pPr>
    </w:p>
    <w:p w:rsidR="00F4318E" w:rsidRPr="00F4318E" w:rsidRDefault="00F4318E" w:rsidP="00F4318E">
      <w:pPr>
        <w:rPr>
          <w:rFonts w:ascii="Arial" w:hAnsi="Arial" w:cs="Arial"/>
          <w:sz w:val="24"/>
          <w:szCs w:val="24"/>
        </w:rPr>
      </w:pPr>
      <w:r w:rsidRPr="00F4318E">
        <w:rPr>
          <w:rFonts w:ascii="Arial" w:hAnsi="Arial" w:cs="Arial"/>
          <w:sz w:val="24"/>
          <w:szCs w:val="24"/>
        </w:rPr>
        <w:lastRenderedPageBreak/>
        <w:t>Reference list</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Anna Freud Mentally Healthy Schools, (no date) </w:t>
      </w:r>
      <w:hyperlink r:id="rId12" w:history="1">
        <w:r w:rsidRPr="00F4318E">
          <w:rPr>
            <w:rStyle w:val="Hyperlink"/>
            <w:rFonts w:ascii="Arial" w:hAnsi="Arial" w:cs="Arial"/>
            <w:sz w:val="24"/>
            <w:szCs w:val="24"/>
          </w:rPr>
          <w:t>https://www.mentallyhealthyschools.org.uk/getting-started/whats-mental-health/</w:t>
        </w:r>
      </w:hyperlink>
      <w:r w:rsidRPr="00F4318E">
        <w:rPr>
          <w:rFonts w:ascii="Arial" w:hAnsi="Arial" w:cs="Arial"/>
          <w:sz w:val="24"/>
          <w:szCs w:val="24"/>
        </w:rPr>
        <w:t xml:space="preserve"> </w:t>
      </w:r>
    </w:p>
    <w:p w:rsidR="00F4318E" w:rsidRPr="00F4318E" w:rsidRDefault="00F4318E" w:rsidP="00F4318E">
      <w:pPr>
        <w:rPr>
          <w:rFonts w:ascii="Arial" w:hAnsi="Arial" w:cs="Arial"/>
          <w:sz w:val="24"/>
          <w:szCs w:val="24"/>
        </w:rPr>
      </w:pPr>
      <w:r w:rsidRPr="00F4318E">
        <w:rPr>
          <w:rFonts w:ascii="Arial" w:hAnsi="Arial" w:cs="Arial"/>
          <w:sz w:val="24"/>
          <w:szCs w:val="24"/>
        </w:rPr>
        <w:t>Aubrey, K. and Riley, A., (2019) Understanding and Using Educational Theories, 2nd Edition. London: Sage Publications LTD.</w:t>
      </w:r>
    </w:p>
    <w:p w:rsidR="00F4318E" w:rsidRPr="00F4318E" w:rsidRDefault="00F4318E" w:rsidP="00F4318E">
      <w:pPr>
        <w:rPr>
          <w:rFonts w:ascii="Arial" w:hAnsi="Arial" w:cs="Arial"/>
          <w:bCs/>
          <w:sz w:val="24"/>
          <w:szCs w:val="24"/>
        </w:rPr>
      </w:pPr>
      <w:r w:rsidRPr="00F4318E">
        <w:rPr>
          <w:rFonts w:ascii="Arial" w:hAnsi="Arial" w:cs="Arial"/>
          <w:sz w:val="24"/>
          <w:szCs w:val="24"/>
        </w:rPr>
        <w:t xml:space="preserve">Barnardos, (2024) Healthy Lifestyles for Pre-schoolers. Available at </w:t>
      </w:r>
      <w:hyperlink r:id="rId13" w:history="1">
        <w:r w:rsidRPr="00F4318E">
          <w:rPr>
            <w:rStyle w:val="Hyperlink"/>
            <w:rFonts w:ascii="Arial" w:hAnsi="Arial" w:cs="Arial"/>
            <w:bCs/>
            <w:sz w:val="24"/>
            <w:szCs w:val="24"/>
          </w:rPr>
          <w:t>Healthy brain development with Five to Thrive</w:t>
        </w:r>
      </w:hyperlink>
      <w:r w:rsidRPr="00F4318E">
        <w:rPr>
          <w:rFonts w:ascii="Arial" w:hAnsi="Arial" w:cs="Arial"/>
          <w:b/>
          <w:bCs/>
          <w:sz w:val="24"/>
          <w:szCs w:val="24"/>
        </w:rPr>
        <w:t xml:space="preserve"> </w:t>
      </w:r>
      <w:r w:rsidRPr="00F4318E">
        <w:rPr>
          <w:rFonts w:ascii="Arial" w:hAnsi="Arial" w:cs="Arial"/>
          <w:bCs/>
          <w:sz w:val="24"/>
          <w:szCs w:val="24"/>
        </w:rPr>
        <w:t>[Accessed: 15</w:t>
      </w:r>
      <w:r w:rsidRPr="00F4318E">
        <w:rPr>
          <w:rFonts w:ascii="Arial" w:hAnsi="Arial" w:cs="Arial"/>
          <w:bCs/>
          <w:sz w:val="24"/>
          <w:szCs w:val="24"/>
          <w:vertAlign w:val="superscript"/>
        </w:rPr>
        <w:t>th</w:t>
      </w:r>
      <w:r w:rsidRPr="00F4318E">
        <w:rPr>
          <w:rFonts w:ascii="Arial" w:hAnsi="Arial" w:cs="Arial"/>
          <w:bCs/>
          <w:sz w:val="24"/>
          <w:szCs w:val="24"/>
        </w:rPr>
        <w:t xml:space="preserve"> June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Berliniski, S. and Schady, N. (2015) </w:t>
      </w:r>
      <w:r w:rsidRPr="00F4318E">
        <w:rPr>
          <w:rFonts w:ascii="Arial" w:hAnsi="Arial" w:cs="Arial"/>
          <w:i/>
          <w:sz w:val="24"/>
          <w:szCs w:val="24"/>
        </w:rPr>
        <w:t>The Early Years: Child Well-Being and the Role of Public Policy</w:t>
      </w:r>
      <w:r w:rsidRPr="00F4318E">
        <w:rPr>
          <w:rFonts w:ascii="Arial" w:hAnsi="Arial" w:cs="Arial"/>
          <w:sz w:val="24"/>
          <w:szCs w:val="24"/>
        </w:rPr>
        <w:t xml:space="preserve">, New York: Springer Open, Available at: </w:t>
      </w:r>
      <w:hyperlink r:id="rId14" w:history="1">
        <w:r w:rsidRPr="00F4318E">
          <w:rPr>
            <w:rStyle w:val="Hyperlink"/>
            <w:rFonts w:ascii="Arial" w:hAnsi="Arial" w:cs="Arial"/>
            <w:sz w:val="24"/>
            <w:szCs w:val="24"/>
          </w:rPr>
          <w:t>https://library.oapen.org/viewer/web/viewer.html?file=/bitstream/handle/20.500.12657/28151/1001843.pdf?sequence=1&amp;isAllowed=y</w:t>
        </w:r>
      </w:hyperlink>
      <w:r w:rsidRPr="00F4318E">
        <w:rPr>
          <w:rFonts w:ascii="Arial" w:hAnsi="Arial" w:cs="Arial"/>
          <w:sz w:val="24"/>
          <w:szCs w:val="24"/>
        </w:rPr>
        <w:t xml:space="preserve"> [Accessed: 8</w:t>
      </w:r>
      <w:r w:rsidRPr="00F4318E">
        <w:rPr>
          <w:rFonts w:ascii="Arial" w:hAnsi="Arial" w:cs="Arial"/>
          <w:sz w:val="24"/>
          <w:szCs w:val="24"/>
          <w:vertAlign w:val="superscript"/>
        </w:rPr>
        <w:t>th</w:t>
      </w:r>
      <w:r w:rsidRPr="00F4318E">
        <w:rPr>
          <w:rFonts w:ascii="Arial" w:hAnsi="Arial" w:cs="Arial"/>
          <w:sz w:val="24"/>
          <w:szCs w:val="24"/>
        </w:rPr>
        <w:t xml:space="preserve"> June 2024].</w:t>
      </w:r>
    </w:p>
    <w:p w:rsidR="00F4318E" w:rsidRPr="00F4318E" w:rsidRDefault="00F4318E" w:rsidP="00F4318E">
      <w:pPr>
        <w:rPr>
          <w:rFonts w:ascii="Arial" w:hAnsi="Arial" w:cs="Arial"/>
          <w:sz w:val="24"/>
          <w:szCs w:val="24"/>
        </w:rPr>
      </w:pPr>
      <w:r w:rsidRPr="00F4318E">
        <w:rPr>
          <w:rFonts w:ascii="Arial" w:hAnsi="Arial" w:cs="Arial"/>
          <w:sz w:val="24"/>
          <w:szCs w:val="24"/>
        </w:rPr>
        <w:t>Bowen, B. (2021) 'The Matrix of Needs: Reframing Maslow's Hierarchy', </w:t>
      </w:r>
      <w:r w:rsidRPr="00F4318E">
        <w:rPr>
          <w:rFonts w:ascii="Arial" w:hAnsi="Arial" w:cs="Arial"/>
          <w:i/>
          <w:iCs/>
          <w:sz w:val="24"/>
          <w:szCs w:val="24"/>
        </w:rPr>
        <w:t>Health</w:t>
      </w:r>
      <w:r w:rsidRPr="00F4318E">
        <w:rPr>
          <w:rFonts w:ascii="Arial" w:hAnsi="Arial" w:cs="Arial"/>
          <w:sz w:val="24"/>
          <w:szCs w:val="24"/>
        </w:rPr>
        <w:t xml:space="preserve">, (13)5. Available at: </w:t>
      </w:r>
      <w:hyperlink r:id="rId15" w:history="1">
        <w:r w:rsidRPr="00F4318E">
          <w:rPr>
            <w:rStyle w:val="Hyperlink"/>
            <w:rFonts w:ascii="Arial" w:hAnsi="Arial" w:cs="Arial"/>
            <w:sz w:val="24"/>
            <w:szCs w:val="24"/>
          </w:rPr>
          <w:t>https://doi.org/10.4236/health.2021.135041</w:t>
        </w:r>
      </w:hyperlink>
      <w:r w:rsidRPr="00F4318E">
        <w:rPr>
          <w:rFonts w:ascii="Arial" w:hAnsi="Arial" w:cs="Arial"/>
          <w:sz w:val="24"/>
          <w:szCs w:val="24"/>
        </w:rPr>
        <w:t xml:space="preserve"> [Accessed: 14</w:t>
      </w:r>
      <w:r w:rsidRPr="00F4318E">
        <w:rPr>
          <w:rFonts w:ascii="Arial" w:hAnsi="Arial" w:cs="Arial"/>
          <w:sz w:val="24"/>
          <w:szCs w:val="24"/>
          <w:vertAlign w:val="superscript"/>
        </w:rPr>
        <w:t>th</w:t>
      </w:r>
      <w:r w:rsidRPr="00F4318E">
        <w:rPr>
          <w:rFonts w:ascii="Arial" w:hAnsi="Arial" w:cs="Arial"/>
          <w:sz w:val="24"/>
          <w:szCs w:val="24"/>
        </w:rPr>
        <w:t xml:space="preserve"> June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Brewer, H. and Renck-Jalongo, M. (2018) </w:t>
      </w:r>
      <w:r w:rsidRPr="00F4318E">
        <w:rPr>
          <w:rFonts w:ascii="Arial" w:hAnsi="Arial" w:cs="Arial"/>
          <w:i/>
          <w:sz w:val="24"/>
          <w:szCs w:val="24"/>
        </w:rPr>
        <w:t>Physical Activity and Health Promotion in the Early Years: Effective Strategies for Early Childhood Education,</w:t>
      </w:r>
      <w:r w:rsidRPr="00F4318E">
        <w:rPr>
          <w:rFonts w:ascii="Arial" w:hAnsi="Arial" w:cs="Arial"/>
          <w:sz w:val="24"/>
          <w:szCs w:val="24"/>
        </w:rPr>
        <w:t xml:space="preserve"> London: Springer</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British Deaf Association,(no date)  </w:t>
      </w:r>
      <w:hyperlink r:id="rId16" w:anchor=":~:text=The%20%22BSL%20In%20Our%20Hands,are%20born%20to%20hearing%20parents." w:history="1">
        <w:r w:rsidRPr="00F4318E">
          <w:rPr>
            <w:rStyle w:val="Hyperlink"/>
            <w:rFonts w:ascii="Arial" w:hAnsi="Arial" w:cs="Arial"/>
            <w:sz w:val="24"/>
            <w:szCs w:val="24"/>
          </w:rPr>
          <w:t>BDA kicks off Sign Language Week 2024 with early years campaign: “BSL In Our Hands” - British Deaf Association</w:t>
        </w:r>
      </w:hyperlink>
    </w:p>
    <w:p w:rsidR="00F4318E" w:rsidRPr="00F4318E" w:rsidRDefault="00F4318E" w:rsidP="00F4318E">
      <w:pPr>
        <w:rPr>
          <w:rFonts w:ascii="Arial" w:hAnsi="Arial" w:cs="Arial"/>
          <w:sz w:val="24"/>
          <w:szCs w:val="24"/>
        </w:rPr>
      </w:pPr>
      <w:r w:rsidRPr="00F4318E">
        <w:rPr>
          <w:rFonts w:ascii="Arial" w:hAnsi="Arial" w:cs="Arial"/>
          <w:sz w:val="24"/>
          <w:szCs w:val="24"/>
        </w:rPr>
        <w:t xml:space="preserve">British Deaf Association Northern Ireland, (no date), </w:t>
      </w:r>
      <w:r w:rsidRPr="00F4318E">
        <w:rPr>
          <w:rFonts w:ascii="Arial" w:hAnsi="Arial" w:cs="Arial"/>
          <w:i/>
          <w:sz w:val="24"/>
          <w:szCs w:val="24"/>
        </w:rPr>
        <w:t>Early Intervention for Deaf Children in Ireland</w:t>
      </w:r>
      <w:r w:rsidRPr="00F4318E">
        <w:rPr>
          <w:rFonts w:ascii="Arial" w:hAnsi="Arial" w:cs="Arial"/>
          <w:sz w:val="24"/>
          <w:szCs w:val="24"/>
        </w:rPr>
        <w:t xml:space="preserve">, </w:t>
      </w:r>
      <w:r w:rsidRPr="00F4318E">
        <w:rPr>
          <w:rFonts w:ascii="Arial" w:hAnsi="Arial" w:cs="Arial"/>
          <w:i/>
          <w:sz w:val="24"/>
          <w:szCs w:val="24"/>
        </w:rPr>
        <w:t xml:space="preserve"> </w:t>
      </w:r>
      <w:r w:rsidRPr="00F4318E">
        <w:rPr>
          <w:rFonts w:ascii="Arial" w:hAnsi="Arial" w:cs="Arial"/>
          <w:sz w:val="24"/>
          <w:szCs w:val="24"/>
        </w:rPr>
        <w:t xml:space="preserve">Available at: </w:t>
      </w:r>
      <w:hyperlink r:id="rId17" w:history="1">
        <w:r w:rsidRPr="00F4318E">
          <w:rPr>
            <w:rStyle w:val="Hyperlink"/>
            <w:rFonts w:ascii="Arial" w:hAnsi="Arial" w:cs="Arial"/>
            <w:sz w:val="24"/>
            <w:szCs w:val="24"/>
          </w:rPr>
          <w:t>https://bda.org.uk/wp-content/uploads/2017/03/BDA-NI-Report-Early-Years-Intervention-for-Deaf-Children-in-Northern-Ireland-2014.pdf</w:t>
        </w:r>
      </w:hyperlink>
      <w:r w:rsidRPr="00F4318E">
        <w:rPr>
          <w:rFonts w:ascii="Arial" w:hAnsi="Arial" w:cs="Arial"/>
          <w:sz w:val="24"/>
          <w:szCs w:val="24"/>
        </w:rPr>
        <w:t xml:space="preserve"> [accessed: 29</w:t>
      </w:r>
      <w:r w:rsidRPr="00F4318E">
        <w:rPr>
          <w:rFonts w:ascii="Arial" w:hAnsi="Arial" w:cs="Arial"/>
          <w:sz w:val="24"/>
          <w:szCs w:val="24"/>
          <w:vertAlign w:val="superscript"/>
        </w:rPr>
        <w:t>th</w:t>
      </w:r>
      <w:r w:rsidRPr="00F4318E">
        <w:rPr>
          <w:rFonts w:ascii="Arial" w:hAnsi="Arial" w:cs="Arial"/>
          <w:sz w:val="24"/>
          <w:szCs w:val="24"/>
        </w:rPr>
        <w:t xml:space="preserve"> May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Deafness Forum Australia, (no date) </w:t>
      </w:r>
      <w:r w:rsidRPr="00F4318E">
        <w:rPr>
          <w:rFonts w:ascii="Arial" w:hAnsi="Arial" w:cs="Arial"/>
          <w:i/>
          <w:sz w:val="24"/>
          <w:szCs w:val="24"/>
        </w:rPr>
        <w:t>The Disabling Effects of Hearing Loss,</w:t>
      </w:r>
      <w:r w:rsidRPr="00F4318E">
        <w:rPr>
          <w:rFonts w:ascii="Arial" w:hAnsi="Arial" w:cs="Arial"/>
          <w:sz w:val="24"/>
          <w:szCs w:val="24"/>
        </w:rPr>
        <w:t xml:space="preserve"> Available at:  </w:t>
      </w:r>
      <w:hyperlink r:id="rId18" w:history="1">
        <w:r w:rsidRPr="00F4318E">
          <w:rPr>
            <w:rStyle w:val="Hyperlink"/>
            <w:rFonts w:ascii="Arial" w:hAnsi="Arial" w:cs="Arial"/>
            <w:sz w:val="24"/>
            <w:szCs w:val="24"/>
          </w:rPr>
          <w:t>https://www.deafnessforum.org.au/deafness-forum/the-disabling-effects-of-hearing-loss/</w:t>
        </w:r>
      </w:hyperlink>
      <w:r w:rsidRPr="00F4318E">
        <w:rPr>
          <w:rFonts w:ascii="Arial" w:hAnsi="Arial" w:cs="Arial"/>
          <w:sz w:val="24"/>
          <w:szCs w:val="24"/>
        </w:rPr>
        <w:t xml:space="preserve"> [Accessed: 27</w:t>
      </w:r>
      <w:r w:rsidRPr="00F4318E">
        <w:rPr>
          <w:rFonts w:ascii="Arial" w:hAnsi="Arial" w:cs="Arial"/>
          <w:sz w:val="24"/>
          <w:szCs w:val="24"/>
          <w:vertAlign w:val="superscript"/>
        </w:rPr>
        <w:t>th</w:t>
      </w:r>
      <w:r w:rsidRPr="00F4318E">
        <w:rPr>
          <w:rFonts w:ascii="Arial" w:hAnsi="Arial" w:cs="Arial"/>
          <w:sz w:val="24"/>
          <w:szCs w:val="24"/>
        </w:rPr>
        <w:t xml:space="preserve"> May 2024]. </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Department of Education, (no date) </w:t>
      </w:r>
      <w:hyperlink r:id="rId19" w:history="1">
        <w:r w:rsidRPr="00F4318E">
          <w:rPr>
            <w:rStyle w:val="Hyperlink"/>
            <w:rFonts w:ascii="Arial" w:hAnsi="Arial" w:cs="Arial"/>
            <w:sz w:val="24"/>
            <w:szCs w:val="24"/>
          </w:rPr>
          <w:t>https://help-for-early-years-providers.education.gov.uk/safeguarding-and-welfare/mental-health-for-early-years-children</w:t>
        </w:r>
      </w:hyperlink>
      <w:r w:rsidRPr="00F4318E">
        <w:rPr>
          <w:rFonts w:ascii="Arial" w:hAnsi="Arial" w:cs="Arial"/>
          <w:sz w:val="24"/>
          <w:szCs w:val="24"/>
        </w:rPr>
        <w:t xml:space="preserve"> </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Department of Health , (2014) </w:t>
      </w:r>
      <w:r w:rsidRPr="00F4318E">
        <w:rPr>
          <w:rFonts w:ascii="Arial" w:hAnsi="Arial" w:cs="Arial"/>
          <w:i/>
          <w:sz w:val="24"/>
          <w:szCs w:val="24"/>
        </w:rPr>
        <w:t>The Relationships between Wellbeing and Health</w:t>
      </w:r>
      <w:r w:rsidRPr="00F4318E">
        <w:rPr>
          <w:rFonts w:ascii="Arial" w:hAnsi="Arial" w:cs="Arial"/>
          <w:sz w:val="24"/>
          <w:szCs w:val="24"/>
        </w:rPr>
        <w:t xml:space="preserve">, Available at </w:t>
      </w:r>
      <w:hyperlink r:id="rId20" w:history="1">
        <w:r w:rsidRPr="00F4318E">
          <w:rPr>
            <w:rStyle w:val="Hyperlink"/>
            <w:rFonts w:ascii="Arial" w:hAnsi="Arial" w:cs="Arial"/>
            <w:sz w:val="24"/>
            <w:szCs w:val="24"/>
          </w:rPr>
          <w:t>The relationship between wellbeing and health (publishing.service.gov.uk)</w:t>
        </w:r>
      </w:hyperlink>
      <w:r w:rsidRPr="00F4318E">
        <w:rPr>
          <w:rFonts w:ascii="Arial" w:hAnsi="Arial" w:cs="Arial"/>
          <w:sz w:val="24"/>
          <w:szCs w:val="24"/>
        </w:rPr>
        <w:t xml:space="preserve"> [Accessed: 9</w:t>
      </w:r>
      <w:r w:rsidRPr="00F4318E">
        <w:rPr>
          <w:rFonts w:ascii="Arial" w:hAnsi="Arial" w:cs="Arial"/>
          <w:sz w:val="24"/>
          <w:szCs w:val="24"/>
          <w:vertAlign w:val="superscript"/>
        </w:rPr>
        <w:t>th</w:t>
      </w:r>
      <w:r w:rsidRPr="00F4318E">
        <w:rPr>
          <w:rFonts w:ascii="Arial" w:hAnsi="Arial" w:cs="Arial"/>
          <w:sz w:val="24"/>
          <w:szCs w:val="24"/>
        </w:rPr>
        <w:t xml:space="preserve"> June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Education Scotland, (no date) </w:t>
      </w:r>
      <w:r w:rsidRPr="00F4318E">
        <w:rPr>
          <w:rFonts w:ascii="Arial" w:hAnsi="Arial" w:cs="Arial"/>
          <w:i/>
          <w:sz w:val="24"/>
          <w:szCs w:val="24"/>
        </w:rPr>
        <w:t>British Sign Language (BSL) toolkit for Practitioners</w:t>
      </w:r>
      <w:r w:rsidRPr="00F4318E">
        <w:rPr>
          <w:rFonts w:ascii="Arial" w:hAnsi="Arial" w:cs="Arial"/>
          <w:sz w:val="24"/>
          <w:szCs w:val="24"/>
        </w:rPr>
        <w:t xml:space="preserve">, Available at </w:t>
      </w:r>
      <w:hyperlink r:id="rId21" w:history="1">
        <w:r w:rsidRPr="00F4318E">
          <w:rPr>
            <w:rStyle w:val="Hyperlink"/>
            <w:rFonts w:ascii="Arial" w:hAnsi="Arial" w:cs="Arial"/>
            <w:sz w:val="24"/>
            <w:szCs w:val="24"/>
          </w:rPr>
          <w:t>British Sign Language (BSL) - Toolkit for Practitioners - Background (education.gov.scot)</w:t>
        </w:r>
      </w:hyperlink>
      <w:r w:rsidRPr="00F4318E">
        <w:rPr>
          <w:rFonts w:ascii="Arial" w:hAnsi="Arial" w:cs="Arial"/>
          <w:sz w:val="24"/>
          <w:szCs w:val="24"/>
        </w:rPr>
        <w:t xml:space="preserve"> [Accssed:31</w:t>
      </w:r>
      <w:r w:rsidRPr="00F4318E">
        <w:rPr>
          <w:rFonts w:ascii="Arial" w:hAnsi="Arial" w:cs="Arial"/>
          <w:sz w:val="24"/>
          <w:szCs w:val="24"/>
          <w:vertAlign w:val="superscript"/>
        </w:rPr>
        <w:t>st</w:t>
      </w:r>
      <w:r w:rsidRPr="00F4318E">
        <w:rPr>
          <w:rFonts w:ascii="Arial" w:hAnsi="Arial" w:cs="Arial"/>
          <w:sz w:val="24"/>
          <w:szCs w:val="24"/>
        </w:rPr>
        <w:t xml:space="preserve"> May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Fellinger, J., Holzinger, D. and Pollard, R. (2012) ‘Mental health of deaf people’, </w:t>
      </w:r>
      <w:r w:rsidRPr="00F4318E">
        <w:rPr>
          <w:rFonts w:ascii="Arial" w:hAnsi="Arial" w:cs="Arial"/>
          <w:i/>
          <w:iCs/>
          <w:sz w:val="24"/>
          <w:szCs w:val="24"/>
        </w:rPr>
        <w:t>The Lancet (British edition)</w:t>
      </w:r>
      <w:r w:rsidRPr="00F4318E">
        <w:rPr>
          <w:rFonts w:ascii="Arial" w:hAnsi="Arial" w:cs="Arial"/>
          <w:sz w:val="24"/>
          <w:szCs w:val="24"/>
        </w:rPr>
        <w:t xml:space="preserve">, 379(9820), pp. 1037–1044. Available at: </w:t>
      </w:r>
      <w:hyperlink r:id="rId22" w:history="1">
        <w:r w:rsidRPr="00F4318E">
          <w:rPr>
            <w:rStyle w:val="Hyperlink"/>
            <w:rFonts w:ascii="Arial" w:hAnsi="Arial" w:cs="Arial"/>
            <w:sz w:val="24"/>
            <w:szCs w:val="24"/>
          </w:rPr>
          <w:t>https://doi.org/10.1016/S0140-6736(11)61143-4</w:t>
        </w:r>
      </w:hyperlink>
      <w:r w:rsidRPr="00F4318E">
        <w:rPr>
          <w:rFonts w:ascii="Arial" w:hAnsi="Arial" w:cs="Arial"/>
          <w:sz w:val="24"/>
          <w:szCs w:val="24"/>
        </w:rPr>
        <w:t>. [Accessed: 26</w:t>
      </w:r>
      <w:r w:rsidRPr="00F4318E">
        <w:rPr>
          <w:rFonts w:ascii="Arial" w:hAnsi="Arial" w:cs="Arial"/>
          <w:sz w:val="24"/>
          <w:szCs w:val="24"/>
          <w:vertAlign w:val="superscript"/>
        </w:rPr>
        <w:t>th</w:t>
      </w:r>
      <w:r w:rsidRPr="00F4318E">
        <w:rPr>
          <w:rFonts w:ascii="Arial" w:hAnsi="Arial" w:cs="Arial"/>
          <w:sz w:val="24"/>
          <w:szCs w:val="24"/>
        </w:rPr>
        <w:t xml:space="preserve"> May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Flying Start, (no date) </w:t>
      </w:r>
      <w:hyperlink r:id="rId23" w:history="1">
        <w:r w:rsidRPr="00F4318E">
          <w:rPr>
            <w:rStyle w:val="Hyperlink"/>
            <w:rFonts w:ascii="Arial" w:hAnsi="Arial" w:cs="Arial"/>
            <w:sz w:val="24"/>
            <w:szCs w:val="24"/>
          </w:rPr>
          <w:t>Welcome to Cardiff Flying Start - Flying Start Cardiff</w:t>
        </w:r>
      </w:hyperlink>
    </w:p>
    <w:p w:rsidR="00F4318E" w:rsidRPr="00F4318E" w:rsidRDefault="00F4318E" w:rsidP="00F4318E">
      <w:pPr>
        <w:rPr>
          <w:rFonts w:ascii="Arial" w:hAnsi="Arial" w:cs="Arial"/>
          <w:sz w:val="24"/>
          <w:szCs w:val="24"/>
        </w:rPr>
      </w:pPr>
      <w:r w:rsidRPr="00F4318E">
        <w:rPr>
          <w:rFonts w:ascii="Arial" w:hAnsi="Arial" w:cs="Arial"/>
          <w:sz w:val="24"/>
          <w:szCs w:val="24"/>
        </w:rPr>
        <w:lastRenderedPageBreak/>
        <w:t>Hayes, N., Halpenny, A.M. and O’Toole, L. (2017) Introducing Bronfenbrenner: A Guide for Practitioners and Students in Early Years Education. London: Routledge. Available at: https://doi.org/10.4324/9781315646206. [Accessed: 15</w:t>
      </w:r>
      <w:r w:rsidRPr="00F4318E">
        <w:rPr>
          <w:rFonts w:ascii="Arial" w:hAnsi="Arial" w:cs="Arial"/>
          <w:sz w:val="24"/>
          <w:szCs w:val="24"/>
          <w:vertAlign w:val="superscript"/>
        </w:rPr>
        <w:t>th</w:t>
      </w:r>
      <w:r w:rsidRPr="00F4318E">
        <w:rPr>
          <w:rFonts w:ascii="Arial" w:hAnsi="Arial" w:cs="Arial"/>
          <w:sz w:val="24"/>
          <w:szCs w:val="24"/>
        </w:rPr>
        <w:t xml:space="preserve"> June 2024].</w:t>
      </w:r>
    </w:p>
    <w:p w:rsidR="00F4318E" w:rsidRPr="00F4318E" w:rsidRDefault="00F4318E" w:rsidP="00F4318E">
      <w:pPr>
        <w:rPr>
          <w:rFonts w:ascii="Arial" w:hAnsi="Arial" w:cs="Arial"/>
          <w:sz w:val="24"/>
          <w:szCs w:val="24"/>
        </w:rPr>
      </w:pPr>
      <w:r w:rsidRPr="00F4318E">
        <w:rPr>
          <w:rFonts w:ascii="Arial" w:hAnsi="Arial" w:cs="Arial"/>
          <w:sz w:val="24"/>
          <w:szCs w:val="24"/>
        </w:rPr>
        <w:t>Hull City Council. (2016) </w:t>
      </w:r>
      <w:r w:rsidRPr="00F4318E">
        <w:rPr>
          <w:rFonts w:ascii="Arial" w:hAnsi="Arial" w:cs="Arial"/>
          <w:i/>
          <w:sz w:val="24"/>
          <w:szCs w:val="24"/>
        </w:rPr>
        <w:t>Supporting Children with Sensory Impairment</w:t>
      </w:r>
      <w:r w:rsidRPr="00F4318E">
        <w:rPr>
          <w:rFonts w:ascii="Arial" w:hAnsi="Arial" w:cs="Arial"/>
          <w:sz w:val="24"/>
          <w:szCs w:val="24"/>
        </w:rPr>
        <w:t>, United Kingdom: Taylor &amp; Francis.</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HM Government, (2023) </w:t>
      </w:r>
      <w:r w:rsidRPr="00F4318E">
        <w:rPr>
          <w:rFonts w:ascii="Arial" w:hAnsi="Arial" w:cs="Arial"/>
          <w:i/>
          <w:sz w:val="24"/>
          <w:szCs w:val="24"/>
        </w:rPr>
        <w:t>Working Together to Safeguard Children</w:t>
      </w:r>
      <w:r w:rsidRPr="00F4318E">
        <w:rPr>
          <w:rFonts w:ascii="Arial" w:hAnsi="Arial" w:cs="Arial"/>
          <w:sz w:val="24"/>
          <w:szCs w:val="24"/>
        </w:rPr>
        <w:t xml:space="preserve">, Available at: </w:t>
      </w:r>
      <w:hyperlink r:id="rId24" w:history="1">
        <w:r w:rsidRPr="00F4318E">
          <w:rPr>
            <w:rStyle w:val="Hyperlink"/>
            <w:rFonts w:ascii="Arial" w:hAnsi="Arial" w:cs="Arial"/>
            <w:sz w:val="24"/>
            <w:szCs w:val="24"/>
          </w:rPr>
          <w:t>Working together to safeguard children 2023: statutory guidance (publishing.service.gov.uk)</w:t>
        </w:r>
      </w:hyperlink>
      <w:r w:rsidRPr="00F4318E">
        <w:rPr>
          <w:rFonts w:ascii="Arial" w:hAnsi="Arial" w:cs="Arial"/>
          <w:sz w:val="24"/>
          <w:szCs w:val="24"/>
        </w:rPr>
        <w:t xml:space="preserve"> [Accessed: 30</w:t>
      </w:r>
      <w:r w:rsidRPr="00F4318E">
        <w:rPr>
          <w:rFonts w:ascii="Arial" w:hAnsi="Arial" w:cs="Arial"/>
          <w:sz w:val="24"/>
          <w:szCs w:val="24"/>
          <w:vertAlign w:val="superscript"/>
        </w:rPr>
        <w:t>th</w:t>
      </w:r>
      <w:r w:rsidRPr="00F4318E">
        <w:rPr>
          <w:rFonts w:ascii="Arial" w:hAnsi="Arial" w:cs="Arial"/>
          <w:sz w:val="24"/>
          <w:szCs w:val="24"/>
        </w:rPr>
        <w:t xml:space="preserve"> May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Mainstone-Cotton, S. (2017) </w:t>
      </w:r>
      <w:r w:rsidRPr="00F4318E">
        <w:rPr>
          <w:rFonts w:ascii="Arial" w:hAnsi="Arial" w:cs="Arial"/>
          <w:i/>
          <w:sz w:val="24"/>
          <w:szCs w:val="24"/>
        </w:rPr>
        <w:t>Promoting Young Children's Emotional Health and Wellbeing: A Practical Guide for Professionals and Parents</w:t>
      </w:r>
      <w:r w:rsidRPr="00F4318E">
        <w:rPr>
          <w:rFonts w:ascii="Arial" w:hAnsi="Arial" w:cs="Arial"/>
          <w:sz w:val="24"/>
          <w:szCs w:val="24"/>
        </w:rPr>
        <w:t>, London: Jessica Kingsley Publishers. Available from: ProQuest Ebook Central. [Accessed: 15</w:t>
      </w:r>
      <w:r w:rsidRPr="00F4318E">
        <w:rPr>
          <w:rFonts w:ascii="Arial" w:hAnsi="Arial" w:cs="Arial"/>
          <w:sz w:val="24"/>
          <w:szCs w:val="24"/>
          <w:vertAlign w:val="superscript"/>
        </w:rPr>
        <w:t>th</w:t>
      </w:r>
      <w:r w:rsidRPr="00F4318E">
        <w:rPr>
          <w:rFonts w:ascii="Arial" w:hAnsi="Arial" w:cs="Arial"/>
          <w:sz w:val="24"/>
          <w:szCs w:val="24"/>
        </w:rPr>
        <w:t xml:space="preserve"> June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Murray, J.J., Hall, W.C. and Snoddon, K. (2019) ‘Education and health of children with hearing loss: the necessity of signed languages’, </w:t>
      </w:r>
      <w:r w:rsidRPr="00F4318E">
        <w:rPr>
          <w:rFonts w:ascii="Arial" w:hAnsi="Arial" w:cs="Arial"/>
          <w:i/>
          <w:iCs/>
          <w:sz w:val="24"/>
          <w:szCs w:val="24"/>
        </w:rPr>
        <w:t>Bulletin of the World Health Organization</w:t>
      </w:r>
      <w:r w:rsidRPr="00F4318E">
        <w:rPr>
          <w:rFonts w:ascii="Arial" w:hAnsi="Arial" w:cs="Arial"/>
          <w:sz w:val="24"/>
          <w:szCs w:val="24"/>
        </w:rPr>
        <w:t xml:space="preserve">, 97(10), pp. 711–716. Available at: </w:t>
      </w:r>
      <w:hyperlink r:id="rId25" w:history="1">
        <w:r w:rsidRPr="00F4318E">
          <w:rPr>
            <w:rStyle w:val="Hyperlink"/>
            <w:rFonts w:ascii="Arial" w:hAnsi="Arial" w:cs="Arial"/>
            <w:sz w:val="24"/>
            <w:szCs w:val="24"/>
          </w:rPr>
          <w:t>https://doi.org/10.2471/BLT.19.229427</w:t>
        </w:r>
      </w:hyperlink>
      <w:r w:rsidRPr="00F4318E">
        <w:rPr>
          <w:rFonts w:ascii="Arial" w:hAnsi="Arial" w:cs="Arial"/>
          <w:sz w:val="24"/>
          <w:szCs w:val="24"/>
        </w:rPr>
        <w:t>. [Accessed: 26th May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Musgrave, J. (2017) </w:t>
      </w:r>
      <w:r w:rsidRPr="00F4318E">
        <w:rPr>
          <w:rFonts w:ascii="Arial" w:hAnsi="Arial" w:cs="Arial"/>
          <w:i/>
          <w:sz w:val="24"/>
          <w:szCs w:val="24"/>
        </w:rPr>
        <w:t>Supporting Children’s Health and Wellbeing</w:t>
      </w:r>
      <w:r w:rsidRPr="00F4318E">
        <w:rPr>
          <w:rFonts w:ascii="Arial" w:hAnsi="Arial" w:cs="Arial"/>
          <w:sz w:val="24"/>
          <w:szCs w:val="24"/>
        </w:rPr>
        <w:t>, London: Sage Publications</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Murphy, A. (2022) ‘Play Pioneers and their Legacy’, in Walter-Davies, J. (eds) </w:t>
      </w:r>
      <w:r w:rsidRPr="00F4318E">
        <w:rPr>
          <w:rFonts w:ascii="Arial" w:hAnsi="Arial" w:cs="Arial"/>
          <w:i/>
          <w:sz w:val="24"/>
          <w:szCs w:val="24"/>
        </w:rPr>
        <w:t>Introduction to Play</w:t>
      </w:r>
      <w:r w:rsidRPr="00F4318E">
        <w:rPr>
          <w:rFonts w:ascii="Arial" w:hAnsi="Arial" w:cs="Arial"/>
          <w:sz w:val="24"/>
          <w:szCs w:val="24"/>
        </w:rPr>
        <w:t>. London: Sage Publication.</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National Health Service, (2021) </w:t>
      </w:r>
      <w:r w:rsidRPr="00F4318E">
        <w:rPr>
          <w:rFonts w:ascii="Arial" w:hAnsi="Arial" w:cs="Arial"/>
          <w:i/>
          <w:sz w:val="24"/>
          <w:szCs w:val="24"/>
        </w:rPr>
        <w:t>Physical Activity Guidelines for Children (Under 5 years)</w:t>
      </w:r>
      <w:r w:rsidRPr="00F4318E">
        <w:rPr>
          <w:rFonts w:ascii="Arial" w:hAnsi="Arial" w:cs="Arial"/>
          <w:sz w:val="24"/>
          <w:szCs w:val="24"/>
        </w:rPr>
        <w:t xml:space="preserve"> </w:t>
      </w:r>
      <w:hyperlink r:id="rId26" w:history="1">
        <w:r w:rsidRPr="00F4318E">
          <w:rPr>
            <w:rStyle w:val="Hyperlink"/>
            <w:rFonts w:ascii="Arial" w:hAnsi="Arial" w:cs="Arial"/>
            <w:sz w:val="24"/>
            <w:szCs w:val="24"/>
          </w:rPr>
          <w:t>Physical activity guidelines for children (under 5 years) - NHS (www.nhs.uk)</w:t>
        </w:r>
      </w:hyperlink>
      <w:r w:rsidRPr="00F4318E">
        <w:rPr>
          <w:rFonts w:ascii="Arial" w:hAnsi="Arial" w:cs="Arial"/>
          <w:sz w:val="24"/>
          <w:szCs w:val="24"/>
        </w:rPr>
        <w:t xml:space="preserve"> [Accessed:15</w:t>
      </w:r>
      <w:r w:rsidRPr="00F4318E">
        <w:rPr>
          <w:rFonts w:ascii="Arial" w:hAnsi="Arial" w:cs="Arial"/>
          <w:sz w:val="24"/>
          <w:szCs w:val="24"/>
          <w:vertAlign w:val="superscript"/>
        </w:rPr>
        <w:t>th</w:t>
      </w:r>
      <w:r w:rsidRPr="00F4318E">
        <w:rPr>
          <w:rFonts w:ascii="Arial" w:hAnsi="Arial" w:cs="Arial"/>
          <w:sz w:val="24"/>
          <w:szCs w:val="24"/>
        </w:rPr>
        <w:t xml:space="preserve"> June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National Health Service England, (no date), </w:t>
      </w:r>
      <w:hyperlink r:id="rId27" w:history="1">
        <w:r w:rsidRPr="00F4318E">
          <w:rPr>
            <w:rStyle w:val="Hyperlink"/>
            <w:rFonts w:ascii="Arial" w:hAnsi="Arial" w:cs="Arial"/>
            <w:sz w:val="24"/>
            <w:szCs w:val="24"/>
          </w:rPr>
          <w:t>NHS England » Improving personal health and wellbeing</w:t>
        </w:r>
      </w:hyperlink>
    </w:p>
    <w:p w:rsidR="00F4318E" w:rsidRPr="00F4318E" w:rsidRDefault="00F4318E" w:rsidP="00F4318E">
      <w:pPr>
        <w:rPr>
          <w:rFonts w:ascii="Arial" w:hAnsi="Arial" w:cs="Arial"/>
          <w:sz w:val="24"/>
          <w:szCs w:val="24"/>
        </w:rPr>
      </w:pPr>
      <w:r w:rsidRPr="00F4318E">
        <w:rPr>
          <w:rFonts w:ascii="Arial" w:hAnsi="Arial" w:cs="Arial"/>
          <w:sz w:val="24"/>
          <w:szCs w:val="24"/>
        </w:rPr>
        <w:t xml:space="preserve">National Deaf Children’s Society, (no date) </w:t>
      </w:r>
      <w:r w:rsidRPr="00F4318E">
        <w:rPr>
          <w:rFonts w:ascii="Arial" w:hAnsi="Arial" w:cs="Arial"/>
          <w:i/>
          <w:sz w:val="24"/>
          <w:szCs w:val="24"/>
        </w:rPr>
        <w:t>Supporting your Deaf Child’s Mental and Emotional Health</w:t>
      </w:r>
      <w:r w:rsidRPr="00F4318E">
        <w:rPr>
          <w:rFonts w:ascii="Arial" w:hAnsi="Arial" w:cs="Arial"/>
          <w:sz w:val="24"/>
          <w:szCs w:val="24"/>
        </w:rPr>
        <w:t xml:space="preserve"> Available at: </w:t>
      </w:r>
      <w:hyperlink r:id="rId28" w:history="1">
        <w:r w:rsidRPr="00F4318E">
          <w:rPr>
            <w:rStyle w:val="Hyperlink"/>
            <w:rFonts w:ascii="Arial" w:hAnsi="Arial" w:cs="Arial"/>
            <w:sz w:val="24"/>
            <w:szCs w:val="24"/>
          </w:rPr>
          <w:t>supporting-your-deaf-childs-mental-health-deaf-child-worldwide.pdf (ndcs.org.uk)</w:t>
        </w:r>
      </w:hyperlink>
      <w:r w:rsidRPr="00F4318E">
        <w:rPr>
          <w:rFonts w:ascii="Arial" w:hAnsi="Arial" w:cs="Arial"/>
          <w:sz w:val="24"/>
          <w:szCs w:val="24"/>
        </w:rPr>
        <w:t xml:space="preserve"> [Accessed: 26</w:t>
      </w:r>
      <w:r w:rsidRPr="00F4318E">
        <w:rPr>
          <w:rFonts w:ascii="Arial" w:hAnsi="Arial" w:cs="Arial"/>
          <w:sz w:val="24"/>
          <w:szCs w:val="24"/>
          <w:vertAlign w:val="superscript"/>
        </w:rPr>
        <w:t>th</w:t>
      </w:r>
      <w:r w:rsidRPr="00F4318E">
        <w:rPr>
          <w:rFonts w:ascii="Arial" w:hAnsi="Arial" w:cs="Arial"/>
          <w:sz w:val="24"/>
          <w:szCs w:val="24"/>
        </w:rPr>
        <w:t xml:space="preserve"> May 2024].</w:t>
      </w:r>
    </w:p>
    <w:p w:rsidR="00F4318E" w:rsidRPr="00F4318E" w:rsidRDefault="00F4318E" w:rsidP="00F4318E">
      <w:pPr>
        <w:rPr>
          <w:rFonts w:ascii="Arial" w:hAnsi="Arial" w:cs="Arial"/>
          <w:sz w:val="24"/>
          <w:szCs w:val="24"/>
        </w:rPr>
      </w:pPr>
      <w:r w:rsidRPr="00F4318E">
        <w:rPr>
          <w:rFonts w:ascii="Arial" w:hAnsi="Arial" w:cs="Arial"/>
          <w:sz w:val="24"/>
          <w:szCs w:val="24"/>
        </w:rPr>
        <w:t>Noltemeyer, A.; James, A.G.; Bush K.; Bergen D.; Barrios V.; and Patton J. (2020) 'The Relationship between Deficiency Needs and Growth Needs: The Continuing Investigation of Maslow's Theory', </w:t>
      </w:r>
      <w:r w:rsidRPr="00F4318E">
        <w:rPr>
          <w:rFonts w:ascii="Arial" w:hAnsi="Arial" w:cs="Arial"/>
          <w:i/>
          <w:iCs/>
          <w:sz w:val="24"/>
          <w:szCs w:val="24"/>
        </w:rPr>
        <w:t>Child and Youth Services</w:t>
      </w:r>
      <w:r w:rsidRPr="00F4318E">
        <w:rPr>
          <w:rFonts w:ascii="Arial" w:hAnsi="Arial" w:cs="Arial"/>
          <w:sz w:val="24"/>
          <w:szCs w:val="24"/>
        </w:rPr>
        <w:t>, 42(1), pp 24-42.</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Nursery World, (no date) </w:t>
      </w:r>
      <w:hyperlink r:id="rId29" w:history="1">
        <w:r w:rsidRPr="00F4318E">
          <w:rPr>
            <w:rStyle w:val="Hyperlink"/>
            <w:rFonts w:ascii="Arial" w:hAnsi="Arial" w:cs="Arial"/>
            <w:sz w:val="24"/>
            <w:szCs w:val="24"/>
          </w:rPr>
          <w:t>https://www.nurseryworld.co.uk/features/article/health-wellbeing-enjoying-physical-play</w:t>
        </w:r>
      </w:hyperlink>
      <w:r w:rsidRPr="00F4318E">
        <w:rPr>
          <w:rFonts w:ascii="Arial" w:hAnsi="Arial" w:cs="Arial"/>
          <w:sz w:val="24"/>
          <w:szCs w:val="24"/>
        </w:rPr>
        <w:t>, [Image] [Accessed: 15</w:t>
      </w:r>
      <w:r w:rsidRPr="00F4318E">
        <w:rPr>
          <w:rFonts w:ascii="Arial" w:hAnsi="Arial" w:cs="Arial"/>
          <w:sz w:val="24"/>
          <w:szCs w:val="24"/>
          <w:vertAlign w:val="superscript"/>
        </w:rPr>
        <w:t>th</w:t>
      </w:r>
      <w:r w:rsidRPr="00F4318E">
        <w:rPr>
          <w:rFonts w:ascii="Arial" w:hAnsi="Arial" w:cs="Arial"/>
          <w:sz w:val="24"/>
          <w:szCs w:val="24"/>
        </w:rPr>
        <w:t xml:space="preserve"> June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Peill, F. (2022) ‘The Pursuit of Happiness: Leadership Challenges of Recognising and Supporting Child Health and Wellbeing in the Early Years’, </w:t>
      </w:r>
      <w:r w:rsidRPr="00F4318E">
        <w:rPr>
          <w:rFonts w:ascii="Arial" w:hAnsi="Arial" w:cs="Arial"/>
          <w:i/>
          <w:iCs/>
          <w:sz w:val="24"/>
          <w:szCs w:val="24"/>
        </w:rPr>
        <w:t>Education sciences</w:t>
      </w:r>
      <w:r w:rsidRPr="00F4318E">
        <w:rPr>
          <w:rFonts w:ascii="Arial" w:hAnsi="Arial" w:cs="Arial"/>
          <w:sz w:val="24"/>
          <w:szCs w:val="24"/>
        </w:rPr>
        <w:t xml:space="preserve">, 12(2), pp. 113-. Available at: </w:t>
      </w:r>
      <w:hyperlink r:id="rId30" w:history="1">
        <w:r w:rsidRPr="00F4318E">
          <w:rPr>
            <w:rStyle w:val="Hyperlink"/>
            <w:rFonts w:ascii="Arial" w:hAnsi="Arial" w:cs="Arial"/>
            <w:sz w:val="24"/>
            <w:szCs w:val="24"/>
          </w:rPr>
          <w:t>https://doi.org/10.3390/educsci12020113</w:t>
        </w:r>
      </w:hyperlink>
      <w:r w:rsidRPr="00F4318E">
        <w:rPr>
          <w:rFonts w:ascii="Arial" w:hAnsi="Arial" w:cs="Arial"/>
          <w:sz w:val="24"/>
          <w:szCs w:val="24"/>
        </w:rPr>
        <w:t>.</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Pichère, P. and Cadiat, A.-C. (2015) </w:t>
      </w:r>
      <w:r w:rsidRPr="00F4318E">
        <w:rPr>
          <w:rFonts w:ascii="Arial" w:hAnsi="Arial" w:cs="Arial"/>
          <w:i/>
          <w:iCs/>
          <w:sz w:val="24"/>
          <w:szCs w:val="24"/>
        </w:rPr>
        <w:t>Maslow’s hierarchy of needs</w:t>
      </w:r>
      <w:r w:rsidRPr="00F4318E">
        <w:rPr>
          <w:rFonts w:ascii="Arial" w:hAnsi="Arial" w:cs="Arial"/>
          <w:sz w:val="24"/>
          <w:szCs w:val="24"/>
        </w:rPr>
        <w:t>. Translated by C. Probert. Namur: Lemaitre Publishing.</w:t>
      </w:r>
    </w:p>
    <w:p w:rsidR="00F4318E" w:rsidRPr="00F4318E" w:rsidRDefault="00F4318E" w:rsidP="00F4318E">
      <w:pPr>
        <w:rPr>
          <w:rFonts w:ascii="Arial" w:hAnsi="Arial" w:cs="Arial"/>
          <w:sz w:val="24"/>
          <w:szCs w:val="24"/>
        </w:rPr>
      </w:pPr>
      <w:r w:rsidRPr="00F4318E">
        <w:rPr>
          <w:rFonts w:ascii="Arial" w:hAnsi="Arial" w:cs="Arial"/>
          <w:sz w:val="24"/>
          <w:szCs w:val="24"/>
        </w:rPr>
        <w:lastRenderedPageBreak/>
        <w:t xml:space="preserve">Public Health Wales, (2023) </w:t>
      </w:r>
      <w:r w:rsidRPr="00F4318E">
        <w:rPr>
          <w:rFonts w:ascii="Arial" w:hAnsi="Arial" w:cs="Arial"/>
          <w:i/>
          <w:sz w:val="24"/>
          <w:szCs w:val="24"/>
        </w:rPr>
        <w:t>Our Well-being Statement 2023</w:t>
      </w:r>
      <w:r w:rsidRPr="00F4318E">
        <w:rPr>
          <w:rFonts w:ascii="Arial" w:hAnsi="Arial" w:cs="Arial"/>
          <w:sz w:val="24"/>
          <w:szCs w:val="24"/>
        </w:rPr>
        <w:t xml:space="preserve">, Available at </w:t>
      </w:r>
      <w:hyperlink r:id="rId31" w:history="1">
        <w:r w:rsidRPr="00F4318E">
          <w:rPr>
            <w:rStyle w:val="Hyperlink"/>
            <w:rFonts w:ascii="Arial" w:hAnsi="Arial" w:cs="Arial"/>
            <w:sz w:val="24"/>
            <w:szCs w:val="24"/>
          </w:rPr>
          <w:t>https://phw.nhs.wales/about-us/working-together-for-a-healthier-wales/wellbeing-statement/</w:t>
        </w:r>
      </w:hyperlink>
      <w:r w:rsidRPr="00F4318E">
        <w:rPr>
          <w:rFonts w:ascii="Arial" w:hAnsi="Arial" w:cs="Arial"/>
          <w:sz w:val="24"/>
          <w:szCs w:val="24"/>
        </w:rPr>
        <w:t xml:space="preserve"> [Accessed: 12</w:t>
      </w:r>
      <w:r w:rsidRPr="00F4318E">
        <w:rPr>
          <w:rFonts w:ascii="Arial" w:hAnsi="Arial" w:cs="Arial"/>
          <w:sz w:val="24"/>
          <w:szCs w:val="24"/>
          <w:vertAlign w:val="superscript"/>
        </w:rPr>
        <w:t>th</w:t>
      </w:r>
      <w:r w:rsidRPr="00F4318E">
        <w:rPr>
          <w:rFonts w:ascii="Arial" w:hAnsi="Arial" w:cs="Arial"/>
          <w:sz w:val="24"/>
          <w:szCs w:val="24"/>
        </w:rPr>
        <w:t xml:space="preserve"> June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Queen’s University Belfast, (2022) </w:t>
      </w:r>
      <w:r w:rsidRPr="00F4318E">
        <w:rPr>
          <w:rFonts w:ascii="Arial" w:hAnsi="Arial" w:cs="Arial"/>
          <w:i/>
          <w:sz w:val="24"/>
          <w:szCs w:val="24"/>
        </w:rPr>
        <w:t>Research suggests Deaf Children more at Risk of Developing Emotional Wellbeing Issues.</w:t>
      </w:r>
      <w:r w:rsidRPr="00F4318E">
        <w:rPr>
          <w:rFonts w:ascii="Arial" w:hAnsi="Arial" w:cs="Arial"/>
          <w:sz w:val="24"/>
          <w:szCs w:val="24"/>
        </w:rPr>
        <w:t xml:space="preserve"> Available at </w:t>
      </w:r>
      <w:hyperlink r:id="rId32" w:anchor=":~:text=Deaf%20children%20are%20more%20at%20risk%20of%20developing%3A%20depression%2C%20anxiety,about%2012%25%20of%20hearing%20children." w:history="1">
        <w:r w:rsidRPr="00F4318E">
          <w:rPr>
            <w:rStyle w:val="Hyperlink"/>
            <w:rFonts w:ascii="Arial" w:hAnsi="Arial" w:cs="Arial"/>
            <w:sz w:val="24"/>
            <w:szCs w:val="24"/>
          </w:rPr>
          <w:t>Research suggests deaf children more at risk of developing emotional wellbeing issues | News | Queen's University Belfast (qub.ac.uk)</w:t>
        </w:r>
      </w:hyperlink>
      <w:r w:rsidRPr="00F4318E">
        <w:rPr>
          <w:rFonts w:ascii="Arial" w:hAnsi="Arial" w:cs="Arial"/>
          <w:sz w:val="24"/>
          <w:szCs w:val="24"/>
        </w:rPr>
        <w:t xml:space="preserve"> [Accessed: 26</w:t>
      </w:r>
      <w:r w:rsidRPr="00F4318E">
        <w:rPr>
          <w:rFonts w:ascii="Arial" w:hAnsi="Arial" w:cs="Arial"/>
          <w:sz w:val="24"/>
          <w:szCs w:val="24"/>
          <w:vertAlign w:val="superscript"/>
        </w:rPr>
        <w:t>th</w:t>
      </w:r>
      <w:r w:rsidRPr="00F4318E">
        <w:rPr>
          <w:rFonts w:ascii="Arial" w:hAnsi="Arial" w:cs="Arial"/>
          <w:sz w:val="24"/>
          <w:szCs w:val="24"/>
        </w:rPr>
        <w:t xml:space="preserve"> May 2024]. </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Roberts, S; Wright, B; Moore, K; Smith J; Allgar, V; Tennant; A; Doherty, C; Hughes, E; Collingridge-Moore, D; Ogden, R; Phillips, H; Beese, L; Rogers, K. (2015) ‘Translation into British Sign Language and validation of the Strengths and Difficulties Questionnaire’, </w:t>
      </w:r>
      <w:r w:rsidRPr="00F4318E">
        <w:rPr>
          <w:rFonts w:ascii="Arial" w:hAnsi="Arial" w:cs="Arial"/>
          <w:i/>
          <w:iCs/>
          <w:sz w:val="24"/>
          <w:szCs w:val="24"/>
        </w:rPr>
        <w:t>Health services and delivery research</w:t>
      </w:r>
      <w:r w:rsidRPr="00F4318E">
        <w:rPr>
          <w:rFonts w:ascii="Arial" w:hAnsi="Arial" w:cs="Arial"/>
          <w:sz w:val="24"/>
          <w:szCs w:val="24"/>
        </w:rPr>
        <w:t xml:space="preserve">, 3(2). Available at: </w:t>
      </w:r>
      <w:hyperlink r:id="rId33" w:history="1">
        <w:r w:rsidRPr="00F4318E">
          <w:rPr>
            <w:rStyle w:val="Hyperlink"/>
            <w:rFonts w:ascii="Arial" w:hAnsi="Arial" w:cs="Arial"/>
            <w:sz w:val="24"/>
            <w:szCs w:val="24"/>
          </w:rPr>
          <w:t>https://doi.org/10.3310/hsdr03020</w:t>
        </w:r>
      </w:hyperlink>
      <w:r w:rsidRPr="00F4318E">
        <w:rPr>
          <w:rFonts w:ascii="Arial" w:hAnsi="Arial" w:cs="Arial"/>
          <w:sz w:val="24"/>
          <w:szCs w:val="24"/>
        </w:rPr>
        <w:t xml:space="preserve"> [Accessed: 23</w:t>
      </w:r>
      <w:r w:rsidRPr="00F4318E">
        <w:rPr>
          <w:rFonts w:ascii="Arial" w:hAnsi="Arial" w:cs="Arial"/>
          <w:sz w:val="24"/>
          <w:szCs w:val="24"/>
          <w:vertAlign w:val="superscript"/>
        </w:rPr>
        <w:t>rd</w:t>
      </w:r>
      <w:r w:rsidRPr="00F4318E">
        <w:rPr>
          <w:rFonts w:ascii="Arial" w:hAnsi="Arial" w:cs="Arial"/>
          <w:sz w:val="24"/>
          <w:szCs w:val="24"/>
        </w:rPr>
        <w:t xml:space="preserve"> May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Rose, J., Gilbert, L. and Richards, V. (2016) </w:t>
      </w:r>
      <w:r w:rsidRPr="00F4318E">
        <w:rPr>
          <w:rFonts w:ascii="Arial" w:hAnsi="Arial" w:cs="Arial"/>
          <w:i/>
          <w:iCs/>
          <w:sz w:val="24"/>
          <w:szCs w:val="24"/>
        </w:rPr>
        <w:t>Health and well-being in early childhood</w:t>
      </w:r>
      <w:r w:rsidRPr="00F4318E">
        <w:rPr>
          <w:rFonts w:ascii="Arial" w:hAnsi="Arial" w:cs="Arial"/>
          <w:sz w:val="24"/>
          <w:szCs w:val="24"/>
        </w:rPr>
        <w:t>. London: Sage Publication LTD.</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Royal Academy of Music, (no date) </w:t>
      </w:r>
      <w:hyperlink r:id="rId34" w:history="1">
        <w:r w:rsidRPr="00F4318E">
          <w:rPr>
            <w:rStyle w:val="Hyperlink"/>
            <w:rFonts w:ascii="Arial" w:hAnsi="Arial" w:cs="Arial"/>
            <w:sz w:val="24"/>
            <w:szCs w:val="24"/>
          </w:rPr>
          <w:t>What is health and why is it important? - Report + Support - Royal Academy of Music (ram.ac.uk)</w:t>
        </w:r>
      </w:hyperlink>
      <w:r w:rsidRPr="00F4318E">
        <w:rPr>
          <w:rFonts w:ascii="Arial" w:hAnsi="Arial" w:cs="Arial"/>
          <w:sz w:val="24"/>
          <w:szCs w:val="24"/>
        </w:rPr>
        <w:t xml:space="preserve"> (Image), [Accessed: 15</w:t>
      </w:r>
      <w:r w:rsidRPr="00F4318E">
        <w:rPr>
          <w:rFonts w:ascii="Arial" w:hAnsi="Arial" w:cs="Arial"/>
          <w:sz w:val="24"/>
          <w:szCs w:val="24"/>
          <w:vertAlign w:val="superscript"/>
        </w:rPr>
        <w:t>th</w:t>
      </w:r>
      <w:r w:rsidRPr="00F4318E">
        <w:rPr>
          <w:rFonts w:ascii="Arial" w:hAnsi="Arial" w:cs="Arial"/>
          <w:sz w:val="24"/>
          <w:szCs w:val="24"/>
        </w:rPr>
        <w:t xml:space="preserve"> June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The Association of Child and Adolescent Mental Health, (2021) </w:t>
      </w:r>
      <w:r w:rsidRPr="00F4318E">
        <w:rPr>
          <w:rFonts w:ascii="Arial" w:hAnsi="Arial" w:cs="Arial"/>
          <w:i/>
          <w:sz w:val="24"/>
          <w:szCs w:val="24"/>
        </w:rPr>
        <w:t>Mental Health in Deaf Children,</w:t>
      </w:r>
      <w:r w:rsidRPr="00F4318E">
        <w:rPr>
          <w:rFonts w:ascii="Arial" w:hAnsi="Arial" w:cs="Arial"/>
          <w:sz w:val="24"/>
          <w:szCs w:val="24"/>
        </w:rPr>
        <w:t xml:space="preserve"> Available at </w:t>
      </w:r>
      <w:hyperlink r:id="rId35" w:history="1">
        <w:r w:rsidRPr="00F4318E">
          <w:rPr>
            <w:rStyle w:val="Hyperlink"/>
            <w:rFonts w:ascii="Arial" w:hAnsi="Arial" w:cs="Arial"/>
            <w:sz w:val="24"/>
            <w:szCs w:val="24"/>
          </w:rPr>
          <w:t>https://www.acamh.org/research-digest/mental-health-in-deaf-children/</w:t>
        </w:r>
      </w:hyperlink>
      <w:r w:rsidRPr="00F4318E">
        <w:rPr>
          <w:rFonts w:ascii="Arial" w:hAnsi="Arial" w:cs="Arial"/>
          <w:sz w:val="24"/>
          <w:szCs w:val="24"/>
        </w:rPr>
        <w:t xml:space="preserve"> [Accessed: 23</w:t>
      </w:r>
      <w:r w:rsidRPr="00F4318E">
        <w:rPr>
          <w:rFonts w:ascii="Arial" w:hAnsi="Arial" w:cs="Arial"/>
          <w:sz w:val="24"/>
          <w:szCs w:val="24"/>
          <w:vertAlign w:val="superscript"/>
        </w:rPr>
        <w:t>rd</w:t>
      </w:r>
      <w:r w:rsidRPr="00F4318E">
        <w:rPr>
          <w:rFonts w:ascii="Arial" w:hAnsi="Arial" w:cs="Arial"/>
          <w:sz w:val="24"/>
          <w:szCs w:val="24"/>
        </w:rPr>
        <w:t xml:space="preserve"> May 2024] </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The Children’s Society, (no date) </w:t>
      </w:r>
      <w:r w:rsidRPr="00F4318E">
        <w:rPr>
          <w:rFonts w:ascii="Arial" w:hAnsi="Arial" w:cs="Arial"/>
          <w:i/>
          <w:sz w:val="24"/>
          <w:szCs w:val="24"/>
        </w:rPr>
        <w:t>Young People’s Wellbeing and Mental Health</w:t>
      </w:r>
      <w:r w:rsidRPr="00F4318E">
        <w:rPr>
          <w:rFonts w:ascii="Arial" w:hAnsi="Arial" w:cs="Arial"/>
          <w:sz w:val="24"/>
          <w:szCs w:val="24"/>
        </w:rPr>
        <w:t xml:space="preserve">, Available at </w:t>
      </w:r>
      <w:hyperlink r:id="rId36" w:history="1">
        <w:r w:rsidRPr="00F4318E">
          <w:rPr>
            <w:rStyle w:val="Hyperlink"/>
            <w:rFonts w:ascii="Arial" w:hAnsi="Arial" w:cs="Arial"/>
            <w:sz w:val="24"/>
            <w:szCs w:val="24"/>
          </w:rPr>
          <w:t>Young People's Wellbeing &amp; Mental Health | The Children's Society (childrenssociety.org.uk)</w:t>
        </w:r>
      </w:hyperlink>
      <w:r w:rsidRPr="00F4318E">
        <w:rPr>
          <w:rFonts w:ascii="Arial" w:hAnsi="Arial" w:cs="Arial"/>
          <w:sz w:val="24"/>
          <w:szCs w:val="24"/>
        </w:rPr>
        <w:t xml:space="preserve"> [Accessed: 14</w:t>
      </w:r>
      <w:r w:rsidRPr="00F4318E">
        <w:rPr>
          <w:rFonts w:ascii="Arial" w:hAnsi="Arial" w:cs="Arial"/>
          <w:sz w:val="24"/>
          <w:szCs w:val="24"/>
          <w:vertAlign w:val="superscript"/>
        </w:rPr>
        <w:t>th</w:t>
      </w:r>
      <w:r w:rsidRPr="00F4318E">
        <w:rPr>
          <w:rFonts w:ascii="Arial" w:hAnsi="Arial" w:cs="Arial"/>
          <w:sz w:val="24"/>
          <w:szCs w:val="24"/>
        </w:rPr>
        <w:t xml:space="preserve"> June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Unicef, (no date) </w:t>
      </w:r>
      <w:hyperlink r:id="rId37" w:history="1">
        <w:r w:rsidRPr="00F4318E">
          <w:rPr>
            <w:rStyle w:val="Hyperlink"/>
            <w:rFonts w:ascii="Arial" w:hAnsi="Arial" w:cs="Arial"/>
            <w:sz w:val="24"/>
            <w:szCs w:val="24"/>
          </w:rPr>
          <w:t>UNCRC_summary-1_1.pdf (unicef.org.uk)</w:t>
        </w:r>
      </w:hyperlink>
      <w:r w:rsidRPr="00F4318E">
        <w:rPr>
          <w:rFonts w:ascii="Arial" w:hAnsi="Arial" w:cs="Arial"/>
          <w:sz w:val="24"/>
          <w:szCs w:val="24"/>
        </w:rPr>
        <w:t>.</w:t>
      </w:r>
    </w:p>
    <w:p w:rsidR="00F4318E" w:rsidRPr="00F4318E" w:rsidRDefault="00F4318E" w:rsidP="00F4318E">
      <w:pPr>
        <w:rPr>
          <w:rFonts w:ascii="Arial" w:hAnsi="Arial" w:cs="Arial"/>
          <w:sz w:val="24"/>
          <w:szCs w:val="24"/>
        </w:rPr>
      </w:pPr>
      <w:r w:rsidRPr="00F4318E">
        <w:rPr>
          <w:rFonts w:ascii="Arial" w:hAnsi="Arial" w:cs="Arial"/>
          <w:sz w:val="24"/>
          <w:szCs w:val="24"/>
        </w:rPr>
        <w:t>Unicef, (no date) </w:t>
      </w:r>
      <w:r w:rsidRPr="00F4318E">
        <w:rPr>
          <w:rFonts w:ascii="Arial" w:hAnsi="Arial" w:cs="Arial"/>
          <w:i/>
          <w:iCs/>
          <w:sz w:val="24"/>
          <w:szCs w:val="24"/>
        </w:rPr>
        <w:t>A Child’s Guide to the Child Well-Being Report</w:t>
      </w:r>
      <w:r w:rsidRPr="00F4318E">
        <w:rPr>
          <w:rFonts w:ascii="Arial" w:hAnsi="Arial" w:cs="Arial"/>
          <w:sz w:val="24"/>
          <w:szCs w:val="24"/>
        </w:rPr>
        <w:t xml:space="preserve">; Available at  </w:t>
      </w:r>
      <w:hyperlink r:id="rId38" w:history="1">
        <w:r w:rsidRPr="00F4318E">
          <w:rPr>
            <w:rStyle w:val="Hyperlink"/>
            <w:rFonts w:ascii="Arial" w:hAnsi="Arial" w:cs="Arial"/>
            <w:sz w:val="24"/>
            <w:szCs w:val="24"/>
          </w:rPr>
          <w:t>A child's guide to the child well-being report - UNICEF UK</w:t>
        </w:r>
      </w:hyperlink>
      <w:r w:rsidRPr="00F4318E">
        <w:rPr>
          <w:rFonts w:ascii="Arial" w:hAnsi="Arial" w:cs="Arial"/>
          <w:sz w:val="24"/>
          <w:szCs w:val="24"/>
        </w:rPr>
        <w:t xml:space="preserve"> [Accessed: 14</w:t>
      </w:r>
      <w:r w:rsidRPr="00F4318E">
        <w:rPr>
          <w:rFonts w:ascii="Arial" w:hAnsi="Arial" w:cs="Arial"/>
          <w:sz w:val="24"/>
          <w:szCs w:val="24"/>
          <w:vertAlign w:val="superscript"/>
        </w:rPr>
        <w:t>th</w:t>
      </w:r>
      <w:r w:rsidRPr="00F4318E">
        <w:rPr>
          <w:rFonts w:ascii="Arial" w:hAnsi="Arial" w:cs="Arial"/>
          <w:sz w:val="24"/>
          <w:szCs w:val="24"/>
        </w:rPr>
        <w:t xml:space="preserve"> June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Van Gent, T. and Sleeboom-van Raaij, I. (2016) ‘Mental Health Problems of Deaf Children and Adolescents’, in </w:t>
      </w:r>
      <w:r w:rsidRPr="00F4318E">
        <w:rPr>
          <w:rFonts w:ascii="Arial" w:hAnsi="Arial" w:cs="Arial"/>
          <w:i/>
          <w:iCs/>
          <w:sz w:val="24"/>
          <w:szCs w:val="24"/>
        </w:rPr>
        <w:t>Diversity in Deaf Education</w:t>
      </w:r>
      <w:r w:rsidRPr="00F4318E">
        <w:rPr>
          <w:rFonts w:ascii="Arial" w:hAnsi="Arial" w:cs="Arial"/>
          <w:sz w:val="24"/>
          <w:szCs w:val="24"/>
        </w:rPr>
        <w:t xml:space="preserve">. New York: Oxford University Press. Available at: </w:t>
      </w:r>
      <w:hyperlink r:id="rId39" w:history="1">
        <w:r w:rsidRPr="00F4318E">
          <w:rPr>
            <w:rStyle w:val="Hyperlink"/>
            <w:rFonts w:ascii="Arial" w:hAnsi="Arial" w:cs="Arial"/>
            <w:sz w:val="24"/>
            <w:szCs w:val="24"/>
          </w:rPr>
          <w:t>https://doi.org/10.1093/acprof:oso/9780190493073.003.0014</w:t>
        </w:r>
      </w:hyperlink>
      <w:r w:rsidRPr="00F4318E">
        <w:rPr>
          <w:rFonts w:ascii="Arial" w:hAnsi="Arial" w:cs="Arial"/>
          <w:sz w:val="24"/>
          <w:szCs w:val="24"/>
        </w:rPr>
        <w:t xml:space="preserve"> [Accessed: 27</w:t>
      </w:r>
      <w:r w:rsidRPr="00F4318E">
        <w:rPr>
          <w:rFonts w:ascii="Arial" w:hAnsi="Arial" w:cs="Arial"/>
          <w:sz w:val="24"/>
          <w:szCs w:val="24"/>
          <w:vertAlign w:val="superscript"/>
        </w:rPr>
        <w:t>th</w:t>
      </w:r>
      <w:r w:rsidRPr="00F4318E">
        <w:rPr>
          <w:rFonts w:ascii="Arial" w:hAnsi="Arial" w:cs="Arial"/>
          <w:sz w:val="24"/>
          <w:szCs w:val="24"/>
        </w:rPr>
        <w:t xml:space="preserve"> May 2024].</w:t>
      </w:r>
    </w:p>
    <w:p w:rsidR="00F4318E" w:rsidRPr="00F4318E" w:rsidRDefault="00F4318E" w:rsidP="00F4318E">
      <w:pPr>
        <w:rPr>
          <w:rFonts w:ascii="Arial" w:hAnsi="Arial" w:cs="Arial"/>
          <w:sz w:val="24"/>
          <w:szCs w:val="24"/>
        </w:rPr>
      </w:pPr>
      <w:r w:rsidRPr="00F4318E">
        <w:rPr>
          <w:rFonts w:ascii="Arial" w:hAnsi="Arial" w:cs="Arial"/>
          <w:sz w:val="24"/>
          <w:szCs w:val="24"/>
        </w:rPr>
        <w:t xml:space="preserve">Wales Council for Deaf People, (no date) </w:t>
      </w:r>
      <w:hyperlink r:id="rId40" w:history="1">
        <w:r w:rsidRPr="00F4318E">
          <w:rPr>
            <w:rStyle w:val="Hyperlink"/>
            <w:rFonts w:ascii="Arial" w:hAnsi="Arial" w:cs="Arial"/>
            <w:sz w:val="24"/>
            <w:szCs w:val="24"/>
          </w:rPr>
          <w:t>About Us - Wales Council for Deaf People (wcdeaf.org.uk)</w:t>
        </w:r>
      </w:hyperlink>
    </w:p>
    <w:p w:rsidR="00F4318E" w:rsidRPr="00F4318E" w:rsidRDefault="00F4318E" w:rsidP="00F4318E">
      <w:pPr>
        <w:rPr>
          <w:rFonts w:ascii="Arial" w:hAnsi="Arial" w:cs="Arial"/>
          <w:sz w:val="24"/>
          <w:szCs w:val="24"/>
        </w:rPr>
      </w:pPr>
      <w:r w:rsidRPr="00F4318E">
        <w:rPr>
          <w:rFonts w:ascii="Arial" w:hAnsi="Arial" w:cs="Arial"/>
          <w:sz w:val="24"/>
          <w:szCs w:val="24"/>
        </w:rPr>
        <w:t xml:space="preserve">Welsh Government, (2020) Area of Learning and Experience, Health and Well-being, Available at: </w:t>
      </w:r>
      <w:hyperlink r:id="rId41" w:history="1">
        <w:r w:rsidRPr="00F4318E">
          <w:rPr>
            <w:rStyle w:val="Hyperlink"/>
            <w:rFonts w:ascii="Arial" w:hAnsi="Arial" w:cs="Arial"/>
            <w:sz w:val="24"/>
            <w:szCs w:val="24"/>
          </w:rPr>
          <w:t>Health and Well-being: Introduction - Hwb (gov.wales)</w:t>
        </w:r>
      </w:hyperlink>
      <w:r w:rsidRPr="00F4318E">
        <w:rPr>
          <w:rFonts w:ascii="Arial" w:hAnsi="Arial" w:cs="Arial"/>
          <w:sz w:val="24"/>
          <w:szCs w:val="24"/>
        </w:rPr>
        <w:t xml:space="preserve"> [Accessed:15</w:t>
      </w:r>
      <w:r w:rsidRPr="00F4318E">
        <w:rPr>
          <w:rFonts w:ascii="Arial" w:hAnsi="Arial" w:cs="Arial"/>
          <w:sz w:val="24"/>
          <w:szCs w:val="24"/>
          <w:vertAlign w:val="superscript"/>
        </w:rPr>
        <w:t>th</w:t>
      </w:r>
      <w:r w:rsidRPr="00F4318E">
        <w:rPr>
          <w:rFonts w:ascii="Arial" w:hAnsi="Arial" w:cs="Arial"/>
          <w:sz w:val="24"/>
          <w:szCs w:val="24"/>
        </w:rPr>
        <w:t xml:space="preserve"> June 2024].</w:t>
      </w:r>
    </w:p>
    <w:p w:rsidR="00F4318E" w:rsidRPr="00F4318E" w:rsidRDefault="00F4318E" w:rsidP="00F4318E">
      <w:pPr>
        <w:rPr>
          <w:rFonts w:ascii="Arial" w:hAnsi="Arial" w:cs="Arial"/>
          <w:sz w:val="24"/>
          <w:szCs w:val="24"/>
          <w:u w:val="single"/>
        </w:rPr>
      </w:pPr>
      <w:r w:rsidRPr="00F4318E">
        <w:rPr>
          <w:rFonts w:ascii="Arial" w:hAnsi="Arial" w:cs="Arial"/>
          <w:sz w:val="24"/>
          <w:szCs w:val="24"/>
        </w:rPr>
        <w:t xml:space="preserve">World Health Organisation, (no date) </w:t>
      </w:r>
      <w:hyperlink r:id="rId42" w:anchor=":~:text=The%20WHO%20constitution%20states%3A%20%22Health,of%20mental%20disorders%20or%20disabilities." w:history="1">
        <w:r w:rsidRPr="00F4318E">
          <w:rPr>
            <w:rStyle w:val="Hyperlink"/>
            <w:rFonts w:ascii="Arial" w:hAnsi="Arial" w:cs="Arial"/>
            <w:sz w:val="24"/>
            <w:szCs w:val="24"/>
          </w:rPr>
          <w:t>Health and Well-Being (who.int)</w:t>
        </w:r>
      </w:hyperlink>
    </w:p>
    <w:p w:rsidR="00F4318E" w:rsidRPr="0058067C" w:rsidRDefault="00F4318E" w:rsidP="0058067C">
      <w:pPr>
        <w:rPr>
          <w:rFonts w:ascii="Arial" w:hAnsi="Arial" w:cs="Arial"/>
          <w:sz w:val="24"/>
          <w:szCs w:val="24"/>
        </w:rPr>
      </w:pPr>
      <w:r w:rsidRPr="00F4318E">
        <w:rPr>
          <w:rFonts w:ascii="Arial" w:hAnsi="Arial" w:cs="Arial"/>
          <w:sz w:val="24"/>
          <w:szCs w:val="24"/>
        </w:rPr>
        <w:lastRenderedPageBreak/>
        <w:t xml:space="preserve">Wilson, T. (2016) </w:t>
      </w:r>
      <w:r w:rsidRPr="00F4318E">
        <w:rPr>
          <w:rFonts w:ascii="Arial" w:hAnsi="Arial" w:cs="Arial"/>
          <w:i/>
          <w:iCs/>
          <w:sz w:val="24"/>
          <w:szCs w:val="24"/>
        </w:rPr>
        <w:t>Working with Parents, Carers and Families in the Early Years: The Essential Guide</w:t>
      </w:r>
      <w:r w:rsidRPr="00F4318E">
        <w:rPr>
          <w:rFonts w:ascii="Arial" w:hAnsi="Arial" w:cs="Arial"/>
          <w:sz w:val="24"/>
          <w:szCs w:val="24"/>
        </w:rPr>
        <w:t xml:space="preserve">. 1st ed. New York: Routledge. Available at: </w:t>
      </w:r>
      <w:hyperlink r:id="rId43" w:history="1">
        <w:r w:rsidRPr="00F4318E">
          <w:rPr>
            <w:rStyle w:val="Hyperlink"/>
            <w:rFonts w:ascii="Arial" w:hAnsi="Arial" w:cs="Arial"/>
            <w:sz w:val="24"/>
            <w:szCs w:val="24"/>
          </w:rPr>
          <w:t>https://doi.org/10.4324/9781315691206</w:t>
        </w:r>
      </w:hyperlink>
      <w:r w:rsidRPr="00F4318E">
        <w:rPr>
          <w:rFonts w:ascii="Arial" w:hAnsi="Arial" w:cs="Arial"/>
          <w:sz w:val="24"/>
          <w:szCs w:val="24"/>
        </w:rPr>
        <w:t>. [Accessed: 15</w:t>
      </w:r>
      <w:r w:rsidRPr="00F4318E">
        <w:rPr>
          <w:rFonts w:ascii="Arial" w:hAnsi="Arial" w:cs="Arial"/>
          <w:sz w:val="24"/>
          <w:szCs w:val="24"/>
          <w:vertAlign w:val="superscript"/>
        </w:rPr>
        <w:t>th</w:t>
      </w:r>
      <w:r w:rsidRPr="00F4318E">
        <w:rPr>
          <w:rFonts w:ascii="Arial" w:hAnsi="Arial" w:cs="Arial"/>
          <w:sz w:val="24"/>
          <w:szCs w:val="24"/>
        </w:rPr>
        <w:t xml:space="preserve"> June 2024].</w:t>
      </w:r>
      <w:bookmarkStart w:id="0" w:name="_GoBack"/>
      <w:bookmarkEnd w:id="0"/>
    </w:p>
    <w:sectPr w:rsidR="00F4318E" w:rsidRPr="005806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067C" w:rsidRDefault="0058067C" w:rsidP="0058067C">
      <w:pPr>
        <w:spacing w:after="0" w:line="240" w:lineRule="auto"/>
      </w:pPr>
      <w:r>
        <w:separator/>
      </w:r>
    </w:p>
  </w:endnote>
  <w:endnote w:type="continuationSeparator" w:id="0">
    <w:p w:rsidR="0058067C" w:rsidRDefault="0058067C" w:rsidP="00580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067C" w:rsidRDefault="0058067C">
    <w:pPr>
      <w:pStyle w:val="Footer"/>
    </w:pPr>
    <w:r>
      <w:tab/>
    </w:r>
    <w:r>
      <w:tab/>
      <w:t>Ceri Williams</w:t>
    </w:r>
    <w:r>
      <w:tab/>
      <w:t>2307333</w:t>
    </w:r>
    <w:r>
      <w:tab/>
      <w:t>Word count for Poster- 2196</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067C" w:rsidRDefault="0058067C" w:rsidP="0058067C">
      <w:pPr>
        <w:spacing w:after="0" w:line="240" w:lineRule="auto"/>
      </w:pPr>
      <w:r>
        <w:separator/>
      </w:r>
    </w:p>
  </w:footnote>
  <w:footnote w:type="continuationSeparator" w:id="0">
    <w:p w:rsidR="0058067C" w:rsidRDefault="0058067C" w:rsidP="005806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295C"/>
    <w:rsid w:val="00021C1F"/>
    <w:rsid w:val="000743F5"/>
    <w:rsid w:val="000D6550"/>
    <w:rsid w:val="000E6391"/>
    <w:rsid w:val="0014400D"/>
    <w:rsid w:val="00154BB8"/>
    <w:rsid w:val="001D4C5C"/>
    <w:rsid w:val="001F2193"/>
    <w:rsid w:val="00272AF7"/>
    <w:rsid w:val="00287C68"/>
    <w:rsid w:val="002A4582"/>
    <w:rsid w:val="002E6D72"/>
    <w:rsid w:val="003347D8"/>
    <w:rsid w:val="00372220"/>
    <w:rsid w:val="0041295C"/>
    <w:rsid w:val="0047666C"/>
    <w:rsid w:val="00482883"/>
    <w:rsid w:val="00557299"/>
    <w:rsid w:val="00580597"/>
    <w:rsid w:val="0058067C"/>
    <w:rsid w:val="005C5EB6"/>
    <w:rsid w:val="006105C8"/>
    <w:rsid w:val="0067209A"/>
    <w:rsid w:val="006A2420"/>
    <w:rsid w:val="00722033"/>
    <w:rsid w:val="0075207E"/>
    <w:rsid w:val="007A137B"/>
    <w:rsid w:val="007A35A1"/>
    <w:rsid w:val="007B6AD9"/>
    <w:rsid w:val="00820A6C"/>
    <w:rsid w:val="008252C4"/>
    <w:rsid w:val="008A1D76"/>
    <w:rsid w:val="008E129D"/>
    <w:rsid w:val="00975F40"/>
    <w:rsid w:val="00984125"/>
    <w:rsid w:val="009905B6"/>
    <w:rsid w:val="0099645C"/>
    <w:rsid w:val="009B195D"/>
    <w:rsid w:val="00A8468E"/>
    <w:rsid w:val="00AC060A"/>
    <w:rsid w:val="00B84C34"/>
    <w:rsid w:val="00B9795C"/>
    <w:rsid w:val="00BA2356"/>
    <w:rsid w:val="00BC5644"/>
    <w:rsid w:val="00BD4636"/>
    <w:rsid w:val="00C20796"/>
    <w:rsid w:val="00C344D5"/>
    <w:rsid w:val="00C617AA"/>
    <w:rsid w:val="00EC3065"/>
    <w:rsid w:val="00F141E4"/>
    <w:rsid w:val="00F4318E"/>
    <w:rsid w:val="00F67018"/>
    <w:rsid w:val="00F72C36"/>
    <w:rsid w:val="00FE7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F4344"/>
  <w15:chartTrackingRefBased/>
  <w15:docId w15:val="{9AFD92CD-ED96-4FD3-B5C7-BF7BF2825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20A6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29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1295C"/>
    <w:rPr>
      <w:i/>
      <w:iCs/>
    </w:rPr>
  </w:style>
  <w:style w:type="character" w:styleId="Hyperlink">
    <w:name w:val="Hyperlink"/>
    <w:basedOn w:val="DefaultParagraphFont"/>
    <w:uiPriority w:val="99"/>
    <w:unhideWhenUsed/>
    <w:rsid w:val="006A2420"/>
    <w:rPr>
      <w:color w:val="0000FF"/>
      <w:u w:val="single"/>
    </w:rPr>
  </w:style>
  <w:style w:type="character" w:customStyle="1" w:styleId="Heading1Char">
    <w:name w:val="Heading 1 Char"/>
    <w:basedOn w:val="DefaultParagraphFont"/>
    <w:link w:val="Heading1"/>
    <w:uiPriority w:val="9"/>
    <w:rsid w:val="00820A6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20A6C"/>
    <w:pPr>
      <w:outlineLvl w:val="9"/>
    </w:pPr>
    <w:rPr>
      <w:lang w:val="en-US"/>
    </w:rPr>
  </w:style>
  <w:style w:type="paragraph" w:styleId="NoSpacing">
    <w:name w:val="No Spacing"/>
    <w:link w:val="NoSpacingChar"/>
    <w:uiPriority w:val="1"/>
    <w:qFormat/>
    <w:rsid w:val="00820A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0A6C"/>
    <w:rPr>
      <w:rFonts w:eastAsiaTheme="minorEastAsia"/>
      <w:lang w:val="en-US"/>
    </w:rPr>
  </w:style>
  <w:style w:type="paragraph" w:styleId="Header">
    <w:name w:val="header"/>
    <w:basedOn w:val="Normal"/>
    <w:link w:val="HeaderChar"/>
    <w:uiPriority w:val="99"/>
    <w:unhideWhenUsed/>
    <w:rsid w:val="009905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5B6"/>
  </w:style>
  <w:style w:type="paragraph" w:styleId="Footer">
    <w:name w:val="footer"/>
    <w:basedOn w:val="Normal"/>
    <w:link w:val="FooterChar"/>
    <w:uiPriority w:val="99"/>
    <w:unhideWhenUsed/>
    <w:rsid w:val="005806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6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7276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amilies.barnardos.org.uk/five-to-thrive" TargetMode="External"/><Relationship Id="rId18" Type="http://schemas.openxmlformats.org/officeDocument/2006/relationships/hyperlink" Target="https://www.deafnessforum.org.au/deafness-forum/the-disabling-effects-of-hearing-loss/" TargetMode="External"/><Relationship Id="rId26" Type="http://schemas.openxmlformats.org/officeDocument/2006/relationships/hyperlink" Target="https://www.nhs.uk/live-well/exercise/physical-activity-guidelines-children-under-five-years/" TargetMode="External"/><Relationship Id="rId39" Type="http://schemas.openxmlformats.org/officeDocument/2006/relationships/hyperlink" Target="https://doi.org/10.1093/acprof:oso/9780190493073.003.0014" TargetMode="External"/><Relationship Id="rId3" Type="http://schemas.openxmlformats.org/officeDocument/2006/relationships/settings" Target="settings.xml"/><Relationship Id="rId21" Type="http://schemas.openxmlformats.org/officeDocument/2006/relationships/hyperlink" Target="https://education.gov.scot/media/wbensufm/bsl-toolkit-background.pdf" TargetMode="External"/><Relationship Id="rId34" Type="http://schemas.openxmlformats.org/officeDocument/2006/relationships/hyperlink" Target="https://reportandsupport.ram.ac.uk/support/what-is-health-and-why-is-it-important" TargetMode="External"/><Relationship Id="rId42" Type="http://schemas.openxmlformats.org/officeDocument/2006/relationships/hyperlink" Target="https://www.who.int/data/gho/data/major-themes/health-and-well-being" TargetMode="External"/><Relationship Id="rId7" Type="http://schemas.openxmlformats.org/officeDocument/2006/relationships/image" Target="media/image1.jpeg"/><Relationship Id="rId12" Type="http://schemas.openxmlformats.org/officeDocument/2006/relationships/hyperlink" Target="https://www.mentallyhealthyschools.org.uk/getting-started/whats-mental-health/" TargetMode="External"/><Relationship Id="rId17" Type="http://schemas.openxmlformats.org/officeDocument/2006/relationships/hyperlink" Target="https://bda.org.uk/wp-content/uploads/2017/03/BDA-NI-Report-Early-Years-Intervention-for-Deaf-Children-in-Northern-Ireland-2014.pdf" TargetMode="External"/><Relationship Id="rId25" Type="http://schemas.openxmlformats.org/officeDocument/2006/relationships/hyperlink" Target="https://doi.org/10.2471/BLT.19.229427" TargetMode="External"/><Relationship Id="rId33" Type="http://schemas.openxmlformats.org/officeDocument/2006/relationships/hyperlink" Target="https://doi.org/10.3310/hsdr03020" TargetMode="External"/><Relationship Id="rId38" Type="http://schemas.openxmlformats.org/officeDocument/2006/relationships/hyperlink" Target="https://www.unicef.org.uk/publications/Child-well-being-child-friendly-ipsos-mori/" TargetMode="External"/><Relationship Id="rId2" Type="http://schemas.openxmlformats.org/officeDocument/2006/relationships/styles" Target="styles.xml"/><Relationship Id="rId16" Type="http://schemas.openxmlformats.org/officeDocument/2006/relationships/hyperlink" Target="https://bda.org.uk/bda-announce-early-years-campaign/" TargetMode="External"/><Relationship Id="rId20" Type="http://schemas.openxmlformats.org/officeDocument/2006/relationships/hyperlink" Target="https://assets.publishing.service.gov.uk/media/5a7baa00ed915d4147621d62/The_relationship_between_wellbeing_and_health.pdf" TargetMode="External"/><Relationship Id="rId29" Type="http://schemas.openxmlformats.org/officeDocument/2006/relationships/hyperlink" Target="https://www.nurseryworld.co.uk/features/article/health-wellbeing-enjoying-physical-play" TargetMode="External"/><Relationship Id="rId41" Type="http://schemas.openxmlformats.org/officeDocument/2006/relationships/hyperlink" Target="https://hwb.gov.wales/curriculum-for-wales/health-and-well-bein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s://assets.publishing.service.gov.uk/media/65cb4349a7ded0000c79e4e1/Working_together_to_safeguard_children_2023_-_statutory_guidance.pdf" TargetMode="External"/><Relationship Id="rId32" Type="http://schemas.openxmlformats.org/officeDocument/2006/relationships/hyperlink" Target="https://www.qub.ac.uk/News/Allnews/2022/Researchsuggestsdeafchildrenmoreatriskofdevelopingemotionalwellbeingissues.html" TargetMode="External"/><Relationship Id="rId37" Type="http://schemas.openxmlformats.org/officeDocument/2006/relationships/hyperlink" Target="https://www.unicef.org.uk/wp-content/uploads/2019/10/UNCRC_summary-1_1.pdf" TargetMode="External"/><Relationship Id="rId40" Type="http://schemas.openxmlformats.org/officeDocument/2006/relationships/hyperlink" Target="https://www.wcdeaf.org.uk/about-u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4236/health.2021.135041" TargetMode="External"/><Relationship Id="rId23" Type="http://schemas.openxmlformats.org/officeDocument/2006/relationships/hyperlink" Target="https://www.flyingstartcardiff.co.uk/?cn-reloaded=1" TargetMode="External"/><Relationship Id="rId28" Type="http://schemas.openxmlformats.org/officeDocument/2006/relationships/hyperlink" Target="https://www.ndcs.org.uk/media/5988/supporting-your-deaf-childs-mental-health-deaf-child-worldwide.pdf" TargetMode="External"/><Relationship Id="rId36" Type="http://schemas.openxmlformats.org/officeDocument/2006/relationships/hyperlink" Target="https://www.childrenssociety.org.uk/what-we-do/our-work/well-being" TargetMode="External"/><Relationship Id="rId10" Type="http://schemas.openxmlformats.org/officeDocument/2006/relationships/image" Target="media/image4.png"/><Relationship Id="rId19" Type="http://schemas.openxmlformats.org/officeDocument/2006/relationships/hyperlink" Target="https://help-for-early-years-providers.education.gov.uk/safeguarding-and-welfare/mental-health-for-early-years-children" TargetMode="External"/><Relationship Id="rId31" Type="http://schemas.openxmlformats.org/officeDocument/2006/relationships/hyperlink" Target="https://phw.nhs.wales/about-us/working-together-for-a-healthier-wales/wellbeing-statement/"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library.oapen.org/viewer/web/viewer.html?file=/bitstream/handle/20.500.12657/28151/1001843.pdf?sequence=1&amp;isAllowed=y" TargetMode="External"/><Relationship Id="rId22" Type="http://schemas.openxmlformats.org/officeDocument/2006/relationships/hyperlink" Target="https://doi.org/10.1016/S0140-6736(11)61143-4" TargetMode="External"/><Relationship Id="rId27" Type="http://schemas.openxmlformats.org/officeDocument/2006/relationships/hyperlink" Target="https://www.england.nhs.uk/supporting-our-nhs-people/health-and-wellbeing-programmes/nhs-health-and-wellbeing-framework/elements-of-health-and-wellbeing/improving-personal-health-and-wellbeing/" TargetMode="External"/><Relationship Id="rId30" Type="http://schemas.openxmlformats.org/officeDocument/2006/relationships/hyperlink" Target="https://doi.org/10.3390/educsci12020113" TargetMode="External"/><Relationship Id="rId35" Type="http://schemas.openxmlformats.org/officeDocument/2006/relationships/hyperlink" Target="https://www.acamh.org/research-digest/mental-health-in-deaf-children/" TargetMode="External"/><Relationship Id="rId43" Type="http://schemas.openxmlformats.org/officeDocument/2006/relationships/hyperlink" Target="https://doi.org/10.4324/97813156912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381086-4714-4568-873D-CAFC4D05A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13</Pages>
  <Words>3847</Words>
  <Characters>21928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13</cp:revision>
  <cp:lastPrinted>2024-06-15T20:14:00Z</cp:lastPrinted>
  <dcterms:created xsi:type="dcterms:W3CDTF">2024-06-08T16:58:00Z</dcterms:created>
  <dcterms:modified xsi:type="dcterms:W3CDTF">2024-06-15T20:15:00Z</dcterms:modified>
</cp:coreProperties>
</file>