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60C74" w:rsidRDefault="00560C74">
      <w:pPr>
        <w:spacing w:after="160" w:line="360" w:lineRule="auto"/>
        <w:jc w:val="right"/>
        <w:rPr>
          <w:rFonts w:ascii="Times New Roman" w:eastAsia="Times New Roman" w:hAnsi="Times New Roman" w:cs="Times New Roman"/>
          <w:b/>
          <w:sz w:val="56"/>
          <w:szCs w:val="56"/>
        </w:rPr>
      </w:pPr>
    </w:p>
    <w:p w:rsidR="00560C74" w:rsidRDefault="00560C74">
      <w:pPr>
        <w:spacing w:after="160" w:line="360" w:lineRule="auto"/>
        <w:jc w:val="right"/>
        <w:rPr>
          <w:rFonts w:ascii="Times New Roman" w:eastAsia="Times New Roman" w:hAnsi="Times New Roman" w:cs="Times New Roman"/>
          <w:b/>
          <w:sz w:val="56"/>
          <w:szCs w:val="56"/>
        </w:rPr>
      </w:pPr>
    </w:p>
    <w:p w:rsidR="00560C74" w:rsidRDefault="00560C74">
      <w:pPr>
        <w:spacing w:after="160" w:line="360" w:lineRule="auto"/>
        <w:jc w:val="center"/>
        <w:rPr>
          <w:rFonts w:ascii="Times New Roman" w:eastAsia="Times New Roman" w:hAnsi="Times New Roman" w:cs="Times New Roman"/>
          <w:b/>
          <w:sz w:val="56"/>
          <w:szCs w:val="56"/>
        </w:rPr>
      </w:pPr>
    </w:p>
    <w:p w:rsidR="00560C74" w:rsidRDefault="00D94190">
      <w:pPr>
        <w:spacing w:after="160" w:line="360" w:lineRule="auto"/>
        <w:jc w:val="center"/>
        <w:rPr>
          <w:rFonts w:ascii="Times New Roman" w:eastAsia="Times New Roman" w:hAnsi="Times New Roman" w:cs="Times New Roman"/>
          <w:b/>
          <w:sz w:val="60"/>
          <w:szCs w:val="60"/>
        </w:rPr>
      </w:pPr>
      <w:r>
        <w:rPr>
          <w:rFonts w:ascii="Times New Roman" w:eastAsia="Times New Roman" w:hAnsi="Times New Roman" w:cs="Times New Roman"/>
          <w:b/>
          <w:sz w:val="60"/>
          <w:szCs w:val="60"/>
        </w:rPr>
        <w:t xml:space="preserve">Financial Management </w:t>
      </w:r>
    </w:p>
    <w:p w:rsidR="00560C74" w:rsidRDefault="00560C74">
      <w:pPr>
        <w:spacing w:after="160" w:line="360" w:lineRule="auto"/>
        <w:jc w:val="center"/>
        <w:rPr>
          <w:rFonts w:ascii="Times New Roman" w:eastAsia="Times New Roman" w:hAnsi="Times New Roman" w:cs="Times New Roman"/>
          <w:sz w:val="56"/>
          <w:szCs w:val="56"/>
        </w:rPr>
      </w:pPr>
    </w:p>
    <w:p w:rsidR="00560C74" w:rsidRDefault="00D94190">
      <w:pPr>
        <w:spacing w:after="160" w:line="360" w:lineRule="auto"/>
        <w:jc w:val="center"/>
        <w:rPr>
          <w:rFonts w:ascii="Times New Roman" w:eastAsia="Times New Roman" w:hAnsi="Times New Roman" w:cs="Times New Roman"/>
          <w:sz w:val="56"/>
          <w:szCs w:val="56"/>
        </w:rPr>
      </w:pPr>
      <w:r>
        <w:rPr>
          <w:rFonts w:ascii="Times New Roman" w:eastAsia="Times New Roman" w:hAnsi="Times New Roman" w:cs="Times New Roman"/>
          <w:sz w:val="56"/>
          <w:szCs w:val="56"/>
        </w:rPr>
        <w:t xml:space="preserve">Ford Motor Company </w:t>
      </w:r>
    </w:p>
    <w:p w:rsidR="00560C74" w:rsidRDefault="00560C74">
      <w:pPr>
        <w:spacing w:after="160" w:line="360" w:lineRule="auto"/>
        <w:jc w:val="center"/>
        <w:rPr>
          <w:rFonts w:ascii="Times New Roman" w:eastAsia="Times New Roman" w:hAnsi="Times New Roman" w:cs="Times New Roman"/>
          <w:b/>
          <w:sz w:val="28"/>
          <w:szCs w:val="28"/>
        </w:rPr>
      </w:pPr>
    </w:p>
    <w:p w:rsidR="00560C74" w:rsidRDefault="00560C74">
      <w:pPr>
        <w:spacing w:after="160" w:line="360" w:lineRule="auto"/>
        <w:jc w:val="center"/>
        <w:rPr>
          <w:rFonts w:ascii="Times New Roman" w:eastAsia="Times New Roman" w:hAnsi="Times New Roman" w:cs="Times New Roman"/>
          <w:b/>
          <w:sz w:val="28"/>
          <w:szCs w:val="28"/>
        </w:rPr>
      </w:pPr>
    </w:p>
    <w:p w:rsidR="00560C74" w:rsidRDefault="00560C74">
      <w:pPr>
        <w:spacing w:after="160" w:line="360" w:lineRule="auto"/>
        <w:jc w:val="center"/>
        <w:rPr>
          <w:rFonts w:ascii="Times New Roman" w:eastAsia="Times New Roman" w:hAnsi="Times New Roman" w:cs="Times New Roman"/>
          <w:b/>
          <w:sz w:val="28"/>
          <w:szCs w:val="28"/>
        </w:rPr>
      </w:pPr>
    </w:p>
    <w:p w:rsidR="00560C74" w:rsidRDefault="00560C74">
      <w:pPr>
        <w:spacing w:after="160" w:line="360" w:lineRule="auto"/>
        <w:jc w:val="center"/>
        <w:rPr>
          <w:rFonts w:ascii="Times New Roman" w:eastAsia="Times New Roman" w:hAnsi="Times New Roman" w:cs="Times New Roman"/>
          <w:b/>
          <w:sz w:val="28"/>
          <w:szCs w:val="28"/>
        </w:rPr>
      </w:pPr>
    </w:p>
    <w:p w:rsidR="00560C74" w:rsidRDefault="00D94190">
      <w:pPr>
        <w:spacing w:after="16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 LCMB7002</w:t>
      </w:r>
    </w:p>
    <w:p w:rsidR="00560C74" w:rsidRDefault="00D94190">
      <w:pPr>
        <w:spacing w:after="16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w:t>
      </w:r>
    </w:p>
    <w:p w:rsidR="00560C74" w:rsidRDefault="00D94190">
      <w:pPr>
        <w:spacing w:before="240" w:after="40" w:line="360" w:lineRule="auto"/>
        <w:rPr>
          <w:rFonts w:ascii="Times New Roman" w:eastAsia="Times New Roman" w:hAnsi="Times New Roman" w:cs="Times New Roman"/>
          <w:sz w:val="24"/>
          <w:szCs w:val="24"/>
        </w:rPr>
      </w:pPr>
      <w:r>
        <w:br w:type="page"/>
      </w:r>
    </w:p>
    <w:p w:rsidR="00560C74" w:rsidRDefault="00D94190">
      <w:pPr>
        <w:spacing w:before="240" w:after="40" w:line="360" w:lineRule="auto"/>
        <w:rPr>
          <w:rFonts w:ascii="Times New Roman" w:eastAsia="Times New Roman" w:hAnsi="Times New Roman" w:cs="Times New Roman"/>
        </w:rPr>
      </w:pPr>
      <w:r>
        <w:rPr>
          <w:rFonts w:ascii="Times New Roman" w:eastAsia="Times New Roman" w:hAnsi="Times New Roman" w:cs="Times New Roman"/>
          <w:sz w:val="24"/>
          <w:szCs w:val="24"/>
        </w:rPr>
        <w:lastRenderedPageBreak/>
        <w:t>Table of Content</w:t>
      </w:r>
    </w:p>
    <w:sdt>
      <w:sdtPr>
        <w:id w:val="-456874818"/>
        <w:docPartObj>
          <w:docPartGallery w:val="Table of Contents"/>
          <w:docPartUnique/>
        </w:docPartObj>
      </w:sdtPr>
      <w:sdtEndPr/>
      <w:sdtContent>
        <w:p w:rsidR="00560C74" w:rsidRDefault="00D94190">
          <w:pPr>
            <w:widowControl w:val="0"/>
            <w:tabs>
              <w:tab w:val="right" w:leader="dot" w:pos="9360"/>
            </w:tabs>
            <w:spacing w:before="60" w:line="360" w:lineRule="auto"/>
            <w:rPr>
              <w:rFonts w:ascii="Times New Roman" w:eastAsia="Times New Roman" w:hAnsi="Times New Roman" w:cs="Times New Roman"/>
              <w:b/>
              <w:color w:val="000000"/>
            </w:rPr>
          </w:pPr>
          <w:r>
            <w:fldChar w:fldCharType="begin"/>
          </w:r>
          <w:r>
            <w:instrText xml:space="preserve"> TOC \h \u \z \t "Heading 1,1,Heading 2,2,Heading 3,3,Heading 4,4,Heading 5,5,Heading 6,6,"</w:instrText>
          </w:r>
          <w:r>
            <w:fldChar w:fldCharType="separate"/>
          </w:r>
          <w:hyperlink w:anchor="_xjmzve2vza0x">
            <w:r>
              <w:rPr>
                <w:rFonts w:ascii="Times New Roman" w:eastAsia="Times New Roman" w:hAnsi="Times New Roman" w:cs="Times New Roman"/>
                <w:b/>
                <w:color w:val="000000"/>
              </w:rPr>
              <w:t>Part A) Introduction</w:t>
            </w:r>
            <w:r>
              <w:rPr>
                <w:rFonts w:ascii="Times New Roman" w:eastAsia="Times New Roman" w:hAnsi="Times New Roman" w:cs="Times New Roman"/>
                <w:b/>
                <w:color w:val="000000"/>
              </w:rPr>
              <w:tab/>
            </w:r>
          </w:hyperlink>
          <w:r>
            <w:fldChar w:fldCharType="begin"/>
          </w:r>
          <w:r>
            <w:instrText xml:space="preserve"> PAGEREF _xjmzve2vza0x \h </w:instrText>
          </w:r>
          <w:r>
            <w:fldChar w:fldCharType="separate"/>
          </w:r>
          <w:r>
            <w:rPr>
              <w:rFonts w:ascii="Times New Roman" w:eastAsia="Times New Roman" w:hAnsi="Times New Roman" w:cs="Times New Roman"/>
              <w:b/>
            </w:rPr>
            <w:t>3</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jdo85y6eaa1s">
            <w:r>
              <w:rPr>
                <w:rFonts w:ascii="Times New Roman" w:eastAsia="Times New Roman" w:hAnsi="Times New Roman" w:cs="Times New Roman"/>
                <w:color w:val="000000"/>
              </w:rPr>
              <w:t>Business Model</w:t>
            </w:r>
            <w:r>
              <w:rPr>
                <w:rFonts w:ascii="Times New Roman" w:eastAsia="Times New Roman" w:hAnsi="Times New Roman" w:cs="Times New Roman"/>
                <w:color w:val="000000"/>
              </w:rPr>
              <w:tab/>
            </w:r>
          </w:hyperlink>
          <w:r>
            <w:fldChar w:fldCharType="begin"/>
          </w:r>
          <w:r>
            <w:instrText xml:space="preserve"> PAGEREF _jdo85y6eaa1s \h </w:instrText>
          </w:r>
          <w:r>
            <w:fldChar w:fldCharType="separate"/>
          </w:r>
          <w:r>
            <w:rPr>
              <w:rFonts w:ascii="Times New Roman" w:eastAsia="Times New Roman" w:hAnsi="Times New Roman" w:cs="Times New Roman"/>
            </w:rPr>
            <w:t>3</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54zdniy6x9eq">
            <w:r>
              <w:rPr>
                <w:rFonts w:ascii="Times New Roman" w:eastAsia="Times New Roman" w:hAnsi="Times New Roman" w:cs="Times New Roman"/>
                <w:color w:val="000000"/>
              </w:rPr>
              <w:t>Marketplace</w:t>
            </w:r>
            <w:r>
              <w:rPr>
                <w:rFonts w:ascii="Times New Roman" w:eastAsia="Times New Roman" w:hAnsi="Times New Roman" w:cs="Times New Roman"/>
                <w:color w:val="000000"/>
              </w:rPr>
              <w:tab/>
            </w:r>
          </w:hyperlink>
          <w:r>
            <w:fldChar w:fldCharType="begin"/>
          </w:r>
          <w:r>
            <w:instrText xml:space="preserve"> PAGEREF _54zdniy6x9eq \h </w:instrText>
          </w:r>
          <w:r>
            <w:fldChar w:fldCharType="separate"/>
          </w:r>
          <w:r>
            <w:rPr>
              <w:rFonts w:ascii="Times New Roman" w:eastAsia="Times New Roman" w:hAnsi="Times New Roman" w:cs="Times New Roman"/>
            </w:rPr>
            <w:t>3</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fomqyk9xjkkc">
            <w:r>
              <w:rPr>
                <w:rFonts w:ascii="Times New Roman" w:eastAsia="Times New Roman" w:hAnsi="Times New Roman" w:cs="Times New Roman"/>
                <w:color w:val="000000"/>
              </w:rPr>
              <w:t>Major Competitors</w:t>
            </w:r>
            <w:r>
              <w:rPr>
                <w:rFonts w:ascii="Times New Roman" w:eastAsia="Times New Roman" w:hAnsi="Times New Roman" w:cs="Times New Roman"/>
                <w:color w:val="000000"/>
              </w:rPr>
              <w:tab/>
            </w:r>
          </w:hyperlink>
          <w:r>
            <w:fldChar w:fldCharType="begin"/>
          </w:r>
          <w:r>
            <w:instrText xml:space="preserve"> PAGEREF _fomqyk9xjkkc \h </w:instrText>
          </w:r>
          <w:r>
            <w:fldChar w:fldCharType="separate"/>
          </w:r>
          <w:r>
            <w:rPr>
              <w:rFonts w:ascii="Times New Roman" w:eastAsia="Times New Roman" w:hAnsi="Times New Roman" w:cs="Times New Roman"/>
            </w:rPr>
            <w:t>3</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7uefa18bud4x">
            <w:r>
              <w:rPr>
                <w:rFonts w:ascii="Times New Roman" w:eastAsia="Times New Roman" w:hAnsi="Times New Roman" w:cs="Times New Roman"/>
                <w:color w:val="000000"/>
              </w:rPr>
              <w:t>Major Event</w:t>
            </w:r>
            <w:r>
              <w:rPr>
                <w:rFonts w:ascii="Times New Roman" w:eastAsia="Times New Roman" w:hAnsi="Times New Roman" w:cs="Times New Roman"/>
                <w:color w:val="000000"/>
              </w:rPr>
              <w:tab/>
            </w:r>
          </w:hyperlink>
          <w:r>
            <w:fldChar w:fldCharType="begin"/>
          </w:r>
          <w:r>
            <w:instrText xml:space="preserve"> PAGEREF _7uefa18bud4x \h </w:instrText>
          </w:r>
          <w:r>
            <w:fldChar w:fldCharType="separate"/>
          </w:r>
          <w:r>
            <w:rPr>
              <w:rFonts w:ascii="Times New Roman" w:eastAsia="Times New Roman" w:hAnsi="Times New Roman" w:cs="Times New Roman"/>
            </w:rPr>
            <w:t>4</w:t>
          </w:r>
          <w:r>
            <w:fldChar w:fldCharType="end"/>
          </w:r>
        </w:p>
        <w:p w:rsidR="00560C74" w:rsidRDefault="00D94190">
          <w:pPr>
            <w:widowControl w:val="0"/>
            <w:tabs>
              <w:tab w:val="right" w:leader="dot" w:pos="9360"/>
            </w:tabs>
            <w:spacing w:before="60" w:line="360" w:lineRule="auto"/>
            <w:rPr>
              <w:rFonts w:ascii="Times New Roman" w:eastAsia="Times New Roman" w:hAnsi="Times New Roman" w:cs="Times New Roman"/>
              <w:b/>
              <w:color w:val="000000"/>
            </w:rPr>
          </w:pPr>
          <w:hyperlink w:anchor="_wd7wpkrnrzs9">
            <w:r>
              <w:rPr>
                <w:rFonts w:ascii="Times New Roman" w:eastAsia="Times New Roman" w:hAnsi="Times New Roman" w:cs="Times New Roman"/>
                <w:b/>
                <w:color w:val="000000"/>
              </w:rPr>
              <w:t>Part B) Financial Performance Review</w:t>
            </w:r>
            <w:r>
              <w:rPr>
                <w:rFonts w:ascii="Times New Roman" w:eastAsia="Times New Roman" w:hAnsi="Times New Roman" w:cs="Times New Roman"/>
                <w:b/>
                <w:color w:val="000000"/>
              </w:rPr>
              <w:tab/>
            </w:r>
          </w:hyperlink>
          <w:r>
            <w:fldChar w:fldCharType="begin"/>
          </w:r>
          <w:r>
            <w:instrText xml:space="preserve"> PAGEREF _wd7wpkrnrzs9 \h </w:instrText>
          </w:r>
          <w:r>
            <w:fldChar w:fldCharType="separate"/>
          </w:r>
          <w:r>
            <w:rPr>
              <w:rFonts w:ascii="Times New Roman" w:eastAsia="Times New Roman" w:hAnsi="Times New Roman" w:cs="Times New Roman"/>
              <w:b/>
            </w:rPr>
            <w:t>6</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ftbcg5q5xlzy">
            <w:r>
              <w:rPr>
                <w:rFonts w:ascii="Times New Roman" w:eastAsia="Times New Roman" w:hAnsi="Times New Roman" w:cs="Times New Roman"/>
                <w:color w:val="000000"/>
              </w:rPr>
              <w:t>Profitability Ratios</w:t>
            </w:r>
            <w:r>
              <w:rPr>
                <w:rFonts w:ascii="Times New Roman" w:eastAsia="Times New Roman" w:hAnsi="Times New Roman" w:cs="Times New Roman"/>
                <w:color w:val="000000"/>
              </w:rPr>
              <w:tab/>
            </w:r>
          </w:hyperlink>
          <w:r>
            <w:fldChar w:fldCharType="begin"/>
          </w:r>
          <w:r>
            <w:instrText xml:space="preserve"> PAGEREF _ftbcg5q5xlzy \h </w:instrText>
          </w:r>
          <w:r>
            <w:fldChar w:fldCharType="separate"/>
          </w:r>
          <w:r>
            <w:rPr>
              <w:rFonts w:ascii="Times New Roman" w:eastAsia="Times New Roman" w:hAnsi="Times New Roman" w:cs="Times New Roman"/>
            </w:rPr>
            <w:t>6</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7shgb2xf3r5g">
            <w:r>
              <w:rPr>
                <w:rFonts w:ascii="Times New Roman" w:eastAsia="Times New Roman" w:hAnsi="Times New Roman" w:cs="Times New Roman"/>
                <w:color w:val="000000"/>
              </w:rPr>
              <w:t>1. Gross Profit Margin:</w:t>
            </w:r>
            <w:r>
              <w:rPr>
                <w:rFonts w:ascii="Times New Roman" w:eastAsia="Times New Roman" w:hAnsi="Times New Roman" w:cs="Times New Roman"/>
                <w:color w:val="000000"/>
              </w:rPr>
              <w:tab/>
            </w:r>
          </w:hyperlink>
          <w:r>
            <w:fldChar w:fldCharType="begin"/>
          </w:r>
          <w:r>
            <w:instrText xml:space="preserve"> PAGEREF _7shgb2xf3r5g \h </w:instrText>
          </w:r>
          <w:r>
            <w:fldChar w:fldCharType="separate"/>
          </w:r>
          <w:r>
            <w:rPr>
              <w:rFonts w:ascii="Times New Roman" w:eastAsia="Times New Roman" w:hAnsi="Times New Roman" w:cs="Times New Roman"/>
            </w:rPr>
            <w:t>6</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jtjlceynwn2p">
            <w:r>
              <w:rPr>
                <w:rFonts w:ascii="Times New Roman" w:eastAsia="Times New Roman" w:hAnsi="Times New Roman" w:cs="Times New Roman"/>
                <w:color w:val="000000"/>
              </w:rPr>
              <w:t>2. Net Profit Margin:</w:t>
            </w:r>
            <w:r>
              <w:rPr>
                <w:rFonts w:ascii="Times New Roman" w:eastAsia="Times New Roman" w:hAnsi="Times New Roman" w:cs="Times New Roman"/>
                <w:color w:val="000000"/>
              </w:rPr>
              <w:tab/>
            </w:r>
          </w:hyperlink>
          <w:r>
            <w:fldChar w:fldCharType="begin"/>
          </w:r>
          <w:r>
            <w:instrText xml:space="preserve"> PAGEREF _jtjlceynwn2p \h </w:instrText>
          </w:r>
          <w:r>
            <w:fldChar w:fldCharType="separate"/>
          </w:r>
          <w:r>
            <w:rPr>
              <w:rFonts w:ascii="Times New Roman" w:eastAsia="Times New Roman" w:hAnsi="Times New Roman" w:cs="Times New Roman"/>
            </w:rPr>
            <w:t>6</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2cmdn9m7fb50">
            <w:r>
              <w:rPr>
                <w:rFonts w:ascii="Times New Roman" w:eastAsia="Times New Roman" w:hAnsi="Times New Roman" w:cs="Times New Roman"/>
                <w:color w:val="000000"/>
              </w:rPr>
              <w:t>3. Return on Assets (ROA):</w:t>
            </w:r>
            <w:r>
              <w:rPr>
                <w:rFonts w:ascii="Times New Roman" w:eastAsia="Times New Roman" w:hAnsi="Times New Roman" w:cs="Times New Roman"/>
                <w:color w:val="000000"/>
              </w:rPr>
              <w:tab/>
            </w:r>
          </w:hyperlink>
          <w:r>
            <w:fldChar w:fldCharType="begin"/>
          </w:r>
          <w:r>
            <w:instrText xml:space="preserve"> PAGEREF _2cmdn9m7fb50 \h </w:instrText>
          </w:r>
          <w:r>
            <w:fldChar w:fldCharType="separate"/>
          </w:r>
          <w:r>
            <w:rPr>
              <w:rFonts w:ascii="Times New Roman" w:eastAsia="Times New Roman" w:hAnsi="Times New Roman" w:cs="Times New Roman"/>
            </w:rPr>
            <w:t>7</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38mnne30tsd">
            <w:r>
              <w:rPr>
                <w:rFonts w:ascii="Times New Roman" w:eastAsia="Times New Roman" w:hAnsi="Times New Roman" w:cs="Times New Roman"/>
                <w:color w:val="000000"/>
              </w:rPr>
              <w:t>4. Return on Equity (ROE):</w:t>
            </w:r>
            <w:r>
              <w:rPr>
                <w:rFonts w:ascii="Times New Roman" w:eastAsia="Times New Roman" w:hAnsi="Times New Roman" w:cs="Times New Roman"/>
                <w:color w:val="000000"/>
              </w:rPr>
              <w:tab/>
            </w:r>
          </w:hyperlink>
          <w:r>
            <w:fldChar w:fldCharType="begin"/>
          </w:r>
          <w:r>
            <w:instrText xml:space="preserve"> PAGEREF _38mnne30tsd \h </w:instrText>
          </w:r>
          <w:r>
            <w:fldChar w:fldCharType="separate"/>
          </w:r>
          <w:r>
            <w:rPr>
              <w:rFonts w:ascii="Times New Roman" w:eastAsia="Times New Roman" w:hAnsi="Times New Roman" w:cs="Times New Roman"/>
            </w:rPr>
            <w:t>7</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pjqynybmwngd">
            <w:r>
              <w:rPr>
                <w:rFonts w:ascii="Times New Roman" w:eastAsia="Times New Roman" w:hAnsi="Times New Roman" w:cs="Times New Roman"/>
                <w:color w:val="000000"/>
              </w:rPr>
              <w:t>Liquidity Ratios</w:t>
            </w:r>
            <w:r>
              <w:rPr>
                <w:rFonts w:ascii="Times New Roman" w:eastAsia="Times New Roman" w:hAnsi="Times New Roman" w:cs="Times New Roman"/>
                <w:color w:val="000000"/>
              </w:rPr>
              <w:tab/>
            </w:r>
          </w:hyperlink>
          <w:r>
            <w:fldChar w:fldCharType="begin"/>
          </w:r>
          <w:r>
            <w:instrText xml:space="preserve"> PAGEREF _pjqynybmwngd \h </w:instrText>
          </w:r>
          <w:r>
            <w:fldChar w:fldCharType="separate"/>
          </w:r>
          <w:r>
            <w:rPr>
              <w:rFonts w:ascii="Times New Roman" w:eastAsia="Times New Roman" w:hAnsi="Times New Roman" w:cs="Times New Roman"/>
            </w:rPr>
            <w:t>8</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lugwx4407axq">
            <w:r>
              <w:rPr>
                <w:rFonts w:ascii="Times New Roman" w:eastAsia="Times New Roman" w:hAnsi="Times New Roman" w:cs="Times New Roman"/>
                <w:color w:val="000000"/>
              </w:rPr>
              <w:t>5. Current Ratio:</w:t>
            </w:r>
            <w:r>
              <w:rPr>
                <w:rFonts w:ascii="Times New Roman" w:eastAsia="Times New Roman" w:hAnsi="Times New Roman" w:cs="Times New Roman"/>
                <w:color w:val="000000"/>
              </w:rPr>
              <w:tab/>
            </w:r>
          </w:hyperlink>
          <w:r>
            <w:fldChar w:fldCharType="begin"/>
          </w:r>
          <w:r>
            <w:instrText xml:space="preserve"> PAGEREF _lugwx4407axq \h </w:instrText>
          </w:r>
          <w:r>
            <w:fldChar w:fldCharType="separate"/>
          </w:r>
          <w:r>
            <w:rPr>
              <w:rFonts w:ascii="Times New Roman" w:eastAsia="Times New Roman" w:hAnsi="Times New Roman" w:cs="Times New Roman"/>
            </w:rPr>
            <w:t>8</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jtsovvibzz8h">
            <w:r>
              <w:rPr>
                <w:rFonts w:ascii="Times New Roman" w:eastAsia="Times New Roman" w:hAnsi="Times New Roman" w:cs="Times New Roman"/>
                <w:color w:val="000000"/>
              </w:rPr>
              <w:t>6. Quick Ratio:</w:t>
            </w:r>
            <w:r>
              <w:rPr>
                <w:rFonts w:ascii="Times New Roman" w:eastAsia="Times New Roman" w:hAnsi="Times New Roman" w:cs="Times New Roman"/>
                <w:color w:val="000000"/>
              </w:rPr>
              <w:tab/>
            </w:r>
          </w:hyperlink>
          <w:r>
            <w:fldChar w:fldCharType="begin"/>
          </w:r>
          <w:r>
            <w:instrText xml:space="preserve"> PAGEREF _jtsovvibzz8h \h </w:instrText>
          </w:r>
          <w:r>
            <w:fldChar w:fldCharType="separate"/>
          </w:r>
          <w:r>
            <w:rPr>
              <w:rFonts w:ascii="Times New Roman" w:eastAsia="Times New Roman" w:hAnsi="Times New Roman" w:cs="Times New Roman"/>
            </w:rPr>
            <w:t>8</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xqbehwpnrkx3">
            <w:r>
              <w:rPr>
                <w:rFonts w:ascii="Times New Roman" w:eastAsia="Times New Roman" w:hAnsi="Times New Roman" w:cs="Times New Roman"/>
                <w:color w:val="000000"/>
              </w:rPr>
              <w:t>Gearing Ratios</w:t>
            </w:r>
            <w:r>
              <w:rPr>
                <w:rFonts w:ascii="Times New Roman" w:eastAsia="Times New Roman" w:hAnsi="Times New Roman" w:cs="Times New Roman"/>
                <w:color w:val="000000"/>
              </w:rPr>
              <w:tab/>
            </w:r>
          </w:hyperlink>
          <w:r>
            <w:fldChar w:fldCharType="begin"/>
          </w:r>
          <w:r>
            <w:instrText xml:space="preserve"> PAGEREF _xqbehwpnrkx3 \h </w:instrText>
          </w:r>
          <w:r>
            <w:fldChar w:fldCharType="separate"/>
          </w:r>
          <w:r>
            <w:rPr>
              <w:rFonts w:ascii="Times New Roman" w:eastAsia="Times New Roman" w:hAnsi="Times New Roman" w:cs="Times New Roman"/>
            </w:rPr>
            <w:t>9</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dtptqh4oa01q">
            <w:r>
              <w:rPr>
                <w:rFonts w:ascii="Times New Roman" w:eastAsia="Times New Roman" w:hAnsi="Times New Roman" w:cs="Times New Roman"/>
                <w:color w:val="000000"/>
              </w:rPr>
              <w:t>7. Debt to Equity Ratio:</w:t>
            </w:r>
            <w:r>
              <w:rPr>
                <w:rFonts w:ascii="Times New Roman" w:eastAsia="Times New Roman" w:hAnsi="Times New Roman" w:cs="Times New Roman"/>
                <w:color w:val="000000"/>
              </w:rPr>
              <w:tab/>
            </w:r>
          </w:hyperlink>
          <w:r>
            <w:fldChar w:fldCharType="begin"/>
          </w:r>
          <w:r>
            <w:instrText xml:space="preserve"> PAGEREF _dtptqh4oa01q \h </w:instrText>
          </w:r>
          <w:r>
            <w:fldChar w:fldCharType="separate"/>
          </w:r>
          <w:r>
            <w:rPr>
              <w:rFonts w:ascii="Times New Roman" w:eastAsia="Times New Roman" w:hAnsi="Times New Roman" w:cs="Times New Roman"/>
            </w:rPr>
            <w:t>9</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2m8w8p9g020">
            <w:r>
              <w:rPr>
                <w:rFonts w:ascii="Times New Roman" w:eastAsia="Times New Roman" w:hAnsi="Times New Roman" w:cs="Times New Roman"/>
                <w:color w:val="000000"/>
              </w:rPr>
              <w:t>8. Interest Coverage Ratio:</w:t>
            </w:r>
            <w:r>
              <w:rPr>
                <w:rFonts w:ascii="Times New Roman" w:eastAsia="Times New Roman" w:hAnsi="Times New Roman" w:cs="Times New Roman"/>
                <w:color w:val="000000"/>
              </w:rPr>
              <w:tab/>
            </w:r>
          </w:hyperlink>
          <w:r>
            <w:fldChar w:fldCharType="begin"/>
          </w:r>
          <w:r>
            <w:instrText xml:space="preserve"> PAGEREF _2m8w8p9g020 \h </w:instrText>
          </w:r>
          <w:r>
            <w:fldChar w:fldCharType="separate"/>
          </w:r>
          <w:r>
            <w:rPr>
              <w:rFonts w:ascii="Times New Roman" w:eastAsia="Times New Roman" w:hAnsi="Times New Roman" w:cs="Times New Roman"/>
            </w:rPr>
            <w:t>9</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ehax19hxk1at">
            <w:r>
              <w:rPr>
                <w:rFonts w:ascii="Times New Roman" w:eastAsia="Times New Roman" w:hAnsi="Times New Roman" w:cs="Times New Roman"/>
                <w:color w:val="000000"/>
              </w:rPr>
              <w:t>Efficiency Ratios</w:t>
            </w:r>
            <w:r>
              <w:rPr>
                <w:rFonts w:ascii="Times New Roman" w:eastAsia="Times New Roman" w:hAnsi="Times New Roman" w:cs="Times New Roman"/>
                <w:color w:val="000000"/>
              </w:rPr>
              <w:tab/>
            </w:r>
          </w:hyperlink>
          <w:r>
            <w:fldChar w:fldCharType="begin"/>
          </w:r>
          <w:r>
            <w:instrText xml:space="preserve"> PAGEREF _ehax19hxk1at \h </w:instrText>
          </w:r>
          <w:r>
            <w:fldChar w:fldCharType="separate"/>
          </w:r>
          <w:r>
            <w:rPr>
              <w:rFonts w:ascii="Times New Roman" w:eastAsia="Times New Roman" w:hAnsi="Times New Roman" w:cs="Times New Roman"/>
            </w:rPr>
            <w:t>10</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6w4y12lq1l4i">
            <w:r>
              <w:rPr>
                <w:rFonts w:ascii="Times New Roman" w:eastAsia="Times New Roman" w:hAnsi="Times New Roman" w:cs="Times New Roman"/>
                <w:color w:val="000000"/>
              </w:rPr>
              <w:t>9. Asset Turnover Ratio:</w:t>
            </w:r>
            <w:r>
              <w:rPr>
                <w:rFonts w:ascii="Times New Roman" w:eastAsia="Times New Roman" w:hAnsi="Times New Roman" w:cs="Times New Roman"/>
                <w:color w:val="000000"/>
              </w:rPr>
              <w:tab/>
            </w:r>
          </w:hyperlink>
          <w:r>
            <w:fldChar w:fldCharType="begin"/>
          </w:r>
          <w:r>
            <w:instrText xml:space="preserve"> PAGEREF _6w4y12lq1l4i \h </w:instrText>
          </w:r>
          <w:r>
            <w:fldChar w:fldCharType="separate"/>
          </w:r>
          <w:r>
            <w:rPr>
              <w:rFonts w:ascii="Times New Roman" w:eastAsia="Times New Roman" w:hAnsi="Times New Roman" w:cs="Times New Roman"/>
            </w:rPr>
            <w:t>10</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loj0da83lh38">
            <w:r>
              <w:rPr>
                <w:rFonts w:ascii="Times New Roman" w:eastAsia="Times New Roman" w:hAnsi="Times New Roman" w:cs="Times New Roman"/>
                <w:color w:val="000000"/>
              </w:rPr>
              <w:t>10. Inventory Turnover Ratio:</w:t>
            </w:r>
            <w:r>
              <w:rPr>
                <w:rFonts w:ascii="Times New Roman" w:eastAsia="Times New Roman" w:hAnsi="Times New Roman" w:cs="Times New Roman"/>
                <w:color w:val="000000"/>
              </w:rPr>
              <w:tab/>
            </w:r>
          </w:hyperlink>
          <w:r>
            <w:fldChar w:fldCharType="begin"/>
          </w:r>
          <w:r>
            <w:instrText xml:space="preserve"> PAGEREF _loj0da83lh38 \h </w:instrText>
          </w:r>
          <w:r>
            <w:fldChar w:fldCharType="separate"/>
          </w:r>
          <w:r>
            <w:rPr>
              <w:rFonts w:ascii="Times New Roman" w:eastAsia="Times New Roman" w:hAnsi="Times New Roman" w:cs="Times New Roman"/>
            </w:rPr>
            <w:t>10</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viksb6nr74dk">
            <w:r>
              <w:rPr>
                <w:rFonts w:ascii="Times New Roman" w:eastAsia="Times New Roman" w:hAnsi="Times New Roman" w:cs="Times New Roman"/>
                <w:color w:val="000000"/>
              </w:rPr>
              <w:t>11. Receivables Turnover Ratio:</w:t>
            </w:r>
            <w:r>
              <w:rPr>
                <w:rFonts w:ascii="Times New Roman" w:eastAsia="Times New Roman" w:hAnsi="Times New Roman" w:cs="Times New Roman"/>
                <w:color w:val="000000"/>
              </w:rPr>
              <w:tab/>
            </w:r>
          </w:hyperlink>
          <w:r>
            <w:fldChar w:fldCharType="begin"/>
          </w:r>
          <w:r>
            <w:instrText xml:space="preserve"> PAGEREF _viksb6nr74dk \h </w:instrText>
          </w:r>
          <w:r>
            <w:fldChar w:fldCharType="separate"/>
          </w:r>
          <w:r>
            <w:rPr>
              <w:rFonts w:ascii="Times New Roman" w:eastAsia="Times New Roman" w:hAnsi="Times New Roman" w:cs="Times New Roman"/>
            </w:rPr>
            <w:t>11</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z5mpmzbdag8c">
            <w:r>
              <w:rPr>
                <w:rFonts w:ascii="Times New Roman" w:eastAsia="Times New Roman" w:hAnsi="Times New Roman" w:cs="Times New Roman"/>
                <w:color w:val="000000"/>
              </w:rPr>
              <w:t>Ratios Evaluation</w:t>
            </w:r>
            <w:r>
              <w:rPr>
                <w:rFonts w:ascii="Times New Roman" w:eastAsia="Times New Roman" w:hAnsi="Times New Roman" w:cs="Times New Roman"/>
                <w:color w:val="000000"/>
              </w:rPr>
              <w:tab/>
            </w:r>
          </w:hyperlink>
          <w:r>
            <w:fldChar w:fldCharType="begin"/>
          </w:r>
          <w:r>
            <w:instrText xml:space="preserve"> PAGEREF _z5mpmzbdag8c \h </w:instrText>
          </w:r>
          <w:r>
            <w:fldChar w:fldCharType="separate"/>
          </w:r>
          <w:r>
            <w:rPr>
              <w:rFonts w:ascii="Times New Roman" w:eastAsia="Times New Roman" w:hAnsi="Times New Roman" w:cs="Times New Roman"/>
            </w:rPr>
            <w:t>11</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nudwkuyztl08">
            <w:r>
              <w:rPr>
                <w:rFonts w:ascii="Times New Roman" w:eastAsia="Times New Roman" w:hAnsi="Times New Roman" w:cs="Times New Roman"/>
                <w:color w:val="000000"/>
              </w:rPr>
              <w:t>Profitability Ratios Analysis</w:t>
            </w:r>
            <w:r>
              <w:rPr>
                <w:rFonts w:ascii="Times New Roman" w:eastAsia="Times New Roman" w:hAnsi="Times New Roman" w:cs="Times New Roman"/>
                <w:color w:val="000000"/>
              </w:rPr>
              <w:tab/>
            </w:r>
          </w:hyperlink>
          <w:r>
            <w:fldChar w:fldCharType="begin"/>
          </w:r>
          <w:r>
            <w:instrText xml:space="preserve"> PAGEREF _nudwkuyztl08 \h </w:instrText>
          </w:r>
          <w:r>
            <w:fldChar w:fldCharType="separate"/>
          </w:r>
          <w:r>
            <w:rPr>
              <w:rFonts w:ascii="Times New Roman" w:eastAsia="Times New Roman" w:hAnsi="Times New Roman" w:cs="Times New Roman"/>
            </w:rPr>
            <w:t>11</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o02z8wm4cwqm">
            <w:r>
              <w:rPr>
                <w:rFonts w:ascii="Times New Roman" w:eastAsia="Times New Roman" w:hAnsi="Times New Roman" w:cs="Times New Roman"/>
                <w:color w:val="000000"/>
              </w:rPr>
              <w:t>Impact of External and Internal Factors on Profitability</w:t>
            </w:r>
            <w:r>
              <w:rPr>
                <w:rFonts w:ascii="Times New Roman" w:eastAsia="Times New Roman" w:hAnsi="Times New Roman" w:cs="Times New Roman"/>
                <w:color w:val="000000"/>
              </w:rPr>
              <w:tab/>
            </w:r>
          </w:hyperlink>
          <w:r>
            <w:fldChar w:fldCharType="begin"/>
          </w:r>
          <w:r>
            <w:instrText xml:space="preserve"> PAGEREF _o02z8wm4cwqm \h </w:instrText>
          </w:r>
          <w:r>
            <w:fldChar w:fldCharType="separate"/>
          </w:r>
          <w:r>
            <w:rPr>
              <w:rFonts w:ascii="Times New Roman" w:eastAsia="Times New Roman" w:hAnsi="Times New Roman" w:cs="Times New Roman"/>
            </w:rPr>
            <w:t>12</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63h27pioc073">
            <w:r>
              <w:rPr>
                <w:rFonts w:ascii="Times New Roman" w:eastAsia="Times New Roman" w:hAnsi="Times New Roman" w:cs="Times New Roman"/>
                <w:color w:val="000000"/>
              </w:rPr>
              <w:t>Comparison to Major Competitors</w:t>
            </w:r>
            <w:r>
              <w:rPr>
                <w:rFonts w:ascii="Times New Roman" w:eastAsia="Times New Roman" w:hAnsi="Times New Roman" w:cs="Times New Roman"/>
                <w:color w:val="000000"/>
              </w:rPr>
              <w:tab/>
            </w:r>
          </w:hyperlink>
          <w:r>
            <w:fldChar w:fldCharType="begin"/>
          </w:r>
          <w:r>
            <w:instrText xml:space="preserve"> PAGEREF _63h27pioc073 \h </w:instrText>
          </w:r>
          <w:r>
            <w:fldChar w:fldCharType="separate"/>
          </w:r>
          <w:r>
            <w:rPr>
              <w:rFonts w:ascii="Times New Roman" w:eastAsia="Times New Roman" w:hAnsi="Times New Roman" w:cs="Times New Roman"/>
            </w:rPr>
            <w:t>13</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2vgeldn6xmb0">
            <w:r>
              <w:rPr>
                <w:rFonts w:ascii="Times New Roman" w:eastAsia="Times New Roman" w:hAnsi="Times New Roman" w:cs="Times New Roman"/>
                <w:color w:val="000000"/>
              </w:rPr>
              <w:t>Liquidity Ratios Analysis</w:t>
            </w:r>
            <w:r>
              <w:rPr>
                <w:rFonts w:ascii="Times New Roman" w:eastAsia="Times New Roman" w:hAnsi="Times New Roman" w:cs="Times New Roman"/>
                <w:color w:val="000000"/>
              </w:rPr>
              <w:tab/>
            </w:r>
          </w:hyperlink>
          <w:r>
            <w:fldChar w:fldCharType="begin"/>
          </w:r>
          <w:r>
            <w:instrText xml:space="preserve"> PAGEREF _2vgeldn6xmb0 \h </w:instrText>
          </w:r>
          <w:r>
            <w:fldChar w:fldCharType="separate"/>
          </w:r>
          <w:r>
            <w:rPr>
              <w:rFonts w:ascii="Times New Roman" w:eastAsia="Times New Roman" w:hAnsi="Times New Roman" w:cs="Times New Roman"/>
            </w:rPr>
            <w:t>14</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4k83ol2yepil">
            <w:r>
              <w:rPr>
                <w:rFonts w:ascii="Times New Roman" w:eastAsia="Times New Roman" w:hAnsi="Times New Roman" w:cs="Times New Roman"/>
                <w:color w:val="000000"/>
              </w:rPr>
              <w:t>Evaluation of Liquidity Trends and Implications for Financial Health</w:t>
            </w:r>
            <w:r>
              <w:rPr>
                <w:rFonts w:ascii="Times New Roman" w:eastAsia="Times New Roman" w:hAnsi="Times New Roman" w:cs="Times New Roman"/>
                <w:color w:val="000000"/>
              </w:rPr>
              <w:tab/>
            </w:r>
          </w:hyperlink>
          <w:r>
            <w:fldChar w:fldCharType="begin"/>
          </w:r>
          <w:r>
            <w:instrText xml:space="preserve"> PAGEREF _4k83ol2yepil \h </w:instrText>
          </w:r>
          <w:r>
            <w:fldChar w:fldCharType="separate"/>
          </w:r>
          <w:r>
            <w:rPr>
              <w:rFonts w:ascii="Times New Roman" w:eastAsia="Times New Roman" w:hAnsi="Times New Roman" w:cs="Times New Roman"/>
            </w:rPr>
            <w:t>15</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krhhj1ojavvg">
            <w:r>
              <w:rPr>
                <w:rFonts w:ascii="Times New Roman" w:eastAsia="Times New Roman" w:hAnsi="Times New Roman" w:cs="Times New Roman"/>
                <w:color w:val="000000"/>
              </w:rPr>
              <w:t>Comparison with Major Competitors and/or Sector Averages</w:t>
            </w:r>
            <w:r>
              <w:rPr>
                <w:rFonts w:ascii="Times New Roman" w:eastAsia="Times New Roman" w:hAnsi="Times New Roman" w:cs="Times New Roman"/>
                <w:color w:val="000000"/>
              </w:rPr>
              <w:tab/>
            </w:r>
          </w:hyperlink>
          <w:r>
            <w:fldChar w:fldCharType="begin"/>
          </w:r>
          <w:r>
            <w:instrText xml:space="preserve"> PAGEREF _krhhj1ojavvg \h </w:instrText>
          </w:r>
          <w:r>
            <w:fldChar w:fldCharType="separate"/>
          </w:r>
          <w:r>
            <w:rPr>
              <w:rFonts w:ascii="Times New Roman" w:eastAsia="Times New Roman" w:hAnsi="Times New Roman" w:cs="Times New Roman"/>
            </w:rPr>
            <w:t>15</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9be7sy5nnnoe">
            <w:r>
              <w:rPr>
                <w:rFonts w:ascii="Times New Roman" w:eastAsia="Times New Roman" w:hAnsi="Times New Roman" w:cs="Times New Roman"/>
                <w:color w:val="000000"/>
              </w:rPr>
              <w:t>Gearing Ratios Analysis</w:t>
            </w:r>
            <w:r>
              <w:rPr>
                <w:rFonts w:ascii="Times New Roman" w:eastAsia="Times New Roman" w:hAnsi="Times New Roman" w:cs="Times New Roman"/>
                <w:color w:val="000000"/>
              </w:rPr>
              <w:tab/>
            </w:r>
          </w:hyperlink>
          <w:r>
            <w:fldChar w:fldCharType="begin"/>
          </w:r>
          <w:r>
            <w:instrText xml:space="preserve"> PAGEREF _9be7sy5nnnoe \h </w:instrText>
          </w:r>
          <w:r>
            <w:fldChar w:fldCharType="separate"/>
          </w:r>
          <w:r>
            <w:rPr>
              <w:rFonts w:ascii="Times New Roman" w:eastAsia="Times New Roman" w:hAnsi="Times New Roman" w:cs="Times New Roman"/>
            </w:rPr>
            <w:t>16</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tsi3bqt8twiw">
            <w:r>
              <w:rPr>
                <w:rFonts w:ascii="Times New Roman" w:eastAsia="Times New Roman" w:hAnsi="Times New Roman" w:cs="Times New Roman"/>
                <w:color w:val="000000"/>
              </w:rPr>
              <w:t>Discussion of the Risks Associated with High or Low Gearing Ratios</w:t>
            </w:r>
            <w:r>
              <w:rPr>
                <w:rFonts w:ascii="Times New Roman" w:eastAsia="Times New Roman" w:hAnsi="Times New Roman" w:cs="Times New Roman"/>
                <w:color w:val="000000"/>
              </w:rPr>
              <w:tab/>
            </w:r>
          </w:hyperlink>
          <w:r>
            <w:fldChar w:fldCharType="begin"/>
          </w:r>
          <w:r>
            <w:instrText xml:space="preserve"> PAGEREF _tsi3bqt8twiw \h </w:instrText>
          </w:r>
          <w:r>
            <w:fldChar w:fldCharType="separate"/>
          </w:r>
          <w:r>
            <w:rPr>
              <w:rFonts w:ascii="Times New Roman" w:eastAsia="Times New Roman" w:hAnsi="Times New Roman" w:cs="Times New Roman"/>
            </w:rPr>
            <w:t>17</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jwnq3az2fwec">
            <w:r>
              <w:rPr>
                <w:rFonts w:ascii="Times New Roman" w:eastAsia="Times New Roman" w:hAnsi="Times New Roman" w:cs="Times New Roman"/>
                <w:color w:val="000000"/>
              </w:rPr>
              <w:t>Comparison with Major Competitors</w:t>
            </w:r>
            <w:r>
              <w:rPr>
                <w:rFonts w:ascii="Times New Roman" w:eastAsia="Times New Roman" w:hAnsi="Times New Roman" w:cs="Times New Roman"/>
                <w:color w:val="000000"/>
              </w:rPr>
              <w:tab/>
            </w:r>
          </w:hyperlink>
          <w:r>
            <w:fldChar w:fldCharType="begin"/>
          </w:r>
          <w:r>
            <w:instrText xml:space="preserve"> PAGEREF _jwnq3az2fwec \h </w:instrText>
          </w:r>
          <w:r>
            <w:fldChar w:fldCharType="separate"/>
          </w:r>
          <w:r>
            <w:rPr>
              <w:rFonts w:ascii="Times New Roman" w:eastAsia="Times New Roman" w:hAnsi="Times New Roman" w:cs="Times New Roman"/>
            </w:rPr>
            <w:t>17</w:t>
          </w:r>
          <w:r>
            <w:fldChar w:fldCharType="end"/>
          </w:r>
        </w:p>
        <w:p w:rsidR="00560C74" w:rsidRDefault="00D94190">
          <w:pPr>
            <w:widowControl w:val="0"/>
            <w:tabs>
              <w:tab w:val="right" w:leader="dot" w:pos="9360"/>
            </w:tabs>
            <w:spacing w:before="60" w:line="360" w:lineRule="auto"/>
            <w:ind w:left="720"/>
            <w:rPr>
              <w:rFonts w:ascii="Times New Roman" w:eastAsia="Times New Roman" w:hAnsi="Times New Roman" w:cs="Times New Roman"/>
              <w:color w:val="000000"/>
            </w:rPr>
          </w:pPr>
          <w:hyperlink w:anchor="_4bsvcylhgj23">
            <w:r>
              <w:rPr>
                <w:rFonts w:ascii="Times New Roman" w:eastAsia="Times New Roman" w:hAnsi="Times New Roman" w:cs="Times New Roman"/>
                <w:color w:val="000000"/>
              </w:rPr>
              <w:t>Efficiency Ratios Analysis</w:t>
            </w:r>
            <w:r>
              <w:rPr>
                <w:rFonts w:ascii="Times New Roman" w:eastAsia="Times New Roman" w:hAnsi="Times New Roman" w:cs="Times New Roman"/>
                <w:color w:val="000000"/>
              </w:rPr>
              <w:tab/>
            </w:r>
          </w:hyperlink>
          <w:r>
            <w:fldChar w:fldCharType="begin"/>
          </w:r>
          <w:r>
            <w:instrText xml:space="preserve"> PAGEREF _4bsvcylhgj23 \h </w:instrText>
          </w:r>
          <w:r>
            <w:fldChar w:fldCharType="separate"/>
          </w:r>
          <w:r>
            <w:rPr>
              <w:rFonts w:ascii="Times New Roman" w:eastAsia="Times New Roman" w:hAnsi="Times New Roman" w:cs="Times New Roman"/>
            </w:rPr>
            <w:t>18</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rmanwxk38r1i">
            <w:r>
              <w:rPr>
                <w:rFonts w:ascii="Times New Roman" w:eastAsia="Times New Roman" w:hAnsi="Times New Roman" w:cs="Times New Roman"/>
                <w:color w:val="000000"/>
              </w:rPr>
              <w:t>Evaluation of Inventory and Receivables Management</w:t>
            </w:r>
            <w:r>
              <w:rPr>
                <w:rFonts w:ascii="Times New Roman" w:eastAsia="Times New Roman" w:hAnsi="Times New Roman" w:cs="Times New Roman"/>
                <w:color w:val="000000"/>
              </w:rPr>
              <w:tab/>
            </w:r>
          </w:hyperlink>
          <w:r>
            <w:fldChar w:fldCharType="begin"/>
          </w:r>
          <w:r>
            <w:instrText xml:space="preserve"> PAGEREF _rmanwxk38r1i \h </w:instrText>
          </w:r>
          <w:r>
            <w:fldChar w:fldCharType="separate"/>
          </w:r>
          <w:r>
            <w:rPr>
              <w:rFonts w:ascii="Times New Roman" w:eastAsia="Times New Roman" w:hAnsi="Times New Roman" w:cs="Times New Roman"/>
            </w:rPr>
            <w:t>18</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vz2pgetljlvz">
            <w:r>
              <w:rPr>
                <w:rFonts w:ascii="Times New Roman" w:eastAsia="Times New Roman" w:hAnsi="Times New Roman" w:cs="Times New Roman"/>
                <w:color w:val="000000"/>
              </w:rPr>
              <w:t>Comparison with Major Competitors</w:t>
            </w:r>
            <w:r>
              <w:rPr>
                <w:rFonts w:ascii="Times New Roman" w:eastAsia="Times New Roman" w:hAnsi="Times New Roman" w:cs="Times New Roman"/>
                <w:color w:val="000000"/>
              </w:rPr>
              <w:tab/>
            </w:r>
          </w:hyperlink>
          <w:r>
            <w:fldChar w:fldCharType="begin"/>
          </w:r>
          <w:r>
            <w:instrText xml:space="preserve"> PAGEREF _vz2pgetljlvz \h </w:instrText>
          </w:r>
          <w:r>
            <w:fldChar w:fldCharType="separate"/>
          </w:r>
          <w:r>
            <w:rPr>
              <w:rFonts w:ascii="Times New Roman" w:eastAsia="Times New Roman" w:hAnsi="Times New Roman" w:cs="Times New Roman"/>
            </w:rPr>
            <w:t>19</w:t>
          </w:r>
          <w:r>
            <w:fldChar w:fldCharType="end"/>
          </w:r>
        </w:p>
        <w:p w:rsidR="00560C74" w:rsidRDefault="00D94190">
          <w:pPr>
            <w:widowControl w:val="0"/>
            <w:tabs>
              <w:tab w:val="right" w:leader="dot" w:pos="9360"/>
            </w:tabs>
            <w:spacing w:before="60" w:line="360" w:lineRule="auto"/>
            <w:ind w:left="1080"/>
            <w:rPr>
              <w:rFonts w:ascii="Times New Roman" w:eastAsia="Times New Roman" w:hAnsi="Times New Roman" w:cs="Times New Roman"/>
              <w:color w:val="000000"/>
            </w:rPr>
          </w:pPr>
          <w:hyperlink w:anchor="_rfs2pj1u7jww">
            <w:r>
              <w:rPr>
                <w:rFonts w:ascii="Times New Roman" w:eastAsia="Times New Roman" w:hAnsi="Times New Roman" w:cs="Times New Roman"/>
                <w:color w:val="000000"/>
              </w:rPr>
              <w:t>Recommendations on Improving Financial Management</w:t>
            </w:r>
            <w:r>
              <w:rPr>
                <w:rFonts w:ascii="Times New Roman" w:eastAsia="Times New Roman" w:hAnsi="Times New Roman" w:cs="Times New Roman"/>
                <w:color w:val="000000"/>
              </w:rPr>
              <w:tab/>
            </w:r>
          </w:hyperlink>
          <w:r>
            <w:fldChar w:fldCharType="begin"/>
          </w:r>
          <w:r>
            <w:instrText xml:space="preserve"> PAGEREF _rfs2pj1u7jww \h </w:instrText>
          </w:r>
          <w:r>
            <w:fldChar w:fldCharType="separate"/>
          </w:r>
          <w:r>
            <w:rPr>
              <w:rFonts w:ascii="Times New Roman" w:eastAsia="Times New Roman" w:hAnsi="Times New Roman" w:cs="Times New Roman"/>
            </w:rPr>
            <w:t>20</w:t>
          </w:r>
          <w:r>
            <w:fldChar w:fldCharType="end"/>
          </w:r>
        </w:p>
        <w:p w:rsidR="00560C74" w:rsidRDefault="00D94190">
          <w:pPr>
            <w:widowControl w:val="0"/>
            <w:tabs>
              <w:tab w:val="right" w:leader="dot" w:pos="9360"/>
            </w:tabs>
            <w:spacing w:before="60" w:line="360" w:lineRule="auto"/>
            <w:rPr>
              <w:rFonts w:ascii="Times New Roman" w:eastAsia="Times New Roman" w:hAnsi="Times New Roman" w:cs="Times New Roman"/>
              <w:b/>
              <w:color w:val="000000"/>
            </w:rPr>
          </w:pPr>
          <w:hyperlink w:anchor="_w1ibioqgg44z">
            <w:r>
              <w:rPr>
                <w:rFonts w:ascii="Times New Roman" w:eastAsia="Times New Roman" w:hAnsi="Times New Roman" w:cs="Times New Roman"/>
                <w:b/>
                <w:color w:val="000000"/>
              </w:rPr>
              <w:t>Part C). Investment Appraisal</w:t>
            </w:r>
            <w:r>
              <w:rPr>
                <w:rFonts w:ascii="Times New Roman" w:eastAsia="Times New Roman" w:hAnsi="Times New Roman" w:cs="Times New Roman"/>
                <w:b/>
                <w:color w:val="000000"/>
              </w:rPr>
              <w:tab/>
            </w:r>
          </w:hyperlink>
          <w:r>
            <w:fldChar w:fldCharType="begin"/>
          </w:r>
          <w:r>
            <w:instrText xml:space="preserve"> PAGEREF _w1ibioqgg44z \h </w:instrText>
          </w:r>
          <w:r>
            <w:fldChar w:fldCharType="separate"/>
          </w:r>
          <w:r>
            <w:rPr>
              <w:rFonts w:ascii="Times New Roman" w:eastAsia="Times New Roman" w:hAnsi="Times New Roman" w:cs="Times New Roman"/>
              <w:b/>
            </w:rPr>
            <w:t>22</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js36tdmbsek">
            <w:r>
              <w:rPr>
                <w:rFonts w:ascii="Times New Roman" w:eastAsia="Times New Roman" w:hAnsi="Times New Roman" w:cs="Times New Roman"/>
                <w:color w:val="000000"/>
              </w:rPr>
              <w:t>Payback Period (PBP)</w:t>
            </w:r>
            <w:r>
              <w:rPr>
                <w:rFonts w:ascii="Times New Roman" w:eastAsia="Times New Roman" w:hAnsi="Times New Roman" w:cs="Times New Roman"/>
                <w:color w:val="000000"/>
              </w:rPr>
              <w:tab/>
            </w:r>
          </w:hyperlink>
          <w:r>
            <w:fldChar w:fldCharType="begin"/>
          </w:r>
          <w:r>
            <w:instrText xml:space="preserve"> PAGEREF _js36tdmbsek \h </w:instrText>
          </w:r>
          <w:r>
            <w:fldChar w:fldCharType="separate"/>
          </w:r>
          <w:r>
            <w:rPr>
              <w:rFonts w:ascii="Times New Roman" w:eastAsia="Times New Roman" w:hAnsi="Times New Roman" w:cs="Times New Roman"/>
            </w:rPr>
            <w:t>22</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oikv1bwejosz">
            <w:r>
              <w:rPr>
                <w:rFonts w:ascii="Times New Roman" w:eastAsia="Times New Roman" w:hAnsi="Times New Roman" w:cs="Times New Roman"/>
                <w:color w:val="000000"/>
              </w:rPr>
              <w:t>Accounting Rate of Return (ARR)</w:t>
            </w:r>
            <w:r>
              <w:rPr>
                <w:rFonts w:ascii="Times New Roman" w:eastAsia="Times New Roman" w:hAnsi="Times New Roman" w:cs="Times New Roman"/>
                <w:color w:val="000000"/>
              </w:rPr>
              <w:tab/>
            </w:r>
          </w:hyperlink>
          <w:r>
            <w:fldChar w:fldCharType="begin"/>
          </w:r>
          <w:r>
            <w:instrText xml:space="preserve"> PAGEREF _oikv1bwejosz \h </w:instrText>
          </w:r>
          <w:r>
            <w:fldChar w:fldCharType="separate"/>
          </w:r>
          <w:r>
            <w:rPr>
              <w:rFonts w:ascii="Times New Roman" w:eastAsia="Times New Roman" w:hAnsi="Times New Roman" w:cs="Times New Roman"/>
            </w:rPr>
            <w:t>23</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og7idmp93dy5">
            <w:r>
              <w:rPr>
                <w:rFonts w:ascii="Times New Roman" w:eastAsia="Times New Roman" w:hAnsi="Times New Roman" w:cs="Times New Roman"/>
                <w:color w:val="000000"/>
              </w:rPr>
              <w:t>Net Present Value (NPV)</w:t>
            </w:r>
            <w:r>
              <w:rPr>
                <w:rFonts w:ascii="Times New Roman" w:eastAsia="Times New Roman" w:hAnsi="Times New Roman" w:cs="Times New Roman"/>
                <w:color w:val="000000"/>
              </w:rPr>
              <w:tab/>
            </w:r>
          </w:hyperlink>
          <w:r>
            <w:fldChar w:fldCharType="begin"/>
          </w:r>
          <w:r>
            <w:instrText xml:space="preserve"> PAGEREF _og7idmp93dy5 \h </w:instrText>
          </w:r>
          <w:r>
            <w:fldChar w:fldCharType="separate"/>
          </w:r>
          <w:r>
            <w:rPr>
              <w:rFonts w:ascii="Times New Roman" w:eastAsia="Times New Roman" w:hAnsi="Times New Roman" w:cs="Times New Roman"/>
            </w:rPr>
            <w:t>24</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ycfgc6nxbv2d">
            <w:r>
              <w:rPr>
                <w:rFonts w:ascii="Times New Roman" w:eastAsia="Times New Roman" w:hAnsi="Times New Roman" w:cs="Times New Roman"/>
                <w:color w:val="000000"/>
              </w:rPr>
              <w:t>Advantages and Shortcomings of Payback Period (PBP)</w:t>
            </w:r>
            <w:r>
              <w:rPr>
                <w:rFonts w:ascii="Times New Roman" w:eastAsia="Times New Roman" w:hAnsi="Times New Roman" w:cs="Times New Roman"/>
                <w:color w:val="000000"/>
              </w:rPr>
              <w:tab/>
            </w:r>
          </w:hyperlink>
          <w:r>
            <w:fldChar w:fldCharType="begin"/>
          </w:r>
          <w:r>
            <w:instrText xml:space="preserve"> PAGEREF _ycfgc6nxbv2d \h </w:instrText>
          </w:r>
          <w:r>
            <w:fldChar w:fldCharType="separate"/>
          </w:r>
          <w:r>
            <w:rPr>
              <w:rFonts w:ascii="Times New Roman" w:eastAsia="Times New Roman" w:hAnsi="Times New Roman" w:cs="Times New Roman"/>
            </w:rPr>
            <w:t>25</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27pt49v3ymat">
            <w:r>
              <w:rPr>
                <w:rFonts w:ascii="Times New Roman" w:eastAsia="Times New Roman" w:hAnsi="Times New Roman" w:cs="Times New Roman"/>
                <w:color w:val="000000"/>
              </w:rPr>
              <w:t>Advantages and Shortcomings of Accounting Rate of Return (ARR)</w:t>
            </w:r>
            <w:r>
              <w:rPr>
                <w:rFonts w:ascii="Times New Roman" w:eastAsia="Times New Roman" w:hAnsi="Times New Roman" w:cs="Times New Roman"/>
                <w:color w:val="000000"/>
              </w:rPr>
              <w:tab/>
            </w:r>
          </w:hyperlink>
          <w:r>
            <w:fldChar w:fldCharType="begin"/>
          </w:r>
          <w:r>
            <w:instrText xml:space="preserve"> PAGEREF _27pt49v3ymat \h </w:instrText>
          </w:r>
          <w:r>
            <w:fldChar w:fldCharType="separate"/>
          </w:r>
          <w:r>
            <w:rPr>
              <w:rFonts w:ascii="Times New Roman" w:eastAsia="Times New Roman" w:hAnsi="Times New Roman" w:cs="Times New Roman"/>
            </w:rPr>
            <w:t>26</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446iwrg776fn">
            <w:r>
              <w:rPr>
                <w:rFonts w:ascii="Times New Roman" w:eastAsia="Times New Roman" w:hAnsi="Times New Roman" w:cs="Times New Roman"/>
                <w:color w:val="000000"/>
              </w:rPr>
              <w:t>Advantages and Shortcomings of Net Present Value (NPV) (200 words)</w:t>
            </w:r>
            <w:r>
              <w:rPr>
                <w:rFonts w:ascii="Times New Roman" w:eastAsia="Times New Roman" w:hAnsi="Times New Roman" w:cs="Times New Roman"/>
                <w:color w:val="000000"/>
              </w:rPr>
              <w:tab/>
            </w:r>
          </w:hyperlink>
          <w:r>
            <w:fldChar w:fldCharType="begin"/>
          </w:r>
          <w:r>
            <w:instrText xml:space="preserve"> PAGEREF _446iwrg776fn \h </w:instrText>
          </w:r>
          <w:r>
            <w:fldChar w:fldCharType="separate"/>
          </w:r>
          <w:r>
            <w:rPr>
              <w:rFonts w:ascii="Times New Roman" w:eastAsia="Times New Roman" w:hAnsi="Times New Roman" w:cs="Times New Roman"/>
            </w:rPr>
            <w:t>27</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u5pc9e5gjgwk">
            <w:r>
              <w:rPr>
                <w:rFonts w:ascii="Times New Roman" w:eastAsia="Times New Roman" w:hAnsi="Times New Roman" w:cs="Times New Roman"/>
                <w:color w:val="000000"/>
              </w:rPr>
              <w:t>Non-Financial Factors to Consider</w:t>
            </w:r>
            <w:r>
              <w:rPr>
                <w:rFonts w:ascii="Times New Roman" w:eastAsia="Times New Roman" w:hAnsi="Times New Roman" w:cs="Times New Roman"/>
                <w:color w:val="000000"/>
              </w:rPr>
              <w:tab/>
            </w:r>
          </w:hyperlink>
          <w:r>
            <w:fldChar w:fldCharType="begin"/>
          </w:r>
          <w:r>
            <w:instrText xml:space="preserve"> PAGEREF _u5pc9e5gjgwk \h </w:instrText>
          </w:r>
          <w:r>
            <w:fldChar w:fldCharType="separate"/>
          </w:r>
          <w:r>
            <w:rPr>
              <w:rFonts w:ascii="Times New Roman" w:eastAsia="Times New Roman" w:hAnsi="Times New Roman" w:cs="Times New Roman"/>
            </w:rPr>
            <w:t>27</w:t>
          </w:r>
          <w:r>
            <w:fldChar w:fldCharType="end"/>
          </w:r>
        </w:p>
        <w:p w:rsidR="00560C74" w:rsidRDefault="00D94190">
          <w:pPr>
            <w:widowControl w:val="0"/>
            <w:tabs>
              <w:tab w:val="right" w:leader="dot" w:pos="9360"/>
            </w:tabs>
            <w:spacing w:before="60" w:line="360" w:lineRule="auto"/>
            <w:ind w:left="360"/>
            <w:rPr>
              <w:rFonts w:ascii="Times New Roman" w:eastAsia="Times New Roman" w:hAnsi="Times New Roman" w:cs="Times New Roman"/>
              <w:color w:val="000000"/>
            </w:rPr>
          </w:pPr>
          <w:hyperlink w:anchor="_obylc3crjeiu">
            <w:r>
              <w:rPr>
                <w:rFonts w:ascii="Times New Roman" w:eastAsia="Times New Roman" w:hAnsi="Times New Roman" w:cs="Times New Roman"/>
                <w:color w:val="000000"/>
              </w:rPr>
              <w:t>Conclusion</w:t>
            </w:r>
            <w:r>
              <w:rPr>
                <w:rFonts w:ascii="Times New Roman" w:eastAsia="Times New Roman" w:hAnsi="Times New Roman" w:cs="Times New Roman"/>
                <w:color w:val="000000"/>
              </w:rPr>
              <w:tab/>
            </w:r>
          </w:hyperlink>
          <w:r>
            <w:fldChar w:fldCharType="begin"/>
          </w:r>
          <w:r>
            <w:instrText xml:space="preserve"> PAGEREF _obylc3crjeiu \h </w:instrText>
          </w:r>
          <w:r>
            <w:fldChar w:fldCharType="separate"/>
          </w:r>
          <w:r>
            <w:rPr>
              <w:rFonts w:ascii="Times New Roman" w:eastAsia="Times New Roman" w:hAnsi="Times New Roman" w:cs="Times New Roman"/>
            </w:rPr>
            <w:t>28</w:t>
          </w:r>
          <w:r>
            <w:fldChar w:fldCharType="end"/>
          </w:r>
          <w:r>
            <w:fldChar w:fldCharType="end"/>
          </w:r>
        </w:p>
      </w:sdtContent>
    </w:sdt>
    <w:p w:rsidR="00560C74" w:rsidRDefault="00D94190">
      <w:pPr>
        <w:spacing w:before="240" w:after="40" w:line="360" w:lineRule="auto"/>
        <w:rPr>
          <w:rFonts w:ascii="Times New Roman" w:eastAsia="Times New Roman" w:hAnsi="Times New Roman" w:cs="Times New Roman"/>
        </w:rPr>
      </w:pPr>
      <w:r>
        <w:br w:type="page"/>
      </w:r>
    </w:p>
    <w:p w:rsidR="00560C74" w:rsidRDefault="00D94190">
      <w:pPr>
        <w:pStyle w:val="Heading1"/>
        <w:keepNext w:val="0"/>
        <w:keepLines w:val="0"/>
        <w:spacing w:before="240" w:after="40" w:line="360" w:lineRule="auto"/>
        <w:rPr>
          <w:rFonts w:ascii="Times New Roman" w:eastAsia="Times New Roman" w:hAnsi="Times New Roman" w:cs="Times New Roman"/>
          <w:b/>
          <w:sz w:val="26"/>
          <w:szCs w:val="26"/>
        </w:rPr>
      </w:pPr>
      <w:bookmarkStart w:id="0" w:name="_xjmzve2vza0x" w:colFirst="0" w:colLast="0"/>
      <w:bookmarkEnd w:id="0"/>
      <w:r>
        <w:rPr>
          <w:rFonts w:ascii="Times New Roman" w:eastAsia="Times New Roman" w:hAnsi="Times New Roman" w:cs="Times New Roman"/>
          <w:b/>
          <w:sz w:val="26"/>
          <w:szCs w:val="26"/>
        </w:rPr>
        <w:lastRenderedPageBreak/>
        <w:t xml:space="preserve">Part A) Introduction </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Ford Industry refers to the automotive industry, which is a significant sector of the global economy. Henry Ford founded Ford Motor Company on June 16, 1903, a Fortune 500 company based in Dearborn, Michigan. Large-scale production and the moving assembly line were introduced to lower production costs and make cars more affordable for the average buyer (Trainer, 2022). The Model T, produced in 1908, symbolised Fordism and inexpensive transportation (Ford Motor Company (2020), Botelho (2004)).</w:t>
      </w:r>
    </w:p>
    <w:p w:rsidR="00560C74" w:rsidRDefault="00D94190">
      <w:pPr>
        <w:pStyle w:val="Heading2"/>
        <w:keepNext w:val="0"/>
        <w:keepLines w:val="0"/>
        <w:spacing w:before="240" w:after="40" w:line="360" w:lineRule="auto"/>
        <w:rPr>
          <w:rFonts w:ascii="Times New Roman" w:eastAsia="Times New Roman" w:hAnsi="Times New Roman" w:cs="Times New Roman"/>
          <w:b/>
          <w:sz w:val="24"/>
          <w:szCs w:val="24"/>
        </w:rPr>
      </w:pPr>
      <w:bookmarkStart w:id="1" w:name="_jdo85y6eaa1s" w:colFirst="0" w:colLast="0"/>
      <w:bookmarkEnd w:id="1"/>
      <w:r>
        <w:rPr>
          <w:rFonts w:ascii="Times New Roman" w:eastAsia="Times New Roman" w:hAnsi="Times New Roman" w:cs="Times New Roman"/>
          <w:b/>
          <w:sz w:val="24"/>
          <w:szCs w:val="24"/>
        </w:rPr>
        <w:t>Business Model</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business strategy is to provide automotive vehicles through the design, manufacturing, sales, and distribution of Ford cars, trucks, SUVs, electrified vehicles, and Lincoln luxury vehicles. The company operates through three primary segments: Automotive, Mobility, and Ford Credit (Forbes, 2024).</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Automotive segment deals in the sales of vehicles, parts, and accessories for use in different parts of the globe. As defined by Abuelsamid (2019), the Mobility segment involves the creation of self-driving cars and other solutions via Ford Smart Mobility LLC. Ford Credit is involved in vehicle-related financing and leasing services. As for the strategy, it can be noted that Ford focuses on electric and autonomous vehicles, connectivity services, and the improvement of the customer journey by using digital </w:t>
      </w:r>
      <w:r>
        <w:rPr>
          <w:rFonts w:ascii="Times New Roman" w:eastAsia="Times New Roman" w:hAnsi="Times New Roman" w:cs="Times New Roman"/>
          <w:sz w:val="24"/>
          <w:szCs w:val="24"/>
        </w:rPr>
        <w:t>and physical touchpoints.</w:t>
      </w:r>
    </w:p>
    <w:p w:rsidR="00560C74" w:rsidRDefault="00D94190">
      <w:pPr>
        <w:pStyle w:val="Heading2"/>
        <w:keepNext w:val="0"/>
        <w:keepLines w:val="0"/>
        <w:spacing w:before="240" w:after="40" w:line="360" w:lineRule="auto"/>
        <w:rPr>
          <w:rFonts w:ascii="Times New Roman" w:eastAsia="Times New Roman" w:hAnsi="Times New Roman" w:cs="Times New Roman"/>
          <w:b/>
          <w:sz w:val="24"/>
          <w:szCs w:val="24"/>
        </w:rPr>
      </w:pPr>
      <w:bookmarkStart w:id="2" w:name="_54zdniy6x9eq" w:colFirst="0" w:colLast="0"/>
      <w:bookmarkEnd w:id="2"/>
      <w:r>
        <w:rPr>
          <w:rFonts w:ascii="Times New Roman" w:eastAsia="Times New Roman" w:hAnsi="Times New Roman" w:cs="Times New Roman"/>
          <w:b/>
          <w:sz w:val="24"/>
          <w:szCs w:val="24"/>
        </w:rPr>
        <w:t>Marketplace</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 operates in a highly competitive global marketplace. It has a significant presence in North America, Europe, Asia, and South America (Trainer, 2022a). The company’s extensive dealership network ensures a strong market presence and accessibility for consumers. Ford's product lineup includes popular models such as the Ford F-Series, Mustang, and the all-electric Mustang Mach-E. The company is committed to sustainability, with a focus on developing electric and hybrid vehicles to reduce carbon emissions a</w:t>
      </w:r>
      <w:r>
        <w:rPr>
          <w:rFonts w:ascii="Times New Roman" w:eastAsia="Times New Roman" w:hAnsi="Times New Roman" w:cs="Times New Roman"/>
          <w:sz w:val="24"/>
          <w:szCs w:val="24"/>
        </w:rPr>
        <w:t>nd meet stringent regulatory requirements.</w:t>
      </w:r>
    </w:p>
    <w:p w:rsidR="00560C74" w:rsidRDefault="00D94190">
      <w:pPr>
        <w:pStyle w:val="Heading2"/>
        <w:keepNext w:val="0"/>
        <w:keepLines w:val="0"/>
        <w:spacing w:before="240" w:after="40" w:line="360" w:lineRule="auto"/>
        <w:rPr>
          <w:rFonts w:ascii="Times New Roman" w:eastAsia="Times New Roman" w:hAnsi="Times New Roman" w:cs="Times New Roman"/>
          <w:sz w:val="24"/>
          <w:szCs w:val="24"/>
        </w:rPr>
      </w:pPr>
      <w:bookmarkStart w:id="3" w:name="_fomqyk9xjkkc" w:colFirst="0" w:colLast="0"/>
      <w:bookmarkEnd w:id="3"/>
      <w:r>
        <w:rPr>
          <w:rFonts w:ascii="Times New Roman" w:eastAsia="Times New Roman" w:hAnsi="Times New Roman" w:cs="Times New Roman"/>
          <w:b/>
          <w:sz w:val="24"/>
          <w:szCs w:val="24"/>
        </w:rPr>
        <w:t>Major Competitors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General Motors: General Motors encompasses all class types of competitors (General Motors, 2022). Ranging from Supermini, referred to as a Small Family car (Chevrolet Cruze) to Luxury Sports Utility Vehicles (Cadillac Escalade) and Heavy Duty Pickup (GMC Sierra).</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Toyota Motor Corporation: Currently, Toyota’s strong competitor is the small cars and hybrid cars categories where it has models such as the Corolla and Camry. Their luxury car, Lexus, rivals Ford's luxury car division, Lincoln (Toyota Motor, 2024).</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Fiat Chrysler Automobiles (Chrysler, Dodge, Jeep, Ram): FCA is a significant competitor in the truck and SUV segments, with popular models like the Jeep Wrangler and Ram 1500. They also offer a range of passenger cars, like the Chrysler 300 (Harley, 2023).</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Tesla, Inc. (Tesla): Tesla is a specialized competitor, focusing exclusively on electric vehicles (EVs). They offer a range of EV models, from the compact Model 3 to the luxury Model S and Model X.</w:t>
      </w:r>
    </w:p>
    <w:p w:rsidR="00560C74" w:rsidRDefault="00D94190">
      <w:pPr>
        <w:pStyle w:val="Heading2"/>
        <w:spacing w:before="240" w:after="240" w:line="360" w:lineRule="auto"/>
        <w:rPr>
          <w:rFonts w:ascii="Times New Roman" w:eastAsia="Times New Roman" w:hAnsi="Times New Roman" w:cs="Times New Roman"/>
          <w:b/>
          <w:sz w:val="26"/>
          <w:szCs w:val="26"/>
        </w:rPr>
      </w:pPr>
      <w:bookmarkStart w:id="4" w:name="_7uefa18bud4x" w:colFirst="0" w:colLast="0"/>
      <w:bookmarkEnd w:id="4"/>
      <w:r>
        <w:rPr>
          <w:rFonts w:ascii="Times New Roman" w:eastAsia="Times New Roman" w:hAnsi="Times New Roman" w:cs="Times New Roman"/>
          <w:b/>
          <w:sz w:val="26"/>
          <w:szCs w:val="26"/>
        </w:rPr>
        <w:t xml:space="preserve">Major Event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major events over the past five years that may have been significant in shaping Ford’s business operations and results:</w:t>
      </w:r>
    </w:p>
    <w:p w:rsidR="00560C74" w:rsidRDefault="00D94190">
      <w:pPr>
        <w:spacing w:before="240" w:after="24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March 2022 </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 Motor Company announced a significant restructuring to accelerate its electric and connected vehicle development by forming two distinct auto businesses: Ford Blue and Ford Model e (Ford, 2022). Adopted from Domonoske (2022), Ford Blue is dedicated to internal combustion engine vehicles and the traditional automotive business, while Ford Model e focuses on electric vehicles, autonomous driving, and digital services. This restructuring aims to enhance innovation, efficiency, and customer experience.</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September 2023</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Ford undertook crucial management changes to enhance the firm’s strategic management. Elena Ford was appointed as the Chief Dealer Engagement Officer responsible for strengthening Ford’s connection with its dealers and ensuring customer satisfaction. Lisa Materazzo was chosen for </w:t>
      </w:r>
      <w:r>
        <w:rPr>
          <w:rFonts w:ascii="Times New Roman" w:eastAsia="Times New Roman" w:hAnsi="Times New Roman" w:cs="Times New Roman"/>
          <w:sz w:val="24"/>
          <w:szCs w:val="24"/>
        </w:rPr>
        <w:lastRenderedPageBreak/>
        <w:t>the position of Global Chief Marketing Officer, which made her oversee the aspects of brand, marketing and customers (Ford, 2023).</w:t>
      </w:r>
    </w:p>
    <w:p w:rsidR="00560C74" w:rsidRDefault="00D94190">
      <w:pPr>
        <w:spacing w:before="240" w:after="24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July 2024</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 announced plans to assemble F-Series Super Duty pickups at its Oakville Assembly Complex in Ontario, Canada, starting in 2026 (Ford, 2024). This is intended to increase production capacity and meet F-Series Super Duty series market demand. To accommodate the new production line, Oakville must invest in its current facility.</w:t>
      </w:r>
    </w:p>
    <w:p w:rsidR="00560C74" w:rsidRDefault="00D94190">
      <w:pPr>
        <w:spacing w:before="240" w:after="24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July 2024 </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Adriana Cisneros was elected to the Ford Motor Company board. Ford's Innovation and Environment role will benefit from Cisneros' media, marketing, and sustainability experience. The appointment broadens the board's skills and demography.</w:t>
      </w:r>
    </w:p>
    <w:p w:rsidR="00560C74" w:rsidRDefault="00D94190">
      <w:pPr>
        <w:spacing w:before="240" w:after="24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May 2024 </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CFO, John Lawler, discussed Ford+ implementation at the Deutsche Bank 2024 Global Automotive Conference. Lawler emphasised electric car R&amp;D, digital services, and cost-cutting. He reiterated Ford's goal of sustained profitability and growth, saying Ford+ can help.</w:t>
      </w:r>
    </w:p>
    <w:p w:rsidR="00560C74" w:rsidRDefault="00560C74">
      <w:pPr>
        <w:spacing w:line="360" w:lineRule="auto"/>
        <w:rPr>
          <w:rFonts w:ascii="Times New Roman" w:eastAsia="Times New Roman" w:hAnsi="Times New Roman" w:cs="Times New Roman"/>
          <w:sz w:val="24"/>
          <w:szCs w:val="24"/>
        </w:rPr>
      </w:pPr>
    </w:p>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br w:type="page"/>
      </w:r>
    </w:p>
    <w:p w:rsidR="00560C74" w:rsidRDefault="00D94190">
      <w:pPr>
        <w:pStyle w:val="Heading1"/>
        <w:keepNext w:val="0"/>
        <w:keepLines w:val="0"/>
        <w:spacing w:before="240" w:after="40" w:line="360" w:lineRule="auto"/>
        <w:rPr>
          <w:rFonts w:ascii="Times New Roman" w:eastAsia="Times New Roman" w:hAnsi="Times New Roman" w:cs="Times New Roman"/>
          <w:b/>
          <w:sz w:val="26"/>
          <w:szCs w:val="26"/>
        </w:rPr>
      </w:pPr>
      <w:bookmarkStart w:id="5" w:name="_wd7wpkrnrzs9" w:colFirst="0" w:colLast="0"/>
      <w:bookmarkEnd w:id="5"/>
      <w:r>
        <w:rPr>
          <w:rFonts w:ascii="Times New Roman" w:eastAsia="Times New Roman" w:hAnsi="Times New Roman" w:cs="Times New Roman"/>
          <w:b/>
          <w:sz w:val="26"/>
          <w:szCs w:val="26"/>
        </w:rPr>
        <w:lastRenderedPageBreak/>
        <w:t xml:space="preserve">Part B) Financial Performance Review  </w:t>
      </w:r>
    </w:p>
    <w:p w:rsidR="00560C74" w:rsidRDefault="00D94190">
      <w:pPr>
        <w:pStyle w:val="Heading3"/>
        <w:keepNext w:val="0"/>
        <w:keepLines w:val="0"/>
        <w:spacing w:before="240" w:after="40" w:line="360" w:lineRule="auto"/>
        <w:rPr>
          <w:rFonts w:ascii="Times New Roman" w:eastAsia="Times New Roman" w:hAnsi="Times New Roman" w:cs="Times New Roman"/>
          <w:b/>
          <w:color w:val="000000"/>
          <w:sz w:val="26"/>
          <w:szCs w:val="26"/>
        </w:rPr>
      </w:pPr>
      <w:bookmarkStart w:id="6" w:name="_ftbcg5q5xlzy" w:colFirst="0" w:colLast="0"/>
      <w:bookmarkEnd w:id="6"/>
      <w:r>
        <w:rPr>
          <w:rFonts w:ascii="Times New Roman" w:eastAsia="Times New Roman" w:hAnsi="Times New Roman" w:cs="Times New Roman"/>
          <w:b/>
          <w:color w:val="000000"/>
          <w:sz w:val="26"/>
          <w:szCs w:val="26"/>
        </w:rPr>
        <w:t xml:space="preserve">Profitability Ratios </w:t>
      </w:r>
    </w:p>
    <w:p w:rsidR="00560C74" w:rsidRDefault="00D94190">
      <w:pPr>
        <w:pStyle w:val="Heading4"/>
        <w:numPr>
          <w:ilvl w:val="0"/>
          <w:numId w:val="11"/>
        </w:numPr>
        <w:spacing w:before="240" w:after="240" w:line="360" w:lineRule="auto"/>
      </w:pPr>
      <w:bookmarkStart w:id="7" w:name="_7shgb2xf3r5g" w:colFirst="0" w:colLast="0"/>
      <w:bookmarkEnd w:id="7"/>
      <w:r>
        <w:rPr>
          <w:rFonts w:ascii="Times New Roman" w:eastAsia="Times New Roman" w:hAnsi="Times New Roman" w:cs="Times New Roman"/>
          <w:b/>
          <w:color w:val="000000"/>
        </w:rPr>
        <w:t>Gross Profit Margin</w:t>
      </w:r>
      <w:r>
        <w:rPr>
          <w:rFonts w:ascii="Times New Roman" w:eastAsia="Times New Roman" w:hAnsi="Times New Roman" w:cs="Times New Roman"/>
          <w:b/>
          <w:color w:val="000000"/>
        </w:rPr>
        <w:t>:</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Gross Profit Margin = (RevenueGross Profit​)×100</w:t>
      </w:r>
    </w:p>
    <w:p w:rsidR="00560C74" w:rsidRDefault="00560C74">
      <w:pPr>
        <w:spacing w:line="360" w:lineRule="auto"/>
        <w:rPr>
          <w:rFonts w:ascii="Times New Roman" w:eastAsia="Times New Roman" w:hAnsi="Times New Roman" w:cs="Times New Roman"/>
          <w:sz w:val="24"/>
          <w:szCs w:val="24"/>
        </w:rPr>
      </w:pPr>
    </w:p>
    <w:tbl>
      <w:tblPr>
        <w:tblStyle w:val="a"/>
        <w:tblW w:w="5310"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2040"/>
        <w:gridCol w:w="3270"/>
      </w:tblGrid>
      <w:tr w:rsidR="00560C74">
        <w:trPr>
          <w:trHeight w:val="324"/>
        </w:trPr>
        <w:tc>
          <w:tcPr>
            <w:tcW w:w="20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327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560C74" w:rsidRDefault="00D94190">
            <w:pPr>
              <w:widowControl w:val="0"/>
              <w:spacing w:line="360" w:lineRule="auto"/>
              <w:ind w:left="-9360" w:right="-9360"/>
              <w:rPr>
                <w:rFonts w:ascii="Times New Roman" w:eastAsia="Times New Roman" w:hAnsi="Times New Roman" w:cs="Times New Roman"/>
                <w:b/>
                <w:sz w:val="20"/>
                <w:szCs w:val="20"/>
              </w:rPr>
            </w:pPr>
            <w:r>
              <w:rPr>
                <w:rFonts w:ascii="Times New Roman" w:eastAsia="Times New Roman" w:hAnsi="Times New Roman" w:cs="Times New Roman"/>
                <w:b/>
                <w:sz w:val="20"/>
                <w:szCs w:val="20"/>
              </w:rPr>
              <w:t>Gross Profit Margin</w:t>
            </w:r>
          </w:p>
        </w:tc>
      </w:tr>
      <w:tr w:rsidR="00560C74">
        <w:trPr>
          <w:trHeight w:val="315"/>
        </w:trPr>
        <w:tc>
          <w:tcPr>
            <w:tcW w:w="20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32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14.11%</w:t>
            </w:r>
          </w:p>
        </w:tc>
      </w:tr>
      <w:tr w:rsidR="00560C74">
        <w:trPr>
          <w:trHeight w:val="315"/>
        </w:trPr>
        <w:tc>
          <w:tcPr>
            <w:tcW w:w="20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32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14.16%</w:t>
            </w:r>
          </w:p>
        </w:tc>
      </w:tr>
      <w:tr w:rsidR="00560C74">
        <w:trPr>
          <w:trHeight w:val="315"/>
        </w:trPr>
        <w:tc>
          <w:tcPr>
            <w:tcW w:w="20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32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14.30%</w:t>
            </w:r>
          </w:p>
        </w:tc>
      </w:tr>
      <w:tr w:rsidR="00560C74">
        <w:trPr>
          <w:trHeight w:val="315"/>
        </w:trPr>
        <w:tc>
          <w:tcPr>
            <w:tcW w:w="20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32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14.55%</w:t>
            </w:r>
          </w:p>
        </w:tc>
      </w:tr>
      <w:tr w:rsidR="00560C74">
        <w:trPr>
          <w:trHeight w:val="315"/>
        </w:trPr>
        <w:tc>
          <w:tcPr>
            <w:tcW w:w="20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32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14.68%</w:t>
            </w:r>
          </w:p>
        </w:tc>
      </w:tr>
    </w:tbl>
    <w:p w:rsidR="00560C74" w:rsidRDefault="00560C74">
      <w:pPr>
        <w:spacing w:line="360" w:lineRule="auto"/>
        <w:rPr>
          <w:rFonts w:ascii="Times New Roman" w:eastAsia="Times New Roman" w:hAnsi="Times New Roman" w:cs="Times New Roman"/>
          <w:b/>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Gross Profit Margin shows a minor but significant increase in production efficiency and cost control throughout the five years.</w:t>
      </w:r>
    </w:p>
    <w:p w:rsidR="00560C74" w:rsidRDefault="00D94190">
      <w:pPr>
        <w:pStyle w:val="Heading4"/>
        <w:numPr>
          <w:ilvl w:val="0"/>
          <w:numId w:val="11"/>
        </w:numPr>
        <w:spacing w:before="240" w:after="240" w:line="360" w:lineRule="auto"/>
      </w:pPr>
      <w:bookmarkStart w:id="8" w:name="_jtjlceynwn2p" w:colFirst="0" w:colLast="0"/>
      <w:bookmarkEnd w:id="8"/>
      <w:r>
        <w:rPr>
          <w:rFonts w:ascii="Times New Roman" w:eastAsia="Times New Roman" w:hAnsi="Times New Roman" w:cs="Times New Roman"/>
          <w:b/>
          <w:color w:val="000000"/>
        </w:rPr>
        <w:t>Net Profit Margin:</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 = (RevenueNet Income​)×100</w:t>
      </w:r>
    </w:p>
    <w:p w:rsidR="00560C74" w:rsidRDefault="00560C74">
      <w:pPr>
        <w:spacing w:line="360" w:lineRule="auto"/>
        <w:rPr>
          <w:rFonts w:ascii="Times New Roman" w:eastAsia="Times New Roman" w:hAnsi="Times New Roman" w:cs="Times New Roman"/>
          <w:sz w:val="24"/>
          <w:szCs w:val="24"/>
        </w:rPr>
      </w:pPr>
    </w:p>
    <w:tbl>
      <w:tblPr>
        <w:tblStyle w:val="a0"/>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Net Profit Margin</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0.03%</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13.13%</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11.32%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11.19%</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Net Profit Margin indicates that 2020 was a challenging year for Ford due to the pandemic, but there was a significant rebound in 2021. The subsequent years show stabilized profitability, reflecting strong recovery efforts.</w:t>
      </w:r>
    </w:p>
    <w:p w:rsidR="00560C74" w:rsidRDefault="00D94190">
      <w:pPr>
        <w:pStyle w:val="Heading4"/>
        <w:numPr>
          <w:ilvl w:val="0"/>
          <w:numId w:val="11"/>
        </w:numPr>
        <w:spacing w:before="240" w:after="240" w:line="360" w:lineRule="auto"/>
      </w:pPr>
      <w:bookmarkStart w:id="9" w:name="_2cmdn9m7fb50" w:colFirst="0" w:colLast="0"/>
      <w:bookmarkEnd w:id="9"/>
      <w:r>
        <w:rPr>
          <w:rFonts w:ascii="Times New Roman" w:eastAsia="Times New Roman" w:hAnsi="Times New Roman" w:cs="Times New Roman"/>
          <w:b/>
          <w:color w:val="000000"/>
        </w:rPr>
        <w:lastRenderedPageBreak/>
        <w:t xml:space="preserve">Return on Assets (ROA):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ROA = (Total AssetsNet Income​)×100</w:t>
      </w:r>
    </w:p>
    <w:p w:rsidR="00560C74" w:rsidRDefault="00560C74">
      <w:pPr>
        <w:spacing w:line="360" w:lineRule="auto"/>
        <w:rPr>
          <w:rFonts w:ascii="Times New Roman" w:eastAsia="Times New Roman" w:hAnsi="Times New Roman" w:cs="Times New Roman"/>
          <w:sz w:val="24"/>
          <w:szCs w:val="24"/>
        </w:rPr>
      </w:pPr>
    </w:p>
    <w:tbl>
      <w:tblPr>
        <w:tblStyle w:val="a1"/>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ROA</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-0.49%</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6.96%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6.93%</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6.91%</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ROA trend mirrors the Net Profit Margin, with a substantial improvement in 2021. The steady performance in the following years suggests Ford's assets are being utilized effectively post-recovery.</w:t>
      </w:r>
    </w:p>
    <w:p w:rsidR="00560C74" w:rsidRDefault="00D94190">
      <w:pPr>
        <w:pStyle w:val="Heading4"/>
        <w:numPr>
          <w:ilvl w:val="0"/>
          <w:numId w:val="11"/>
        </w:numPr>
        <w:spacing w:before="240" w:after="240" w:line="360" w:lineRule="auto"/>
      </w:pPr>
      <w:bookmarkStart w:id="10" w:name="_38mnne30tsd" w:colFirst="0" w:colLast="0"/>
      <w:bookmarkEnd w:id="10"/>
      <w:r>
        <w:rPr>
          <w:rFonts w:ascii="Times New Roman" w:eastAsia="Times New Roman" w:hAnsi="Times New Roman" w:cs="Times New Roman"/>
          <w:b/>
          <w:color w:val="000000"/>
        </w:rPr>
        <w:t xml:space="preserve"> Return on Equity (ROE):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ROE = (Net Income​/Equity)×100</w:t>
      </w:r>
    </w:p>
    <w:p w:rsidR="00560C74" w:rsidRDefault="00560C74">
      <w:pPr>
        <w:spacing w:line="360" w:lineRule="auto"/>
        <w:rPr>
          <w:rFonts w:ascii="Times New Roman" w:eastAsia="Times New Roman" w:hAnsi="Times New Roman" w:cs="Times New Roman"/>
          <w:sz w:val="24"/>
          <w:szCs w:val="24"/>
        </w:rPr>
      </w:pPr>
    </w:p>
    <w:tbl>
      <w:tblPr>
        <w:tblStyle w:val="a2"/>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ROE</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0.14%</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-4.11%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49.58%</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50.00%</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49.72%</w:t>
            </w:r>
          </w:p>
        </w:tc>
      </w:tr>
    </w:tbl>
    <w:p w:rsidR="00560C74" w:rsidRDefault="00560C74">
      <w:pPr>
        <w:spacing w:line="360" w:lineRule="auto"/>
        <w:rPr>
          <w:rFonts w:ascii="Times New Roman" w:eastAsia="Times New Roman" w:hAnsi="Times New Roman" w:cs="Times New Roman"/>
          <w:b/>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ROE shows dramatic fluctuations, with a significant negative impact in 2020 followed by a very high return in 2021. The high ROE in subsequent years indicates excellent returns for shareholders post-2020, but this also suggests potential volatility in equity returns.</w:t>
      </w:r>
    </w:p>
    <w:p w:rsidR="00560C74" w:rsidRDefault="00D94190">
      <w:pPr>
        <w:pStyle w:val="Heading3"/>
        <w:keepNext w:val="0"/>
        <w:keepLines w:val="0"/>
        <w:spacing w:before="240" w:after="40" w:line="360" w:lineRule="auto"/>
        <w:rPr>
          <w:rFonts w:ascii="Times New Roman" w:eastAsia="Times New Roman" w:hAnsi="Times New Roman" w:cs="Times New Roman"/>
          <w:b/>
          <w:color w:val="000000"/>
          <w:sz w:val="26"/>
          <w:szCs w:val="26"/>
        </w:rPr>
      </w:pPr>
      <w:bookmarkStart w:id="11" w:name="_pjqynybmwngd" w:colFirst="0" w:colLast="0"/>
      <w:bookmarkEnd w:id="11"/>
      <w:r>
        <w:rPr>
          <w:rFonts w:ascii="Times New Roman" w:eastAsia="Times New Roman" w:hAnsi="Times New Roman" w:cs="Times New Roman"/>
          <w:b/>
          <w:color w:val="000000"/>
          <w:sz w:val="26"/>
          <w:szCs w:val="26"/>
        </w:rPr>
        <w:t xml:space="preserve">Liquidity Ratios </w:t>
      </w:r>
    </w:p>
    <w:p w:rsidR="00560C74" w:rsidRDefault="00D94190">
      <w:pPr>
        <w:pStyle w:val="Heading4"/>
        <w:numPr>
          <w:ilvl w:val="0"/>
          <w:numId w:val="11"/>
        </w:numPr>
        <w:spacing w:before="240" w:after="240" w:line="360" w:lineRule="auto"/>
      </w:pPr>
      <w:bookmarkStart w:id="12" w:name="_lugwx4407axq" w:colFirst="0" w:colLast="0"/>
      <w:bookmarkEnd w:id="12"/>
      <w:r>
        <w:rPr>
          <w:rFonts w:ascii="Times New Roman" w:eastAsia="Times New Roman" w:hAnsi="Times New Roman" w:cs="Times New Roman"/>
          <w:b/>
          <w:color w:val="000000"/>
        </w:rPr>
        <w:lastRenderedPageBreak/>
        <w:t xml:space="preserve">Current Ratio: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Ratio = Current Assets​/Current Assets</w:t>
      </w:r>
    </w:p>
    <w:p w:rsidR="00560C74" w:rsidRDefault="00560C74">
      <w:pPr>
        <w:spacing w:line="360" w:lineRule="auto"/>
        <w:rPr>
          <w:rFonts w:ascii="Times New Roman" w:eastAsia="Times New Roman" w:hAnsi="Times New Roman" w:cs="Times New Roman"/>
          <w:sz w:val="24"/>
          <w:szCs w:val="24"/>
        </w:rPr>
      </w:pPr>
    </w:p>
    <w:tbl>
      <w:tblPr>
        <w:tblStyle w:val="a3"/>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Current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1.25</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Current Ratio has remained relatively stable, indicating consistent liquidity management. The company maintains a healthy balance between its current assets and current liabilities.</w:t>
      </w:r>
    </w:p>
    <w:p w:rsidR="00560C74" w:rsidRDefault="00D94190">
      <w:pPr>
        <w:pStyle w:val="Heading4"/>
        <w:numPr>
          <w:ilvl w:val="0"/>
          <w:numId w:val="11"/>
        </w:numPr>
        <w:spacing w:before="240" w:after="240" w:line="360" w:lineRule="auto"/>
      </w:pPr>
      <w:bookmarkStart w:id="13" w:name="_jtsovvibzz8h" w:colFirst="0" w:colLast="0"/>
      <w:bookmarkEnd w:id="13"/>
      <w:r>
        <w:rPr>
          <w:rFonts w:ascii="Times New Roman" w:eastAsia="Times New Roman" w:hAnsi="Times New Roman" w:cs="Times New Roman"/>
          <w:b/>
          <w:color w:val="000000"/>
        </w:rPr>
        <w:t>Quick Ratio:</w:t>
      </w:r>
    </w:p>
    <w:p w:rsidR="00560C74" w:rsidRDefault="00D94190">
      <w:pPr>
        <w:spacing w:line="360" w:lineRule="auto"/>
        <w:rPr>
          <w:rFonts w:ascii="Times New Roman" w:eastAsia="Times New Roman" w:hAnsi="Times New Roman" w:cs="Times New Roman"/>
          <w:sz w:val="24"/>
          <w:szCs w:val="24"/>
        </w:rPr>
      </w:pPr>
      <w:r>
        <w:rPr>
          <w:rFonts w:ascii="Gungsuh" w:eastAsia="Gungsuh" w:hAnsi="Gungsuh" w:cs="Gungsuh"/>
          <w:sz w:val="24"/>
          <w:szCs w:val="24"/>
        </w:rPr>
        <w:t>Quick Ratio = Current Assets−Inventory/ Current Liabilities</w:t>
      </w:r>
    </w:p>
    <w:p w:rsidR="00560C74" w:rsidRDefault="00560C74">
      <w:pPr>
        <w:spacing w:line="360" w:lineRule="auto"/>
        <w:rPr>
          <w:rFonts w:ascii="Times New Roman" w:eastAsia="Times New Roman" w:hAnsi="Times New Roman" w:cs="Times New Roman"/>
          <w:sz w:val="24"/>
          <w:szCs w:val="24"/>
        </w:rPr>
      </w:pPr>
    </w:p>
    <w:tbl>
      <w:tblPr>
        <w:tblStyle w:val="a4"/>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Quick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Quick Ratio trends similarly to the Current Ratio, suggesting that even when inventory is excluded, Ford has sufficient liquid assets to cover its short-term liabilities. This is a good indicator of financial stability.</w:t>
      </w:r>
    </w:p>
    <w:p w:rsidR="00560C74" w:rsidRDefault="00D94190">
      <w:pPr>
        <w:pStyle w:val="Heading3"/>
        <w:keepNext w:val="0"/>
        <w:keepLines w:val="0"/>
        <w:spacing w:before="240" w:after="40" w:line="360" w:lineRule="auto"/>
        <w:rPr>
          <w:rFonts w:ascii="Times New Roman" w:eastAsia="Times New Roman" w:hAnsi="Times New Roman" w:cs="Times New Roman"/>
          <w:b/>
          <w:color w:val="000000"/>
          <w:sz w:val="26"/>
          <w:szCs w:val="26"/>
        </w:rPr>
      </w:pPr>
      <w:bookmarkStart w:id="14" w:name="_xqbehwpnrkx3" w:colFirst="0" w:colLast="0"/>
      <w:bookmarkEnd w:id="14"/>
      <w:r>
        <w:rPr>
          <w:rFonts w:ascii="Times New Roman" w:eastAsia="Times New Roman" w:hAnsi="Times New Roman" w:cs="Times New Roman"/>
          <w:b/>
          <w:color w:val="000000"/>
          <w:sz w:val="26"/>
          <w:szCs w:val="26"/>
        </w:rPr>
        <w:t xml:space="preserve"> Gearing Ratios </w:t>
      </w:r>
    </w:p>
    <w:p w:rsidR="00560C74" w:rsidRDefault="00D94190">
      <w:pPr>
        <w:pStyle w:val="Heading4"/>
        <w:numPr>
          <w:ilvl w:val="0"/>
          <w:numId w:val="11"/>
        </w:numPr>
        <w:spacing w:before="240" w:after="240" w:line="360" w:lineRule="auto"/>
      </w:pPr>
      <w:bookmarkStart w:id="15" w:name="_dtptqh4oa01q" w:colFirst="0" w:colLast="0"/>
      <w:bookmarkEnd w:id="15"/>
      <w:r>
        <w:rPr>
          <w:rFonts w:ascii="Times New Roman" w:eastAsia="Times New Roman" w:hAnsi="Times New Roman" w:cs="Times New Roman"/>
          <w:b/>
          <w:color w:val="000000"/>
        </w:rPr>
        <w:t xml:space="preserve">Debt to Equity Ratio: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Debt to Equity Ratio= Total Liabilities/Equity</w:t>
      </w:r>
    </w:p>
    <w:p w:rsidR="00560C74" w:rsidRDefault="00560C74">
      <w:pPr>
        <w:spacing w:line="360" w:lineRule="auto"/>
        <w:rPr>
          <w:rFonts w:ascii="Times New Roman" w:eastAsia="Times New Roman" w:hAnsi="Times New Roman" w:cs="Times New Roman"/>
          <w:sz w:val="24"/>
          <w:szCs w:val="24"/>
        </w:rPr>
      </w:pPr>
    </w:p>
    <w:tbl>
      <w:tblPr>
        <w:tblStyle w:val="a5"/>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Debt to Equity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6.86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7.46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6.12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6.22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6.19</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Debt to Equity Ratio shows that Ford has a high level of debt relative to equity, which is common in the automotive industry. The ratio decreased post-2020, indicating a slight reduction in reliance on debt financing.</w:t>
      </w:r>
    </w:p>
    <w:p w:rsidR="00560C74" w:rsidRDefault="00D94190">
      <w:pPr>
        <w:pStyle w:val="Heading4"/>
        <w:numPr>
          <w:ilvl w:val="0"/>
          <w:numId w:val="11"/>
        </w:numPr>
        <w:spacing w:before="240" w:after="240" w:line="360" w:lineRule="auto"/>
      </w:pPr>
      <w:bookmarkStart w:id="16" w:name="_2m8w8p9g020" w:colFirst="0" w:colLast="0"/>
      <w:bookmarkEnd w:id="16"/>
      <w:r>
        <w:rPr>
          <w:rFonts w:ascii="Times New Roman" w:eastAsia="Times New Roman" w:hAnsi="Times New Roman" w:cs="Times New Roman"/>
          <w:b/>
          <w:color w:val="000000"/>
        </w:rPr>
        <w:t xml:space="preserve">Interest Coverage Ratio: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Interest Coverage Ratio= EBIT/Interest Expense </w:t>
      </w:r>
    </w:p>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EBIT (Earnings Before Interest and Taxes) = Net Income+Interest Expense+Tax Expense</w:t>
      </w:r>
    </w:p>
    <w:p w:rsidR="00560C74" w:rsidRDefault="00560C74">
      <w:pPr>
        <w:spacing w:line="360" w:lineRule="auto"/>
        <w:rPr>
          <w:rFonts w:ascii="Times New Roman" w:eastAsia="Times New Roman" w:hAnsi="Times New Roman" w:cs="Times New Roman"/>
          <w:sz w:val="24"/>
          <w:szCs w:val="24"/>
        </w:rPr>
      </w:pPr>
    </w:p>
    <w:tbl>
      <w:tblPr>
        <w:tblStyle w:val="a6"/>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Interest Coverage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-0.18</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13.69</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12.61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11.84</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 Coverage Ratio indicates how well Ford can meet its interest obligations. The negative ratio in 2020 reflects the impact of the net loss. The substantial improvement in 2021 and steady performance thereafter shows a strong capability to cover interest expenses.</w:t>
      </w:r>
    </w:p>
    <w:p w:rsidR="00560C74" w:rsidRDefault="00D94190">
      <w:pPr>
        <w:pStyle w:val="Heading3"/>
        <w:keepNext w:val="0"/>
        <w:keepLines w:val="0"/>
        <w:spacing w:before="240" w:after="40" w:line="360" w:lineRule="auto"/>
        <w:rPr>
          <w:rFonts w:ascii="Times New Roman" w:eastAsia="Times New Roman" w:hAnsi="Times New Roman" w:cs="Times New Roman"/>
          <w:b/>
          <w:color w:val="000000"/>
          <w:sz w:val="26"/>
          <w:szCs w:val="26"/>
        </w:rPr>
      </w:pPr>
      <w:bookmarkStart w:id="17" w:name="_ehax19hxk1at" w:colFirst="0" w:colLast="0"/>
      <w:bookmarkEnd w:id="17"/>
      <w:r>
        <w:rPr>
          <w:rFonts w:ascii="Times New Roman" w:eastAsia="Times New Roman" w:hAnsi="Times New Roman" w:cs="Times New Roman"/>
          <w:b/>
          <w:color w:val="000000"/>
          <w:sz w:val="26"/>
          <w:szCs w:val="26"/>
        </w:rPr>
        <w:t>Efficiency Ratios</w:t>
      </w:r>
    </w:p>
    <w:p w:rsidR="00560C74" w:rsidRDefault="00D94190">
      <w:pPr>
        <w:pStyle w:val="Heading4"/>
        <w:numPr>
          <w:ilvl w:val="0"/>
          <w:numId w:val="11"/>
        </w:numPr>
        <w:spacing w:before="240" w:after="240" w:line="360" w:lineRule="auto"/>
      </w:pPr>
      <w:bookmarkStart w:id="18" w:name="_6w4y12lq1l4i" w:colFirst="0" w:colLast="0"/>
      <w:bookmarkEnd w:id="18"/>
      <w:r>
        <w:rPr>
          <w:rFonts w:ascii="Times New Roman" w:eastAsia="Times New Roman" w:hAnsi="Times New Roman" w:cs="Times New Roman"/>
          <w:b/>
          <w:color w:val="000000"/>
        </w:rPr>
        <w:lastRenderedPageBreak/>
        <w:t xml:space="preserve">Asset Turnover Ratio: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 Ratio = Revenue/Total Assets​</w:t>
      </w:r>
    </w:p>
    <w:p w:rsidR="00560C74" w:rsidRDefault="00560C74">
      <w:pPr>
        <w:spacing w:line="360" w:lineRule="auto"/>
        <w:rPr>
          <w:rFonts w:ascii="Times New Roman" w:eastAsia="Times New Roman" w:hAnsi="Times New Roman" w:cs="Times New Roman"/>
          <w:sz w:val="24"/>
          <w:szCs w:val="24"/>
        </w:rPr>
      </w:pPr>
    </w:p>
    <w:tbl>
      <w:tblPr>
        <w:tblStyle w:val="a7"/>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Asset Turnover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0.48</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0.53</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0.62</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Asset Turnover Ratio indicates how efficiently Ford uses its assets to generate revenue. The ratio dropped in 2020 due to the pandemic but showed improvement in the following years, indicating better asset utilization.</w:t>
      </w:r>
    </w:p>
    <w:p w:rsidR="00560C74" w:rsidRDefault="00D94190">
      <w:pPr>
        <w:pStyle w:val="Heading4"/>
        <w:numPr>
          <w:ilvl w:val="0"/>
          <w:numId w:val="11"/>
        </w:numPr>
        <w:spacing w:before="240" w:after="240" w:line="360" w:lineRule="auto"/>
      </w:pPr>
      <w:bookmarkStart w:id="19" w:name="_loj0da83lh38" w:colFirst="0" w:colLast="0"/>
      <w:bookmarkEnd w:id="19"/>
      <w:r>
        <w:rPr>
          <w:rFonts w:ascii="Times New Roman" w:eastAsia="Times New Roman" w:hAnsi="Times New Roman" w:cs="Times New Roman"/>
          <w:b/>
          <w:color w:val="000000"/>
        </w:rPr>
        <w:t xml:space="preserve">Inventory Turnover Ratio: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 Turnover Ratio = Cost of Goods Sold​/Average Inventory</w:t>
      </w:r>
    </w:p>
    <w:tbl>
      <w:tblPr>
        <w:tblStyle w:val="a8"/>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blHeader/>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Inventory Turnover Ratio</w:t>
            </w:r>
          </w:p>
        </w:tc>
      </w:tr>
      <w:tr w:rsidR="00560C74">
        <w:trPr>
          <w:trHeight w:val="315"/>
          <w:tblHeader/>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8.83</w:t>
            </w:r>
          </w:p>
        </w:tc>
      </w:tr>
      <w:tr w:rsidR="00560C74">
        <w:trPr>
          <w:trHeight w:val="315"/>
          <w:tblHeader/>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7.51</w:t>
            </w:r>
          </w:p>
        </w:tc>
      </w:tr>
      <w:tr w:rsidR="00560C74">
        <w:trPr>
          <w:trHeight w:val="315"/>
          <w:tblHeader/>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7.73</w:t>
            </w:r>
          </w:p>
        </w:tc>
      </w:tr>
      <w:tr w:rsidR="00560C74">
        <w:trPr>
          <w:trHeight w:val="315"/>
          <w:tblHeader/>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8.13</w:t>
            </w:r>
          </w:p>
        </w:tc>
      </w:tr>
      <w:tr w:rsidR="00560C74">
        <w:trPr>
          <w:trHeight w:val="315"/>
          <w:tblHeader/>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8.03</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Inventory Turnover Ratio shows how quickly Ford sells its inventory. A higher ratio is generally better, and the trend shows an improvement post-2020, indicating efficient inventory management.</w:t>
      </w:r>
    </w:p>
    <w:p w:rsidR="00560C74" w:rsidRDefault="00D94190">
      <w:pPr>
        <w:pStyle w:val="Heading4"/>
        <w:numPr>
          <w:ilvl w:val="0"/>
          <w:numId w:val="11"/>
        </w:numPr>
        <w:spacing w:before="240" w:after="240" w:line="360" w:lineRule="auto"/>
      </w:pPr>
      <w:bookmarkStart w:id="20" w:name="_viksb6nr74dk" w:colFirst="0" w:colLast="0"/>
      <w:bookmarkEnd w:id="20"/>
      <w:r>
        <w:rPr>
          <w:rFonts w:ascii="Times New Roman" w:eastAsia="Times New Roman" w:hAnsi="Times New Roman" w:cs="Times New Roman"/>
          <w:b/>
          <w:color w:val="000000"/>
        </w:rPr>
        <w:t>Receivables Turnover Ratio:</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Receivables Turnover Ratio = Revenue​/Average Receivable</w:t>
      </w:r>
    </w:p>
    <w:p w:rsidR="00560C74" w:rsidRDefault="00560C74">
      <w:pPr>
        <w:spacing w:line="360" w:lineRule="auto"/>
        <w:rPr>
          <w:rFonts w:ascii="Times New Roman" w:eastAsia="Times New Roman" w:hAnsi="Times New Roman" w:cs="Times New Roman"/>
          <w:sz w:val="24"/>
          <w:szCs w:val="24"/>
        </w:rPr>
      </w:pPr>
    </w:p>
    <w:tbl>
      <w:tblPr>
        <w:tblStyle w:val="a9"/>
        <w:tblW w:w="5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Receivables Turnover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7.8</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6.51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6.62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7.36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7.28</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receivables turnover ratio reflects its collection efficiency. The ratio dropped in 2020 but rose in the following years, indicating increased collecting efficiency.</w:t>
      </w:r>
    </w:p>
    <w:p w:rsidR="00560C74" w:rsidRDefault="00D94190">
      <w:pPr>
        <w:pStyle w:val="Heading2"/>
        <w:spacing w:line="360" w:lineRule="auto"/>
        <w:rPr>
          <w:rFonts w:ascii="Times New Roman" w:eastAsia="Times New Roman" w:hAnsi="Times New Roman" w:cs="Times New Roman"/>
          <w:b/>
          <w:sz w:val="28"/>
          <w:szCs w:val="28"/>
        </w:rPr>
      </w:pPr>
      <w:bookmarkStart w:id="21" w:name="_z5mpmzbdag8c" w:colFirst="0" w:colLast="0"/>
      <w:bookmarkEnd w:id="21"/>
      <w:r>
        <w:rPr>
          <w:rFonts w:ascii="Times New Roman" w:eastAsia="Times New Roman" w:hAnsi="Times New Roman" w:cs="Times New Roman"/>
          <w:b/>
          <w:sz w:val="28"/>
          <w:szCs w:val="28"/>
        </w:rPr>
        <w:t>Ratios Evaluation</w:t>
      </w:r>
    </w:p>
    <w:p w:rsidR="00560C74" w:rsidRDefault="00D94190">
      <w:pPr>
        <w:pStyle w:val="Heading3"/>
        <w:spacing w:before="240" w:after="240" w:line="360" w:lineRule="auto"/>
        <w:rPr>
          <w:rFonts w:ascii="Times New Roman" w:eastAsia="Times New Roman" w:hAnsi="Times New Roman" w:cs="Times New Roman"/>
          <w:b/>
          <w:color w:val="000000"/>
        </w:rPr>
      </w:pPr>
      <w:bookmarkStart w:id="22" w:name="_nudwkuyztl08" w:colFirst="0" w:colLast="0"/>
      <w:bookmarkEnd w:id="22"/>
      <w:r>
        <w:rPr>
          <w:rFonts w:ascii="Times New Roman" w:eastAsia="Times New Roman" w:hAnsi="Times New Roman" w:cs="Times New Roman"/>
          <w:b/>
          <w:color w:val="000000"/>
          <w:sz w:val="24"/>
          <w:szCs w:val="24"/>
        </w:rPr>
        <w:t>Profitability Ratios Analysis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rPr>
        <w:t>Gross Profit Margin</w:t>
      </w:r>
      <w:r>
        <w:rPr>
          <w:rFonts w:ascii="Times New Roman" w:eastAsia="Times New Roman" w:hAnsi="Times New Roman" w:cs="Times New Roman"/>
          <w:sz w:val="24"/>
          <w:szCs w:val="24"/>
        </w:rPr>
        <w:t>: In the past five years, the Gross Profit Margin has grown from 14.11% in 2019 to 14.68% in 2023. The company's manufacturing efficiency and cost management are improving. The curve progresses gradually due to improved production methods, efficient supply and chain management, and cost reduction tactics.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Net Profit Margin</w:t>
      </w:r>
      <w:r>
        <w:rPr>
          <w:rFonts w:ascii="Times New Roman" w:eastAsia="Times New Roman" w:hAnsi="Times New Roman" w:cs="Times New Roman"/>
          <w:sz w:val="24"/>
          <w:szCs w:val="24"/>
        </w:rPr>
        <w:t>: The Net Profit Margin varied from 0.03% in 2019 to -1.02% in 2020 due to COVID-19, and 13.13% in 2021. It will be 11.32% of volume in 2022 and 11.19% in 2023. Ford Motor Company (2019) attributes its steep rise in 2021 to its strong rebounding mechanisms, adapting to the post-COVID-19 climate, tracking high-margin vehicle sales, and meticulous cost control.</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Return on Assets (ROA)</w:t>
      </w:r>
      <w:r>
        <w:rPr>
          <w:rFonts w:ascii="Times New Roman" w:eastAsia="Times New Roman" w:hAnsi="Times New Roman" w:cs="Times New Roman"/>
          <w:sz w:val="24"/>
          <w:szCs w:val="24"/>
        </w:rPr>
        <w:t>: Ford's ROA was 0.018% in 2019, -0.49% in 2020, and 6.96% in 2021. In succeeding years, ROA ranged around 6.9%. This development suggests that Ford post-2020 converts income from assets more efficiently, indicating superior asset management.</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Return on Equity (ROE)</w:t>
      </w:r>
      <w:r>
        <w:rPr>
          <w:rFonts w:ascii="Times New Roman" w:eastAsia="Times New Roman" w:hAnsi="Times New Roman" w:cs="Times New Roman"/>
          <w:sz w:val="24"/>
          <w:szCs w:val="24"/>
        </w:rPr>
        <w:t>: In 2020 (-4.11%), the ROE was volatile and negative, while in 2021 (49.58%), it was quite high. In years after 2020, a ROE of 50% shows strong shareholder returns but changing equity returns. The net income and equity swings over this era may have caused this volatility.</w:t>
      </w:r>
    </w:p>
    <w:p w:rsidR="00560C74" w:rsidRDefault="00D94190">
      <w:pPr>
        <w:pStyle w:val="Heading4"/>
        <w:keepNext w:val="0"/>
        <w:keepLines w:val="0"/>
        <w:spacing w:before="240" w:after="40" w:line="360" w:lineRule="auto"/>
        <w:rPr>
          <w:rFonts w:ascii="Times New Roman" w:eastAsia="Times New Roman" w:hAnsi="Times New Roman" w:cs="Times New Roman"/>
          <w:b/>
          <w:color w:val="000000"/>
          <w:sz w:val="22"/>
          <w:szCs w:val="22"/>
        </w:rPr>
      </w:pPr>
      <w:bookmarkStart w:id="23" w:name="_o02z8wm4cwqm" w:colFirst="0" w:colLast="0"/>
      <w:bookmarkEnd w:id="23"/>
      <w:r>
        <w:rPr>
          <w:rFonts w:ascii="Times New Roman" w:eastAsia="Times New Roman" w:hAnsi="Times New Roman" w:cs="Times New Roman"/>
          <w:b/>
          <w:color w:val="000000"/>
          <w:sz w:val="22"/>
          <w:szCs w:val="22"/>
        </w:rPr>
        <w:t xml:space="preserve">Impact of External and Internal Factors on Profitability </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rPr>
        <w:t>External Factors</w:t>
      </w:r>
      <w:r>
        <w:rPr>
          <w:rFonts w:ascii="Times New Roman" w:eastAsia="Times New Roman" w:hAnsi="Times New Roman" w:cs="Times New Roman"/>
          <w:sz w:val="24"/>
          <w:szCs w:val="24"/>
        </w:rPr>
        <w:t>:</w:t>
      </w:r>
    </w:p>
    <w:p w:rsidR="00560C74" w:rsidRDefault="00D94190">
      <w:pPr>
        <w:numPr>
          <w:ilvl w:val="0"/>
          <w:numId w:val="15"/>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COVID-19 Pandemic</w:t>
      </w:r>
      <w:r>
        <w:rPr>
          <w:rFonts w:ascii="Times New Roman" w:eastAsia="Times New Roman" w:hAnsi="Times New Roman" w:cs="Times New Roman"/>
          <w:sz w:val="24"/>
          <w:szCs w:val="24"/>
        </w:rPr>
        <w:t>: Ford was also hurt by the COVID-19 pandemic in 2020, which closed manufacturing and outlets, caused supply chain challenges, and lowered sales and demand. However, the corporation managed these external shocks well and returned to regular growth in 2021.</w:t>
      </w:r>
    </w:p>
    <w:p w:rsidR="00560C74" w:rsidRDefault="00D94190">
      <w:pPr>
        <w:numPr>
          <w:ilvl w:val="0"/>
          <w:numId w:val="1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 Conditions</w:t>
      </w:r>
      <w:r>
        <w:rPr>
          <w:rFonts w:ascii="Times New Roman" w:eastAsia="Times New Roman" w:hAnsi="Times New Roman" w:cs="Times New Roman"/>
          <w:sz w:val="24"/>
          <w:szCs w:val="24"/>
        </w:rPr>
        <w:t>: Electric cars and regulators' output and emission worries have hampered profit lines. The firm's investments in EV technology and supporting networks have immediate and long-term economic effects, but they are critical for future competitive advantage.</w:t>
      </w:r>
    </w:p>
    <w:p w:rsidR="00560C74" w:rsidRDefault="00D94190">
      <w:pPr>
        <w:numPr>
          <w:ilvl w:val="0"/>
          <w:numId w:val="1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Competition</w:t>
      </w:r>
      <w:r>
        <w:rPr>
          <w:rFonts w:ascii="Times New Roman" w:eastAsia="Times New Roman" w:hAnsi="Times New Roman" w:cs="Times New Roman"/>
          <w:sz w:val="24"/>
          <w:szCs w:val="24"/>
        </w:rPr>
        <w:t>: Other car manufacturers and companies that have aggressively pursued EV production, including Tesla, have put Ford under pressure to succeed, harming its short-term profitability due to expensive expenditure.</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Internal Factors</w:t>
      </w:r>
      <w:r>
        <w:rPr>
          <w:rFonts w:ascii="Times New Roman" w:eastAsia="Times New Roman" w:hAnsi="Times New Roman" w:cs="Times New Roman"/>
          <w:sz w:val="24"/>
          <w:szCs w:val="24"/>
        </w:rPr>
        <w:t>:</w:t>
      </w:r>
    </w:p>
    <w:p w:rsidR="00560C74" w:rsidRDefault="00D94190">
      <w:pPr>
        <w:numPr>
          <w:ilvl w:val="0"/>
          <w:numId w:val="5"/>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Cost Management</w:t>
      </w:r>
      <w:r>
        <w:rPr>
          <w:rFonts w:ascii="Times New Roman" w:eastAsia="Times New Roman" w:hAnsi="Times New Roman" w:cs="Times New Roman"/>
          <w:sz w:val="24"/>
          <w:szCs w:val="24"/>
        </w:rPr>
        <w:t>: Ford's gross profit margin shows its cost control and operational effectiveness.</w:t>
      </w:r>
    </w:p>
    <w:p w:rsidR="00560C74" w:rsidRDefault="00D94190">
      <w:pPr>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 Mix</w:t>
      </w:r>
      <w:r>
        <w:rPr>
          <w:rFonts w:ascii="Times New Roman" w:eastAsia="Times New Roman" w:hAnsi="Times New Roman" w:cs="Times New Roman"/>
          <w:sz w:val="24"/>
          <w:szCs w:val="24"/>
        </w:rPr>
        <w:t>: The company's strategic transition to higher-margin products like trucks and SUVs has increased profitability. Strategic reorientations, including model development and modification, also help.</w:t>
      </w:r>
    </w:p>
    <w:p w:rsidR="00560C74" w:rsidRDefault="00D94190">
      <w:pPr>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Restructuring and Strategic Initiatives</w:t>
      </w:r>
      <w:r>
        <w:rPr>
          <w:rFonts w:ascii="Times New Roman" w:eastAsia="Times New Roman" w:hAnsi="Times New Roman" w:cs="Times New Roman"/>
          <w:sz w:val="24"/>
          <w:szCs w:val="24"/>
        </w:rPr>
        <w:t>: Ford Blue and Ford Model e, launched in 2022, coordinate activities and focus on new, promising development lines (Ford, 2022a).</w:t>
      </w:r>
    </w:p>
    <w:p w:rsidR="00560C74" w:rsidRDefault="00D94190">
      <w:pPr>
        <w:pStyle w:val="Heading4"/>
        <w:keepNext w:val="0"/>
        <w:keepLines w:val="0"/>
        <w:spacing w:before="240" w:after="40" w:line="360" w:lineRule="auto"/>
        <w:rPr>
          <w:rFonts w:ascii="Times New Roman" w:eastAsia="Times New Roman" w:hAnsi="Times New Roman" w:cs="Times New Roman"/>
          <w:color w:val="000000"/>
        </w:rPr>
      </w:pPr>
      <w:bookmarkStart w:id="24" w:name="_63h27pioc073" w:colFirst="0" w:colLast="0"/>
      <w:bookmarkEnd w:id="24"/>
      <w:r>
        <w:rPr>
          <w:rFonts w:ascii="Times New Roman" w:eastAsia="Times New Roman" w:hAnsi="Times New Roman" w:cs="Times New Roman"/>
          <w:b/>
          <w:color w:val="000000"/>
          <w:sz w:val="22"/>
          <w:szCs w:val="22"/>
        </w:rPr>
        <w:t>Comparison to Major Competitors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Tesla, a business known for electric cars, has retained its gross profit margins between 20-25% in prior years; Ford increased its margin from 14.11% in 2019 to 14.68% in 2023. Ford's operating margin is rising, but it's still far lower than Tesla's, which might boost productivity and slash expenses (Tesla Annual Report, 2023). Ford has improved following the pandemic, going from -1.02% in 2020 to nearly 11% in 2022 and 2023, although more innovation is needed. Tesla has a 10-15% net profit margin. Ford ach</w:t>
      </w:r>
      <w:r>
        <w:rPr>
          <w:rFonts w:ascii="Times New Roman" w:eastAsia="Times New Roman" w:hAnsi="Times New Roman" w:cs="Times New Roman"/>
          <w:sz w:val="24"/>
          <w:szCs w:val="24"/>
        </w:rPr>
        <w:t>ieves a ROA of 6.9% from 2021, somewhat lower than Tesla's 5-6%, exhibiting effective asset management. As Ford adopts new technologies, finance will continue. Finally, Tesla's ROE fluctuates and is normally lower than Ford's, although it peaked at roughly 50% after 2020, demonstrating the company's high equity returns but shifting trends. By combining expansion and solid financial management, you may maintain a high ROE.</w:t>
      </w:r>
    </w:p>
    <w:p w:rsidR="00560C74" w:rsidRDefault="00D94190">
      <w:pPr>
        <w:pStyle w:val="Heading3"/>
        <w:spacing w:before="240" w:after="240" w:line="360" w:lineRule="auto"/>
        <w:rPr>
          <w:rFonts w:ascii="Times New Roman" w:eastAsia="Times New Roman" w:hAnsi="Times New Roman" w:cs="Times New Roman"/>
          <w:color w:val="000000"/>
          <w:sz w:val="24"/>
          <w:szCs w:val="24"/>
        </w:rPr>
      </w:pPr>
      <w:bookmarkStart w:id="25" w:name="_2vgeldn6xmb0" w:colFirst="0" w:colLast="0"/>
      <w:bookmarkEnd w:id="25"/>
      <w:r>
        <w:rPr>
          <w:rFonts w:ascii="Times New Roman" w:eastAsia="Times New Roman" w:hAnsi="Times New Roman" w:cs="Times New Roman"/>
          <w:b/>
          <w:color w:val="000000"/>
          <w:sz w:val="24"/>
          <w:szCs w:val="24"/>
        </w:rPr>
        <w:t xml:space="preserve">Liquidity Ratios Analysis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Current Ratio</w:t>
      </w:r>
      <w:r>
        <w:rPr>
          <w:rFonts w:ascii="Times New Roman" w:eastAsia="Times New Roman" w:hAnsi="Times New Roman" w:cs="Times New Roman"/>
          <w:sz w:val="24"/>
          <w:szCs w:val="24"/>
        </w:rPr>
        <w:t xml:space="preserve"> </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ratio measures a company's ability to meet short-term obligations with short-term resources. A ratio above 1 indicates that the corporation has more current assets than current liabilities, improving its liquidity.</w:t>
      </w:r>
    </w:p>
    <w:p w:rsidR="00560C74" w:rsidRDefault="00560C74">
      <w:pPr>
        <w:spacing w:line="360" w:lineRule="auto"/>
        <w:rPr>
          <w:rFonts w:ascii="Times New Roman" w:eastAsia="Times New Roman" w:hAnsi="Times New Roman" w:cs="Times New Roman"/>
          <w:sz w:val="24"/>
          <w:szCs w:val="24"/>
        </w:rPr>
      </w:pPr>
    </w:p>
    <w:tbl>
      <w:tblPr>
        <w:tblStyle w:val="aa"/>
        <w:tblW w:w="8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325"/>
        <w:gridCol w:w="2085"/>
        <w:gridCol w:w="1500"/>
      </w:tblGrid>
      <w:tr w:rsidR="00560C74">
        <w:trPr>
          <w:trHeight w:val="540"/>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Current Assets</w:t>
            </w:r>
          </w:p>
        </w:tc>
        <w:tc>
          <w:tcPr>
            <w:tcW w:w="20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Current Liabilities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Current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$100.1B</w:t>
            </w:r>
          </w:p>
        </w:tc>
        <w:tc>
          <w:tcPr>
            <w:tcW w:w="20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$80.4B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1.25</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$102.3B</w:t>
            </w:r>
          </w:p>
        </w:tc>
        <w:tc>
          <w:tcPr>
            <w:tcW w:w="20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$85.2B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$105.0B</w:t>
            </w:r>
          </w:p>
        </w:tc>
        <w:tc>
          <w:tcPr>
            <w:tcW w:w="20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$80.0B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$106.5B</w:t>
            </w:r>
          </w:p>
        </w:tc>
        <w:tc>
          <w:tcPr>
            <w:tcW w:w="20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$81.5B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$107.0B</w:t>
            </w:r>
          </w:p>
        </w:tc>
        <w:tc>
          <w:tcPr>
            <w:tcW w:w="20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$82.0B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Current Ratio for the past five years ranged from 1.20 to 1.31. These numbers illustrate that Ford has a strong balance of current assets and liabilities to meet its short-term obligations. The COVID-19 pandemic in 2020 caused a modest drop in working capital for numerous companies (Ford (2020), Ford Motor Company (2019)).</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Quick Ratio or acid-test ratio shows how much a company can cover its short-term liabilities with its liquid assets, excluding inventories. According to Effiong and Enya (2020), a higher Quick Ratio indicates business liquidity.</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Like Ford's current assets to current liabilities ratio, its quick ratio has trended inside the same line, indicating that the company has enough liquid assets to fund short-term obligations without inventories. Ford managed its liquidity well, as the Quick Ratio dropped marginally in 2020 but recovered in the following years.</w:t>
      </w:r>
    </w:p>
    <w:tbl>
      <w:tblPr>
        <w:tblStyle w:val="ab"/>
        <w:tblW w:w="9360" w:type="dxa"/>
        <w:tblBorders>
          <w:top w:val="nil"/>
          <w:left w:val="nil"/>
          <w:bottom w:val="nil"/>
          <w:right w:val="nil"/>
          <w:insideH w:val="nil"/>
          <w:insideV w:val="nil"/>
        </w:tblBorders>
        <w:tblLayout w:type="fixed"/>
        <w:tblLook w:val="0600" w:firstRow="0" w:lastRow="0" w:firstColumn="0" w:lastColumn="0" w:noHBand="1" w:noVBand="1"/>
      </w:tblPr>
      <w:tblGrid>
        <w:gridCol w:w="2501"/>
        <w:gridCol w:w="2695"/>
        <w:gridCol w:w="1388"/>
        <w:gridCol w:w="1388"/>
        <w:gridCol w:w="1388"/>
      </w:tblGrid>
      <w:tr w:rsidR="00560C74">
        <w:trPr>
          <w:trHeight w:val="540"/>
        </w:trPr>
        <w:tc>
          <w:tcPr>
            <w:tcW w:w="249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6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Current Assets</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Inventory</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Current Liabilities</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Quick Ratio</w:t>
            </w:r>
          </w:p>
        </w:tc>
      </w:tr>
      <w:tr w:rsidR="00560C74">
        <w:trPr>
          <w:trHeight w:val="315"/>
        </w:trPr>
        <w:tc>
          <w:tcPr>
            <w:tcW w:w="249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6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$100.1B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$80.4B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1.06</w:t>
            </w:r>
          </w:p>
        </w:tc>
      </w:tr>
      <w:tr w:rsidR="00560C74">
        <w:trPr>
          <w:trHeight w:val="315"/>
        </w:trPr>
        <w:tc>
          <w:tcPr>
            <w:tcW w:w="249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6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$102.3B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$14.5B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$85.2B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r>
      <w:tr w:rsidR="00560C74">
        <w:trPr>
          <w:trHeight w:val="315"/>
        </w:trPr>
        <w:tc>
          <w:tcPr>
            <w:tcW w:w="249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6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$105.0B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p>
        </w:tc>
      </w:tr>
      <w:tr w:rsidR="00560C74">
        <w:trPr>
          <w:trHeight w:val="315"/>
        </w:trPr>
        <w:tc>
          <w:tcPr>
            <w:tcW w:w="249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6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$106.5B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$16.5B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$81.5B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p>
        </w:tc>
      </w:tr>
      <w:tr w:rsidR="00560C74">
        <w:trPr>
          <w:trHeight w:val="315"/>
        </w:trPr>
        <w:tc>
          <w:tcPr>
            <w:tcW w:w="249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6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$107.0B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$82.0B</w:t>
            </w:r>
          </w:p>
        </w:tc>
        <w:tc>
          <w:tcPr>
            <w:tcW w:w="13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r>
    </w:tbl>
    <w:p w:rsidR="00560C74" w:rsidRDefault="00D94190">
      <w:pPr>
        <w:pStyle w:val="Heading4"/>
        <w:keepNext w:val="0"/>
        <w:keepLines w:val="0"/>
        <w:spacing w:before="240" w:after="40" w:line="360" w:lineRule="auto"/>
        <w:rPr>
          <w:rFonts w:ascii="Times New Roman" w:eastAsia="Times New Roman" w:hAnsi="Times New Roman" w:cs="Times New Roman"/>
          <w:b/>
          <w:color w:val="000000"/>
        </w:rPr>
      </w:pPr>
      <w:bookmarkStart w:id="26" w:name="_4k83ol2yepil" w:colFirst="0" w:colLast="0"/>
      <w:bookmarkEnd w:id="26"/>
      <w:r>
        <w:rPr>
          <w:rFonts w:ascii="Times New Roman" w:eastAsia="Times New Roman" w:hAnsi="Times New Roman" w:cs="Times New Roman"/>
          <w:b/>
          <w:color w:val="000000"/>
        </w:rPr>
        <w:t>Evaluation of Liquidity Trends and Implications for Financial Health</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 has managed its short-term liabilities well for five years, as seen by its constant liquidity ratios. Ford's strong financial management allowed it to maintain liquidity during the 2020 pandemic. Ford's liquidity ratios have recovered post-2020, indicating that it has survived the crisis and strengthened its position.</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 needs excellent liquidity ratios to cover its short-term debts and operating needs without cash flow concerns. It also lets you invest in growth areas like electric cars and driverless tech.</w:t>
      </w:r>
    </w:p>
    <w:p w:rsidR="00560C74" w:rsidRDefault="00D94190">
      <w:pPr>
        <w:pStyle w:val="Heading4"/>
        <w:keepNext w:val="0"/>
        <w:keepLines w:val="0"/>
        <w:spacing w:before="240" w:after="40" w:line="360" w:lineRule="auto"/>
        <w:rPr>
          <w:rFonts w:ascii="Times New Roman" w:eastAsia="Times New Roman" w:hAnsi="Times New Roman" w:cs="Times New Roman"/>
          <w:b/>
          <w:color w:val="000000"/>
        </w:rPr>
      </w:pPr>
      <w:bookmarkStart w:id="27" w:name="_krhhj1ojavvg" w:colFirst="0" w:colLast="0"/>
      <w:bookmarkEnd w:id="27"/>
      <w:r>
        <w:rPr>
          <w:rFonts w:ascii="Times New Roman" w:eastAsia="Times New Roman" w:hAnsi="Times New Roman" w:cs="Times New Roman"/>
          <w:b/>
          <w:color w:val="000000"/>
        </w:rPr>
        <w:t>Comparison with Major Competitors and/or Sector Averages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Tesla, one of Ford's major competitors, also exhibits strong liquidity ratios. As of recent reports, Tesla's Current Ratio has been around 1.4-1.5, and its Quick Ratio has been approximately 1.2-1.3. These figures are slightly higher than Ford's, indicating that Tesla maintains a slightly better liquidity position. However, both companies show strong liquidity, which is essential given the capital-intensive nature of the automotive industry.</w:t>
      </w:r>
    </w:p>
    <w:p w:rsidR="00560C74" w:rsidRDefault="00D94190">
      <w:pPr>
        <w:pStyle w:val="Heading3"/>
        <w:spacing w:before="240" w:after="240" w:line="360" w:lineRule="auto"/>
        <w:rPr>
          <w:rFonts w:ascii="Times New Roman" w:eastAsia="Times New Roman" w:hAnsi="Times New Roman" w:cs="Times New Roman"/>
          <w:color w:val="000000"/>
          <w:sz w:val="24"/>
          <w:szCs w:val="24"/>
        </w:rPr>
      </w:pPr>
      <w:bookmarkStart w:id="28" w:name="_9be7sy5nnnoe" w:colFirst="0" w:colLast="0"/>
      <w:bookmarkEnd w:id="28"/>
      <w:r>
        <w:rPr>
          <w:rFonts w:ascii="Times New Roman" w:eastAsia="Times New Roman" w:hAnsi="Times New Roman" w:cs="Times New Roman"/>
          <w:b/>
          <w:color w:val="000000"/>
          <w:sz w:val="24"/>
          <w:szCs w:val="24"/>
        </w:rPr>
        <w:t xml:space="preserve">Gearing Ratios Analysis </w:t>
      </w:r>
    </w:p>
    <w:p w:rsidR="00560C74" w:rsidRDefault="00D94190">
      <w:pPr>
        <w:spacing w:before="240" w:after="240" w:line="360" w:lineRule="auto"/>
        <w:rPr>
          <w:rFonts w:ascii="Times New Roman" w:eastAsia="Times New Roman" w:hAnsi="Times New Roman" w:cs="Times New Roman"/>
          <w:b/>
        </w:rPr>
      </w:pPr>
      <w:r>
        <w:rPr>
          <w:rFonts w:ascii="Times New Roman" w:eastAsia="Times New Roman" w:hAnsi="Times New Roman" w:cs="Times New Roman"/>
          <w:b/>
          <w:sz w:val="24"/>
          <w:szCs w:val="24"/>
        </w:rPr>
        <w:t>Debt to Equity Ratio</w:t>
      </w:r>
      <w:r>
        <w:rPr>
          <w:rFonts w:ascii="Times New Roman" w:eastAsia="Times New Roman" w:hAnsi="Times New Roman" w:cs="Times New Roman"/>
          <w:sz w:val="24"/>
          <w:szCs w:val="24"/>
        </w:rPr>
        <w:t>: The Debt to Equity Ratio measures a company's financial leverage by comparing its total liabilities to shareholders' equity. A higher ratio indicates greater reliance on debt financing, while a lower ratio suggests a company relies more on equity financing.</w:t>
      </w:r>
    </w:p>
    <w:tbl>
      <w:tblPr>
        <w:tblStyle w:val="ac"/>
        <w:tblW w:w="8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gridCol w:w="1500"/>
        <w:gridCol w:w="150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Total Liabilities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Equity</w:t>
            </w:r>
          </w:p>
        </w:tc>
        <w:tc>
          <w:tcPr>
            <w:tcW w:w="150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560C74" w:rsidRDefault="00D94190">
            <w:pPr>
              <w:widowControl w:val="0"/>
              <w:spacing w:line="360" w:lineRule="auto"/>
              <w:ind w:left="-9360" w:right="-9360"/>
              <w:rPr>
                <w:rFonts w:ascii="Times New Roman" w:eastAsia="Times New Roman" w:hAnsi="Times New Roman" w:cs="Times New Roman"/>
                <w:b/>
                <w:sz w:val="20"/>
                <w:szCs w:val="20"/>
              </w:rPr>
            </w:pPr>
            <w:r>
              <w:rPr>
                <w:rFonts w:ascii="Times New Roman" w:eastAsia="Times New Roman" w:hAnsi="Times New Roman" w:cs="Times New Roman"/>
                <w:b/>
                <w:sz w:val="20"/>
                <w:szCs w:val="20"/>
              </w:rPr>
              <w:t>Debt to Equity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$225.6B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$32.9B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6.86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$235.7B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$31.6B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7.46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$220.9B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$36.1B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6.12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$222.6B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$35.8B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6.22</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$223.0B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$36.0B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6.19</w:t>
            </w:r>
          </w:p>
        </w:tc>
      </w:tr>
    </w:tbl>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Debt to Equity Ratio shows that the company has maintained high financial leverage, typical in the automotive industry, where substantial capital is required for production, R&amp;D, and expansion. The ratio increased in 2020 due to the pandemic but has gradually decreased in subsequent years, reflecting Ford’s efforts to manage and reduce its debt levels relative to equity.</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Interest Coverage Ratio</w:t>
      </w:r>
      <w:r>
        <w:rPr>
          <w:rFonts w:ascii="Times New Roman" w:eastAsia="Times New Roman" w:hAnsi="Times New Roman" w:cs="Times New Roman"/>
          <w:sz w:val="24"/>
          <w:szCs w:val="24"/>
        </w:rPr>
        <w:t>: The Interest Coverage Ratio evaluates how easily a company can pay interest on its outstanding debt using its earnings before interest and taxes (EBIT). A higher ratio indicates a better capability to cover interest expenses.</w:t>
      </w:r>
    </w:p>
    <w:tbl>
      <w:tblPr>
        <w:tblStyle w:val="ad"/>
        <w:tblW w:w="8820" w:type="dxa"/>
        <w:tblBorders>
          <w:top w:val="nil"/>
          <w:left w:val="nil"/>
          <w:bottom w:val="nil"/>
          <w:right w:val="nil"/>
          <w:insideH w:val="nil"/>
          <w:insideV w:val="nil"/>
        </w:tblBorders>
        <w:tblLayout w:type="fixed"/>
        <w:tblLook w:val="0600" w:firstRow="0" w:lastRow="0" w:firstColumn="0" w:lastColumn="0" w:noHBand="1" w:noVBand="1"/>
      </w:tblPr>
      <w:tblGrid>
        <w:gridCol w:w="2175"/>
        <w:gridCol w:w="1890"/>
        <w:gridCol w:w="1995"/>
        <w:gridCol w:w="1245"/>
        <w:gridCol w:w="1515"/>
      </w:tblGrid>
      <w:tr w:rsidR="00560C74">
        <w:trPr>
          <w:trHeight w:val="525"/>
        </w:trPr>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18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Net Income</w:t>
            </w:r>
          </w:p>
        </w:tc>
        <w:tc>
          <w:tcPr>
            <w:tcW w:w="199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Interest Expense</w:t>
            </w:r>
          </w:p>
        </w:tc>
        <w:tc>
          <w:tcPr>
            <w:tcW w:w="12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EBIT</w:t>
            </w:r>
          </w:p>
        </w:tc>
        <w:tc>
          <w:tcPr>
            <w:tcW w:w="1515"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560C74" w:rsidRDefault="00D94190">
            <w:pPr>
              <w:widowControl w:val="0"/>
              <w:spacing w:line="360" w:lineRule="auto"/>
              <w:ind w:left="-9360" w:right="-9360"/>
              <w:rPr>
                <w:rFonts w:ascii="Times New Roman" w:eastAsia="Times New Roman" w:hAnsi="Times New Roman" w:cs="Times New Roman"/>
                <w:b/>
                <w:sz w:val="20"/>
                <w:szCs w:val="20"/>
              </w:rPr>
            </w:pPr>
            <w:r>
              <w:rPr>
                <w:rFonts w:ascii="Times New Roman" w:eastAsia="Times New Roman" w:hAnsi="Times New Roman" w:cs="Times New Roman"/>
                <w:b/>
                <w:sz w:val="20"/>
                <w:szCs w:val="20"/>
              </w:rPr>
              <w:t>Inte        Interest Coverage Ratio</w:t>
            </w:r>
          </w:p>
        </w:tc>
      </w:tr>
      <w:tr w:rsidR="00560C74">
        <w:trPr>
          <w:trHeight w:val="315"/>
        </w:trPr>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18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$0.047B</w:t>
            </w:r>
          </w:p>
        </w:tc>
        <w:tc>
          <w:tcPr>
            <w:tcW w:w="199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$1.5B</w:t>
            </w:r>
          </w:p>
        </w:tc>
        <w:tc>
          <w:tcPr>
            <w:tcW w:w="12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$2.547B</w:t>
            </w:r>
          </w:p>
        </w:tc>
        <w:tc>
          <w:tcPr>
            <w:tcW w:w="15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r>
      <w:tr w:rsidR="00560C74">
        <w:trPr>
          <w:trHeight w:val="315"/>
        </w:trPr>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18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-$1.3B</w:t>
            </w:r>
          </w:p>
        </w:tc>
        <w:tc>
          <w:tcPr>
            <w:tcW w:w="199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$1.7B</w:t>
            </w:r>
          </w:p>
        </w:tc>
        <w:tc>
          <w:tcPr>
            <w:tcW w:w="12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$1.4B</w:t>
            </w:r>
          </w:p>
        </w:tc>
        <w:tc>
          <w:tcPr>
            <w:tcW w:w="15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-0.82</w:t>
            </w:r>
          </w:p>
        </w:tc>
      </w:tr>
      <w:tr w:rsidR="00560C74">
        <w:trPr>
          <w:trHeight w:val="315"/>
        </w:trPr>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18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$17.9B</w:t>
            </w:r>
          </w:p>
        </w:tc>
        <w:tc>
          <w:tcPr>
            <w:tcW w:w="199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$1.6B</w:t>
            </w:r>
          </w:p>
        </w:tc>
        <w:tc>
          <w:tcPr>
            <w:tcW w:w="12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$20.5B</w:t>
            </w:r>
          </w:p>
        </w:tc>
        <w:tc>
          <w:tcPr>
            <w:tcW w:w="15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12.81</w:t>
            </w:r>
          </w:p>
        </w:tc>
      </w:tr>
      <w:tr w:rsidR="00560C74">
        <w:trPr>
          <w:trHeight w:val="315"/>
        </w:trPr>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18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$17.9B</w:t>
            </w:r>
          </w:p>
        </w:tc>
        <w:tc>
          <w:tcPr>
            <w:tcW w:w="199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$1.8B</w:t>
            </w:r>
          </w:p>
        </w:tc>
        <w:tc>
          <w:tcPr>
            <w:tcW w:w="12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$20.7B</w:t>
            </w:r>
          </w:p>
        </w:tc>
        <w:tc>
          <w:tcPr>
            <w:tcW w:w="15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11.5</w:t>
            </w:r>
          </w:p>
        </w:tc>
      </w:tr>
    </w:tbl>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Interest Coverage Ratio highlights its improved ability to meet interest obligations post-2020. The significant negative ratio in 2020 was due to the net loss, but the recovery and strong ratios in subsequent years indicate robust profitability and effective debt management.</w:t>
      </w:r>
    </w:p>
    <w:p w:rsidR="00560C74" w:rsidRDefault="00D94190">
      <w:pPr>
        <w:pStyle w:val="Heading4"/>
        <w:keepNext w:val="0"/>
        <w:keepLines w:val="0"/>
        <w:spacing w:before="240" w:after="40" w:line="360" w:lineRule="auto"/>
        <w:rPr>
          <w:rFonts w:ascii="Times New Roman" w:eastAsia="Times New Roman" w:hAnsi="Times New Roman" w:cs="Times New Roman"/>
          <w:b/>
          <w:color w:val="000000"/>
          <w:sz w:val="22"/>
          <w:szCs w:val="22"/>
        </w:rPr>
      </w:pPr>
      <w:bookmarkStart w:id="29" w:name="_tsi3bqt8twiw" w:colFirst="0" w:colLast="0"/>
      <w:bookmarkEnd w:id="29"/>
      <w:r>
        <w:rPr>
          <w:rFonts w:ascii="Times New Roman" w:eastAsia="Times New Roman" w:hAnsi="Times New Roman" w:cs="Times New Roman"/>
          <w:b/>
          <w:color w:val="000000"/>
          <w:sz w:val="22"/>
          <w:szCs w:val="22"/>
        </w:rPr>
        <w:t>Discussion of the Risks Associated with High or Low Gearing Ratios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rPr>
        <w:t>High Gearing Ratios</w:t>
      </w:r>
      <w:r>
        <w:rPr>
          <w:rFonts w:ascii="Times New Roman" w:eastAsia="Times New Roman" w:hAnsi="Times New Roman" w:cs="Times New Roman"/>
          <w:sz w:val="24"/>
          <w:szCs w:val="24"/>
        </w:rPr>
        <w:t>: Ford has a high gearing ratio, indicating that it relies heavily on debt. This is risky since the company's debt levels rise, making it subject to interest rates and the economy. significant leverage causes significant interest expenses, which strain cash flows, especially during downtime. However, using these borrowed funds in good investments may reveal growth potential.</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Low Gearing Ratios</w:t>
      </w:r>
      <w:r>
        <w:rPr>
          <w:rFonts w:ascii="Times New Roman" w:eastAsia="Times New Roman" w:hAnsi="Times New Roman" w:cs="Times New Roman"/>
          <w:sz w:val="24"/>
          <w:szCs w:val="24"/>
        </w:rPr>
        <w:t>: However, a low gearing ratio indicates a firm's little debt dependence and lesser financial risk. This can help in a recession because the corporation spends less on interest. However, its conservative financing approach may mean that the corporation may not be maximising financial leverage, which could limit its expansion possibilities.</w:t>
      </w:r>
    </w:p>
    <w:p w:rsidR="00560C74" w:rsidRDefault="00D94190">
      <w:pPr>
        <w:pStyle w:val="Heading4"/>
        <w:keepNext w:val="0"/>
        <w:keepLines w:val="0"/>
        <w:spacing w:before="240" w:after="40" w:line="360" w:lineRule="auto"/>
        <w:rPr>
          <w:rFonts w:ascii="Times New Roman" w:eastAsia="Times New Roman" w:hAnsi="Times New Roman" w:cs="Times New Roman"/>
          <w:b/>
          <w:color w:val="000000"/>
          <w:sz w:val="22"/>
          <w:szCs w:val="22"/>
        </w:rPr>
      </w:pPr>
      <w:bookmarkStart w:id="30" w:name="_jwnq3az2fwec" w:colFirst="0" w:colLast="0"/>
      <w:bookmarkEnd w:id="30"/>
      <w:r>
        <w:rPr>
          <w:rFonts w:ascii="Times New Roman" w:eastAsia="Times New Roman" w:hAnsi="Times New Roman" w:cs="Times New Roman"/>
          <w:b/>
          <w:color w:val="000000"/>
          <w:sz w:val="22"/>
          <w:szCs w:val="22"/>
        </w:rPr>
        <w:t>Comparison with Major Competitors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primary competitor, Tesla, has a lower Debt to Equity Ratio. Tesla has relied less on debt financing in recent years, with this ratio ranging from 0.5 to 1.0. Tesla is more aware of leverage and employs equity more than debt. Thus, while Tesla's debt reduction reduces financial risk, it also means it won't leverage like Ford for growth initiatives.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Velocity gear ratios vary in the automotive sector. Some sector averages have Debt to Equity Ratios between 1.5 and 3.5. Ford's ratios show higher leverage than other corporations in the sector. This is expected since most traditional automakers have huge fixed capital and capital-intensive production strategies. Ford's Post 2020 Interest Coverage Ratio of 10 or above is low risk because the industry average is 5-10. The company's income relative to its debts has been robust.</w:t>
      </w:r>
    </w:p>
    <w:p w:rsidR="00560C74" w:rsidRDefault="00D94190">
      <w:pPr>
        <w:pStyle w:val="Heading3"/>
        <w:spacing w:before="240" w:after="240" w:line="360" w:lineRule="auto"/>
        <w:rPr>
          <w:rFonts w:ascii="Times New Roman" w:eastAsia="Times New Roman" w:hAnsi="Times New Roman" w:cs="Times New Roman"/>
          <w:b/>
          <w:color w:val="000000"/>
          <w:sz w:val="24"/>
          <w:szCs w:val="24"/>
        </w:rPr>
      </w:pPr>
      <w:bookmarkStart w:id="31" w:name="_4bsvcylhgj23" w:colFirst="0" w:colLast="0"/>
      <w:bookmarkEnd w:id="31"/>
      <w:r>
        <w:rPr>
          <w:rFonts w:ascii="Times New Roman" w:eastAsia="Times New Roman" w:hAnsi="Times New Roman" w:cs="Times New Roman"/>
          <w:b/>
          <w:color w:val="000000"/>
          <w:sz w:val="24"/>
          <w:szCs w:val="24"/>
        </w:rPr>
        <w:t>Efficiency Ratios Analysis</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Asset Turnover Ratio</w:t>
      </w:r>
      <w:r>
        <w:rPr>
          <w:rFonts w:ascii="Times New Roman" w:eastAsia="Times New Roman" w:hAnsi="Times New Roman" w:cs="Times New Roman"/>
          <w:sz w:val="24"/>
          <w:szCs w:val="24"/>
        </w:rPr>
        <w:t>: The Asset Turnover Ratio measures how efficiently a company uses its assets to generate revenue. A higher ratio indicates better utilisation of assets.</w:t>
      </w:r>
    </w:p>
    <w:p w:rsidR="00560C74" w:rsidRDefault="00560C74">
      <w:pPr>
        <w:spacing w:line="360" w:lineRule="auto"/>
        <w:rPr>
          <w:rFonts w:ascii="Times New Roman" w:eastAsia="Times New Roman" w:hAnsi="Times New Roman" w:cs="Times New Roman"/>
          <w:sz w:val="24"/>
          <w:szCs w:val="24"/>
        </w:rPr>
      </w:pPr>
    </w:p>
    <w:tbl>
      <w:tblPr>
        <w:tblStyle w:val="ae"/>
        <w:tblW w:w="8610" w:type="dxa"/>
        <w:tblBorders>
          <w:top w:val="nil"/>
          <w:left w:val="nil"/>
          <w:bottom w:val="nil"/>
          <w:right w:val="nil"/>
          <w:insideH w:val="nil"/>
          <w:insideV w:val="nil"/>
        </w:tblBorders>
        <w:tblLayout w:type="fixed"/>
        <w:tblLook w:val="0600" w:firstRow="0" w:lastRow="0" w:firstColumn="0" w:lastColumn="0" w:noHBand="1" w:noVBand="1"/>
      </w:tblPr>
      <w:tblGrid>
        <w:gridCol w:w="2700"/>
        <w:gridCol w:w="2910"/>
        <w:gridCol w:w="1500"/>
        <w:gridCol w:w="1500"/>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Revenue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Total Assets</w:t>
            </w:r>
          </w:p>
        </w:tc>
        <w:tc>
          <w:tcPr>
            <w:tcW w:w="150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560C74" w:rsidRDefault="00D94190">
            <w:pPr>
              <w:widowControl w:val="0"/>
              <w:spacing w:line="360" w:lineRule="auto"/>
              <w:ind w:left="-9360" w:right="-9360"/>
              <w:rPr>
                <w:rFonts w:ascii="Times New Roman" w:eastAsia="Times New Roman" w:hAnsi="Times New Roman" w:cs="Times New Roman"/>
                <w:b/>
                <w:sz w:val="20"/>
                <w:szCs w:val="20"/>
              </w:rPr>
            </w:pPr>
            <w:r>
              <w:rPr>
                <w:rFonts w:ascii="Times New Roman" w:eastAsia="Times New Roman" w:hAnsi="Times New Roman" w:cs="Times New Roman"/>
                <w:b/>
                <w:sz w:val="20"/>
                <w:szCs w:val="20"/>
              </w:rPr>
              <w:t>Asset Turnover Ratio</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$155.9B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$258.5B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$127.1B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$267.3B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0.48</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$136.3B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$257.0B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0.53</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$158.1B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$258.4B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0.61</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9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$160.1B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$259.0B</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0.62</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table below shows that Ford's Asset Turnover Ratio decreased in 2020 and improved in subsequent years. The overall productivity rose from 0.48 in 2020 to 0.62 in 2023, showing that Ford has been more productive at using its assets to generate money. This rebound may have been due to firm efforts to enhance subgroup efficiency.</w:t>
      </w:r>
    </w:p>
    <w:p w:rsidR="00560C74" w:rsidRDefault="00D94190">
      <w:pPr>
        <w:pStyle w:val="Heading4"/>
        <w:keepNext w:val="0"/>
        <w:keepLines w:val="0"/>
        <w:spacing w:before="240" w:after="40" w:line="360" w:lineRule="auto"/>
        <w:rPr>
          <w:rFonts w:ascii="Times New Roman" w:eastAsia="Times New Roman" w:hAnsi="Times New Roman" w:cs="Times New Roman"/>
          <w:b/>
          <w:color w:val="000000"/>
          <w:sz w:val="22"/>
          <w:szCs w:val="22"/>
        </w:rPr>
      </w:pPr>
      <w:bookmarkStart w:id="32" w:name="_rmanwxk38r1i" w:colFirst="0" w:colLast="0"/>
      <w:bookmarkEnd w:id="32"/>
      <w:r>
        <w:rPr>
          <w:rFonts w:ascii="Times New Roman" w:eastAsia="Times New Roman" w:hAnsi="Times New Roman" w:cs="Times New Roman"/>
          <w:b/>
          <w:color w:val="000000"/>
          <w:sz w:val="22"/>
          <w:szCs w:val="22"/>
        </w:rPr>
        <w:t>Evaluation of Inventory and Receivables Management</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rPr>
        <w:t>Inventory Turnover Ratio</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Inventory Turnover Ratio measures a company's inventory management efficiency by comparing COGS to average inventory (Fadrul et al., 2023). Positive inventory control is indicated by a greater clerk/customer ratio (Fernando, 2024).</w:t>
      </w:r>
    </w:p>
    <w:tbl>
      <w:tblPr>
        <w:tblStyle w:val="af"/>
        <w:tblW w:w="9360" w:type="dxa"/>
        <w:tblBorders>
          <w:top w:val="nil"/>
          <w:left w:val="nil"/>
          <w:bottom w:val="nil"/>
          <w:right w:val="nil"/>
          <w:insideH w:val="nil"/>
          <w:insideV w:val="nil"/>
        </w:tblBorders>
        <w:tblLayout w:type="fixed"/>
        <w:tblLook w:val="0600" w:firstRow="0" w:lastRow="0" w:firstColumn="0" w:lastColumn="0" w:noHBand="1" w:noVBand="1"/>
      </w:tblPr>
      <w:tblGrid>
        <w:gridCol w:w="2082"/>
        <w:gridCol w:w="1943"/>
        <w:gridCol w:w="1840"/>
        <w:gridCol w:w="1562"/>
        <w:gridCol w:w="1933"/>
      </w:tblGrid>
      <w:tr w:rsidR="00560C74">
        <w:trPr>
          <w:trHeight w:val="540"/>
        </w:trPr>
        <w:tc>
          <w:tcPr>
            <w:tcW w:w="208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194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Revenue</w:t>
            </w:r>
          </w:p>
        </w:tc>
        <w:tc>
          <w:tcPr>
            <w:tcW w:w="183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COGS (85% of Revenue)</w:t>
            </w:r>
          </w:p>
        </w:tc>
        <w:tc>
          <w:tcPr>
            <w:tcW w:w="1561"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Average Inventory</w:t>
            </w:r>
          </w:p>
        </w:tc>
        <w:tc>
          <w:tcPr>
            <w:tcW w:w="193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Inventory Turnover Ratio</w:t>
            </w:r>
          </w:p>
        </w:tc>
      </w:tr>
      <w:tr w:rsidR="00560C74">
        <w:trPr>
          <w:trHeight w:val="315"/>
        </w:trPr>
        <w:tc>
          <w:tcPr>
            <w:tcW w:w="208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194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$155.9B</w:t>
            </w:r>
          </w:p>
        </w:tc>
        <w:tc>
          <w:tcPr>
            <w:tcW w:w="183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$132.5B</w:t>
            </w:r>
          </w:p>
        </w:tc>
        <w:tc>
          <w:tcPr>
            <w:tcW w:w="1561"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$15.0B</w:t>
            </w:r>
          </w:p>
        </w:tc>
        <w:tc>
          <w:tcPr>
            <w:tcW w:w="193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8.83</w:t>
            </w:r>
          </w:p>
        </w:tc>
      </w:tr>
      <w:tr w:rsidR="00560C74">
        <w:trPr>
          <w:trHeight w:val="315"/>
        </w:trPr>
        <w:tc>
          <w:tcPr>
            <w:tcW w:w="208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194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$127.1B</w:t>
            </w:r>
          </w:p>
        </w:tc>
        <w:tc>
          <w:tcPr>
            <w:tcW w:w="183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$108.0B</w:t>
            </w:r>
          </w:p>
        </w:tc>
        <w:tc>
          <w:tcPr>
            <w:tcW w:w="1561"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$14.5B</w:t>
            </w:r>
          </w:p>
        </w:tc>
        <w:tc>
          <w:tcPr>
            <w:tcW w:w="193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7.45</w:t>
            </w:r>
          </w:p>
        </w:tc>
      </w:tr>
      <w:tr w:rsidR="00560C74">
        <w:trPr>
          <w:trHeight w:val="315"/>
        </w:trPr>
        <w:tc>
          <w:tcPr>
            <w:tcW w:w="208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194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$136.3B</w:t>
            </w:r>
          </w:p>
        </w:tc>
        <w:tc>
          <w:tcPr>
            <w:tcW w:w="183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$115.9B</w:t>
            </w:r>
          </w:p>
        </w:tc>
        <w:tc>
          <w:tcPr>
            <w:tcW w:w="1561"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$16.0B</w:t>
            </w:r>
          </w:p>
        </w:tc>
        <w:tc>
          <w:tcPr>
            <w:tcW w:w="193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7.24</w:t>
            </w:r>
          </w:p>
        </w:tc>
      </w:tr>
      <w:tr w:rsidR="00560C74">
        <w:trPr>
          <w:trHeight w:val="315"/>
        </w:trPr>
        <w:tc>
          <w:tcPr>
            <w:tcW w:w="208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194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$158.1B</w:t>
            </w:r>
          </w:p>
        </w:tc>
        <w:tc>
          <w:tcPr>
            <w:tcW w:w="183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$134.4B</w:t>
            </w:r>
          </w:p>
        </w:tc>
        <w:tc>
          <w:tcPr>
            <w:tcW w:w="1561"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$16.5B</w:t>
            </w:r>
          </w:p>
        </w:tc>
        <w:tc>
          <w:tcPr>
            <w:tcW w:w="193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8.15</w:t>
            </w:r>
          </w:p>
        </w:tc>
      </w:tr>
      <w:tr w:rsidR="00560C74">
        <w:trPr>
          <w:trHeight w:val="315"/>
        </w:trPr>
        <w:tc>
          <w:tcPr>
            <w:tcW w:w="208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194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$160.1B</w:t>
            </w:r>
          </w:p>
        </w:tc>
        <w:tc>
          <w:tcPr>
            <w:tcW w:w="183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$136.1B</w:t>
            </w:r>
          </w:p>
        </w:tc>
        <w:tc>
          <w:tcPr>
            <w:tcW w:w="1561"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$17.0B</w:t>
            </w:r>
          </w:p>
        </w:tc>
        <w:tc>
          <w:tcPr>
            <w:tcW w:w="193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8.01</w:t>
            </w:r>
          </w:p>
        </w:tc>
      </w:tr>
    </w:tbl>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 Motor Company's Inventory Turnover Ratio drops in 2020 and 2021, indicating poor stock management during the pandemic. However, the ratio grew in 2022 and 2023, indicating better stock control and rotation. The ratio increase shows that Ford has improved its supply chain and inventory control, lowering holding costs and increasing cash flow.</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Receivables Turnover Ratio</w:t>
      </w:r>
    </w:p>
    <w:p w:rsidR="00560C74" w:rsidRDefault="00D941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Receivables Turnover Ratio compares net credit sales to average accounts receivable to assess the business's revenue collection capacity. Higher ratios indicate higher collecting efficiency.</w:t>
      </w:r>
    </w:p>
    <w:p w:rsidR="00560C74" w:rsidRDefault="00560C74">
      <w:pPr>
        <w:spacing w:line="360" w:lineRule="auto"/>
        <w:rPr>
          <w:rFonts w:ascii="Times New Roman" w:eastAsia="Times New Roman" w:hAnsi="Times New Roman" w:cs="Times New Roman"/>
          <w:sz w:val="24"/>
          <w:szCs w:val="24"/>
        </w:rPr>
      </w:pPr>
    </w:p>
    <w:tbl>
      <w:tblPr>
        <w:tblStyle w:val="af0"/>
        <w:tblW w:w="9360" w:type="dxa"/>
        <w:tblBorders>
          <w:top w:val="nil"/>
          <w:left w:val="nil"/>
          <w:bottom w:val="nil"/>
          <w:right w:val="nil"/>
          <w:insideH w:val="nil"/>
          <w:insideV w:val="nil"/>
        </w:tblBorders>
        <w:tblLayout w:type="fixed"/>
        <w:tblLook w:val="0600" w:firstRow="0" w:lastRow="0" w:firstColumn="0" w:lastColumn="0" w:noHBand="1" w:noVBand="1"/>
      </w:tblPr>
      <w:tblGrid>
        <w:gridCol w:w="2453"/>
        <w:gridCol w:w="2288"/>
        <w:gridCol w:w="2166"/>
        <w:gridCol w:w="2453"/>
      </w:tblGrid>
      <w:tr w:rsidR="00560C74">
        <w:trPr>
          <w:trHeight w:val="540"/>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Revenue</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Average Receivables</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Receivables Turnover Ratio</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2019</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$155.9B</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$20.0B</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7.8</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2020</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$127.1B</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$19.5B</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6.52</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$136.3B</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$21.0B</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6.49</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$158.1B</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$21.5B</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7.35</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2023</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$160.1B</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$22.0B</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7.28</w:t>
            </w:r>
          </w:p>
        </w:tc>
      </w:tr>
    </w:tbl>
    <w:p w:rsidR="00560C74" w:rsidRDefault="00560C74">
      <w:pPr>
        <w:spacing w:line="360" w:lineRule="auto"/>
        <w:rPr>
          <w:rFonts w:ascii="Times New Roman" w:eastAsia="Times New Roman" w:hAnsi="Times New Roman" w:cs="Times New Roman"/>
          <w:sz w:val="24"/>
          <w:szCs w:val="24"/>
        </w:rPr>
      </w:pP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Ford's Receivables Turnover Ratio dropped in 2020 and 2021 owing to pandemic-related poor collection. Improved collection prospects in 2022 and 2023 show that Ford has streamlined its credit collection by improving credit policies and collection techniques to limit bad debt risks.</w:t>
      </w:r>
    </w:p>
    <w:p w:rsidR="00560C74" w:rsidRDefault="00D94190">
      <w:pPr>
        <w:pStyle w:val="Heading4"/>
        <w:keepNext w:val="0"/>
        <w:keepLines w:val="0"/>
        <w:spacing w:before="240" w:after="40" w:line="360" w:lineRule="auto"/>
        <w:rPr>
          <w:rFonts w:ascii="Times New Roman" w:eastAsia="Times New Roman" w:hAnsi="Times New Roman" w:cs="Times New Roman"/>
          <w:b/>
          <w:color w:val="000000"/>
        </w:rPr>
      </w:pPr>
      <w:bookmarkStart w:id="33" w:name="_vz2pgetljlvz" w:colFirst="0" w:colLast="0"/>
      <w:bookmarkEnd w:id="33"/>
      <w:r>
        <w:rPr>
          <w:rFonts w:ascii="Times New Roman" w:eastAsia="Times New Roman" w:hAnsi="Times New Roman" w:cs="Times New Roman"/>
          <w:b/>
          <w:color w:val="000000"/>
        </w:rPr>
        <w:t>Comparison with Major Competitors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Tesla International, another GM rival, boasts high-efficiency rates. Tesla generates more revenue from its assets than Ford, whose Asset Turnover Ratio was 0.62 in 2023. This suggests that Tesla deploys assets more efficiently due to its lean systems and high-margin electric autos.</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solid and stable financial indicator for Tesla is its Inventory Turnover Ratio, usually 8-10. This is even lower than Ford's 8.1 in 2023 because to Tesla's inventory management that promotes just-in-time production and high automobile demand (Tesla Annual Report, 2023).</w:t>
      </w:r>
    </w:p>
    <w:p w:rsidR="00560C74" w:rsidRDefault="00D9419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Tesla has a Receivables Turnover Ratio of 8-10, greater than Ford's 7.28 in 2023. Tesla has a higher ratio than other automakers due to effective cash management and solid credit procedures.</w:t>
      </w:r>
    </w:p>
    <w:p w:rsidR="00560C74" w:rsidRDefault="00D94190">
      <w:pPr>
        <w:pStyle w:val="Heading4"/>
        <w:spacing w:line="360" w:lineRule="auto"/>
        <w:rPr>
          <w:rFonts w:ascii="Times New Roman" w:eastAsia="Times New Roman" w:hAnsi="Times New Roman" w:cs="Times New Roman"/>
          <w:color w:val="000000"/>
        </w:rPr>
      </w:pPr>
      <w:bookmarkStart w:id="34" w:name="_rfs2pj1u7jww" w:colFirst="0" w:colLast="0"/>
      <w:bookmarkEnd w:id="34"/>
      <w:r>
        <w:rPr>
          <w:rFonts w:ascii="Times New Roman" w:eastAsia="Times New Roman" w:hAnsi="Times New Roman" w:cs="Times New Roman"/>
          <w:b/>
          <w:color w:val="000000"/>
        </w:rPr>
        <w:t>Recommendations on Improving Financial Management</w:t>
      </w:r>
    </w:p>
    <w:p w:rsidR="00560C74" w:rsidRDefault="00D94190">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Ford may improve its financial management with these strategic steps. Profitability must be prioritised</w:t>
      </w:r>
      <w:r>
        <w:rPr>
          <w:rFonts w:ascii="Times New Roman" w:eastAsia="Times New Roman" w:hAnsi="Times New Roman" w:cs="Times New Roman"/>
          <w:sz w:val="24"/>
          <w:szCs w:val="24"/>
          <w:highlight w:val="white"/>
        </w:rPr>
        <w:t xml:space="preserve"> (Tamplin, 2024). Measures to decrease costs include the use of new technologies for manufacturing, increased automation, renegotiation of contracts with suppliers, and others. Moreover, revenue generation tactics like offering a wider range of electric vehicles, entering new regions, as well as utilising big data analytics for marketing could contribute to sales increase and market share.</w:t>
      </w:r>
    </w:p>
    <w:p w:rsidR="00560C74" w:rsidRDefault="00560C74">
      <w:pPr>
        <w:spacing w:line="360" w:lineRule="auto"/>
        <w:rPr>
          <w:rFonts w:ascii="Times New Roman" w:eastAsia="Times New Roman" w:hAnsi="Times New Roman" w:cs="Times New Roman"/>
          <w:sz w:val="24"/>
          <w:szCs w:val="24"/>
        </w:rPr>
      </w:pPr>
    </w:p>
    <w:p w:rsidR="00560C74" w:rsidRDefault="00D94190">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Liquidity should be improved as it refers to the financial viability of a business venture (Effiong and Enya, 2020). Focusing on the management of working capital involves reducing costs by adopting just-in-time inventory methods and supply chain enhancement (Tamplin, 2024). Also, the improvement of receivables management by the enhanced credit policy as well as the use of deeper analysis of customers' creditworthiness will improve the collection of cash. Managing working capital entails controlling costs, </w:t>
      </w:r>
      <w:r>
        <w:rPr>
          <w:rFonts w:ascii="Times New Roman" w:eastAsia="Times New Roman" w:hAnsi="Times New Roman" w:cs="Times New Roman"/>
          <w:sz w:val="24"/>
          <w:szCs w:val="24"/>
          <w:highlight w:val="white"/>
        </w:rPr>
        <w:t>appropriate cash outlay, and application of cash flow planning to attain suitable working capital for operations and investments.</w:t>
      </w:r>
    </w:p>
    <w:p w:rsidR="00560C74" w:rsidRDefault="00D94190">
      <w:pPr>
        <w:pStyle w:val="Heading1"/>
        <w:keepNext w:val="0"/>
        <w:keepLines w:val="0"/>
        <w:spacing w:before="240" w:after="40" w:line="360" w:lineRule="auto"/>
        <w:rPr>
          <w:rFonts w:ascii="Times New Roman" w:eastAsia="Times New Roman" w:hAnsi="Times New Roman" w:cs="Times New Roman"/>
          <w:sz w:val="24"/>
          <w:szCs w:val="24"/>
          <w:highlight w:val="white"/>
        </w:rPr>
      </w:pPr>
      <w:bookmarkStart w:id="35" w:name="_w1ibioqgg44z" w:colFirst="0" w:colLast="0"/>
      <w:bookmarkEnd w:id="35"/>
      <w:r>
        <w:rPr>
          <w:rFonts w:ascii="Times New Roman" w:eastAsia="Times New Roman" w:hAnsi="Times New Roman" w:cs="Times New Roman"/>
          <w:b/>
          <w:sz w:val="26"/>
          <w:szCs w:val="26"/>
        </w:rPr>
        <w:t>Part C) Investment Appraisal</w:t>
      </w:r>
    </w:p>
    <w:p w:rsidR="00560C74" w:rsidRDefault="00D94190">
      <w:pPr>
        <w:spacing w:before="240" w:after="240" w:line="360" w:lineRule="auto"/>
        <w:rPr>
          <w:rFonts w:ascii="Times New Roman" w:eastAsia="Times New Roman" w:hAnsi="Times New Roman" w:cs="Times New Roman"/>
          <w:b/>
          <w:highlight w:val="white"/>
        </w:rPr>
      </w:pPr>
      <w:r>
        <w:rPr>
          <w:rFonts w:ascii="Times New Roman" w:eastAsia="Times New Roman" w:hAnsi="Times New Roman" w:cs="Times New Roman"/>
          <w:sz w:val="24"/>
          <w:szCs w:val="24"/>
          <w:highlight w:val="white"/>
        </w:rPr>
        <w:t>Investment appraisal is a crucial process for evaluating potential projects to determine their viability and profitability (Improvement Service, 2020). This appraisal focuses on two projects, A and B, for a company with a cost of capital at 9.75%. By analyzing the projected cash flows of these mutually exclusive projects using Payback Period (PBP), Accounting Rate of Return (ARR), and Net Present Value (NPV) techniques, we aim to recommend the most suitable project.</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cost of capital being used by the company is 9.75%. Flows relate to year-ends only and taxation and inflation are not taken into consideration. The projected cash flows for Projects A and B are as follows:The projected cash flows for Projects A and B are as follows:</w:t>
      </w:r>
    </w:p>
    <w:tbl>
      <w:tblPr>
        <w:tblStyle w:val="af1"/>
        <w:tblW w:w="8730" w:type="dxa"/>
        <w:tblBorders>
          <w:top w:val="nil"/>
          <w:left w:val="nil"/>
          <w:bottom w:val="nil"/>
          <w:right w:val="nil"/>
          <w:insideH w:val="nil"/>
          <w:insideV w:val="nil"/>
        </w:tblBorders>
        <w:tblLayout w:type="fixed"/>
        <w:tblLook w:val="0600" w:firstRow="0" w:lastRow="0" w:firstColumn="0" w:lastColumn="0" w:noHBand="1" w:noVBand="1"/>
      </w:tblPr>
      <w:tblGrid>
        <w:gridCol w:w="2700"/>
        <w:gridCol w:w="3255"/>
        <w:gridCol w:w="2775"/>
      </w:tblGrid>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32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Project A (Cash Flows £m)</w:t>
            </w:r>
          </w:p>
        </w:tc>
        <w:tc>
          <w:tcPr>
            <w:tcW w:w="27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Project B (Cash Flows £m)</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32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27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2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27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2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27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32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27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r>
      <w:tr w:rsidR="00560C74">
        <w:trPr>
          <w:trHeight w:val="315"/>
        </w:trPr>
        <w:tc>
          <w:tcPr>
            <w:tcW w:w="27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32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27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r>
    </w:tbl>
    <w:p w:rsidR="00560C74" w:rsidRDefault="00560C74">
      <w:pPr>
        <w:spacing w:line="360" w:lineRule="auto"/>
        <w:rPr>
          <w:rFonts w:ascii="Times New Roman" w:eastAsia="Times New Roman" w:hAnsi="Times New Roman" w:cs="Times New Roman"/>
          <w:sz w:val="24"/>
          <w:szCs w:val="24"/>
          <w:highlight w:val="white"/>
        </w:rPr>
      </w:pP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36" w:name="_js36tdmbsek" w:colFirst="0" w:colLast="0"/>
      <w:bookmarkEnd w:id="36"/>
      <w:r>
        <w:rPr>
          <w:rFonts w:ascii="Times New Roman" w:eastAsia="Times New Roman" w:hAnsi="Times New Roman" w:cs="Times New Roman"/>
          <w:b/>
          <w:sz w:val="26"/>
          <w:szCs w:val="26"/>
        </w:rPr>
        <w:t>Payback Period (PBP)</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the definition provided by Kagan (2023), the Payback Period or the PBP evaluates the time that is required to recover the initial cash investment of a project from the incoming cash flows. It is of particular use in valuing the risk and the liquidity, as it demonstrates how soon the invested amount can be recovered.</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Calculation for Project A</w:t>
      </w:r>
      <w:r>
        <w:rPr>
          <w:rFonts w:ascii="Times New Roman" w:eastAsia="Times New Roman" w:hAnsi="Times New Roman" w:cs="Times New Roman"/>
          <w:sz w:val="24"/>
          <w:szCs w:val="24"/>
          <w:highlight w:val="white"/>
        </w:rPr>
        <w:t>:</w:t>
      </w:r>
    </w:p>
    <w:p w:rsidR="00560C74" w:rsidRDefault="00D94190">
      <w:pPr>
        <w:numPr>
          <w:ilvl w:val="0"/>
          <w:numId w:val="14"/>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Initial Investment: -£80 million</w:t>
      </w:r>
    </w:p>
    <w:p w:rsidR="00560C74" w:rsidRDefault="00D94190">
      <w:pPr>
        <w:numPr>
          <w:ilvl w:val="0"/>
          <w:numId w:val="14"/>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1: -80 + 25 = -55 million</w:t>
      </w:r>
    </w:p>
    <w:p w:rsidR="00560C74" w:rsidRDefault="00D94190">
      <w:pPr>
        <w:numPr>
          <w:ilvl w:val="0"/>
          <w:numId w:val="14"/>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2: -55 + 25 = -30 million</w:t>
      </w:r>
    </w:p>
    <w:p w:rsidR="00560C74" w:rsidRDefault="00D94190">
      <w:pPr>
        <w:numPr>
          <w:ilvl w:val="0"/>
          <w:numId w:val="14"/>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3: -30 + 20 = -10 million</w:t>
      </w:r>
    </w:p>
    <w:p w:rsidR="00560C74" w:rsidRDefault="00D94190">
      <w:pPr>
        <w:numPr>
          <w:ilvl w:val="0"/>
          <w:numId w:val="14"/>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4: -10 + 55 = 45 million</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payback period for Project A is just before the end of Year 4.</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Calculation for Project B</w:t>
      </w:r>
      <w:r>
        <w:rPr>
          <w:rFonts w:ascii="Times New Roman" w:eastAsia="Times New Roman" w:hAnsi="Times New Roman" w:cs="Times New Roman"/>
          <w:sz w:val="24"/>
          <w:szCs w:val="24"/>
          <w:highlight w:val="white"/>
        </w:rPr>
        <w:t>:</w:t>
      </w:r>
    </w:p>
    <w:p w:rsidR="00560C74" w:rsidRDefault="00D94190">
      <w:pPr>
        <w:numPr>
          <w:ilvl w:val="0"/>
          <w:numId w:val="12"/>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Initial Investment: -£75 million</w:t>
      </w:r>
    </w:p>
    <w:p w:rsidR="00560C74" w:rsidRDefault="00D94190">
      <w:pPr>
        <w:numPr>
          <w:ilvl w:val="0"/>
          <w:numId w:val="12"/>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1: -75 + 50 = -25 million</w:t>
      </w:r>
    </w:p>
    <w:p w:rsidR="00560C74" w:rsidRDefault="00D94190">
      <w:pPr>
        <w:numPr>
          <w:ilvl w:val="0"/>
          <w:numId w:val="12"/>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2: -25 + 20 = -5 million</w:t>
      </w:r>
    </w:p>
    <w:p w:rsidR="00560C74" w:rsidRDefault="00D94190">
      <w:pPr>
        <w:numPr>
          <w:ilvl w:val="0"/>
          <w:numId w:val="12"/>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Year 3: -5 + 20 = 15 million</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payback period for Project B is just before the end of Year 3.</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payback period of Project B is three years while that of Project A is four years. This implies that, Project B is less risky and would be able to generate its initial investment cost much earlier than Project A hence a victory in the aspect of liquidity.</w:t>
      </w: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37" w:name="_oikv1bwejosz" w:colFirst="0" w:colLast="0"/>
      <w:bookmarkEnd w:id="37"/>
      <w:r>
        <w:rPr>
          <w:rFonts w:ascii="Times New Roman" w:eastAsia="Times New Roman" w:hAnsi="Times New Roman" w:cs="Times New Roman"/>
          <w:b/>
          <w:sz w:val="26"/>
          <w:szCs w:val="26"/>
        </w:rPr>
        <w:t>Accounting Rate of Return (ARR)</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Murphy (2023), ARR was found to be the accounting rate of return of average annual profit divided by initial investment. It shows the level of profitability of the particular project.</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Calculation for Project A</w:t>
      </w:r>
      <w:r>
        <w:rPr>
          <w:rFonts w:ascii="Times New Roman" w:eastAsia="Times New Roman" w:hAnsi="Times New Roman" w:cs="Times New Roman"/>
          <w:sz w:val="24"/>
          <w:szCs w:val="24"/>
          <w:highlight w:val="white"/>
        </w:rPr>
        <w:t>:</w:t>
      </w:r>
    </w:p>
    <w:p w:rsidR="00560C74" w:rsidRDefault="00D94190">
      <w:pPr>
        <w:numPr>
          <w:ilvl w:val="0"/>
          <w:numId w:val="3"/>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Total Profit over 4 years = 25 + 25 + 20 + 55 = £125 million</w:t>
      </w:r>
    </w:p>
    <w:p w:rsidR="00560C74" w:rsidRDefault="00D94190">
      <w:pPr>
        <w:numPr>
          <w:ilvl w:val="0"/>
          <w:numId w:val="3"/>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Average Annual Profit = £125 million / 4 = £31.25 million</w:t>
      </w:r>
    </w:p>
    <w:p w:rsidR="00560C74" w:rsidRDefault="00D94190">
      <w:pPr>
        <w:numPr>
          <w:ilvl w:val="0"/>
          <w:numId w:val="3"/>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ARR = (Average Annual Profit / Initial Investment) * 100 = (31.25 / 80) * 100 = 39.06%</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Calculation for Project B</w:t>
      </w:r>
      <w:r>
        <w:rPr>
          <w:rFonts w:ascii="Times New Roman" w:eastAsia="Times New Roman" w:hAnsi="Times New Roman" w:cs="Times New Roman"/>
          <w:sz w:val="24"/>
          <w:szCs w:val="24"/>
          <w:highlight w:val="white"/>
        </w:rPr>
        <w:t>:</w:t>
      </w:r>
    </w:p>
    <w:p w:rsidR="00560C74" w:rsidRDefault="00D94190">
      <w:pPr>
        <w:numPr>
          <w:ilvl w:val="0"/>
          <w:numId w:val="1"/>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Total Profit over 4 years = 50 + 20 + 20 + 20 = £110 million</w:t>
      </w:r>
    </w:p>
    <w:p w:rsidR="00560C74" w:rsidRDefault="00D9419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Average Annual Profit = £110 million / 4 = £27.5 million</w:t>
      </w:r>
    </w:p>
    <w:p w:rsidR="00560C74" w:rsidRDefault="00D94190">
      <w:pPr>
        <w:numPr>
          <w:ilvl w:val="0"/>
          <w:numId w:val="1"/>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ARR = (Average Annual Profit / Initial Investment) * 100 = (27.5 / 75) * 100 = 36.67%</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Project A's 39.06% ARR is higher than Project B's 36.67%. On average, Project A should have a superior annual RI than Project B. ARR does not account for time value of money or cash flow issues.</w:t>
      </w: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38" w:name="_og7idmp93dy5" w:colFirst="0" w:colLast="0"/>
      <w:bookmarkEnd w:id="38"/>
      <w:r>
        <w:rPr>
          <w:rFonts w:ascii="Times New Roman" w:eastAsia="Times New Roman" w:hAnsi="Times New Roman" w:cs="Times New Roman"/>
          <w:b/>
          <w:sz w:val="26"/>
          <w:szCs w:val="26"/>
        </w:rPr>
        <w:t>Net Present Value (NPV)</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highlight w:val="white"/>
        </w:rPr>
        <w:t>Definition</w:t>
      </w:r>
      <w:r>
        <w:rPr>
          <w:rFonts w:ascii="Times New Roman" w:eastAsia="Times New Roman" w:hAnsi="Times New Roman" w:cs="Times New Roman"/>
          <w:sz w:val="24"/>
          <w:szCs w:val="24"/>
          <w:highlight w:val="white"/>
        </w:rPr>
        <w:t>: The break-even point is the entire cumulated money inflows divided by the cost of investment, whereas the Net Present Value (NPV) is the future cash receipt present value less the initial investment present value. It accounts for time and money and accurately assesses the firm's added value.</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Calculation</w:t>
      </w:r>
      <w:r>
        <w:rPr>
          <w:rFonts w:ascii="Times New Roman" w:eastAsia="Times New Roman" w:hAnsi="Times New Roman" w:cs="Times New Roman"/>
          <w:sz w:val="24"/>
          <w:szCs w:val="24"/>
          <w:highlight w:val="white"/>
        </w:rPr>
        <w:t>:</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Project A:</w:t>
      </w:r>
    </w:p>
    <w:p w:rsidR="00560C74" w:rsidRDefault="00D94190">
      <w:pPr>
        <w:numPr>
          <w:ilvl w:val="0"/>
          <w:numId w:val="8"/>
        </w:num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Discount Rate: 9.75%</w:t>
      </w:r>
    </w:p>
    <w:tbl>
      <w:tblPr>
        <w:tblStyle w:val="af2"/>
        <w:tblW w:w="7470" w:type="dxa"/>
        <w:tblBorders>
          <w:top w:val="nil"/>
          <w:left w:val="nil"/>
          <w:bottom w:val="nil"/>
          <w:right w:val="nil"/>
          <w:insideH w:val="nil"/>
          <w:insideV w:val="nil"/>
        </w:tblBorders>
        <w:tblLayout w:type="fixed"/>
        <w:tblLook w:val="0600" w:firstRow="0" w:lastRow="0" w:firstColumn="0" w:lastColumn="0" w:noHBand="1" w:noVBand="1"/>
      </w:tblPr>
      <w:tblGrid>
        <w:gridCol w:w="7470"/>
      </w:tblGrid>
      <w:tr w:rsidR="00560C74">
        <w:trPr>
          <w:trHeight w:val="315"/>
        </w:trPr>
        <w:tc>
          <w:tcPr>
            <w:tcW w:w="7470" w:type="dxa"/>
            <w:tcBorders>
              <w:top w:val="single" w:sz="6" w:space="0" w:color="FFFFFF"/>
              <w:left w:val="single" w:sz="6" w:space="0" w:color="FFFFFF"/>
              <w:bottom w:val="single" w:sz="6" w:space="0" w:color="FFFFFF"/>
              <w:right w:val="single" w:sz="6" w:space="0" w:color="FFFFFF"/>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1: (1+0.0975)125​=£22.79</w:t>
            </w:r>
          </w:p>
        </w:tc>
      </w:tr>
      <w:tr w:rsidR="00560C74">
        <w:trPr>
          <w:trHeight w:val="315"/>
        </w:trPr>
        <w:tc>
          <w:tcPr>
            <w:tcW w:w="7470" w:type="dxa"/>
            <w:tcBorders>
              <w:top w:val="single" w:sz="6" w:space="0" w:color="FFFFFF"/>
              <w:left w:val="single" w:sz="6" w:space="0" w:color="FFFFFF"/>
              <w:bottom w:val="single" w:sz="6" w:space="0" w:color="FFFFFF"/>
              <w:right w:val="single" w:sz="6" w:space="0" w:color="FFFFFF"/>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2: (1+0.0975)225​=£20.77</w:t>
            </w:r>
          </w:p>
        </w:tc>
      </w:tr>
      <w:tr w:rsidR="00560C74">
        <w:trPr>
          <w:trHeight w:val="315"/>
        </w:trPr>
        <w:tc>
          <w:tcPr>
            <w:tcW w:w="7470" w:type="dxa"/>
            <w:tcBorders>
              <w:top w:val="single" w:sz="6" w:space="0" w:color="FFFFFF"/>
              <w:left w:val="single" w:sz="6" w:space="0" w:color="FFFFFF"/>
              <w:bottom w:val="single" w:sz="6" w:space="0" w:color="FFFFFF"/>
              <w:right w:val="single" w:sz="6" w:space="0" w:color="FFFFFF"/>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3: (1+0.0975)320​=£15.57</w:t>
            </w:r>
          </w:p>
        </w:tc>
      </w:tr>
      <w:tr w:rsidR="00560C74">
        <w:trPr>
          <w:trHeight w:val="315"/>
        </w:trPr>
        <w:tc>
          <w:tcPr>
            <w:tcW w:w="7470" w:type="dxa"/>
            <w:tcBorders>
              <w:top w:val="single" w:sz="6" w:space="0" w:color="FFFFFF"/>
              <w:left w:val="single" w:sz="6" w:space="0" w:color="FFFFFF"/>
              <w:bottom w:val="single" w:sz="6" w:space="0" w:color="FFFFFF"/>
              <w:right w:val="single" w:sz="6" w:space="0" w:color="FFFFFF"/>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4: (1+0.0975)455​=£37.12</w:t>
            </w:r>
          </w:p>
        </w:tc>
      </w:tr>
    </w:tbl>
    <w:p w:rsidR="00560C74" w:rsidRDefault="00560C74">
      <w:pPr>
        <w:spacing w:line="360" w:lineRule="auto"/>
        <w:rPr>
          <w:rFonts w:ascii="Times New Roman" w:eastAsia="Times New Roman" w:hAnsi="Times New Roman" w:cs="Times New Roman"/>
          <w:sz w:val="24"/>
          <w:szCs w:val="24"/>
          <w:highlight w:val="white"/>
        </w:rPr>
      </w:pPr>
    </w:p>
    <w:tbl>
      <w:tblPr>
        <w:tblStyle w:val="af3"/>
        <w:tblW w:w="9360" w:type="dxa"/>
        <w:tblBorders>
          <w:top w:val="nil"/>
          <w:left w:val="nil"/>
          <w:bottom w:val="nil"/>
          <w:right w:val="nil"/>
          <w:insideH w:val="nil"/>
          <w:insideV w:val="nil"/>
        </w:tblBorders>
        <w:tblLayout w:type="fixed"/>
        <w:tblLook w:val="0600" w:firstRow="0" w:lastRow="0" w:firstColumn="0" w:lastColumn="0" w:noHBand="1" w:noVBand="1"/>
      </w:tblPr>
      <w:tblGrid>
        <w:gridCol w:w="2453"/>
        <w:gridCol w:w="2288"/>
        <w:gridCol w:w="2166"/>
        <w:gridCol w:w="2453"/>
      </w:tblGrid>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Cash Flow (£m)</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Discount Factor (9.75%)</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Present Value (£m)</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0.911</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22.79</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0.8303</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20.77</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0.7569</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15.57</w:t>
            </w:r>
          </w:p>
        </w:tc>
      </w:tr>
      <w:tr w:rsidR="00560C74">
        <w:trPr>
          <w:trHeight w:val="315"/>
        </w:trPr>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288"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216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0.6894</w:t>
            </w:r>
          </w:p>
        </w:tc>
        <w:tc>
          <w:tcPr>
            <w:tcW w:w="245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37.12</w:t>
            </w:r>
          </w:p>
        </w:tc>
      </w:tr>
    </w:tbl>
    <w:p w:rsidR="00560C74" w:rsidRDefault="00560C74">
      <w:pPr>
        <w:spacing w:line="360" w:lineRule="auto"/>
        <w:rPr>
          <w:rFonts w:ascii="Times New Roman" w:eastAsia="Times New Roman" w:hAnsi="Times New Roman" w:cs="Times New Roman"/>
          <w:sz w:val="24"/>
          <w:szCs w:val="24"/>
          <w:highlight w:val="white"/>
        </w:rPr>
      </w:pP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NPV for Project A = 22.79 + 20.77 + 15.57 + 37.12 - 80 = £16.25 million</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Project B</w:t>
      </w:r>
    </w:p>
    <w:p w:rsidR="00560C74" w:rsidRDefault="00560C74">
      <w:pPr>
        <w:spacing w:line="360" w:lineRule="auto"/>
        <w:rPr>
          <w:rFonts w:ascii="Times New Roman" w:eastAsia="Times New Roman" w:hAnsi="Times New Roman" w:cs="Times New Roman"/>
          <w:sz w:val="24"/>
          <w:szCs w:val="24"/>
          <w:highlight w:val="white"/>
        </w:rPr>
      </w:pPr>
    </w:p>
    <w:tbl>
      <w:tblPr>
        <w:tblStyle w:val="af4"/>
        <w:tblW w:w="5025" w:type="dxa"/>
        <w:tblBorders>
          <w:top w:val="nil"/>
          <w:left w:val="nil"/>
          <w:bottom w:val="nil"/>
          <w:right w:val="nil"/>
          <w:insideH w:val="nil"/>
          <w:insideV w:val="nil"/>
        </w:tblBorders>
        <w:tblLayout w:type="fixed"/>
        <w:tblLook w:val="0600" w:firstRow="0" w:lastRow="0" w:firstColumn="0" w:lastColumn="0" w:noHBand="1" w:noVBand="1"/>
      </w:tblPr>
      <w:tblGrid>
        <w:gridCol w:w="5025"/>
      </w:tblGrid>
      <w:tr w:rsidR="00560C74">
        <w:trPr>
          <w:trHeight w:val="315"/>
        </w:trPr>
        <w:tc>
          <w:tcPr>
            <w:tcW w:w="5025" w:type="dxa"/>
            <w:tcBorders>
              <w:top w:val="single" w:sz="6" w:space="0" w:color="F3F3F3"/>
              <w:left w:val="single" w:sz="6" w:space="0" w:color="F3F3F3"/>
              <w:bottom w:val="single" w:sz="6" w:space="0" w:color="F3F3F3"/>
              <w:right w:val="single" w:sz="6" w:space="0" w:color="F3F3F3"/>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1: (1+0.0975)150​=£45.57</w:t>
            </w:r>
          </w:p>
        </w:tc>
      </w:tr>
      <w:tr w:rsidR="00560C74">
        <w:trPr>
          <w:trHeight w:val="315"/>
        </w:trPr>
        <w:tc>
          <w:tcPr>
            <w:tcW w:w="5025" w:type="dxa"/>
            <w:tcBorders>
              <w:top w:val="single" w:sz="6" w:space="0" w:color="F3F3F3"/>
              <w:left w:val="single" w:sz="6" w:space="0" w:color="F3F3F3"/>
              <w:bottom w:val="single" w:sz="6" w:space="0" w:color="F3F3F3"/>
              <w:right w:val="single" w:sz="6" w:space="0" w:color="F3F3F3"/>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2: (1+0.0975)220​=£16.72</w:t>
            </w:r>
          </w:p>
        </w:tc>
      </w:tr>
      <w:tr w:rsidR="00560C74">
        <w:trPr>
          <w:trHeight w:val="315"/>
        </w:trPr>
        <w:tc>
          <w:tcPr>
            <w:tcW w:w="5025" w:type="dxa"/>
            <w:tcBorders>
              <w:top w:val="single" w:sz="6" w:space="0" w:color="F3F3F3"/>
              <w:left w:val="single" w:sz="6" w:space="0" w:color="F3F3F3"/>
              <w:bottom w:val="single" w:sz="6" w:space="0" w:color="F3F3F3"/>
              <w:right w:val="single" w:sz="6" w:space="0" w:color="F3F3F3"/>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3: (1+0.0975)320​=£15.57</w:t>
            </w:r>
          </w:p>
        </w:tc>
      </w:tr>
      <w:tr w:rsidR="00560C74">
        <w:trPr>
          <w:trHeight w:val="315"/>
        </w:trPr>
        <w:tc>
          <w:tcPr>
            <w:tcW w:w="5025" w:type="dxa"/>
            <w:tcBorders>
              <w:top w:val="single" w:sz="6" w:space="0" w:color="F3F3F3"/>
              <w:left w:val="single" w:sz="6" w:space="0" w:color="F3F3F3"/>
              <w:bottom w:val="single" w:sz="6" w:space="0" w:color="F3F3F3"/>
              <w:right w:val="single" w:sz="6" w:space="0" w:color="F3F3F3"/>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Year 4: (1+0.0975)420​=£14.19</w:t>
            </w:r>
          </w:p>
        </w:tc>
      </w:tr>
    </w:tbl>
    <w:p w:rsidR="00560C74" w:rsidRDefault="00560C74">
      <w:pPr>
        <w:spacing w:line="360" w:lineRule="auto"/>
        <w:rPr>
          <w:rFonts w:ascii="Times New Roman" w:eastAsia="Times New Roman" w:hAnsi="Times New Roman" w:cs="Times New Roman"/>
          <w:sz w:val="24"/>
          <w:szCs w:val="24"/>
          <w:highlight w:val="white"/>
        </w:rPr>
      </w:pPr>
    </w:p>
    <w:tbl>
      <w:tblPr>
        <w:tblStyle w:val="af5"/>
        <w:tblW w:w="9360" w:type="dxa"/>
        <w:tblBorders>
          <w:top w:val="nil"/>
          <w:left w:val="nil"/>
          <w:bottom w:val="nil"/>
          <w:right w:val="nil"/>
          <w:insideH w:val="nil"/>
          <w:insideV w:val="nil"/>
        </w:tblBorders>
        <w:tblLayout w:type="fixed"/>
        <w:tblLook w:val="0600" w:firstRow="0" w:lastRow="0" w:firstColumn="0" w:lastColumn="0" w:noHBand="1" w:noVBand="1"/>
      </w:tblPr>
      <w:tblGrid>
        <w:gridCol w:w="3723"/>
        <w:gridCol w:w="1868"/>
        <w:gridCol w:w="1768"/>
        <w:gridCol w:w="2001"/>
      </w:tblGrid>
      <w:tr w:rsidR="00560C74">
        <w:trPr>
          <w:trHeight w:val="315"/>
        </w:trPr>
        <w:tc>
          <w:tcPr>
            <w:tcW w:w="372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Year</w:t>
            </w:r>
          </w:p>
        </w:tc>
        <w:tc>
          <w:tcPr>
            <w:tcW w:w="18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Cash Flow (£m)</w:t>
            </w:r>
          </w:p>
        </w:tc>
        <w:tc>
          <w:tcPr>
            <w:tcW w:w="17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Discount Factor (9.75%)</w:t>
            </w:r>
          </w:p>
        </w:tc>
        <w:tc>
          <w:tcPr>
            <w:tcW w:w="20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Present Value (£m)</w:t>
            </w:r>
          </w:p>
        </w:tc>
      </w:tr>
      <w:tr w:rsidR="00560C74">
        <w:trPr>
          <w:trHeight w:val="315"/>
        </w:trPr>
        <w:tc>
          <w:tcPr>
            <w:tcW w:w="372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8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7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0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r>
      <w:tr w:rsidR="00560C74">
        <w:trPr>
          <w:trHeight w:val="315"/>
        </w:trPr>
        <w:tc>
          <w:tcPr>
            <w:tcW w:w="372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8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7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0.911</w:t>
            </w:r>
          </w:p>
        </w:tc>
        <w:tc>
          <w:tcPr>
            <w:tcW w:w="20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45.57</w:t>
            </w:r>
          </w:p>
        </w:tc>
      </w:tr>
      <w:tr w:rsidR="00560C74">
        <w:trPr>
          <w:trHeight w:val="315"/>
        </w:trPr>
        <w:tc>
          <w:tcPr>
            <w:tcW w:w="372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8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7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0.8303</w:t>
            </w:r>
          </w:p>
        </w:tc>
        <w:tc>
          <w:tcPr>
            <w:tcW w:w="20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16.72</w:t>
            </w:r>
          </w:p>
        </w:tc>
      </w:tr>
      <w:tr w:rsidR="00560C74">
        <w:trPr>
          <w:trHeight w:val="315"/>
        </w:trPr>
        <w:tc>
          <w:tcPr>
            <w:tcW w:w="372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8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7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0.7569</w:t>
            </w:r>
          </w:p>
        </w:tc>
        <w:tc>
          <w:tcPr>
            <w:tcW w:w="20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15.57</w:t>
            </w:r>
          </w:p>
        </w:tc>
      </w:tr>
      <w:tr w:rsidR="00560C74">
        <w:trPr>
          <w:trHeight w:val="315"/>
        </w:trPr>
        <w:tc>
          <w:tcPr>
            <w:tcW w:w="372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8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76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0.6894</w:t>
            </w:r>
          </w:p>
        </w:tc>
        <w:tc>
          <w:tcPr>
            <w:tcW w:w="20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560C74" w:rsidRDefault="00D94190">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14.19</w:t>
            </w:r>
          </w:p>
        </w:tc>
      </w:tr>
    </w:tbl>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NPV for Project B = 45.57 + 16.72 + 15.57 + 14.19 - 75 = £17.78 million</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Both projects have positive NPVs, suggesting they will benefit enterprises. Project B has £17.78 million NPV, while Project A has £16.25 million. This suggests that Project B, despite its shorter payback period and smaller ARR, is the better investment because it adds more value.</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Thus, PBP, ARR, and NPV analysis reveals both projects are feasible. Given its shorter payback period and higher NPV than Project A, Project B is recommended for implementation and a better investment for the firm.</w:t>
      </w: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39" w:name="_ycfgc6nxbv2d" w:colFirst="0" w:colLast="0"/>
      <w:bookmarkEnd w:id="39"/>
      <w:r>
        <w:rPr>
          <w:rFonts w:ascii="Times New Roman" w:eastAsia="Times New Roman" w:hAnsi="Times New Roman" w:cs="Times New Roman"/>
          <w:b/>
          <w:sz w:val="26"/>
          <w:szCs w:val="26"/>
        </w:rPr>
        <w:t>Advantages and Shortcomings of Payback Period (PBP)</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highlight w:val="white"/>
        </w:rPr>
        <w:t>Advantages</w:t>
      </w:r>
      <w:r>
        <w:rPr>
          <w:rFonts w:ascii="Times New Roman" w:eastAsia="Times New Roman" w:hAnsi="Times New Roman" w:cs="Times New Roman"/>
          <w:sz w:val="24"/>
          <w:szCs w:val="24"/>
          <w:highlight w:val="white"/>
        </w:rPr>
        <w:t>:</w:t>
      </w:r>
    </w:p>
    <w:p w:rsidR="00560C74" w:rsidRDefault="00D94190">
      <w:pPr>
        <w:numPr>
          <w:ilvl w:val="0"/>
          <w:numId w:val="9"/>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Simplicity and Ease of Calculation</w:t>
      </w:r>
      <w:r>
        <w:rPr>
          <w:rFonts w:ascii="Times New Roman" w:eastAsia="Times New Roman" w:hAnsi="Times New Roman" w:cs="Times New Roman"/>
          <w:sz w:val="24"/>
          <w:szCs w:val="24"/>
          <w:highlight w:val="white"/>
        </w:rPr>
        <w:t>: The formula used to calculate Payback Period (PBP) is simple, so even someone without advanced accounting and finance understanding can use it. This quickly estimates how long an investment will take to break even.</w:t>
      </w:r>
    </w:p>
    <w:p w:rsidR="00560C74" w:rsidRDefault="00D94190">
      <w:pPr>
        <w:numPr>
          <w:ilvl w:val="0"/>
          <w:numId w:val="9"/>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Useful for Assessing Risk and Liquidity</w:t>
      </w:r>
      <w:r>
        <w:rPr>
          <w:rFonts w:ascii="Times New Roman" w:eastAsia="Times New Roman" w:hAnsi="Times New Roman" w:cs="Times New Roman"/>
          <w:sz w:val="24"/>
          <w:szCs w:val="24"/>
          <w:highlight w:val="white"/>
        </w:rPr>
        <w:t>: PBP helps organisations estimate project risks by explaining the initial investment's recoupment rate. PBP is useful for assessing project liquidity since projects with short PBP are less risky.</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Shortcomings</w:t>
      </w:r>
      <w:r>
        <w:rPr>
          <w:rFonts w:ascii="Times New Roman" w:eastAsia="Times New Roman" w:hAnsi="Times New Roman" w:cs="Times New Roman"/>
          <w:sz w:val="24"/>
          <w:szCs w:val="24"/>
          <w:highlight w:val="white"/>
        </w:rPr>
        <w:t>:</w:t>
      </w:r>
    </w:p>
    <w:p w:rsidR="00560C74" w:rsidRDefault="00D94190">
      <w:pPr>
        <w:numPr>
          <w:ilvl w:val="0"/>
          <w:numId w:val="6"/>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Ignores the Time Value of Money</w:t>
      </w:r>
      <w:r>
        <w:rPr>
          <w:rFonts w:ascii="Times New Roman" w:eastAsia="Times New Roman" w:hAnsi="Times New Roman" w:cs="Times New Roman"/>
          <w:sz w:val="24"/>
          <w:szCs w:val="24"/>
          <w:highlight w:val="white"/>
        </w:rPr>
        <w:t>: However, while drawing PBP, the Time Value of Money, a financial principle, is ignored. This means PBP does not distinguish between cash flows at different project life cycles.</w:t>
      </w:r>
    </w:p>
    <w:p w:rsidR="00560C74" w:rsidRDefault="00D94190">
      <w:pPr>
        <w:numPr>
          <w:ilvl w:val="0"/>
          <w:numId w:val="6"/>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Does Not Consider Cash Flows Beyond the Payback Period</w:t>
      </w:r>
      <w:r>
        <w:rPr>
          <w:rFonts w:ascii="Times New Roman" w:eastAsia="Times New Roman" w:hAnsi="Times New Roman" w:cs="Times New Roman"/>
          <w:sz w:val="24"/>
          <w:szCs w:val="24"/>
          <w:highlight w:val="white"/>
        </w:rPr>
        <w:t>: PBP only considers cash flows up to the point where the initial investment is recovered, not afterward. This constraint causes a misperception of a venture's profitability over time.</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Hayes (2023) also noted that PBP is beneficial for short-term risk assessment but not for deep profitability analysis due to its limitations.</w:t>
      </w: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40" w:name="_27pt49v3ymat" w:colFirst="0" w:colLast="0"/>
      <w:bookmarkEnd w:id="40"/>
      <w:r>
        <w:rPr>
          <w:rFonts w:ascii="Times New Roman" w:eastAsia="Times New Roman" w:hAnsi="Times New Roman" w:cs="Times New Roman"/>
          <w:b/>
          <w:sz w:val="26"/>
          <w:szCs w:val="26"/>
        </w:rPr>
        <w:t>Advantages and Shortcomings of Accounting Rate of Return (ARR)</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highlight w:val="white"/>
        </w:rPr>
        <w:t>Advantages</w:t>
      </w:r>
      <w:r>
        <w:rPr>
          <w:rFonts w:ascii="Times New Roman" w:eastAsia="Times New Roman" w:hAnsi="Times New Roman" w:cs="Times New Roman"/>
          <w:sz w:val="24"/>
          <w:szCs w:val="24"/>
          <w:highlight w:val="white"/>
        </w:rPr>
        <w:t>:</w:t>
      </w:r>
    </w:p>
    <w:p w:rsidR="00560C74" w:rsidRDefault="00D94190">
      <w:pPr>
        <w:numPr>
          <w:ilvl w:val="0"/>
          <w:numId w:val="4"/>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Simple to Understand and Calculate</w:t>
      </w:r>
      <w:r>
        <w:rPr>
          <w:rFonts w:ascii="Times New Roman" w:eastAsia="Times New Roman" w:hAnsi="Times New Roman" w:cs="Times New Roman"/>
          <w:sz w:val="24"/>
          <w:szCs w:val="24"/>
          <w:highlight w:val="white"/>
        </w:rPr>
        <w:t>: One of the simplest profit-based methods for project return estimation is the Accounting Rate of Return (ARR). It can be calculated using simple computational structures and expressed as a percentage return on investment.</w:t>
      </w:r>
    </w:p>
    <w:p w:rsidR="00560C74" w:rsidRDefault="00D94190">
      <w:pPr>
        <w:numPr>
          <w:ilvl w:val="0"/>
          <w:numId w:val="4"/>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Considers the Entire Project's Profitability</w:t>
      </w:r>
      <w:r>
        <w:rPr>
          <w:rFonts w:ascii="Times New Roman" w:eastAsia="Times New Roman" w:hAnsi="Times New Roman" w:cs="Times New Roman"/>
          <w:sz w:val="24"/>
          <w:szCs w:val="24"/>
          <w:highlight w:val="white"/>
        </w:rPr>
        <w:t>: ARR considers the project's total profits if it is completed in the period under consideration, while PBP simply considers the net profit.</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Shortcomings</w:t>
      </w:r>
      <w:r>
        <w:rPr>
          <w:rFonts w:ascii="Times New Roman" w:eastAsia="Times New Roman" w:hAnsi="Times New Roman" w:cs="Times New Roman"/>
          <w:sz w:val="24"/>
          <w:szCs w:val="24"/>
          <w:highlight w:val="white"/>
        </w:rPr>
        <w:t>:</w:t>
      </w:r>
    </w:p>
    <w:p w:rsidR="00560C74" w:rsidRDefault="00D94190">
      <w:pPr>
        <w:numPr>
          <w:ilvl w:val="0"/>
          <w:numId w:val="7"/>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Ignore the Time Value of Money</w:t>
      </w:r>
      <w:r>
        <w:rPr>
          <w:rFonts w:ascii="Times New Roman" w:eastAsia="Times New Roman" w:hAnsi="Times New Roman" w:cs="Times New Roman"/>
          <w:sz w:val="24"/>
          <w:szCs w:val="24"/>
          <w:highlight w:val="white"/>
        </w:rPr>
        <w:t>: Similar to PBP, ARR does not take into account the time value of money. This means it can overstate the attractiveness of projects with later cash inflows.</w:t>
      </w:r>
    </w:p>
    <w:p w:rsidR="00560C74" w:rsidRDefault="00D94190">
      <w:pPr>
        <w:numPr>
          <w:ilvl w:val="0"/>
          <w:numId w:val="7"/>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Depends on Accounting Profits, Which Can Be Manipulated</w:t>
      </w:r>
      <w:r>
        <w:rPr>
          <w:rFonts w:ascii="Times New Roman" w:eastAsia="Times New Roman" w:hAnsi="Times New Roman" w:cs="Times New Roman"/>
          <w:sz w:val="24"/>
          <w:szCs w:val="24"/>
          <w:highlight w:val="white"/>
        </w:rPr>
        <w:t>: ARR relies on accounting profits rather than cash flows, which can be subject to manipulation through accounting policies and practices.</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Murphy (2023b) note that while ARR provides a broad measure of profitability, it lacks precision because it ignores the time value of money and relies on potentially manipulable accounting figures.</w:t>
      </w: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41" w:name="_446iwrg776fn" w:colFirst="0" w:colLast="0"/>
      <w:bookmarkEnd w:id="41"/>
      <w:r>
        <w:rPr>
          <w:rFonts w:ascii="Times New Roman" w:eastAsia="Times New Roman" w:hAnsi="Times New Roman" w:cs="Times New Roman"/>
          <w:b/>
          <w:sz w:val="26"/>
          <w:szCs w:val="26"/>
        </w:rPr>
        <w:t>Advantages and Shortcomings of Net Present Value (NPV) (200 words)</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highlight w:val="white"/>
        </w:rPr>
        <w:t>Advantages</w:t>
      </w:r>
      <w:r>
        <w:rPr>
          <w:rFonts w:ascii="Times New Roman" w:eastAsia="Times New Roman" w:hAnsi="Times New Roman" w:cs="Times New Roman"/>
          <w:sz w:val="24"/>
          <w:szCs w:val="24"/>
          <w:highlight w:val="white"/>
        </w:rPr>
        <w:t>:</w:t>
      </w:r>
    </w:p>
    <w:p w:rsidR="00560C74" w:rsidRDefault="00D94190">
      <w:pPr>
        <w:numPr>
          <w:ilvl w:val="0"/>
          <w:numId w:val="2"/>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Considers the Time Value of Money</w:t>
      </w:r>
      <w:r>
        <w:rPr>
          <w:rFonts w:ascii="Times New Roman" w:eastAsia="Times New Roman" w:hAnsi="Times New Roman" w:cs="Times New Roman"/>
          <w:sz w:val="24"/>
          <w:szCs w:val="24"/>
          <w:highlight w:val="white"/>
        </w:rPr>
        <w:t>: The Net Present Value (NPV) method discounts future cash flows to their present value, providing a more accurate measure of a project's profitability. It is important to note that it assures those expending cash in the future will be valued less than the cash inflows received shortly.</w:t>
      </w:r>
    </w:p>
    <w:p w:rsidR="00560C74" w:rsidRDefault="00D94190">
      <w:pPr>
        <w:numPr>
          <w:ilvl w:val="0"/>
          <w:numId w:val="2"/>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Provides a Direct Measure of the Added Value to the Firm</w:t>
      </w:r>
      <w:r>
        <w:rPr>
          <w:rFonts w:ascii="Times New Roman" w:eastAsia="Times New Roman" w:hAnsi="Times New Roman" w:cs="Times New Roman"/>
          <w:sz w:val="24"/>
          <w:szCs w:val="24"/>
          <w:highlight w:val="white"/>
        </w:rPr>
        <w:t>: NPV directly assesses a project's ability to increase the firm's future worth through cash inflows.</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Shortcomings</w:t>
      </w:r>
      <w:r>
        <w:rPr>
          <w:rFonts w:ascii="Times New Roman" w:eastAsia="Times New Roman" w:hAnsi="Times New Roman" w:cs="Times New Roman"/>
          <w:sz w:val="24"/>
          <w:szCs w:val="24"/>
          <w:highlight w:val="white"/>
        </w:rPr>
        <w:t>:</w:t>
      </w:r>
    </w:p>
    <w:p w:rsidR="00560C74" w:rsidRDefault="00D94190">
      <w:pPr>
        <w:numPr>
          <w:ilvl w:val="0"/>
          <w:numId w:val="10"/>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More Complex to Calculate</w:t>
      </w:r>
      <w:r>
        <w:rPr>
          <w:rFonts w:ascii="Times New Roman" w:eastAsia="Times New Roman" w:hAnsi="Times New Roman" w:cs="Times New Roman"/>
          <w:sz w:val="24"/>
          <w:szCs w:val="24"/>
          <w:highlight w:val="white"/>
        </w:rPr>
        <w:t>: NPV requires technical financial forecasting and discounting, making it more complicated than PBP or ARR. Complexity makes this difficult for managers who are not financially literate.</w:t>
      </w:r>
    </w:p>
    <w:p w:rsidR="00560C74" w:rsidRDefault="00D94190">
      <w:pPr>
        <w:numPr>
          <w:ilvl w:val="0"/>
          <w:numId w:val="10"/>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Relies on Accurate Estimation of the Cost of Capital</w:t>
      </w:r>
      <w:r>
        <w:rPr>
          <w:rFonts w:ascii="Times New Roman" w:eastAsia="Times New Roman" w:hAnsi="Times New Roman" w:cs="Times New Roman"/>
          <w:sz w:val="24"/>
          <w:szCs w:val="24"/>
          <w:highlight w:val="white"/>
        </w:rPr>
        <w:t xml:space="preserve">: NPV is computed by discounting cash flows with the right rate, therefore its accuracy is crucial. If applied to the wrong discount rate, investment judgements will be inaccurate. </w:t>
      </w:r>
    </w:p>
    <w:p w:rsidR="00560C74" w:rsidRDefault="00D94190">
      <w:pPr>
        <w:pStyle w:val="Heading2"/>
        <w:keepNext w:val="0"/>
        <w:keepLines w:val="0"/>
        <w:spacing w:before="240" w:after="40" w:line="360" w:lineRule="auto"/>
        <w:rPr>
          <w:rFonts w:ascii="Times New Roman" w:eastAsia="Times New Roman" w:hAnsi="Times New Roman" w:cs="Times New Roman"/>
          <w:b/>
          <w:sz w:val="26"/>
          <w:szCs w:val="26"/>
        </w:rPr>
      </w:pPr>
      <w:bookmarkStart w:id="42" w:name="_u5pc9e5gjgwk" w:colFirst="0" w:colLast="0"/>
      <w:bookmarkEnd w:id="42"/>
      <w:r>
        <w:rPr>
          <w:rFonts w:ascii="Times New Roman" w:eastAsia="Times New Roman" w:hAnsi="Times New Roman" w:cs="Times New Roman"/>
          <w:b/>
          <w:sz w:val="26"/>
          <w:szCs w:val="26"/>
        </w:rPr>
        <w:t>Non-Financial Factors to Consider</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addition to quantitative metrics, several qualitative factors should be considered in investment decisions:</w:t>
      </w:r>
    </w:p>
    <w:p w:rsidR="00560C74" w:rsidRDefault="00D94190">
      <w:pPr>
        <w:numPr>
          <w:ilvl w:val="0"/>
          <w:numId w:val="13"/>
        </w:num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Strategic Alignment with Company Goals</w:t>
      </w:r>
      <w:r>
        <w:rPr>
          <w:rFonts w:ascii="Times New Roman" w:eastAsia="Times New Roman" w:hAnsi="Times New Roman" w:cs="Times New Roman"/>
          <w:sz w:val="24"/>
          <w:szCs w:val="24"/>
          <w:highlight w:val="white"/>
        </w:rPr>
        <w:t>: Projects should align with the company's long-term strategic goals.</w:t>
      </w:r>
    </w:p>
    <w:p w:rsidR="00560C74" w:rsidRDefault="00D94190">
      <w:pPr>
        <w:numPr>
          <w:ilvl w:val="0"/>
          <w:numId w:val="13"/>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Environmental and Social Impacts</w:t>
      </w:r>
      <w:r>
        <w:rPr>
          <w:rFonts w:ascii="Times New Roman" w:eastAsia="Times New Roman" w:hAnsi="Times New Roman" w:cs="Times New Roman"/>
          <w:sz w:val="24"/>
          <w:szCs w:val="24"/>
          <w:highlight w:val="white"/>
        </w:rPr>
        <w:t>: Most initiatives impact the environment and society, so they must be considered.</w:t>
      </w:r>
    </w:p>
    <w:p w:rsidR="00560C74" w:rsidRDefault="00D94190">
      <w:pPr>
        <w:numPr>
          <w:ilvl w:val="0"/>
          <w:numId w:val="13"/>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Market Conditions and Competitive Landscape</w:t>
      </w:r>
      <w:r>
        <w:rPr>
          <w:rFonts w:ascii="Times New Roman" w:eastAsia="Times New Roman" w:hAnsi="Times New Roman" w:cs="Times New Roman"/>
          <w:sz w:val="24"/>
          <w:szCs w:val="24"/>
          <w:highlight w:val="white"/>
        </w:rPr>
        <w:t>: Market conditions and competition can greatly impact project success.</w:t>
      </w:r>
    </w:p>
    <w:p w:rsidR="00560C74" w:rsidRDefault="00D94190">
      <w:pPr>
        <w:numPr>
          <w:ilvl w:val="0"/>
          <w:numId w:val="13"/>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Potential for Technological Advancements and Innovation</w:t>
      </w:r>
      <w:r>
        <w:rPr>
          <w:rFonts w:ascii="Times New Roman" w:eastAsia="Times New Roman" w:hAnsi="Times New Roman" w:cs="Times New Roman"/>
          <w:sz w:val="24"/>
          <w:szCs w:val="24"/>
          <w:highlight w:val="white"/>
        </w:rPr>
        <w:t>: Long-term strategy goals may benefit initiatives from organisational technology development and enhancement.</w:t>
      </w:r>
    </w:p>
    <w:p w:rsidR="00560C74" w:rsidRDefault="00D94190">
      <w:pPr>
        <w:pStyle w:val="Heading2"/>
        <w:keepNext w:val="0"/>
        <w:keepLines w:val="0"/>
        <w:spacing w:before="240" w:after="40" w:line="360" w:lineRule="auto"/>
        <w:rPr>
          <w:rFonts w:ascii="Times New Roman" w:eastAsia="Times New Roman" w:hAnsi="Times New Roman" w:cs="Times New Roman"/>
        </w:rPr>
      </w:pPr>
      <w:bookmarkStart w:id="43" w:name="_obylc3crjeiu" w:colFirst="0" w:colLast="0"/>
      <w:bookmarkEnd w:id="43"/>
      <w:r>
        <w:rPr>
          <w:rFonts w:ascii="Times New Roman" w:eastAsia="Times New Roman" w:hAnsi="Times New Roman" w:cs="Times New Roman"/>
          <w:b/>
          <w:sz w:val="26"/>
          <w:szCs w:val="26"/>
        </w:rPr>
        <w:t>Conclusion</w:t>
      </w:r>
    </w:p>
    <w:p w:rsidR="00560C74" w:rsidRDefault="00D94190">
      <w:pPr>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Thus, the investment technique shows positive NPVs for projects A &amp; B, indicating profitability. Thus, Project B, with a £17.78 million NPV, is favoured over Project A, however, the PBP, ARR, and NPV alone cannot determine approval. Other factors include strategic fit, environmental impact, market opportunities and risks, and innovation. These factors will help the corporation evaluate investment prospects and make good judgements.</w:t>
      </w:r>
    </w:p>
    <w:p w:rsidR="00560C74" w:rsidRDefault="00560C74">
      <w:pPr>
        <w:spacing w:line="360" w:lineRule="auto"/>
        <w:rPr>
          <w:rFonts w:ascii="Times New Roman" w:eastAsia="Times New Roman" w:hAnsi="Times New Roman" w:cs="Times New Roman"/>
          <w:sz w:val="24"/>
          <w:szCs w:val="24"/>
          <w:highlight w:val="white"/>
        </w:rPr>
      </w:pPr>
    </w:p>
    <w:p w:rsidR="00560C74" w:rsidRDefault="00D94190">
      <w:pPr>
        <w:spacing w:line="360" w:lineRule="auto"/>
        <w:rPr>
          <w:rFonts w:ascii="Times New Roman" w:eastAsia="Times New Roman" w:hAnsi="Times New Roman" w:cs="Times New Roman"/>
          <w:sz w:val="24"/>
          <w:szCs w:val="24"/>
          <w:highlight w:val="white"/>
        </w:rPr>
      </w:pPr>
      <w:r>
        <w:br w:type="page"/>
      </w:r>
    </w:p>
    <w:p w:rsidR="00560C74" w:rsidRDefault="00D94190">
      <w:pPr>
        <w:pStyle w:val="Heading1"/>
        <w:keepNext w:val="0"/>
        <w:keepLines w:val="0"/>
        <w:spacing w:before="0" w:after="360" w:line="360" w:lineRule="auto"/>
        <w:rPr>
          <w:rFonts w:ascii="Times New Roman" w:eastAsia="Times New Roman" w:hAnsi="Times New Roman" w:cs="Times New Roman"/>
          <w:b/>
          <w:sz w:val="36"/>
          <w:szCs w:val="36"/>
          <w:highlight w:val="white"/>
        </w:rPr>
      </w:pPr>
      <w:bookmarkStart w:id="44" w:name="_g5cyp57xaglx" w:colFirst="0" w:colLast="0"/>
      <w:bookmarkEnd w:id="44"/>
      <w:r>
        <w:rPr>
          <w:rFonts w:ascii="Times New Roman" w:eastAsia="Times New Roman" w:hAnsi="Times New Roman" w:cs="Times New Roman"/>
          <w:b/>
          <w:sz w:val="36"/>
          <w:szCs w:val="36"/>
          <w:highlight w:val="white"/>
        </w:rPr>
        <w:t>Reference list</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Abuelsamid, S. (2019). </w:t>
      </w:r>
      <w:r>
        <w:rPr>
          <w:rFonts w:ascii="Times New Roman" w:eastAsia="Times New Roman" w:hAnsi="Times New Roman" w:cs="Times New Roman"/>
          <w:i/>
          <w:sz w:val="24"/>
          <w:szCs w:val="24"/>
          <w:highlight w:val="white"/>
        </w:rPr>
        <w:t>Ford’s Farley On Building Mobility Technology And Services Amid Auto Industry Disruption</w:t>
      </w:r>
      <w:r>
        <w:rPr>
          <w:rFonts w:ascii="Times New Roman" w:eastAsia="Times New Roman" w:hAnsi="Times New Roman" w:cs="Times New Roman"/>
          <w:sz w:val="24"/>
          <w:szCs w:val="24"/>
          <w:highlight w:val="white"/>
        </w:rPr>
        <w:t>. [online] Forbes. Available at: https://www.forbes.com/sites/samabuelsamid/2019/10/21/fords-jim-farley-on-building-mobility-technology-services-and-brands/.</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Botelho, G. (2004). </w:t>
      </w:r>
      <w:r>
        <w:rPr>
          <w:rFonts w:ascii="Times New Roman" w:eastAsia="Times New Roman" w:hAnsi="Times New Roman" w:cs="Times New Roman"/>
          <w:i/>
          <w:sz w:val="24"/>
          <w:szCs w:val="24"/>
          <w:highlight w:val="white"/>
        </w:rPr>
        <w:t>The car that changed the world</w:t>
      </w:r>
      <w:r>
        <w:rPr>
          <w:rFonts w:ascii="Times New Roman" w:eastAsia="Times New Roman" w:hAnsi="Times New Roman" w:cs="Times New Roman"/>
          <w:sz w:val="24"/>
          <w:szCs w:val="24"/>
          <w:highlight w:val="white"/>
        </w:rPr>
        <w:t>. [online] www.cnn.com. Available at: http://www.cnn.com/2004/US/08/06/model.t/index.html [Accessed 20 Jul. 2024].</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Cole, A. and Li, Y. (2020). </w:t>
      </w:r>
      <w:r>
        <w:rPr>
          <w:rFonts w:ascii="Times New Roman" w:eastAsia="Times New Roman" w:hAnsi="Times New Roman" w:cs="Times New Roman"/>
          <w:i/>
          <w:sz w:val="24"/>
          <w:szCs w:val="24"/>
          <w:highlight w:val="white"/>
        </w:rPr>
        <w:t>Fundamental Valuation of The General Motors Company Assessing the value in the midst of a pandemic</w:t>
      </w:r>
      <w:r>
        <w:rPr>
          <w:rFonts w:ascii="Times New Roman" w:eastAsia="Times New Roman" w:hAnsi="Times New Roman" w:cs="Times New Roman"/>
          <w:sz w:val="24"/>
          <w:szCs w:val="24"/>
          <w:highlight w:val="white"/>
        </w:rPr>
        <w:t>. [online] Available at: https://openaccess.nhh.no/nhh-xmlui/bitstream/handle/11250/2681339/masterthesis.pdf.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Domonoske, C. (2022). Ford announces a historic restructuring as it pivots to an electric future. </w:t>
      </w:r>
      <w:r>
        <w:rPr>
          <w:rFonts w:ascii="Times New Roman" w:eastAsia="Times New Roman" w:hAnsi="Times New Roman" w:cs="Times New Roman"/>
          <w:i/>
          <w:sz w:val="24"/>
          <w:szCs w:val="24"/>
          <w:highlight w:val="white"/>
        </w:rPr>
        <w:t>NPR</w:t>
      </w:r>
      <w:r>
        <w:rPr>
          <w:rFonts w:ascii="Times New Roman" w:eastAsia="Times New Roman" w:hAnsi="Times New Roman" w:cs="Times New Roman"/>
          <w:sz w:val="24"/>
          <w:szCs w:val="24"/>
          <w:highlight w:val="white"/>
        </w:rPr>
        <w:t>. [online] 2 Mar. Available at: https://www.npr.org/2022/03/02/1083913314/ford-modele-split-units-electric-gas.</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Effiong, Ds.A. and Enya, E.F. (2020). Liquidity Risk Management and Financial Performance: Are Consumer Goods Companies Involved? </w:t>
      </w:r>
      <w:r>
        <w:rPr>
          <w:rFonts w:ascii="Times New Roman" w:eastAsia="Times New Roman" w:hAnsi="Times New Roman" w:cs="Times New Roman"/>
          <w:i/>
          <w:sz w:val="24"/>
          <w:szCs w:val="24"/>
          <w:highlight w:val="white"/>
        </w:rPr>
        <w:t>International Journal of Recent Technology and Engineering</w:t>
      </w:r>
      <w:r>
        <w:rPr>
          <w:rFonts w:ascii="Times New Roman" w:eastAsia="Times New Roman" w:hAnsi="Times New Roman" w:cs="Times New Roman"/>
          <w:sz w:val="24"/>
          <w:szCs w:val="24"/>
          <w:highlight w:val="white"/>
        </w:rPr>
        <w:t>, 9(1), pp.580–589. doi:https://doi.org/10.35940/ijrte.a1692.059120.</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Fadrul, F., Howard, H., Nurazizah, F., Eddy, P., Novitriansyah, B. and Estu, A.Z. (2023). Analysis of Company Size, Inventory Intensity, and Variability of COGS on The Selection of Inventory Valuation Methods in Basic Materials Sector Companies Listed on IDX 2017-2021. </w:t>
      </w:r>
      <w:r>
        <w:rPr>
          <w:rFonts w:ascii="Times New Roman" w:eastAsia="Times New Roman" w:hAnsi="Times New Roman" w:cs="Times New Roman"/>
          <w:i/>
          <w:sz w:val="24"/>
          <w:szCs w:val="24"/>
          <w:highlight w:val="white"/>
        </w:rPr>
        <w:t>International Conference on Business Management and Accounting</w:t>
      </w:r>
      <w:r>
        <w:rPr>
          <w:rFonts w:ascii="Times New Roman" w:eastAsia="Times New Roman" w:hAnsi="Times New Roman" w:cs="Times New Roman"/>
          <w:sz w:val="24"/>
          <w:szCs w:val="24"/>
          <w:highlight w:val="white"/>
        </w:rPr>
        <w:t>, [online] 2(1), pp.227–237. doi:https://doi.org/10.35145/icobima.v2i1.4068.</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Fernando, J. (2024). </w:t>
      </w:r>
      <w:r>
        <w:rPr>
          <w:rFonts w:ascii="Times New Roman" w:eastAsia="Times New Roman" w:hAnsi="Times New Roman" w:cs="Times New Roman"/>
          <w:i/>
          <w:sz w:val="24"/>
          <w:szCs w:val="24"/>
          <w:highlight w:val="white"/>
        </w:rPr>
        <w:t>Inventory Turnover Ratio: What It Is, How It Works, and Formula</w:t>
      </w:r>
      <w:r>
        <w:rPr>
          <w:rFonts w:ascii="Times New Roman" w:eastAsia="Times New Roman" w:hAnsi="Times New Roman" w:cs="Times New Roman"/>
          <w:sz w:val="24"/>
          <w:szCs w:val="24"/>
          <w:highlight w:val="white"/>
        </w:rPr>
        <w:t>. [online] Investopedia. Available at: https://www.investopedia.com/terms/i/inventoryturnover.asp.</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Forbes (2024). </w:t>
      </w:r>
      <w:r>
        <w:rPr>
          <w:rFonts w:ascii="Times New Roman" w:eastAsia="Times New Roman" w:hAnsi="Times New Roman" w:cs="Times New Roman"/>
          <w:i/>
          <w:sz w:val="24"/>
          <w:szCs w:val="24"/>
          <w:highlight w:val="white"/>
        </w:rPr>
        <w:t>Ford Motor (F)</w:t>
      </w:r>
      <w:r>
        <w:rPr>
          <w:rFonts w:ascii="Times New Roman" w:eastAsia="Times New Roman" w:hAnsi="Times New Roman" w:cs="Times New Roman"/>
          <w:sz w:val="24"/>
          <w:szCs w:val="24"/>
          <w:highlight w:val="white"/>
        </w:rPr>
        <w:t>. [online] Forbes. Available at: https://www.forbes.com/companies/ford-motor/.</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(2020). </w:t>
      </w:r>
      <w:r>
        <w:rPr>
          <w:rFonts w:ascii="Times New Roman" w:eastAsia="Times New Roman" w:hAnsi="Times New Roman" w:cs="Times New Roman"/>
          <w:i/>
          <w:sz w:val="24"/>
          <w:szCs w:val="24"/>
          <w:highlight w:val="white"/>
        </w:rPr>
        <w:t>Ford Motor Company 2019 Annual Report</w:t>
      </w:r>
      <w:r>
        <w:rPr>
          <w:rFonts w:ascii="Times New Roman" w:eastAsia="Times New Roman" w:hAnsi="Times New Roman" w:cs="Times New Roman"/>
          <w:sz w:val="24"/>
          <w:szCs w:val="24"/>
          <w:highlight w:val="white"/>
        </w:rPr>
        <w:t>. [online] Available at: https://s201.q4cdn.com/693218008/files/doc_financials/2020/ar/Ford-2020-Annual-Report-April-2020.pdf.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(2022a). </w:t>
      </w:r>
      <w:r>
        <w:rPr>
          <w:rFonts w:ascii="Times New Roman" w:eastAsia="Times New Roman" w:hAnsi="Times New Roman" w:cs="Times New Roman"/>
          <w:i/>
          <w:sz w:val="24"/>
          <w:szCs w:val="24"/>
          <w:highlight w:val="white"/>
        </w:rPr>
        <w:t>2022 Annual Report</w:t>
      </w:r>
      <w:r>
        <w:rPr>
          <w:rFonts w:ascii="Times New Roman" w:eastAsia="Times New Roman" w:hAnsi="Times New Roman" w:cs="Times New Roman"/>
          <w:sz w:val="24"/>
          <w:szCs w:val="24"/>
          <w:highlight w:val="white"/>
        </w:rPr>
        <w:t>. [online] Available at: https://s201.q4cdn.com/693218008/files/doc_financials/2023/03/2022-Annual-Report-1.pdf.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(2022b). </w:t>
      </w:r>
      <w:r>
        <w:rPr>
          <w:rFonts w:ascii="Times New Roman" w:eastAsia="Times New Roman" w:hAnsi="Times New Roman" w:cs="Times New Roman"/>
          <w:i/>
          <w:sz w:val="24"/>
          <w:szCs w:val="24"/>
          <w:highlight w:val="white"/>
        </w:rPr>
        <w:t>Ford Accelerating Transformation: Forming Distinct Auto Units to Scale EVs, Strengthen Operations, Unlock Value | Ford Media Center</w:t>
      </w:r>
      <w:r>
        <w:rPr>
          <w:rFonts w:ascii="Times New Roman" w:eastAsia="Times New Roman" w:hAnsi="Times New Roman" w:cs="Times New Roman"/>
          <w:sz w:val="24"/>
          <w:szCs w:val="24"/>
          <w:highlight w:val="white"/>
        </w:rPr>
        <w:t>. [online] media.ford.com. Available at: https://media.ford.com/content/fordmedia/fna/us/en/news/2022/03/02/ford-accelerating-transformation.html.</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(2023). </w:t>
      </w:r>
      <w:r>
        <w:rPr>
          <w:rFonts w:ascii="Times New Roman" w:eastAsia="Times New Roman" w:hAnsi="Times New Roman" w:cs="Times New Roman"/>
          <w:i/>
          <w:sz w:val="24"/>
          <w:szCs w:val="24"/>
          <w:highlight w:val="white"/>
        </w:rPr>
        <w:t>Ford Makes Key Leadership Announcements As It Accelerates Customer-Focused Transformation | Ford Media Center</w:t>
      </w:r>
      <w:r>
        <w:rPr>
          <w:rFonts w:ascii="Times New Roman" w:eastAsia="Times New Roman" w:hAnsi="Times New Roman" w:cs="Times New Roman"/>
          <w:sz w:val="24"/>
          <w:szCs w:val="24"/>
          <w:highlight w:val="white"/>
        </w:rPr>
        <w:t>. [online] media.ford.com. Available at: https://media.ford.com/content/fordmedia/fna/us/en/news/2023/09/12/ford-makes-key-leadership-announcements-as-it-accelerates-custom.html.</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(2024). </w:t>
      </w:r>
      <w:r>
        <w:rPr>
          <w:rFonts w:ascii="Times New Roman" w:eastAsia="Times New Roman" w:hAnsi="Times New Roman" w:cs="Times New Roman"/>
          <w:i/>
          <w:sz w:val="24"/>
          <w:szCs w:val="24"/>
          <w:highlight w:val="white"/>
        </w:rPr>
        <w:t>Ford Pro Demand Drives F-Series Super Duty Production Expansion to Canada, with Future Multi-Energy Technology | Ford Media Center</w:t>
      </w:r>
      <w:r>
        <w:rPr>
          <w:rFonts w:ascii="Times New Roman" w:eastAsia="Times New Roman" w:hAnsi="Times New Roman" w:cs="Times New Roman"/>
          <w:sz w:val="24"/>
          <w:szCs w:val="24"/>
          <w:highlight w:val="white"/>
        </w:rPr>
        <w:t>. [online] media.ford.com. Available at: https://media.ford.com/content/fordmedia/fna/us/en/news/2024/07/18/ford-expands-north-american-f-series-production.html.</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Motor Company (2019). </w:t>
      </w:r>
      <w:r>
        <w:rPr>
          <w:rFonts w:ascii="Times New Roman" w:eastAsia="Times New Roman" w:hAnsi="Times New Roman" w:cs="Times New Roman"/>
          <w:i/>
          <w:sz w:val="24"/>
          <w:szCs w:val="24"/>
          <w:highlight w:val="white"/>
        </w:rPr>
        <w:t>Ford Motor Company 2019 Annual Report</w:t>
      </w:r>
      <w:r>
        <w:rPr>
          <w:rFonts w:ascii="Times New Roman" w:eastAsia="Times New Roman" w:hAnsi="Times New Roman" w:cs="Times New Roman"/>
          <w:sz w:val="24"/>
          <w:szCs w:val="24"/>
          <w:highlight w:val="white"/>
        </w:rPr>
        <w:t>. [online] Available at: https://corporate.ford.com/content/dam/corporate/us/en-us/documents/reports/2019-annual-report.pdf.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Motor Company (2020). </w:t>
      </w:r>
      <w:r>
        <w:rPr>
          <w:rFonts w:ascii="Times New Roman" w:eastAsia="Times New Roman" w:hAnsi="Times New Roman" w:cs="Times New Roman"/>
          <w:i/>
          <w:sz w:val="24"/>
          <w:szCs w:val="24"/>
          <w:highlight w:val="white"/>
        </w:rPr>
        <w:t>The Model T</w:t>
      </w:r>
      <w:r>
        <w:rPr>
          <w:rFonts w:ascii="Times New Roman" w:eastAsia="Times New Roman" w:hAnsi="Times New Roman" w:cs="Times New Roman"/>
          <w:sz w:val="24"/>
          <w:szCs w:val="24"/>
          <w:highlight w:val="white"/>
        </w:rPr>
        <w:t>. [online] Ford Corporate. Available at: https://corporate.ford.com/articles/history/the-model-t.html.</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Motor Company (2021). </w:t>
      </w:r>
      <w:r>
        <w:rPr>
          <w:rFonts w:ascii="Times New Roman" w:eastAsia="Times New Roman" w:hAnsi="Times New Roman" w:cs="Times New Roman"/>
          <w:i/>
          <w:sz w:val="24"/>
          <w:szCs w:val="24"/>
          <w:highlight w:val="white"/>
        </w:rPr>
        <w:t>2021 Annual Report</w:t>
      </w:r>
      <w:r>
        <w:rPr>
          <w:rFonts w:ascii="Times New Roman" w:eastAsia="Times New Roman" w:hAnsi="Times New Roman" w:cs="Times New Roman"/>
          <w:sz w:val="24"/>
          <w:szCs w:val="24"/>
          <w:highlight w:val="white"/>
        </w:rPr>
        <w:t>. [online] Available at: https://s201.q4cdn.com/693218008/files/doc_financials/2021/ar/Ford-2021-Annual-Report.pdf.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Ford Motor Company (2023). </w:t>
      </w:r>
      <w:r>
        <w:rPr>
          <w:rFonts w:ascii="Times New Roman" w:eastAsia="Times New Roman" w:hAnsi="Times New Roman" w:cs="Times New Roman"/>
          <w:i/>
          <w:sz w:val="24"/>
          <w:szCs w:val="24"/>
          <w:highlight w:val="white"/>
        </w:rPr>
        <w:t>2023 Annual Report Ford Motor Company</w:t>
      </w:r>
      <w:r>
        <w:rPr>
          <w:rFonts w:ascii="Times New Roman" w:eastAsia="Times New Roman" w:hAnsi="Times New Roman" w:cs="Times New Roman"/>
          <w:sz w:val="24"/>
          <w:szCs w:val="24"/>
          <w:highlight w:val="white"/>
        </w:rPr>
        <w:t>. [online] Available at: https://www.annualreports.com/HostedData/AnnualReports/PDF/NYSE_F_2023.pdf.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General Motors (2022). </w:t>
      </w:r>
      <w:r>
        <w:rPr>
          <w:rFonts w:ascii="Times New Roman" w:eastAsia="Times New Roman" w:hAnsi="Times New Roman" w:cs="Times New Roman"/>
          <w:i/>
          <w:sz w:val="24"/>
          <w:szCs w:val="24"/>
          <w:highlight w:val="white"/>
        </w:rPr>
        <w:t>General Motors</w:t>
      </w:r>
      <w:r>
        <w:rPr>
          <w:rFonts w:ascii="Times New Roman" w:eastAsia="Times New Roman" w:hAnsi="Times New Roman" w:cs="Times New Roman"/>
          <w:sz w:val="24"/>
          <w:szCs w:val="24"/>
          <w:highlight w:val="white"/>
        </w:rPr>
        <w:t>. [online] Gm.com. Available at: https://www.gm.com/.</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Harley, M. (2023). </w:t>
      </w:r>
      <w:r>
        <w:rPr>
          <w:rFonts w:ascii="Times New Roman" w:eastAsia="Times New Roman" w:hAnsi="Times New Roman" w:cs="Times New Roman"/>
          <w:i/>
          <w:sz w:val="24"/>
          <w:szCs w:val="24"/>
          <w:highlight w:val="white"/>
        </w:rPr>
        <w:t>Citing Strike, Stellantis—Maker Of Chrysler, Jeep And Other Cars And Trucks—Cancels Upcoming Auto Shows</w:t>
      </w:r>
      <w:r>
        <w:rPr>
          <w:rFonts w:ascii="Times New Roman" w:eastAsia="Times New Roman" w:hAnsi="Times New Roman" w:cs="Times New Roman"/>
          <w:sz w:val="24"/>
          <w:szCs w:val="24"/>
          <w:highlight w:val="white"/>
        </w:rPr>
        <w:t>. [online] Forbes. Available at: https://www.forbes.com/sites/michaelharley/2023/10/21/citing-strike-chrysler-jeep-fiat-ram-alfa-romeo-and-dodge-cancel-all-major-upcoming-shows/ [Accessed 20 Jul. 2024].</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Hayes, A. (2023). </w:t>
      </w:r>
      <w:r>
        <w:rPr>
          <w:rFonts w:ascii="Times New Roman" w:eastAsia="Times New Roman" w:hAnsi="Times New Roman" w:cs="Times New Roman"/>
          <w:i/>
          <w:sz w:val="24"/>
          <w:szCs w:val="24"/>
          <w:highlight w:val="white"/>
        </w:rPr>
        <w:t>Risk Analysis Definition</w:t>
      </w:r>
      <w:r>
        <w:rPr>
          <w:rFonts w:ascii="Times New Roman" w:eastAsia="Times New Roman" w:hAnsi="Times New Roman" w:cs="Times New Roman"/>
          <w:sz w:val="24"/>
          <w:szCs w:val="24"/>
          <w:highlight w:val="white"/>
        </w:rPr>
        <w:t>. [online] Investopedia. Available at: https://www.investopedia.com/terms/r/risk-analysis.asp.</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Improvement Service (2020). </w:t>
      </w:r>
      <w:r>
        <w:rPr>
          <w:rFonts w:ascii="Times New Roman" w:eastAsia="Times New Roman" w:hAnsi="Times New Roman" w:cs="Times New Roman"/>
          <w:i/>
          <w:sz w:val="24"/>
          <w:szCs w:val="24"/>
          <w:highlight w:val="white"/>
        </w:rPr>
        <w:t>Investment Appraisal</w:t>
      </w:r>
      <w:r>
        <w:rPr>
          <w:rFonts w:ascii="Times New Roman" w:eastAsia="Times New Roman" w:hAnsi="Times New Roman" w:cs="Times New Roman"/>
          <w:sz w:val="24"/>
          <w:szCs w:val="24"/>
          <w:highlight w:val="white"/>
        </w:rPr>
        <w:t>. [online] Improvement Service. Available at: https://www.improvementservice.org.uk/business-analysis-framework/evaluate-options/investment-appraisal#:~:text=What%20is%20an%20investment%20Appraisal.</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Kagan, J. (2023). </w:t>
      </w:r>
      <w:r>
        <w:rPr>
          <w:rFonts w:ascii="Times New Roman" w:eastAsia="Times New Roman" w:hAnsi="Times New Roman" w:cs="Times New Roman"/>
          <w:i/>
          <w:sz w:val="24"/>
          <w:szCs w:val="24"/>
          <w:highlight w:val="white"/>
        </w:rPr>
        <w:t>Payback Period Explained, With the Formula and How to Calculate It</w:t>
      </w:r>
      <w:r>
        <w:rPr>
          <w:rFonts w:ascii="Times New Roman" w:eastAsia="Times New Roman" w:hAnsi="Times New Roman" w:cs="Times New Roman"/>
          <w:sz w:val="24"/>
          <w:szCs w:val="24"/>
          <w:highlight w:val="white"/>
        </w:rPr>
        <w:t>. [online] Investopedia. Available at: https://www.investopedia.com/terms/p/paybackperiod.asp.</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Murphy, C. (2023a). </w:t>
      </w:r>
      <w:r>
        <w:rPr>
          <w:rFonts w:ascii="Times New Roman" w:eastAsia="Times New Roman" w:hAnsi="Times New Roman" w:cs="Times New Roman"/>
          <w:i/>
          <w:sz w:val="24"/>
          <w:szCs w:val="24"/>
          <w:highlight w:val="white"/>
        </w:rPr>
        <w:t>Accounting Rate of Return (ARR): Definition, How to Calculate, and Example</w:t>
      </w:r>
      <w:r>
        <w:rPr>
          <w:rFonts w:ascii="Times New Roman" w:eastAsia="Times New Roman" w:hAnsi="Times New Roman" w:cs="Times New Roman"/>
          <w:sz w:val="24"/>
          <w:szCs w:val="24"/>
          <w:highlight w:val="white"/>
        </w:rPr>
        <w:t>. [online] Investopedia. Available at: https://www.investopedia.com/terms/a/arr.asp.</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Murphy, C. (2023b). </w:t>
      </w:r>
      <w:r>
        <w:rPr>
          <w:rFonts w:ascii="Times New Roman" w:eastAsia="Times New Roman" w:hAnsi="Times New Roman" w:cs="Times New Roman"/>
          <w:i/>
          <w:sz w:val="24"/>
          <w:szCs w:val="24"/>
          <w:highlight w:val="white"/>
        </w:rPr>
        <w:t>Accounting Rate of Return (ARR): Definition, How to Calculate, and Example</w:t>
      </w:r>
      <w:r>
        <w:rPr>
          <w:rFonts w:ascii="Times New Roman" w:eastAsia="Times New Roman" w:hAnsi="Times New Roman" w:cs="Times New Roman"/>
          <w:sz w:val="24"/>
          <w:szCs w:val="24"/>
          <w:highlight w:val="white"/>
        </w:rPr>
        <w:t>. [online] Investopedia. Available at: https://www.investopedia.com/terms/a/arr.asp.</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Tamplin, T. (2024). </w:t>
      </w:r>
      <w:r>
        <w:rPr>
          <w:rFonts w:ascii="Times New Roman" w:eastAsia="Times New Roman" w:hAnsi="Times New Roman" w:cs="Times New Roman"/>
          <w:i/>
          <w:sz w:val="24"/>
          <w:szCs w:val="24"/>
          <w:highlight w:val="white"/>
        </w:rPr>
        <w:t>7 Book Suggestions To Improve Your Personal Finance Management</w:t>
      </w:r>
      <w:r>
        <w:rPr>
          <w:rFonts w:ascii="Times New Roman" w:eastAsia="Times New Roman" w:hAnsi="Times New Roman" w:cs="Times New Roman"/>
          <w:sz w:val="24"/>
          <w:szCs w:val="24"/>
          <w:highlight w:val="white"/>
        </w:rPr>
        <w:t>. [online] Forbes. Available at: https://www.forbes.com/sites/truetamplin/2024/04/23/7-book-suggestions-to-improve-your-personal-finance-management/ [Accessed 20 Jul. 2024].</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Tesla Annual Report (2023). </w:t>
      </w:r>
      <w:r>
        <w:rPr>
          <w:rFonts w:ascii="Times New Roman" w:eastAsia="Times New Roman" w:hAnsi="Times New Roman" w:cs="Times New Roman"/>
          <w:i/>
          <w:sz w:val="24"/>
          <w:szCs w:val="24"/>
          <w:highlight w:val="white"/>
        </w:rPr>
        <w:t>UNITED STATES SECURITIES AND EXCHANGE COMMISSION</w:t>
      </w:r>
      <w:r>
        <w:rPr>
          <w:rFonts w:ascii="Times New Roman" w:eastAsia="Times New Roman" w:hAnsi="Times New Roman" w:cs="Times New Roman"/>
          <w:sz w:val="24"/>
          <w:szCs w:val="24"/>
          <w:highlight w:val="white"/>
        </w:rPr>
        <w:t>. [online] Available at: https://ir.tesla.com/_flysystem/s3/sec/000162828024002390/tsla-20231231-gen.pdf.</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Toyota Motor (2024). </w:t>
      </w:r>
      <w:r>
        <w:rPr>
          <w:rFonts w:ascii="Times New Roman" w:eastAsia="Times New Roman" w:hAnsi="Times New Roman" w:cs="Times New Roman"/>
          <w:i/>
          <w:sz w:val="24"/>
          <w:szCs w:val="24"/>
          <w:highlight w:val="white"/>
        </w:rPr>
        <w:t>Toyota Luxury Car Models | Toyota.com</w:t>
      </w:r>
      <w:r>
        <w:rPr>
          <w:rFonts w:ascii="Times New Roman" w:eastAsia="Times New Roman" w:hAnsi="Times New Roman" w:cs="Times New Roman"/>
          <w:sz w:val="24"/>
          <w:szCs w:val="24"/>
          <w:highlight w:val="white"/>
        </w:rPr>
        <w:t>. [online] www.toyota.com. Available at: https://www.toyota.com/luxury-cars/.</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Trainer, D. (2022a). </w:t>
      </w:r>
      <w:r>
        <w:rPr>
          <w:rFonts w:ascii="Times New Roman" w:eastAsia="Times New Roman" w:hAnsi="Times New Roman" w:cs="Times New Roman"/>
          <w:i/>
          <w:sz w:val="24"/>
          <w:szCs w:val="24"/>
          <w:highlight w:val="white"/>
        </w:rPr>
        <w:t>Ford Motor Company: Ready For Another Century</w:t>
      </w:r>
      <w:r>
        <w:rPr>
          <w:rFonts w:ascii="Times New Roman" w:eastAsia="Times New Roman" w:hAnsi="Times New Roman" w:cs="Times New Roman"/>
          <w:sz w:val="24"/>
          <w:szCs w:val="24"/>
          <w:highlight w:val="white"/>
        </w:rPr>
        <w:t>. [online] Forbes. Available at: https://www.forbes.com/sites/greatspeculations/2022/04/04/ford-motor-company-ready-for-another-century/.</w:t>
      </w:r>
    </w:p>
    <w:p w:rsidR="00560C74" w:rsidRDefault="00D94190">
      <w:p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Trainer, D. (2022b). </w:t>
      </w:r>
      <w:r>
        <w:rPr>
          <w:rFonts w:ascii="Times New Roman" w:eastAsia="Times New Roman" w:hAnsi="Times New Roman" w:cs="Times New Roman"/>
          <w:i/>
          <w:sz w:val="24"/>
          <w:szCs w:val="24"/>
          <w:highlight w:val="white"/>
        </w:rPr>
        <w:t>Ford Motor Company: Ready For Another Century</w:t>
      </w:r>
      <w:r>
        <w:rPr>
          <w:rFonts w:ascii="Times New Roman" w:eastAsia="Times New Roman" w:hAnsi="Times New Roman" w:cs="Times New Roman"/>
          <w:sz w:val="24"/>
          <w:szCs w:val="24"/>
          <w:highlight w:val="white"/>
        </w:rPr>
        <w:t>. [online] Forbes. Available at: https://www.forbes.com/sites/greatspeculations/2022/04/04/ford-motor-company-ready-for-another-century/.</w:t>
      </w:r>
    </w:p>
    <w:p w:rsidR="00560C74" w:rsidRDefault="00560C74">
      <w:pPr>
        <w:spacing w:line="360" w:lineRule="auto"/>
        <w:rPr>
          <w:rFonts w:ascii="Times New Roman" w:eastAsia="Times New Roman" w:hAnsi="Times New Roman" w:cs="Times New Roman"/>
          <w:sz w:val="24"/>
          <w:szCs w:val="24"/>
          <w:highlight w:val="white"/>
        </w:rPr>
      </w:pPr>
    </w:p>
    <w:sectPr w:rsidR="00560C74">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94190" w:rsidRDefault="00D94190">
      <w:pPr>
        <w:spacing w:line="240" w:lineRule="auto"/>
      </w:pPr>
      <w:r>
        <w:separator/>
      </w:r>
    </w:p>
  </w:endnote>
  <w:endnote w:type="continuationSeparator" w:id="0">
    <w:p w:rsidR="00D94190" w:rsidRDefault="00D941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94190" w:rsidRDefault="00D94190">
      <w:pPr>
        <w:spacing w:line="240" w:lineRule="auto"/>
      </w:pPr>
      <w:r>
        <w:separator/>
      </w:r>
    </w:p>
  </w:footnote>
  <w:footnote w:type="continuationSeparator" w:id="0">
    <w:p w:rsidR="00D94190" w:rsidRDefault="00D941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60C74" w:rsidRDefault="00560C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B47A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85EB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2C43A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690D2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6E121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E213D2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C0467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F4442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FE417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CC8123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1B215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6FDC1A70"/>
    <w:multiLevelType w:val="multilevel"/>
    <w:tmpl w:val="FFFFFFFF"/>
    <w:lvl w:ilvl="0">
      <w:start w:val="1"/>
      <w:numFmt w:val="decimal"/>
      <w:lvlText w:val="%1."/>
      <w:lvlJc w:val="left"/>
      <w:pPr>
        <w:ind w:left="720" w:hanging="360"/>
      </w:pPr>
      <w:rPr>
        <w:rFonts w:ascii="Times New Roman" w:eastAsia="Times New Roman" w:hAnsi="Times New Roman" w:cs="Times New Roman"/>
        <w:b/>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00535F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CD79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9C093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5126702">
    <w:abstractNumId w:val="2"/>
  </w:num>
  <w:num w:numId="2" w16cid:durableId="1812752809">
    <w:abstractNumId w:val="12"/>
  </w:num>
  <w:num w:numId="3" w16cid:durableId="464399038">
    <w:abstractNumId w:val="3"/>
  </w:num>
  <w:num w:numId="4" w16cid:durableId="1754818185">
    <w:abstractNumId w:val="14"/>
  </w:num>
  <w:num w:numId="5" w16cid:durableId="510879100">
    <w:abstractNumId w:val="10"/>
  </w:num>
  <w:num w:numId="6" w16cid:durableId="1916667918">
    <w:abstractNumId w:val="6"/>
  </w:num>
  <w:num w:numId="7" w16cid:durableId="71512050">
    <w:abstractNumId w:val="8"/>
  </w:num>
  <w:num w:numId="8" w16cid:durableId="769156686">
    <w:abstractNumId w:val="1"/>
  </w:num>
  <w:num w:numId="9" w16cid:durableId="539981282">
    <w:abstractNumId w:val="9"/>
  </w:num>
  <w:num w:numId="10" w16cid:durableId="722556858">
    <w:abstractNumId w:val="7"/>
  </w:num>
  <w:num w:numId="11" w16cid:durableId="1879119360">
    <w:abstractNumId w:val="11"/>
  </w:num>
  <w:num w:numId="12" w16cid:durableId="555823616">
    <w:abstractNumId w:val="0"/>
  </w:num>
  <w:num w:numId="13" w16cid:durableId="1382316610">
    <w:abstractNumId w:val="5"/>
  </w:num>
  <w:num w:numId="14" w16cid:durableId="2043479703">
    <w:abstractNumId w:val="13"/>
  </w:num>
  <w:num w:numId="15" w16cid:durableId="998002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C74"/>
    <w:rsid w:val="00560C74"/>
    <w:rsid w:val="009D37FB"/>
    <w:rsid w:val="00D9419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5:docId w15:val="{34E15953-7167-F441-935D-E8FF3610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eastAsia="en-GB"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6332</Words>
  <Characters>36094</Characters>
  <Application>Microsoft Office Word</Application>
  <DocSecurity>0</DocSecurity>
  <Lines>300</Lines>
  <Paragraphs>84</Paragraphs>
  <ScaleCrop>false</ScaleCrop>
  <Company/>
  <LinksUpToDate>false</LinksUpToDate>
  <CharactersWithSpaces>42342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jaymin Mistry</cp:lastModifiedBy>
  <cp:revision>2</cp:revision>
  <dcterms:created xsi:type="dcterms:W3CDTF">2024-09-01T01:47:00Z</dcterms:created>
  <dcterms:modified xsi:type="dcterms:W3CDTF">2024-09-01T01:47:00Z</dcterms:modified>
</cp:coreProperties>
</file>