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FBC399" w14:textId="77777777" w:rsidR="00037822" w:rsidRPr="00A241FA" w:rsidRDefault="00037822" w:rsidP="00E14E51">
      <w:pPr>
        <w:spacing w:before="120" w:after="120" w:line="360" w:lineRule="auto"/>
        <w:jc w:val="center"/>
        <w:rPr>
          <w:rFonts w:ascii="Arial" w:hAnsi="Arial" w:cs="Arial"/>
          <w:noProof/>
        </w:rPr>
      </w:pPr>
    </w:p>
    <w:p w14:paraId="168B8672" w14:textId="77777777" w:rsidR="00037822" w:rsidRPr="00A241FA" w:rsidRDefault="00037822" w:rsidP="00E14E51">
      <w:pPr>
        <w:spacing w:before="120" w:after="120" w:line="360" w:lineRule="auto"/>
        <w:jc w:val="center"/>
        <w:rPr>
          <w:rFonts w:ascii="Arial" w:hAnsi="Arial" w:cs="Arial"/>
          <w:noProof/>
        </w:rPr>
      </w:pPr>
    </w:p>
    <w:p w14:paraId="01B1904B" w14:textId="77777777" w:rsidR="00E8394A" w:rsidRPr="00A241FA" w:rsidRDefault="00E8394A" w:rsidP="00E14E51">
      <w:pPr>
        <w:spacing w:before="120" w:after="120" w:line="360" w:lineRule="auto"/>
        <w:jc w:val="center"/>
        <w:rPr>
          <w:rFonts w:ascii="Arial" w:hAnsi="Arial" w:cs="Arial"/>
          <w:noProof/>
        </w:rPr>
      </w:pPr>
    </w:p>
    <w:p w14:paraId="13F94EA9" w14:textId="77777777" w:rsidR="00E8394A" w:rsidRPr="00A241FA" w:rsidRDefault="00E8394A" w:rsidP="00E14E51">
      <w:pPr>
        <w:spacing w:before="120" w:after="120" w:line="360" w:lineRule="auto"/>
        <w:rPr>
          <w:rFonts w:ascii="Arial" w:hAnsi="Arial" w:cs="Arial"/>
          <w:noProof/>
        </w:rPr>
      </w:pPr>
    </w:p>
    <w:p w14:paraId="5E4B72D3" w14:textId="77777777" w:rsidR="00E8394A" w:rsidRPr="00A241FA" w:rsidRDefault="00E8394A" w:rsidP="00E14E51">
      <w:pPr>
        <w:spacing w:before="120" w:after="120" w:line="360" w:lineRule="auto"/>
        <w:jc w:val="center"/>
        <w:rPr>
          <w:rFonts w:ascii="Arial" w:hAnsi="Arial" w:cs="Arial"/>
          <w:noProof/>
        </w:rPr>
      </w:pPr>
    </w:p>
    <w:p w14:paraId="0F80F9CC" w14:textId="77777777" w:rsidR="00037822" w:rsidRPr="00A241FA" w:rsidRDefault="00037822" w:rsidP="00E14E51">
      <w:pPr>
        <w:spacing w:before="120" w:after="120" w:line="360" w:lineRule="auto"/>
        <w:jc w:val="center"/>
        <w:rPr>
          <w:rFonts w:ascii="Arial" w:hAnsi="Arial" w:cs="Arial"/>
          <w:b/>
          <w:sz w:val="32"/>
        </w:rPr>
      </w:pPr>
      <w:bookmarkStart w:id="0" w:name="_Hlk213603413"/>
      <w:r w:rsidRPr="00A241FA">
        <w:rPr>
          <w:rFonts w:ascii="Arial" w:hAnsi="Arial" w:cs="Arial"/>
          <w:noProof/>
        </w:rPr>
        <w:drawing>
          <wp:inline distT="0" distB="0" distL="0" distR="0" wp14:anchorId="27E9C31A" wp14:editId="4DEE7EFC">
            <wp:extent cx="3649980" cy="1824990"/>
            <wp:effectExtent l="0" t="0" r="7620" b="3810"/>
            <wp:docPr id="1" name="Picture 1"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49980" cy="1824990"/>
                    </a:xfrm>
                    <a:prstGeom prst="rect">
                      <a:avLst/>
                    </a:prstGeom>
                    <a:noFill/>
                    <a:ln>
                      <a:noFill/>
                    </a:ln>
                  </pic:spPr>
                </pic:pic>
              </a:graphicData>
            </a:graphic>
          </wp:inline>
        </w:drawing>
      </w:r>
    </w:p>
    <w:p w14:paraId="61FBC539" w14:textId="77777777" w:rsidR="00C47FB1" w:rsidRPr="00A241FA" w:rsidRDefault="00C47FB1" w:rsidP="00E14E51">
      <w:pPr>
        <w:spacing w:before="120" w:after="120" w:line="360" w:lineRule="auto"/>
        <w:jc w:val="center"/>
        <w:rPr>
          <w:rFonts w:ascii="Arial" w:hAnsi="Arial" w:cs="Arial"/>
          <w:b/>
          <w:sz w:val="40"/>
        </w:rPr>
      </w:pPr>
      <w:r w:rsidRPr="00A241FA">
        <w:rPr>
          <w:rFonts w:ascii="Arial" w:hAnsi="Arial" w:cs="Arial"/>
          <w:b/>
          <w:sz w:val="40"/>
        </w:rPr>
        <w:t xml:space="preserve">Research </w:t>
      </w:r>
      <w:r w:rsidR="00E8394A" w:rsidRPr="00A241FA">
        <w:rPr>
          <w:rFonts w:ascii="Arial" w:hAnsi="Arial" w:cs="Arial"/>
          <w:b/>
          <w:sz w:val="40"/>
        </w:rPr>
        <w:t>Topic</w:t>
      </w:r>
    </w:p>
    <w:p w14:paraId="12CA0BCE" w14:textId="77777777" w:rsidR="00C47FB1" w:rsidRPr="00A241FA" w:rsidRDefault="00C47FB1" w:rsidP="00E14E51">
      <w:pPr>
        <w:spacing w:before="120" w:after="120" w:line="360" w:lineRule="auto"/>
        <w:jc w:val="center"/>
        <w:rPr>
          <w:rFonts w:ascii="Arial" w:eastAsia="Times New Roman" w:hAnsi="Arial" w:cs="Arial"/>
          <w:b/>
          <w:bCs/>
          <w:sz w:val="32"/>
          <w:szCs w:val="24"/>
        </w:rPr>
      </w:pPr>
      <w:r w:rsidRPr="00A241FA">
        <w:rPr>
          <w:rFonts w:ascii="Arial" w:eastAsia="Times New Roman" w:hAnsi="Arial" w:cs="Arial"/>
          <w:b/>
          <w:bCs/>
          <w:sz w:val="32"/>
          <w:szCs w:val="24"/>
        </w:rPr>
        <w:t xml:space="preserve">The </w:t>
      </w:r>
      <w:r w:rsidR="00E8394A" w:rsidRPr="00A241FA">
        <w:rPr>
          <w:rFonts w:ascii="Arial" w:eastAsia="Times New Roman" w:hAnsi="Arial" w:cs="Arial"/>
          <w:b/>
          <w:bCs/>
          <w:sz w:val="32"/>
          <w:szCs w:val="24"/>
        </w:rPr>
        <w:t xml:space="preserve">Effects of </w:t>
      </w:r>
      <w:r w:rsidRPr="00A241FA">
        <w:rPr>
          <w:rFonts w:ascii="Arial" w:eastAsia="Times New Roman" w:hAnsi="Arial" w:cs="Arial"/>
          <w:b/>
          <w:bCs/>
          <w:sz w:val="32"/>
          <w:szCs w:val="24"/>
        </w:rPr>
        <w:t>COVID</w:t>
      </w:r>
      <w:r w:rsidR="00E8394A" w:rsidRPr="00A241FA">
        <w:rPr>
          <w:rFonts w:ascii="Arial" w:eastAsia="Times New Roman" w:hAnsi="Arial" w:cs="Arial"/>
          <w:b/>
          <w:bCs/>
          <w:sz w:val="32"/>
          <w:szCs w:val="24"/>
        </w:rPr>
        <w:t>-19 On Care Home Residents’ Mental Health</w:t>
      </w:r>
    </w:p>
    <w:p w14:paraId="6C33871E" w14:textId="129D5471" w:rsidR="00BF0CAF" w:rsidRPr="00A241FA" w:rsidRDefault="00054A9A" w:rsidP="00E14E51">
      <w:pPr>
        <w:spacing w:before="120" w:after="120" w:line="360" w:lineRule="auto"/>
        <w:jc w:val="both"/>
        <w:rPr>
          <w:rFonts w:ascii="Arial" w:eastAsia="Times New Roman" w:hAnsi="Arial" w:cs="Arial"/>
          <w:bCs/>
          <w:sz w:val="24"/>
          <w:szCs w:val="24"/>
        </w:rPr>
      </w:pPr>
      <w:r w:rsidRPr="00A241FA">
        <w:rPr>
          <w:rFonts w:ascii="Arial" w:eastAsia="Times New Roman" w:hAnsi="Arial" w:cs="Arial"/>
          <w:bCs/>
          <w:sz w:val="24"/>
          <w:szCs w:val="24"/>
        </w:rPr>
        <w:t>Student Name:</w:t>
      </w:r>
      <w:r w:rsidR="00FE0FFA">
        <w:rPr>
          <w:rFonts w:ascii="Arial" w:eastAsia="Times New Roman" w:hAnsi="Arial" w:cs="Arial"/>
          <w:bCs/>
          <w:sz w:val="24"/>
          <w:szCs w:val="24"/>
        </w:rPr>
        <w:t xml:space="preserve"> Chesney Brenda Haroon</w:t>
      </w:r>
    </w:p>
    <w:p w14:paraId="0FD38D53" w14:textId="69B9ED06" w:rsidR="00054A9A" w:rsidRPr="00A241FA" w:rsidRDefault="00054A9A" w:rsidP="00E14E51">
      <w:pPr>
        <w:spacing w:before="120" w:after="120" w:line="360" w:lineRule="auto"/>
        <w:jc w:val="both"/>
        <w:rPr>
          <w:rFonts w:ascii="Arial" w:eastAsia="Times New Roman" w:hAnsi="Arial" w:cs="Arial"/>
          <w:bCs/>
          <w:sz w:val="24"/>
          <w:szCs w:val="24"/>
        </w:rPr>
      </w:pPr>
      <w:r w:rsidRPr="00A241FA">
        <w:rPr>
          <w:rFonts w:ascii="Arial" w:eastAsia="Times New Roman" w:hAnsi="Arial" w:cs="Arial"/>
          <w:bCs/>
          <w:sz w:val="24"/>
          <w:szCs w:val="24"/>
        </w:rPr>
        <w:t>Student ID:</w:t>
      </w:r>
      <w:r w:rsidR="00FE0FFA">
        <w:rPr>
          <w:rFonts w:ascii="Arial" w:eastAsia="Times New Roman" w:hAnsi="Arial" w:cs="Arial"/>
          <w:bCs/>
          <w:sz w:val="24"/>
          <w:szCs w:val="24"/>
        </w:rPr>
        <w:t xml:space="preserve"> 2505431 </w:t>
      </w:r>
    </w:p>
    <w:p w14:paraId="41E173B5" w14:textId="15CC1C94" w:rsidR="00054A9A" w:rsidRPr="00A241FA" w:rsidRDefault="00054A9A" w:rsidP="00E14E51">
      <w:pPr>
        <w:spacing w:before="120" w:after="120" w:line="360" w:lineRule="auto"/>
        <w:jc w:val="both"/>
        <w:rPr>
          <w:rFonts w:ascii="Arial" w:eastAsia="Times New Roman" w:hAnsi="Arial" w:cs="Arial"/>
          <w:bCs/>
          <w:sz w:val="24"/>
          <w:szCs w:val="24"/>
        </w:rPr>
      </w:pPr>
      <w:r w:rsidRPr="00A241FA">
        <w:rPr>
          <w:rFonts w:ascii="Arial" w:eastAsia="Times New Roman" w:hAnsi="Arial" w:cs="Arial"/>
          <w:bCs/>
          <w:sz w:val="24"/>
          <w:szCs w:val="24"/>
        </w:rPr>
        <w:t>Dated:</w:t>
      </w:r>
      <w:r w:rsidR="00FE0FFA">
        <w:rPr>
          <w:rFonts w:ascii="Arial" w:eastAsia="Times New Roman" w:hAnsi="Arial" w:cs="Arial"/>
          <w:bCs/>
          <w:sz w:val="24"/>
          <w:szCs w:val="24"/>
        </w:rPr>
        <w:t>09/11/2025</w:t>
      </w:r>
    </w:p>
    <w:p w14:paraId="0120B655" w14:textId="77777777" w:rsidR="00BF0CAF" w:rsidRPr="00A241FA" w:rsidRDefault="00BF0CAF" w:rsidP="00E14E51">
      <w:pPr>
        <w:spacing w:before="120" w:after="120" w:line="360" w:lineRule="auto"/>
        <w:jc w:val="both"/>
        <w:rPr>
          <w:rFonts w:ascii="Arial" w:eastAsia="Times New Roman" w:hAnsi="Arial" w:cs="Arial"/>
          <w:bCs/>
          <w:sz w:val="24"/>
          <w:szCs w:val="24"/>
        </w:rPr>
      </w:pPr>
    </w:p>
    <w:p w14:paraId="5EFF8A9B" w14:textId="77777777" w:rsidR="00BF0CAF" w:rsidRPr="00A241FA" w:rsidRDefault="00BF0CAF" w:rsidP="00E14E51">
      <w:pPr>
        <w:spacing w:before="120" w:after="120" w:line="360" w:lineRule="auto"/>
        <w:jc w:val="both"/>
        <w:rPr>
          <w:rFonts w:ascii="Arial" w:eastAsia="Times New Roman" w:hAnsi="Arial" w:cs="Arial"/>
          <w:bCs/>
          <w:sz w:val="24"/>
          <w:szCs w:val="24"/>
        </w:rPr>
      </w:pPr>
    </w:p>
    <w:p w14:paraId="0C755134" w14:textId="77777777" w:rsidR="00BF0CAF" w:rsidRPr="00A241FA" w:rsidRDefault="00BF0CAF" w:rsidP="00E14E51">
      <w:pPr>
        <w:spacing w:before="120" w:after="120" w:line="360" w:lineRule="auto"/>
        <w:jc w:val="both"/>
        <w:rPr>
          <w:rFonts w:ascii="Arial" w:eastAsia="Times New Roman" w:hAnsi="Arial" w:cs="Arial"/>
          <w:bCs/>
          <w:sz w:val="24"/>
          <w:szCs w:val="24"/>
        </w:rPr>
      </w:pPr>
    </w:p>
    <w:p w14:paraId="0BB8DE42" w14:textId="77777777" w:rsidR="00BF0CAF" w:rsidRDefault="00BF0CAF" w:rsidP="00E14E51">
      <w:pPr>
        <w:spacing w:before="120" w:after="120" w:line="360" w:lineRule="auto"/>
        <w:jc w:val="both"/>
        <w:rPr>
          <w:rFonts w:ascii="Arial" w:eastAsia="Times New Roman" w:hAnsi="Arial" w:cs="Arial"/>
          <w:bCs/>
          <w:sz w:val="24"/>
          <w:szCs w:val="24"/>
        </w:rPr>
      </w:pPr>
    </w:p>
    <w:p w14:paraId="4E333D74" w14:textId="77777777" w:rsidR="00E14E51" w:rsidRDefault="00E14E51" w:rsidP="00E14E51">
      <w:pPr>
        <w:spacing w:before="120" w:after="120" w:line="360" w:lineRule="auto"/>
        <w:jc w:val="both"/>
        <w:rPr>
          <w:rFonts w:ascii="Arial" w:eastAsia="Times New Roman" w:hAnsi="Arial" w:cs="Arial"/>
          <w:bCs/>
          <w:sz w:val="24"/>
          <w:szCs w:val="24"/>
        </w:rPr>
      </w:pPr>
    </w:p>
    <w:p w14:paraId="1EC95CD1" w14:textId="77777777" w:rsidR="00E14E51" w:rsidRDefault="00E14E51" w:rsidP="00E14E51">
      <w:pPr>
        <w:spacing w:before="120" w:after="120" w:line="360" w:lineRule="auto"/>
        <w:jc w:val="both"/>
        <w:rPr>
          <w:rFonts w:ascii="Arial" w:eastAsia="Times New Roman" w:hAnsi="Arial" w:cs="Arial"/>
          <w:bCs/>
          <w:sz w:val="24"/>
          <w:szCs w:val="24"/>
        </w:rPr>
      </w:pPr>
    </w:p>
    <w:p w14:paraId="2DFA70F4" w14:textId="77777777" w:rsidR="00E14E51" w:rsidRPr="00A241FA" w:rsidRDefault="00E14E51" w:rsidP="00E14E51">
      <w:pPr>
        <w:spacing w:before="120" w:after="120" w:line="360" w:lineRule="auto"/>
        <w:jc w:val="both"/>
        <w:rPr>
          <w:rFonts w:ascii="Arial" w:eastAsia="Times New Roman" w:hAnsi="Arial" w:cs="Arial"/>
          <w:bCs/>
          <w:sz w:val="24"/>
          <w:szCs w:val="24"/>
        </w:rPr>
      </w:pPr>
    </w:p>
    <w:p w14:paraId="7BCC0EDD" w14:textId="77777777" w:rsidR="00BF0CAF" w:rsidRPr="00A241FA" w:rsidRDefault="00BF0CAF" w:rsidP="00E14E51">
      <w:pPr>
        <w:spacing w:before="120" w:after="120" w:line="360" w:lineRule="auto"/>
        <w:jc w:val="both"/>
        <w:rPr>
          <w:rFonts w:ascii="Arial" w:eastAsia="Times New Roman" w:hAnsi="Arial" w:cs="Arial"/>
          <w:bCs/>
          <w:sz w:val="24"/>
          <w:szCs w:val="24"/>
        </w:rPr>
      </w:pPr>
    </w:p>
    <w:p w14:paraId="5E632666" w14:textId="77777777" w:rsidR="00BF0CAF" w:rsidRPr="00A241FA" w:rsidRDefault="00A241FA" w:rsidP="00E14E51">
      <w:pPr>
        <w:spacing w:before="120" w:after="120" w:line="360" w:lineRule="auto"/>
        <w:jc w:val="center"/>
        <w:rPr>
          <w:rFonts w:ascii="Arial" w:eastAsia="Times New Roman" w:hAnsi="Arial" w:cs="Arial"/>
          <w:b/>
          <w:bCs/>
          <w:sz w:val="32"/>
          <w:szCs w:val="24"/>
        </w:rPr>
      </w:pPr>
      <w:r w:rsidRPr="00A241FA">
        <w:rPr>
          <w:rFonts w:ascii="Arial" w:eastAsia="Times New Roman" w:hAnsi="Arial" w:cs="Arial"/>
          <w:b/>
          <w:bCs/>
          <w:sz w:val="32"/>
          <w:szCs w:val="24"/>
        </w:rPr>
        <w:t>Table of Contents</w:t>
      </w:r>
    </w:p>
    <w:p w14:paraId="1CC50979" w14:textId="77777777" w:rsidR="00976C61" w:rsidRPr="00976C61" w:rsidRDefault="00A241FA" w:rsidP="00976C61">
      <w:pPr>
        <w:pStyle w:val="TOC1"/>
        <w:tabs>
          <w:tab w:val="right" w:leader="dot" w:pos="9350"/>
        </w:tabs>
        <w:spacing w:before="120" w:after="120" w:line="360" w:lineRule="auto"/>
        <w:rPr>
          <w:rFonts w:ascii="Arial" w:eastAsiaTheme="minorEastAsia" w:hAnsi="Arial" w:cs="Arial"/>
          <w:noProof/>
        </w:rPr>
      </w:pPr>
      <w:r w:rsidRPr="00A241FA">
        <w:rPr>
          <w:rFonts w:ascii="Arial" w:eastAsia="Times New Roman" w:hAnsi="Arial" w:cs="Arial"/>
          <w:bCs/>
          <w:sz w:val="24"/>
          <w:szCs w:val="24"/>
        </w:rPr>
        <w:fldChar w:fldCharType="begin"/>
      </w:r>
      <w:r w:rsidRPr="00A241FA">
        <w:rPr>
          <w:rFonts w:ascii="Arial" w:eastAsia="Times New Roman" w:hAnsi="Arial" w:cs="Arial"/>
          <w:bCs/>
          <w:sz w:val="24"/>
          <w:szCs w:val="24"/>
        </w:rPr>
        <w:instrText xml:space="preserve"> TOC \o "1-3" \h \z \u </w:instrText>
      </w:r>
      <w:r w:rsidRPr="00A241FA">
        <w:rPr>
          <w:rFonts w:ascii="Arial" w:eastAsia="Times New Roman" w:hAnsi="Arial" w:cs="Arial"/>
          <w:bCs/>
          <w:sz w:val="24"/>
          <w:szCs w:val="24"/>
        </w:rPr>
        <w:fldChar w:fldCharType="separate"/>
      </w:r>
      <w:hyperlink w:anchor="_Toc213327048" w:history="1">
        <w:r w:rsidR="00976C61" w:rsidRPr="00976C61">
          <w:rPr>
            <w:rStyle w:val="Hyperlink"/>
            <w:rFonts w:ascii="Arial" w:hAnsi="Arial" w:cs="Arial"/>
            <w:noProof/>
          </w:rPr>
          <w:t>1. Introduction</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_Toc213327048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3</w:t>
        </w:r>
        <w:r w:rsidR="00976C61" w:rsidRPr="00976C61">
          <w:rPr>
            <w:rFonts w:ascii="Arial" w:hAnsi="Arial" w:cs="Arial"/>
            <w:noProof/>
            <w:webHidden/>
          </w:rPr>
          <w:fldChar w:fldCharType="end"/>
        </w:r>
      </w:hyperlink>
    </w:p>
    <w:p w14:paraId="4E092872" w14:textId="77777777" w:rsidR="00976C61" w:rsidRPr="00976C61" w:rsidRDefault="00000000" w:rsidP="00976C61">
      <w:pPr>
        <w:pStyle w:val="TOC1"/>
        <w:tabs>
          <w:tab w:val="right" w:leader="dot" w:pos="9350"/>
        </w:tabs>
        <w:spacing w:before="120" w:after="120" w:line="360" w:lineRule="auto"/>
        <w:rPr>
          <w:rFonts w:ascii="Arial" w:eastAsiaTheme="minorEastAsia" w:hAnsi="Arial" w:cs="Arial"/>
          <w:noProof/>
        </w:rPr>
      </w:pPr>
      <w:hyperlink w:anchor="_Toc213327049" w:history="1">
        <w:r w:rsidR="00976C61" w:rsidRPr="00976C61">
          <w:rPr>
            <w:rStyle w:val="Hyperlink"/>
            <w:rFonts w:ascii="Arial" w:hAnsi="Arial" w:cs="Arial"/>
            <w:noProof/>
          </w:rPr>
          <w:t>2. Research topic identification</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_Toc213327049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3</w:t>
        </w:r>
        <w:r w:rsidR="00976C61" w:rsidRPr="00976C61">
          <w:rPr>
            <w:rFonts w:ascii="Arial" w:hAnsi="Arial" w:cs="Arial"/>
            <w:noProof/>
            <w:webHidden/>
          </w:rPr>
          <w:fldChar w:fldCharType="end"/>
        </w:r>
      </w:hyperlink>
    </w:p>
    <w:p w14:paraId="50616DD0" w14:textId="77777777" w:rsidR="00976C61" w:rsidRPr="00976C61" w:rsidRDefault="00000000" w:rsidP="00976C61">
      <w:pPr>
        <w:pStyle w:val="TOC2"/>
        <w:tabs>
          <w:tab w:val="right" w:leader="dot" w:pos="9350"/>
        </w:tabs>
        <w:spacing w:before="120" w:after="120" w:line="360" w:lineRule="auto"/>
        <w:rPr>
          <w:rFonts w:ascii="Arial" w:eastAsiaTheme="minorEastAsia" w:hAnsi="Arial" w:cs="Arial"/>
          <w:noProof/>
        </w:rPr>
      </w:pPr>
      <w:hyperlink w:anchor="_Toc213327050" w:history="1">
        <w:r w:rsidR="00976C61" w:rsidRPr="00976C61">
          <w:rPr>
            <w:rStyle w:val="Hyperlink"/>
            <w:rFonts w:ascii="Arial" w:hAnsi="Arial" w:cs="Arial"/>
            <w:noProof/>
          </w:rPr>
          <w:t>2.1 Identifying the problem/issue</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_Toc213327050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3</w:t>
        </w:r>
        <w:r w:rsidR="00976C61" w:rsidRPr="00976C61">
          <w:rPr>
            <w:rFonts w:ascii="Arial" w:hAnsi="Arial" w:cs="Arial"/>
            <w:noProof/>
            <w:webHidden/>
          </w:rPr>
          <w:fldChar w:fldCharType="end"/>
        </w:r>
      </w:hyperlink>
    </w:p>
    <w:p w14:paraId="44BE9A95" w14:textId="77777777" w:rsidR="00976C61" w:rsidRPr="00976C61" w:rsidRDefault="00000000" w:rsidP="00976C61">
      <w:pPr>
        <w:pStyle w:val="TOC2"/>
        <w:tabs>
          <w:tab w:val="right" w:leader="dot" w:pos="9350"/>
        </w:tabs>
        <w:spacing w:before="120" w:after="120" w:line="360" w:lineRule="auto"/>
        <w:rPr>
          <w:rFonts w:ascii="Arial" w:eastAsiaTheme="minorEastAsia" w:hAnsi="Arial" w:cs="Arial"/>
          <w:noProof/>
        </w:rPr>
      </w:pPr>
      <w:hyperlink w:anchor="_Toc213327051" w:history="1">
        <w:r w:rsidR="00976C61" w:rsidRPr="00976C61">
          <w:rPr>
            <w:rStyle w:val="Hyperlink"/>
            <w:rFonts w:ascii="Arial" w:hAnsi="Arial" w:cs="Arial"/>
            <w:noProof/>
          </w:rPr>
          <w:t>2.2 Justification for the research</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_Toc213327051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4</w:t>
        </w:r>
        <w:r w:rsidR="00976C61" w:rsidRPr="00976C61">
          <w:rPr>
            <w:rFonts w:ascii="Arial" w:hAnsi="Arial" w:cs="Arial"/>
            <w:noProof/>
            <w:webHidden/>
          </w:rPr>
          <w:fldChar w:fldCharType="end"/>
        </w:r>
      </w:hyperlink>
    </w:p>
    <w:p w14:paraId="5F3D0DAF" w14:textId="77777777" w:rsidR="00976C61" w:rsidRPr="00976C61" w:rsidRDefault="00000000" w:rsidP="00976C61">
      <w:pPr>
        <w:pStyle w:val="TOC2"/>
        <w:tabs>
          <w:tab w:val="right" w:leader="dot" w:pos="9350"/>
        </w:tabs>
        <w:spacing w:before="120" w:after="120" w:line="360" w:lineRule="auto"/>
        <w:rPr>
          <w:rFonts w:ascii="Arial" w:eastAsiaTheme="minorEastAsia" w:hAnsi="Arial" w:cs="Arial"/>
          <w:noProof/>
        </w:rPr>
      </w:pPr>
      <w:hyperlink w:anchor="_Toc213327052" w:history="1">
        <w:r w:rsidR="00976C61" w:rsidRPr="00976C61">
          <w:rPr>
            <w:rStyle w:val="Hyperlink"/>
            <w:rFonts w:ascii="Arial" w:hAnsi="Arial" w:cs="Arial"/>
            <w:noProof/>
          </w:rPr>
          <w:t>2.3 Literature review</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_Toc213327052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4</w:t>
        </w:r>
        <w:r w:rsidR="00976C61" w:rsidRPr="00976C61">
          <w:rPr>
            <w:rFonts w:ascii="Arial" w:hAnsi="Arial" w:cs="Arial"/>
            <w:noProof/>
            <w:webHidden/>
          </w:rPr>
          <w:fldChar w:fldCharType="end"/>
        </w:r>
      </w:hyperlink>
    </w:p>
    <w:p w14:paraId="4442DE52" w14:textId="77777777" w:rsidR="00976C61" w:rsidRPr="00976C61" w:rsidRDefault="00000000" w:rsidP="00976C61">
      <w:pPr>
        <w:pStyle w:val="TOC2"/>
        <w:tabs>
          <w:tab w:val="right" w:leader="dot" w:pos="9350"/>
        </w:tabs>
        <w:spacing w:before="120" w:after="120" w:line="360" w:lineRule="auto"/>
        <w:rPr>
          <w:rFonts w:ascii="Arial" w:eastAsiaTheme="minorEastAsia" w:hAnsi="Arial" w:cs="Arial"/>
          <w:noProof/>
        </w:rPr>
      </w:pPr>
      <w:hyperlink w:anchor="_Toc213327053" w:history="1">
        <w:r w:rsidR="00976C61" w:rsidRPr="00976C61">
          <w:rPr>
            <w:rStyle w:val="Hyperlink"/>
            <w:rFonts w:ascii="Arial" w:eastAsia="Times New Roman" w:hAnsi="Arial" w:cs="Arial"/>
            <w:bCs/>
            <w:noProof/>
          </w:rPr>
          <w:t>2.4 Research Methodology</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_Toc213327053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5</w:t>
        </w:r>
        <w:r w:rsidR="00976C61" w:rsidRPr="00976C61">
          <w:rPr>
            <w:rFonts w:ascii="Arial" w:hAnsi="Arial" w:cs="Arial"/>
            <w:noProof/>
            <w:webHidden/>
          </w:rPr>
          <w:fldChar w:fldCharType="end"/>
        </w:r>
      </w:hyperlink>
    </w:p>
    <w:p w14:paraId="5457D145" w14:textId="77777777" w:rsidR="00976C61" w:rsidRPr="00976C61" w:rsidRDefault="00000000" w:rsidP="00976C61">
      <w:pPr>
        <w:pStyle w:val="TOC1"/>
        <w:tabs>
          <w:tab w:val="right" w:leader="dot" w:pos="9350"/>
        </w:tabs>
        <w:spacing w:before="120" w:after="120" w:line="360" w:lineRule="auto"/>
        <w:rPr>
          <w:rFonts w:ascii="Arial" w:eastAsiaTheme="minorEastAsia" w:hAnsi="Arial" w:cs="Arial"/>
          <w:noProof/>
        </w:rPr>
      </w:pPr>
      <w:hyperlink w:anchor="_Toc213327054" w:history="1">
        <w:r w:rsidR="00976C61" w:rsidRPr="00976C61">
          <w:rPr>
            <w:rStyle w:val="Hyperlink"/>
            <w:rFonts w:ascii="Arial" w:hAnsi="Arial" w:cs="Arial"/>
            <w:noProof/>
          </w:rPr>
          <w:t>3. Data collection</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_Toc213327054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7</w:t>
        </w:r>
        <w:r w:rsidR="00976C61" w:rsidRPr="00976C61">
          <w:rPr>
            <w:rFonts w:ascii="Arial" w:hAnsi="Arial" w:cs="Arial"/>
            <w:noProof/>
            <w:webHidden/>
          </w:rPr>
          <w:fldChar w:fldCharType="end"/>
        </w:r>
      </w:hyperlink>
    </w:p>
    <w:p w14:paraId="480429F8" w14:textId="77777777" w:rsidR="00976C61" w:rsidRPr="00976C61" w:rsidRDefault="00000000" w:rsidP="00976C61">
      <w:pPr>
        <w:pStyle w:val="TOC2"/>
        <w:tabs>
          <w:tab w:val="right" w:leader="dot" w:pos="9350"/>
        </w:tabs>
        <w:spacing w:before="120" w:after="120" w:line="360" w:lineRule="auto"/>
        <w:rPr>
          <w:rFonts w:ascii="Arial" w:eastAsiaTheme="minorEastAsia" w:hAnsi="Arial" w:cs="Arial"/>
          <w:noProof/>
        </w:rPr>
      </w:pPr>
      <w:hyperlink w:anchor="_Toc213327055" w:history="1">
        <w:r w:rsidR="00976C61" w:rsidRPr="00976C61">
          <w:rPr>
            <w:rStyle w:val="Hyperlink"/>
            <w:rFonts w:ascii="Arial" w:hAnsi="Arial" w:cs="Arial"/>
            <w:noProof/>
          </w:rPr>
          <w:t>3.1 Primary vs. Secondary Data</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_Toc213327055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7</w:t>
        </w:r>
        <w:r w:rsidR="00976C61" w:rsidRPr="00976C61">
          <w:rPr>
            <w:rFonts w:ascii="Arial" w:hAnsi="Arial" w:cs="Arial"/>
            <w:noProof/>
            <w:webHidden/>
          </w:rPr>
          <w:fldChar w:fldCharType="end"/>
        </w:r>
      </w:hyperlink>
    </w:p>
    <w:p w14:paraId="62CAEA21" w14:textId="77777777" w:rsidR="00976C61" w:rsidRPr="00976C61" w:rsidRDefault="00000000" w:rsidP="00976C61">
      <w:pPr>
        <w:pStyle w:val="TOC2"/>
        <w:tabs>
          <w:tab w:val="right" w:leader="dot" w:pos="9350"/>
        </w:tabs>
        <w:spacing w:before="120" w:after="120" w:line="360" w:lineRule="auto"/>
        <w:rPr>
          <w:rFonts w:ascii="Arial" w:eastAsiaTheme="minorEastAsia" w:hAnsi="Arial" w:cs="Arial"/>
          <w:noProof/>
        </w:rPr>
      </w:pPr>
      <w:hyperlink w:anchor="_Toc213327056" w:history="1">
        <w:r w:rsidR="00976C61" w:rsidRPr="00976C61">
          <w:rPr>
            <w:rStyle w:val="Hyperlink"/>
            <w:rFonts w:ascii="Arial" w:hAnsi="Arial" w:cs="Arial"/>
            <w:noProof/>
          </w:rPr>
          <w:t>3.2 Data choice for this research</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_Toc213327056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7</w:t>
        </w:r>
        <w:r w:rsidR="00976C61" w:rsidRPr="00976C61">
          <w:rPr>
            <w:rFonts w:ascii="Arial" w:hAnsi="Arial" w:cs="Arial"/>
            <w:noProof/>
            <w:webHidden/>
          </w:rPr>
          <w:fldChar w:fldCharType="end"/>
        </w:r>
      </w:hyperlink>
    </w:p>
    <w:p w14:paraId="1D84E86E" w14:textId="77777777" w:rsidR="00976C61" w:rsidRPr="00976C61" w:rsidRDefault="00000000" w:rsidP="00976C61">
      <w:pPr>
        <w:pStyle w:val="TOC1"/>
        <w:tabs>
          <w:tab w:val="right" w:leader="dot" w:pos="9350"/>
        </w:tabs>
        <w:spacing w:before="120" w:after="120" w:line="360" w:lineRule="auto"/>
        <w:rPr>
          <w:rFonts w:ascii="Arial" w:eastAsiaTheme="minorEastAsia" w:hAnsi="Arial" w:cs="Arial"/>
          <w:noProof/>
        </w:rPr>
      </w:pPr>
      <w:hyperlink w:anchor="_Toc213327057" w:history="1">
        <w:r w:rsidR="00976C61" w:rsidRPr="00976C61">
          <w:rPr>
            <w:rStyle w:val="Hyperlink"/>
            <w:rFonts w:ascii="Arial" w:hAnsi="Arial" w:cs="Arial"/>
            <w:noProof/>
          </w:rPr>
          <w:t>4. Conclusion</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_Toc213327057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7</w:t>
        </w:r>
        <w:r w:rsidR="00976C61" w:rsidRPr="00976C61">
          <w:rPr>
            <w:rFonts w:ascii="Arial" w:hAnsi="Arial" w:cs="Arial"/>
            <w:noProof/>
            <w:webHidden/>
          </w:rPr>
          <w:fldChar w:fldCharType="end"/>
        </w:r>
      </w:hyperlink>
    </w:p>
    <w:p w14:paraId="0ED581C8" w14:textId="77777777" w:rsidR="00976C61" w:rsidRPr="00976C61" w:rsidRDefault="00000000" w:rsidP="00976C61">
      <w:pPr>
        <w:pStyle w:val="TOC1"/>
        <w:tabs>
          <w:tab w:val="right" w:leader="dot" w:pos="9350"/>
        </w:tabs>
        <w:spacing w:before="120" w:after="120" w:line="360" w:lineRule="auto"/>
        <w:rPr>
          <w:rFonts w:ascii="Arial" w:eastAsiaTheme="minorEastAsia" w:hAnsi="Arial" w:cs="Arial"/>
          <w:noProof/>
        </w:rPr>
      </w:pPr>
      <w:hyperlink w:anchor="_Toc213327058" w:history="1">
        <w:r w:rsidR="00976C61" w:rsidRPr="00976C61">
          <w:rPr>
            <w:rStyle w:val="Hyperlink"/>
            <w:rFonts w:ascii="Arial" w:hAnsi="Arial" w:cs="Arial"/>
            <w:noProof/>
          </w:rPr>
          <w:t>5. References</w:t>
        </w:r>
        <w:r w:rsidR="00976C61" w:rsidRPr="00976C61">
          <w:rPr>
            <w:rFonts w:ascii="Arial" w:hAnsi="Arial" w:cs="Arial"/>
            <w:noProof/>
            <w:webHidden/>
          </w:rPr>
          <w:tab/>
        </w:r>
        <w:r w:rsidR="00976C61" w:rsidRPr="00976C61">
          <w:rPr>
            <w:rFonts w:ascii="Arial" w:hAnsi="Arial" w:cs="Arial"/>
            <w:noProof/>
            <w:webHidden/>
          </w:rPr>
          <w:fldChar w:fldCharType="begin"/>
        </w:r>
        <w:r w:rsidR="00976C61" w:rsidRPr="00976C61">
          <w:rPr>
            <w:rFonts w:ascii="Arial" w:hAnsi="Arial" w:cs="Arial"/>
            <w:noProof/>
            <w:webHidden/>
          </w:rPr>
          <w:instrText xml:space="preserve"> PAGEREF _Toc213327058 \h </w:instrText>
        </w:r>
        <w:r w:rsidR="00976C61" w:rsidRPr="00976C61">
          <w:rPr>
            <w:rFonts w:ascii="Arial" w:hAnsi="Arial" w:cs="Arial"/>
            <w:noProof/>
            <w:webHidden/>
          </w:rPr>
        </w:r>
        <w:r w:rsidR="00976C61" w:rsidRPr="00976C61">
          <w:rPr>
            <w:rFonts w:ascii="Arial" w:hAnsi="Arial" w:cs="Arial"/>
            <w:noProof/>
            <w:webHidden/>
          </w:rPr>
          <w:fldChar w:fldCharType="separate"/>
        </w:r>
        <w:r w:rsidR="00976C61" w:rsidRPr="00976C61">
          <w:rPr>
            <w:rFonts w:ascii="Arial" w:hAnsi="Arial" w:cs="Arial"/>
            <w:noProof/>
            <w:webHidden/>
          </w:rPr>
          <w:t>9</w:t>
        </w:r>
        <w:r w:rsidR="00976C61" w:rsidRPr="00976C61">
          <w:rPr>
            <w:rFonts w:ascii="Arial" w:hAnsi="Arial" w:cs="Arial"/>
            <w:noProof/>
            <w:webHidden/>
          </w:rPr>
          <w:fldChar w:fldCharType="end"/>
        </w:r>
      </w:hyperlink>
    </w:p>
    <w:p w14:paraId="2FE08384" w14:textId="77777777" w:rsidR="00A241FA" w:rsidRPr="00A241FA" w:rsidRDefault="00A241FA" w:rsidP="00E14E51">
      <w:pPr>
        <w:spacing w:before="120" w:after="120" w:line="360" w:lineRule="auto"/>
        <w:jc w:val="both"/>
        <w:rPr>
          <w:rFonts w:ascii="Arial" w:eastAsia="Times New Roman" w:hAnsi="Arial" w:cs="Arial"/>
          <w:bCs/>
          <w:sz w:val="24"/>
          <w:szCs w:val="24"/>
        </w:rPr>
      </w:pPr>
      <w:r w:rsidRPr="00A241FA">
        <w:rPr>
          <w:rFonts w:ascii="Arial" w:eastAsia="Times New Roman" w:hAnsi="Arial" w:cs="Arial"/>
          <w:bCs/>
          <w:sz w:val="24"/>
          <w:szCs w:val="24"/>
        </w:rPr>
        <w:fldChar w:fldCharType="end"/>
      </w:r>
      <w:bookmarkEnd w:id="0"/>
    </w:p>
    <w:p w14:paraId="532218B9" w14:textId="77777777" w:rsidR="00E8394A" w:rsidRDefault="00E8394A" w:rsidP="00E14E51">
      <w:pPr>
        <w:spacing w:before="120" w:after="120" w:line="360" w:lineRule="auto"/>
        <w:jc w:val="both"/>
        <w:rPr>
          <w:rFonts w:ascii="Arial" w:eastAsia="Times New Roman" w:hAnsi="Arial" w:cs="Arial"/>
          <w:bCs/>
          <w:sz w:val="24"/>
          <w:szCs w:val="24"/>
        </w:rPr>
      </w:pPr>
    </w:p>
    <w:p w14:paraId="5E1B4CC5" w14:textId="77777777" w:rsidR="005E63BE" w:rsidRDefault="005E63BE" w:rsidP="00E14E51">
      <w:pPr>
        <w:spacing w:before="120" w:after="120" w:line="360" w:lineRule="auto"/>
        <w:jc w:val="both"/>
        <w:rPr>
          <w:rFonts w:ascii="Arial" w:eastAsia="Times New Roman" w:hAnsi="Arial" w:cs="Arial"/>
          <w:bCs/>
          <w:sz w:val="24"/>
          <w:szCs w:val="24"/>
        </w:rPr>
      </w:pPr>
    </w:p>
    <w:p w14:paraId="585CFA0E" w14:textId="77777777" w:rsidR="005E63BE" w:rsidRDefault="005E63BE" w:rsidP="00E14E51">
      <w:pPr>
        <w:spacing w:before="120" w:after="120" w:line="360" w:lineRule="auto"/>
        <w:jc w:val="both"/>
        <w:rPr>
          <w:rFonts w:ascii="Arial" w:eastAsia="Times New Roman" w:hAnsi="Arial" w:cs="Arial"/>
          <w:bCs/>
          <w:sz w:val="24"/>
          <w:szCs w:val="24"/>
        </w:rPr>
      </w:pPr>
    </w:p>
    <w:p w14:paraId="01F1D8C9" w14:textId="77777777" w:rsidR="005E63BE" w:rsidRDefault="005E63BE" w:rsidP="00E14E51">
      <w:pPr>
        <w:spacing w:before="120" w:after="120" w:line="360" w:lineRule="auto"/>
        <w:jc w:val="both"/>
        <w:rPr>
          <w:rFonts w:ascii="Arial" w:eastAsia="Times New Roman" w:hAnsi="Arial" w:cs="Arial"/>
          <w:bCs/>
          <w:sz w:val="24"/>
          <w:szCs w:val="24"/>
        </w:rPr>
      </w:pPr>
    </w:p>
    <w:p w14:paraId="36164780" w14:textId="77777777" w:rsidR="005E63BE" w:rsidRDefault="005E63BE" w:rsidP="00E14E51">
      <w:pPr>
        <w:spacing w:before="120" w:after="120" w:line="360" w:lineRule="auto"/>
        <w:jc w:val="both"/>
        <w:rPr>
          <w:rFonts w:ascii="Arial" w:eastAsia="Times New Roman" w:hAnsi="Arial" w:cs="Arial"/>
          <w:bCs/>
          <w:sz w:val="24"/>
          <w:szCs w:val="24"/>
        </w:rPr>
      </w:pPr>
    </w:p>
    <w:p w14:paraId="0FC1C0FD" w14:textId="77777777" w:rsidR="005E63BE" w:rsidRDefault="005E63BE" w:rsidP="00E14E51">
      <w:pPr>
        <w:spacing w:before="120" w:after="120" w:line="360" w:lineRule="auto"/>
        <w:jc w:val="both"/>
        <w:rPr>
          <w:rFonts w:ascii="Arial" w:eastAsia="Times New Roman" w:hAnsi="Arial" w:cs="Arial"/>
          <w:bCs/>
          <w:sz w:val="24"/>
          <w:szCs w:val="24"/>
        </w:rPr>
      </w:pPr>
    </w:p>
    <w:p w14:paraId="171558F8" w14:textId="77777777" w:rsidR="005E63BE" w:rsidRDefault="005E63BE" w:rsidP="00E14E51">
      <w:pPr>
        <w:spacing w:before="120" w:after="120" w:line="360" w:lineRule="auto"/>
        <w:jc w:val="both"/>
        <w:rPr>
          <w:rFonts w:ascii="Arial" w:eastAsia="Times New Roman" w:hAnsi="Arial" w:cs="Arial"/>
          <w:bCs/>
          <w:sz w:val="24"/>
          <w:szCs w:val="24"/>
        </w:rPr>
      </w:pPr>
    </w:p>
    <w:p w14:paraId="2902D845" w14:textId="77777777" w:rsidR="005E63BE" w:rsidRDefault="005E63BE" w:rsidP="00E14E51">
      <w:pPr>
        <w:spacing w:before="120" w:after="120" w:line="360" w:lineRule="auto"/>
        <w:jc w:val="both"/>
        <w:rPr>
          <w:rFonts w:ascii="Arial" w:eastAsia="Times New Roman" w:hAnsi="Arial" w:cs="Arial"/>
          <w:bCs/>
          <w:sz w:val="24"/>
          <w:szCs w:val="24"/>
        </w:rPr>
      </w:pPr>
    </w:p>
    <w:p w14:paraId="6D2F8F0E" w14:textId="77777777" w:rsidR="005E63BE" w:rsidRDefault="005E63BE" w:rsidP="00E14E51">
      <w:pPr>
        <w:spacing w:before="120" w:after="120" w:line="360" w:lineRule="auto"/>
        <w:jc w:val="both"/>
        <w:rPr>
          <w:rFonts w:ascii="Arial" w:eastAsia="Times New Roman" w:hAnsi="Arial" w:cs="Arial"/>
          <w:bCs/>
          <w:sz w:val="24"/>
          <w:szCs w:val="24"/>
        </w:rPr>
      </w:pPr>
    </w:p>
    <w:p w14:paraId="548FEA92" w14:textId="77777777" w:rsidR="005E63BE" w:rsidRDefault="005E63BE" w:rsidP="00E14E51">
      <w:pPr>
        <w:spacing w:before="120" w:after="120" w:line="360" w:lineRule="auto"/>
        <w:jc w:val="both"/>
        <w:rPr>
          <w:rFonts w:ascii="Arial" w:eastAsia="Times New Roman" w:hAnsi="Arial" w:cs="Arial"/>
          <w:bCs/>
          <w:sz w:val="24"/>
          <w:szCs w:val="24"/>
        </w:rPr>
      </w:pPr>
    </w:p>
    <w:p w14:paraId="3026BED4" w14:textId="77777777" w:rsidR="00BF0CAF" w:rsidRPr="00C47FB1" w:rsidRDefault="00BF0CAF" w:rsidP="00E14E51">
      <w:pPr>
        <w:spacing w:before="120" w:after="120" w:line="360" w:lineRule="auto"/>
        <w:jc w:val="both"/>
        <w:rPr>
          <w:rFonts w:ascii="Arial" w:eastAsia="Times New Roman" w:hAnsi="Arial" w:cs="Arial"/>
          <w:sz w:val="24"/>
          <w:szCs w:val="24"/>
        </w:rPr>
      </w:pPr>
    </w:p>
    <w:p w14:paraId="5973920C" w14:textId="77777777" w:rsidR="00C47FB1" w:rsidRPr="00A241FA" w:rsidRDefault="00C47FB1" w:rsidP="00E14E51">
      <w:pPr>
        <w:pStyle w:val="Heading1"/>
      </w:pPr>
      <w:bookmarkStart w:id="1" w:name="_Toc213327048"/>
      <w:bookmarkStart w:id="2" w:name="_Hlk213603569"/>
      <w:bookmarkStart w:id="3" w:name="_Hlk213603801"/>
      <w:r w:rsidRPr="00A241FA">
        <w:lastRenderedPageBreak/>
        <w:t>1. Introduction</w:t>
      </w:r>
      <w:bookmarkEnd w:id="1"/>
      <w:r w:rsidRPr="00A241FA">
        <w:t xml:space="preserve"> </w:t>
      </w:r>
    </w:p>
    <w:p w14:paraId="41B6B7B1" w14:textId="69D4C4E5" w:rsidR="001D0E48" w:rsidRPr="00A241FA" w:rsidRDefault="00C47FB1" w:rsidP="00E14E51">
      <w:p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 xml:space="preserve">COVID-19 pandemic profoundly altered daily life in UK care homes. Infection-control measures such as room isolation, limits on communal activities and visiting restrictions disrupted the routines and relationships that typically support residents’ wellbeing (CQC, </w:t>
      </w:r>
      <w:r w:rsidR="001C6A1C" w:rsidRPr="00C47FB1">
        <w:rPr>
          <w:rFonts w:ascii="Arial" w:eastAsia="Times New Roman" w:hAnsi="Arial" w:cs="Arial"/>
          <w:sz w:val="24"/>
          <w:szCs w:val="24"/>
        </w:rPr>
        <w:t xml:space="preserve">The </w:t>
      </w:r>
      <w:r w:rsidRPr="00C47FB1">
        <w:rPr>
          <w:rFonts w:ascii="Arial" w:eastAsia="Times New Roman" w:hAnsi="Arial" w:cs="Arial"/>
          <w:sz w:val="24"/>
          <w:szCs w:val="24"/>
        </w:rPr>
        <w:t xml:space="preserve">2021). Mental health is a core concern in health and social care because low mood, anxiety, </w:t>
      </w:r>
      <w:r w:rsidR="001C6A1C" w:rsidRPr="00C47FB1">
        <w:rPr>
          <w:rFonts w:ascii="Arial" w:eastAsia="Times New Roman" w:hAnsi="Arial" w:cs="Arial"/>
          <w:sz w:val="24"/>
          <w:szCs w:val="24"/>
        </w:rPr>
        <w:t>behavioral</w:t>
      </w:r>
      <w:r w:rsidRPr="00C47FB1">
        <w:rPr>
          <w:rFonts w:ascii="Arial" w:eastAsia="Times New Roman" w:hAnsi="Arial" w:cs="Arial"/>
          <w:sz w:val="24"/>
          <w:szCs w:val="24"/>
        </w:rPr>
        <w:t xml:space="preserve"> </w:t>
      </w:r>
      <w:r w:rsidR="001C6A1C" w:rsidRPr="00C47FB1">
        <w:rPr>
          <w:rFonts w:ascii="Arial" w:eastAsia="Times New Roman" w:hAnsi="Arial" w:cs="Arial"/>
          <w:sz w:val="24"/>
          <w:szCs w:val="24"/>
        </w:rPr>
        <w:t>symptoms,</w:t>
      </w:r>
      <w:r w:rsidRPr="00C47FB1">
        <w:rPr>
          <w:rFonts w:ascii="Arial" w:eastAsia="Times New Roman" w:hAnsi="Arial" w:cs="Arial"/>
          <w:sz w:val="24"/>
          <w:szCs w:val="24"/>
        </w:rPr>
        <w:t xml:space="preserve"> and loneliness are linked to reduced quality of life, higher care needs and increased service use (NICE, 2013). In the UK context, many residents are older adults and a substantial proportion live with dementia, making them particularly sensitive to social and environmental change (Alzheimer’s Society, 2020). Wider UK data also indicate elevated psychological distress during the pandemic, providing important context for car</w:t>
      </w:r>
      <w:r w:rsidR="001D0E48" w:rsidRPr="00A241FA">
        <w:rPr>
          <w:rFonts w:ascii="Arial" w:eastAsia="Times New Roman" w:hAnsi="Arial" w:cs="Arial"/>
          <w:sz w:val="24"/>
          <w:szCs w:val="24"/>
        </w:rPr>
        <w:t>e-home experiences (ONS, 2021).</w:t>
      </w:r>
    </w:p>
    <w:p w14:paraId="19B1D945" w14:textId="77777777" w:rsidR="001D0E48" w:rsidRPr="00A241FA" w:rsidRDefault="001D0E48"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t xml:space="preserve">Aim: </w:t>
      </w:r>
      <w:r w:rsidR="00C47FB1" w:rsidRPr="00C47FB1">
        <w:rPr>
          <w:rFonts w:ascii="Arial" w:eastAsia="Times New Roman" w:hAnsi="Arial" w:cs="Arial"/>
          <w:sz w:val="24"/>
          <w:szCs w:val="24"/>
        </w:rPr>
        <w:t>This study examines the effects of COVID-19 on the mental health of care-home residents in the UK and identifies operational factors associated</w:t>
      </w:r>
      <w:r w:rsidRPr="00A241FA">
        <w:rPr>
          <w:rFonts w:ascii="Arial" w:eastAsia="Times New Roman" w:hAnsi="Arial" w:cs="Arial"/>
          <w:sz w:val="24"/>
          <w:szCs w:val="24"/>
        </w:rPr>
        <w:t xml:space="preserve"> with better or worse outcomes.</w:t>
      </w:r>
    </w:p>
    <w:p w14:paraId="56E8E8FB" w14:textId="3BF35546" w:rsidR="00C47FB1" w:rsidRPr="00C47FB1" w:rsidRDefault="001D0E48"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t>Report outline:</w:t>
      </w:r>
      <w:r w:rsidR="00C47FB1" w:rsidRPr="00C47FB1">
        <w:rPr>
          <w:rFonts w:ascii="Arial" w:eastAsia="Times New Roman" w:hAnsi="Arial" w:cs="Arial"/>
          <w:sz w:val="24"/>
          <w:szCs w:val="24"/>
        </w:rPr>
        <w:t xml:space="preserve"> Section 2 defines the problem and justifies the research; Section 3 reviews key literature; Section 4 sets out the quantitative methodology; Section 5 details data collection choices and analysis (descriptive statistics, charts, tables, </w:t>
      </w:r>
      <w:r w:rsidR="004360E9" w:rsidRPr="00C47FB1">
        <w:rPr>
          <w:rFonts w:ascii="Arial" w:eastAsia="Times New Roman" w:hAnsi="Arial" w:cs="Arial"/>
          <w:sz w:val="24"/>
          <w:szCs w:val="24"/>
        </w:rPr>
        <w:t>figures,</w:t>
      </w:r>
      <w:r w:rsidR="00C47FB1" w:rsidRPr="00C47FB1">
        <w:rPr>
          <w:rFonts w:ascii="Arial" w:eastAsia="Times New Roman" w:hAnsi="Arial" w:cs="Arial"/>
          <w:sz w:val="24"/>
          <w:szCs w:val="24"/>
        </w:rPr>
        <w:t xml:space="preserve"> and cross-tabulations in Excel); the conclusion </w:t>
      </w:r>
      <w:r w:rsidR="001C6A1C" w:rsidRPr="00C47FB1">
        <w:rPr>
          <w:rFonts w:ascii="Arial" w:eastAsia="Times New Roman" w:hAnsi="Arial" w:cs="Arial"/>
          <w:sz w:val="24"/>
          <w:szCs w:val="24"/>
        </w:rPr>
        <w:t>summaries</w:t>
      </w:r>
      <w:r w:rsidR="00C47FB1" w:rsidRPr="00C47FB1">
        <w:rPr>
          <w:rFonts w:ascii="Arial" w:eastAsia="Times New Roman" w:hAnsi="Arial" w:cs="Arial"/>
          <w:sz w:val="24"/>
          <w:szCs w:val="24"/>
        </w:rPr>
        <w:t xml:space="preserve"> implications for practice and future research.</w:t>
      </w:r>
    </w:p>
    <w:p w14:paraId="403ED8E0" w14:textId="77777777" w:rsidR="00C47FB1" w:rsidRPr="00A241FA" w:rsidRDefault="00C47FB1" w:rsidP="00E14E51">
      <w:pPr>
        <w:pStyle w:val="Heading1"/>
      </w:pPr>
      <w:bookmarkStart w:id="4" w:name="_Toc213327049"/>
      <w:bookmarkEnd w:id="2"/>
      <w:r w:rsidRPr="00A241FA">
        <w:t>2. Research topic identification</w:t>
      </w:r>
      <w:bookmarkEnd w:id="4"/>
    </w:p>
    <w:p w14:paraId="4612CE3C" w14:textId="77777777" w:rsidR="00C47FB1" w:rsidRPr="00A241FA" w:rsidRDefault="00C47FB1" w:rsidP="00E14E51">
      <w:pPr>
        <w:pStyle w:val="Heading2"/>
        <w:spacing w:before="120" w:beforeAutospacing="0" w:after="120" w:afterAutospacing="0" w:line="360" w:lineRule="auto"/>
        <w:rPr>
          <w:rFonts w:ascii="Arial" w:hAnsi="Arial" w:cs="Arial"/>
        </w:rPr>
      </w:pPr>
      <w:bookmarkStart w:id="5" w:name="_Toc213327050"/>
      <w:r w:rsidRPr="00A241FA">
        <w:rPr>
          <w:rFonts w:ascii="Arial" w:hAnsi="Arial" w:cs="Arial"/>
        </w:rPr>
        <w:t>2.1 Identifying the problem/issue</w:t>
      </w:r>
      <w:bookmarkEnd w:id="5"/>
      <w:r w:rsidRPr="00A241FA">
        <w:rPr>
          <w:rFonts w:ascii="Arial" w:hAnsi="Arial" w:cs="Arial"/>
        </w:rPr>
        <w:t xml:space="preserve"> </w:t>
      </w:r>
    </w:p>
    <w:p w14:paraId="5A7EAADD" w14:textId="562CD429" w:rsidR="00C47FB1" w:rsidRPr="00C47FB1" w:rsidRDefault="00C47FB1" w:rsidP="00E14E51">
      <w:p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 xml:space="preserve">Care-home residents commonly experience frailty, multimorbidity and cognitive impairment, which increase vulnerability to poor mental health. During </w:t>
      </w:r>
      <w:r w:rsidR="004C5943" w:rsidRPr="00A241FA">
        <w:rPr>
          <w:rFonts w:ascii="Arial" w:eastAsia="Times New Roman" w:hAnsi="Arial" w:cs="Arial"/>
          <w:sz w:val="24"/>
          <w:szCs w:val="24"/>
        </w:rPr>
        <w:t xml:space="preserve">COVID-19, necessary protections, </w:t>
      </w:r>
      <w:r w:rsidRPr="00C47FB1">
        <w:rPr>
          <w:rFonts w:ascii="Arial" w:eastAsia="Times New Roman" w:hAnsi="Arial" w:cs="Arial"/>
          <w:sz w:val="24"/>
          <w:szCs w:val="24"/>
        </w:rPr>
        <w:t>restricted visiting, PPE-mediated interact</w:t>
      </w:r>
      <w:r w:rsidR="004C5943" w:rsidRPr="00A241FA">
        <w:rPr>
          <w:rFonts w:ascii="Arial" w:eastAsia="Times New Roman" w:hAnsi="Arial" w:cs="Arial"/>
          <w:sz w:val="24"/>
          <w:szCs w:val="24"/>
        </w:rPr>
        <w:t xml:space="preserve">ions and reduced group activity, </w:t>
      </w:r>
      <w:r w:rsidRPr="00C47FB1">
        <w:rPr>
          <w:rFonts w:ascii="Arial" w:eastAsia="Times New Roman" w:hAnsi="Arial" w:cs="Arial"/>
          <w:sz w:val="24"/>
          <w:szCs w:val="24"/>
        </w:rPr>
        <w:t xml:space="preserve">removed many inputs that sustain wellbeing (CQC, 2021). UK evidence from dementia charities reported heightened loneliness, anxiety and loss of skills when stimulation and family contact were curtailed (Alzheimer’s Society, 2020). Baseline expectations for mental wellbeing in care homes (e.g., meaningful activity, personal identity, and social connection) were harder to maintain under outbreak conditions (NICE, </w:t>
      </w:r>
      <w:r w:rsidRPr="00C47FB1">
        <w:rPr>
          <w:rFonts w:ascii="Arial" w:eastAsia="Times New Roman" w:hAnsi="Arial" w:cs="Arial"/>
          <w:sz w:val="24"/>
          <w:szCs w:val="24"/>
        </w:rPr>
        <w:lastRenderedPageBreak/>
        <w:t xml:space="preserve">2013). At a population level, depressive symptoms rose markedly during the pandemic, underscoring the likelihood of similar or greater effects among care-home residents (ONS, 2021). This matters system-wide: deteriorating mental health can increase </w:t>
      </w:r>
      <w:r w:rsidR="00FE0FFA" w:rsidRPr="00C47FB1">
        <w:rPr>
          <w:rFonts w:ascii="Arial" w:eastAsia="Times New Roman" w:hAnsi="Arial" w:cs="Arial"/>
          <w:sz w:val="24"/>
          <w:szCs w:val="24"/>
        </w:rPr>
        <w:t>behavioral</w:t>
      </w:r>
      <w:r w:rsidRPr="00C47FB1">
        <w:rPr>
          <w:rFonts w:ascii="Arial" w:eastAsia="Times New Roman" w:hAnsi="Arial" w:cs="Arial"/>
          <w:sz w:val="24"/>
          <w:szCs w:val="24"/>
        </w:rPr>
        <w:t xml:space="preserve"> distress, medication use and avoidable hospital transfers, and it adds to staff workload (CQC, 2021). Understanding patterns and associated practices is therefore essential.</w:t>
      </w:r>
    </w:p>
    <w:p w14:paraId="486DBCAC" w14:textId="77777777" w:rsidR="00C47FB1" w:rsidRPr="00A241FA" w:rsidRDefault="00C47FB1" w:rsidP="00E14E51">
      <w:pPr>
        <w:pStyle w:val="Heading2"/>
        <w:spacing w:before="120" w:beforeAutospacing="0" w:after="120" w:afterAutospacing="0" w:line="360" w:lineRule="auto"/>
        <w:rPr>
          <w:rFonts w:ascii="Arial" w:hAnsi="Arial" w:cs="Arial"/>
        </w:rPr>
      </w:pPr>
      <w:bookmarkStart w:id="6" w:name="_Toc213327051"/>
      <w:r w:rsidRPr="00A241FA">
        <w:rPr>
          <w:rFonts w:ascii="Arial" w:hAnsi="Arial" w:cs="Arial"/>
        </w:rPr>
        <w:t>2.2 Justification for the research</w:t>
      </w:r>
      <w:bookmarkEnd w:id="6"/>
      <w:r w:rsidRPr="00A241FA">
        <w:rPr>
          <w:rFonts w:ascii="Arial" w:hAnsi="Arial" w:cs="Arial"/>
        </w:rPr>
        <w:t xml:space="preserve"> </w:t>
      </w:r>
    </w:p>
    <w:p w14:paraId="34EBEAE7" w14:textId="77777777" w:rsidR="00D518BE" w:rsidRPr="00A241FA" w:rsidRDefault="00D518BE"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t>Social importance:</w:t>
      </w:r>
      <w:r w:rsidR="007809CB">
        <w:rPr>
          <w:rFonts w:ascii="Arial" w:eastAsia="Times New Roman" w:hAnsi="Arial" w:cs="Arial"/>
          <w:bCs/>
          <w:sz w:val="24"/>
          <w:szCs w:val="24"/>
        </w:rPr>
        <w:t xml:space="preserve"> </w:t>
      </w:r>
      <w:r w:rsidR="00C47FB1" w:rsidRPr="00C47FB1">
        <w:rPr>
          <w:rFonts w:ascii="Arial" w:eastAsia="Times New Roman" w:hAnsi="Arial" w:cs="Arial"/>
          <w:sz w:val="24"/>
          <w:szCs w:val="24"/>
        </w:rPr>
        <w:t>Residents’ rights to connection and meaningful activity must be balanced with infection prevention; robust evidence helps services make proportionate dec</w:t>
      </w:r>
      <w:r w:rsidRPr="00A241FA">
        <w:rPr>
          <w:rFonts w:ascii="Arial" w:eastAsia="Times New Roman" w:hAnsi="Arial" w:cs="Arial"/>
          <w:sz w:val="24"/>
          <w:szCs w:val="24"/>
        </w:rPr>
        <w:t>isions (NICE, 2013; CQC, 2021).</w:t>
      </w:r>
    </w:p>
    <w:p w14:paraId="599F6048" w14:textId="77777777" w:rsidR="002B3189" w:rsidRPr="00A241FA" w:rsidRDefault="002B3189"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t>Practical importance:</w:t>
      </w:r>
      <w:r w:rsidR="00C47FB1" w:rsidRPr="00C47FB1">
        <w:rPr>
          <w:rFonts w:ascii="Arial" w:eastAsia="Times New Roman" w:hAnsi="Arial" w:cs="Arial"/>
          <w:sz w:val="24"/>
          <w:szCs w:val="24"/>
        </w:rPr>
        <w:t xml:space="preserve"> Providers need to</w:t>
      </w:r>
      <w:r w:rsidR="003C2A50">
        <w:rPr>
          <w:rFonts w:ascii="Arial" w:eastAsia="Times New Roman" w:hAnsi="Arial" w:cs="Arial"/>
          <w:sz w:val="24"/>
          <w:szCs w:val="24"/>
        </w:rPr>
        <w:t xml:space="preserve"> know which operational choices, </w:t>
      </w:r>
      <w:r w:rsidR="00C47FB1" w:rsidRPr="00C47FB1">
        <w:rPr>
          <w:rFonts w:ascii="Arial" w:eastAsia="Times New Roman" w:hAnsi="Arial" w:cs="Arial"/>
          <w:sz w:val="24"/>
          <w:szCs w:val="24"/>
        </w:rPr>
        <w:t>such as visiting arrangements, adapte</w:t>
      </w:r>
      <w:r w:rsidR="003C2A50">
        <w:rPr>
          <w:rFonts w:ascii="Arial" w:eastAsia="Times New Roman" w:hAnsi="Arial" w:cs="Arial"/>
          <w:sz w:val="24"/>
          <w:szCs w:val="24"/>
        </w:rPr>
        <w:t xml:space="preserve">d activities or digital contact, </w:t>
      </w:r>
      <w:r w:rsidR="00C47FB1" w:rsidRPr="00C47FB1">
        <w:rPr>
          <w:rFonts w:ascii="Arial" w:eastAsia="Times New Roman" w:hAnsi="Arial" w:cs="Arial"/>
          <w:sz w:val="24"/>
          <w:szCs w:val="24"/>
        </w:rPr>
        <w:t>best protect mental health during outbreaks a</w:t>
      </w:r>
      <w:r w:rsidRPr="00A241FA">
        <w:rPr>
          <w:rFonts w:ascii="Arial" w:eastAsia="Times New Roman" w:hAnsi="Arial" w:cs="Arial"/>
          <w:sz w:val="24"/>
          <w:szCs w:val="24"/>
        </w:rPr>
        <w:t>nd in routine care (CQC, 2021).</w:t>
      </w:r>
    </w:p>
    <w:p w14:paraId="523D851E" w14:textId="77777777" w:rsidR="00FA40A2" w:rsidRPr="00A241FA" w:rsidRDefault="002B3189"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t>Research gap:</w:t>
      </w:r>
      <w:r w:rsidR="00C47FB1" w:rsidRPr="00C47FB1">
        <w:rPr>
          <w:rFonts w:ascii="Arial" w:eastAsia="Times New Roman" w:hAnsi="Arial" w:cs="Arial"/>
          <w:sz w:val="24"/>
          <w:szCs w:val="24"/>
        </w:rPr>
        <w:t xml:space="preserve"> Many accounts are qualitative or system-level; fewer UK studies quantify, across multiple homes, which practices correlate with better resident mental-health indicators (Alzheimer’s Society, 2020; ONS, 2021). A concise, UK-wide survey can supply comparable, descriptive evide</w:t>
      </w:r>
      <w:r w:rsidR="00FA40A2" w:rsidRPr="00A241FA">
        <w:rPr>
          <w:rFonts w:ascii="Arial" w:eastAsia="Times New Roman" w:hAnsi="Arial" w:cs="Arial"/>
          <w:sz w:val="24"/>
          <w:szCs w:val="24"/>
        </w:rPr>
        <w:t>nce to guide everyday practice.</w:t>
      </w:r>
    </w:p>
    <w:p w14:paraId="1D28BD5F" w14:textId="77777777" w:rsidR="00C47FB1" w:rsidRPr="00C47FB1" w:rsidRDefault="00C47FB1" w:rsidP="00E14E51">
      <w:p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By clarifying which measures were most harmful or protective, the study can inform staff training, activity programming and visiting policies, supporting improvements in quality of life and service planning.</w:t>
      </w:r>
    </w:p>
    <w:p w14:paraId="3EF5A773" w14:textId="77777777" w:rsidR="00C47FB1" w:rsidRPr="00A241FA" w:rsidRDefault="00C47FB1" w:rsidP="00E14E51">
      <w:pPr>
        <w:pStyle w:val="Heading2"/>
        <w:spacing w:before="120" w:beforeAutospacing="0" w:after="120" w:afterAutospacing="0" w:line="360" w:lineRule="auto"/>
        <w:rPr>
          <w:rFonts w:ascii="Arial" w:hAnsi="Arial" w:cs="Arial"/>
        </w:rPr>
      </w:pPr>
      <w:bookmarkStart w:id="7" w:name="_Toc213327052"/>
      <w:r w:rsidRPr="00A241FA">
        <w:rPr>
          <w:rFonts w:ascii="Arial" w:hAnsi="Arial" w:cs="Arial"/>
        </w:rPr>
        <w:t>2.3 Literature review</w:t>
      </w:r>
      <w:bookmarkEnd w:id="7"/>
      <w:r w:rsidRPr="00A241FA">
        <w:rPr>
          <w:rFonts w:ascii="Arial" w:hAnsi="Arial" w:cs="Arial"/>
        </w:rPr>
        <w:t xml:space="preserve"> </w:t>
      </w:r>
    </w:p>
    <w:p w14:paraId="7125BA9F" w14:textId="77777777" w:rsidR="00C04238" w:rsidRPr="00183DF6" w:rsidRDefault="00C04238" w:rsidP="00183DF6">
      <w:pPr>
        <w:pStyle w:val="NormalWeb"/>
        <w:spacing w:before="120" w:beforeAutospacing="0" w:after="120" w:afterAutospacing="0" w:line="360" w:lineRule="auto"/>
        <w:jc w:val="both"/>
        <w:rPr>
          <w:rFonts w:ascii="Arial" w:hAnsi="Arial" w:cs="Arial"/>
        </w:rPr>
      </w:pPr>
      <w:r w:rsidRPr="00183DF6">
        <w:rPr>
          <w:rFonts w:ascii="Arial" w:hAnsi="Arial" w:cs="Arial"/>
        </w:rPr>
        <w:t>Suárez-González et al.</w:t>
      </w:r>
      <w:r w:rsidR="00E06161" w:rsidRPr="00183DF6">
        <w:rPr>
          <w:rFonts w:ascii="Arial" w:hAnsi="Arial" w:cs="Arial"/>
        </w:rPr>
        <w:t xml:space="preserve"> (2021)</w:t>
      </w:r>
      <w:r w:rsidRPr="00183DF6">
        <w:rPr>
          <w:rFonts w:ascii="Arial" w:hAnsi="Arial" w:cs="Arial"/>
        </w:rPr>
        <w:t xml:space="preserve"> conducted a rapid systematic review of 15 quantitative studies (n=6,442) examining dementia during COVID-19 isolation. They found widespread deterioration: 93% of studies reported worsening or new neuropsychiatric symptoms, 60% reported cognitive decline, and nearly half noted functional decline. The authors argue isolation policies harmed cognitive and mental health, urging guidance that balances infection control with non-maleficence. This evidence underpins hypotheses about increased low mood, anxiety and agitation in care home</w:t>
      </w:r>
      <w:r w:rsidR="003D24AE" w:rsidRPr="00183DF6">
        <w:rPr>
          <w:rFonts w:ascii="Arial" w:hAnsi="Arial" w:cs="Arial"/>
        </w:rPr>
        <w:t>s</w:t>
      </w:r>
      <w:r w:rsidRPr="00183DF6">
        <w:rPr>
          <w:rFonts w:ascii="Arial" w:hAnsi="Arial" w:cs="Arial"/>
        </w:rPr>
        <w:t xml:space="preserve">. </w:t>
      </w:r>
    </w:p>
    <w:p w14:paraId="4F75496A" w14:textId="77777777" w:rsidR="00C04238" w:rsidRPr="00183DF6" w:rsidRDefault="00C04238" w:rsidP="00183DF6">
      <w:pPr>
        <w:pStyle w:val="NormalWeb"/>
        <w:spacing w:before="120" w:beforeAutospacing="0" w:after="120" w:afterAutospacing="0" w:line="360" w:lineRule="auto"/>
        <w:jc w:val="both"/>
        <w:rPr>
          <w:rFonts w:ascii="Arial" w:hAnsi="Arial" w:cs="Arial"/>
        </w:rPr>
      </w:pPr>
      <w:r w:rsidRPr="00183DF6">
        <w:rPr>
          <w:rFonts w:ascii="Arial" w:hAnsi="Arial" w:cs="Arial"/>
        </w:rPr>
        <w:lastRenderedPageBreak/>
        <w:t>Backhaus et al.</w:t>
      </w:r>
      <w:r w:rsidR="00E06161" w:rsidRPr="00183DF6">
        <w:rPr>
          <w:rFonts w:ascii="Arial" w:hAnsi="Arial" w:cs="Arial"/>
        </w:rPr>
        <w:t xml:space="preserve"> (2021)</w:t>
      </w:r>
      <w:r w:rsidRPr="00183DF6">
        <w:rPr>
          <w:rFonts w:ascii="Arial" w:hAnsi="Arial" w:cs="Arial"/>
        </w:rPr>
        <w:t xml:space="preserve"> followed 64 Dutch nursing homes five months after lifting visitor bans. Using mixed methods, they reported improved resident well-being relative to lockdown (e.g., more positive mood in 45% of homes), while some restrictions persisted and staff strain remained. The study demonstrates safe reopening and sustained visiting are feasible, yet psychosocial consequences li</w:t>
      </w:r>
      <w:r w:rsidR="003D24AE" w:rsidRPr="00183DF6">
        <w:rPr>
          <w:rFonts w:ascii="Arial" w:hAnsi="Arial" w:cs="Arial"/>
        </w:rPr>
        <w:t xml:space="preserve">nger for residents and families, </w:t>
      </w:r>
      <w:r w:rsidRPr="00183DF6">
        <w:rPr>
          <w:rFonts w:ascii="Arial" w:hAnsi="Arial" w:cs="Arial"/>
        </w:rPr>
        <w:t xml:space="preserve">insights that inform visiting policies to protect mental health in long-term care. </w:t>
      </w:r>
    </w:p>
    <w:p w14:paraId="618E57D3" w14:textId="77777777" w:rsidR="00C47FB1" w:rsidRPr="00C47FB1" w:rsidRDefault="00C47FB1"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t>Office</w:t>
      </w:r>
      <w:r w:rsidR="00BD3DBA" w:rsidRPr="00A241FA">
        <w:rPr>
          <w:rFonts w:ascii="Arial" w:eastAsia="Times New Roman" w:hAnsi="Arial" w:cs="Arial"/>
          <w:bCs/>
          <w:sz w:val="24"/>
          <w:szCs w:val="24"/>
        </w:rPr>
        <w:t xml:space="preserve"> for National Statistics (2021) </w:t>
      </w:r>
      <w:r w:rsidRPr="00C47FB1">
        <w:rPr>
          <w:rFonts w:ascii="Arial" w:eastAsia="Times New Roman" w:hAnsi="Arial" w:cs="Arial"/>
          <w:sz w:val="24"/>
          <w:szCs w:val="24"/>
        </w:rPr>
        <w:t>reported substantially higher prevalence of depressive symptoms in Great Britain during early 2021 compared with pre-pandemic levels (ONS, 2021). Although population-wide, these data provide a benchmark for interpreting care-home patterns and highlight the broader mental-health climate in which care homes operated.</w:t>
      </w:r>
    </w:p>
    <w:p w14:paraId="2CCC1E35" w14:textId="77777777" w:rsidR="00C47FB1" w:rsidRPr="00C47FB1" w:rsidRDefault="00EE0EF6"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t xml:space="preserve">Care Quality Commission, </w:t>
      </w:r>
      <w:r w:rsidR="00C47FB1" w:rsidRPr="00A241FA">
        <w:rPr>
          <w:rFonts w:ascii="Arial" w:eastAsia="Times New Roman" w:hAnsi="Arial" w:cs="Arial"/>
          <w:bCs/>
          <w:iCs/>
          <w:sz w:val="24"/>
          <w:szCs w:val="24"/>
        </w:rPr>
        <w:t>State of Care</w:t>
      </w:r>
      <w:r w:rsidRPr="00A241FA">
        <w:rPr>
          <w:rFonts w:ascii="Arial" w:eastAsia="Times New Roman" w:hAnsi="Arial" w:cs="Arial"/>
          <w:bCs/>
          <w:sz w:val="24"/>
          <w:szCs w:val="24"/>
        </w:rPr>
        <w:t xml:space="preserve"> (2021), </w:t>
      </w:r>
      <w:r w:rsidR="00C47FB1" w:rsidRPr="00C47FB1">
        <w:rPr>
          <w:rFonts w:ascii="Arial" w:eastAsia="Times New Roman" w:hAnsi="Arial" w:cs="Arial"/>
          <w:sz w:val="24"/>
          <w:szCs w:val="24"/>
        </w:rPr>
        <w:t xml:space="preserve">CQC’s annual report describes how restrictions, staffing pressures and service reconfiguration affected people using care services. It documents both risks (isolation, loss of routine) and examples of good practice (innovative visiting, activity adaptations), offering a sector-level picture that frames </w:t>
      </w:r>
      <w:proofErr w:type="spellStart"/>
      <w:r w:rsidR="00C47FB1" w:rsidRPr="00C47FB1">
        <w:rPr>
          <w:rFonts w:ascii="Arial" w:eastAsia="Times New Roman" w:hAnsi="Arial" w:cs="Arial"/>
          <w:sz w:val="24"/>
          <w:szCs w:val="24"/>
        </w:rPr>
        <w:t>hypothesised</w:t>
      </w:r>
      <w:proofErr w:type="spellEnd"/>
      <w:r w:rsidR="00C47FB1" w:rsidRPr="00C47FB1">
        <w:rPr>
          <w:rFonts w:ascii="Arial" w:eastAsia="Times New Roman" w:hAnsi="Arial" w:cs="Arial"/>
          <w:sz w:val="24"/>
          <w:szCs w:val="24"/>
        </w:rPr>
        <w:t xml:space="preserve"> mechanisms for resident mental-health change (CQC, 2021).</w:t>
      </w:r>
    </w:p>
    <w:p w14:paraId="2DAFA7F4" w14:textId="77777777" w:rsidR="00C47FB1" w:rsidRPr="00C47FB1" w:rsidRDefault="00CD32B4"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t>Alzheimer’s Society,</w:t>
      </w:r>
      <w:r w:rsidR="00C47FB1" w:rsidRPr="00A241FA">
        <w:rPr>
          <w:rFonts w:ascii="Arial" w:eastAsia="Times New Roman" w:hAnsi="Arial" w:cs="Arial"/>
          <w:bCs/>
          <w:sz w:val="24"/>
          <w:szCs w:val="24"/>
        </w:rPr>
        <w:t xml:space="preserve"> </w:t>
      </w:r>
      <w:r w:rsidR="00C47FB1" w:rsidRPr="00A241FA">
        <w:rPr>
          <w:rFonts w:ascii="Arial" w:eastAsia="Times New Roman" w:hAnsi="Arial" w:cs="Arial"/>
          <w:bCs/>
          <w:iCs/>
          <w:sz w:val="24"/>
          <w:szCs w:val="24"/>
        </w:rPr>
        <w:t>The Impact of COVID-19 on People Affected by Dementia</w:t>
      </w:r>
      <w:r w:rsidR="00357DA0" w:rsidRPr="00A241FA">
        <w:rPr>
          <w:rFonts w:ascii="Arial" w:eastAsia="Times New Roman" w:hAnsi="Arial" w:cs="Arial"/>
          <w:bCs/>
          <w:sz w:val="24"/>
          <w:szCs w:val="24"/>
        </w:rPr>
        <w:t xml:space="preserve"> (2020), </w:t>
      </w:r>
      <w:r w:rsidR="00C47FB1" w:rsidRPr="00C47FB1">
        <w:rPr>
          <w:rFonts w:ascii="Arial" w:eastAsia="Times New Roman" w:hAnsi="Arial" w:cs="Arial"/>
          <w:sz w:val="24"/>
          <w:szCs w:val="24"/>
        </w:rPr>
        <w:t xml:space="preserve">Drawing on surveys and testimonies, the report highlights increased loneliness, anxiety and deterioration in abilities linked to </w:t>
      </w:r>
      <w:r w:rsidR="00357DA0" w:rsidRPr="00A241FA">
        <w:rPr>
          <w:rFonts w:ascii="Arial" w:eastAsia="Times New Roman" w:hAnsi="Arial" w:cs="Arial"/>
          <w:sz w:val="24"/>
          <w:szCs w:val="24"/>
        </w:rPr>
        <w:t xml:space="preserve">reduced stimulation and contact, </w:t>
      </w:r>
      <w:r w:rsidR="00C47FB1" w:rsidRPr="00C47FB1">
        <w:rPr>
          <w:rFonts w:ascii="Arial" w:eastAsia="Times New Roman" w:hAnsi="Arial" w:cs="Arial"/>
          <w:sz w:val="24"/>
          <w:szCs w:val="24"/>
        </w:rPr>
        <w:t>issues highly relevant to care-home populations with dementia (Alzheimer’s Society, 2020).</w:t>
      </w:r>
    </w:p>
    <w:p w14:paraId="46CB072B" w14:textId="77777777" w:rsidR="00C47FB1" w:rsidRPr="00C47FB1" w:rsidRDefault="00C47FB1" w:rsidP="00E14E51">
      <w:p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 xml:space="preserve">Together these sources justify a focused, care-home-specific investigation. NICE’s quality standard on older people’s mental wellbeing in care homes provides baseline expectations (e.g., </w:t>
      </w:r>
      <w:proofErr w:type="spellStart"/>
      <w:r w:rsidRPr="00C47FB1">
        <w:rPr>
          <w:rFonts w:ascii="Arial" w:eastAsia="Times New Roman" w:hAnsi="Arial" w:cs="Arial"/>
          <w:sz w:val="24"/>
          <w:szCs w:val="24"/>
        </w:rPr>
        <w:t>personalised</w:t>
      </w:r>
      <w:proofErr w:type="spellEnd"/>
      <w:r w:rsidRPr="00C47FB1">
        <w:rPr>
          <w:rFonts w:ascii="Arial" w:eastAsia="Times New Roman" w:hAnsi="Arial" w:cs="Arial"/>
          <w:sz w:val="24"/>
          <w:szCs w:val="24"/>
        </w:rPr>
        <w:t xml:space="preserve"> activities, recognition of depression and anxiety) against which pandemic adaptations can be considered (NICE, 2013). The present study extends this literature by gathering consistent, UK-wide, descriptive data on observed mental-health indicators and associated practices.</w:t>
      </w:r>
    </w:p>
    <w:p w14:paraId="75DEDA0E" w14:textId="77777777" w:rsidR="00C47FB1" w:rsidRPr="00C47FB1" w:rsidRDefault="00D23994" w:rsidP="00E14E51">
      <w:pPr>
        <w:spacing w:before="120" w:after="120" w:line="360" w:lineRule="auto"/>
        <w:jc w:val="both"/>
        <w:outlineLvl w:val="1"/>
        <w:rPr>
          <w:rFonts w:ascii="Arial" w:eastAsia="Times New Roman" w:hAnsi="Arial" w:cs="Arial"/>
          <w:b/>
          <w:bCs/>
          <w:sz w:val="32"/>
          <w:szCs w:val="36"/>
        </w:rPr>
      </w:pPr>
      <w:bookmarkStart w:id="8" w:name="_Toc213327053"/>
      <w:r w:rsidRPr="00FC1CB7">
        <w:rPr>
          <w:rFonts w:ascii="Arial" w:eastAsia="Times New Roman" w:hAnsi="Arial" w:cs="Arial"/>
          <w:b/>
          <w:bCs/>
          <w:sz w:val="32"/>
          <w:szCs w:val="36"/>
        </w:rPr>
        <w:t>2.4 Research M</w:t>
      </w:r>
      <w:r w:rsidR="00C47FB1" w:rsidRPr="00C47FB1">
        <w:rPr>
          <w:rFonts w:ascii="Arial" w:eastAsia="Times New Roman" w:hAnsi="Arial" w:cs="Arial"/>
          <w:b/>
          <w:bCs/>
          <w:sz w:val="32"/>
          <w:szCs w:val="36"/>
        </w:rPr>
        <w:t>ethodology</w:t>
      </w:r>
      <w:bookmarkEnd w:id="8"/>
      <w:r w:rsidR="00C47FB1" w:rsidRPr="00C47FB1">
        <w:rPr>
          <w:rFonts w:ascii="Arial" w:eastAsia="Times New Roman" w:hAnsi="Arial" w:cs="Arial"/>
          <w:b/>
          <w:bCs/>
          <w:sz w:val="32"/>
          <w:szCs w:val="36"/>
        </w:rPr>
        <w:t xml:space="preserve"> </w:t>
      </w:r>
    </w:p>
    <w:p w14:paraId="01603856" w14:textId="77777777" w:rsidR="003A4C55" w:rsidRPr="00A241FA" w:rsidRDefault="00C47FB1"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lastRenderedPageBreak/>
        <w:t>Meth</w:t>
      </w:r>
      <w:r w:rsidR="003A4C55" w:rsidRPr="00A241FA">
        <w:rPr>
          <w:rFonts w:ascii="Arial" w:eastAsia="Times New Roman" w:hAnsi="Arial" w:cs="Arial"/>
          <w:bCs/>
          <w:sz w:val="24"/>
          <w:szCs w:val="24"/>
        </w:rPr>
        <w:t xml:space="preserve">odology definition: </w:t>
      </w:r>
      <w:r w:rsidRPr="00C47FB1">
        <w:rPr>
          <w:rFonts w:ascii="Arial" w:eastAsia="Times New Roman" w:hAnsi="Arial" w:cs="Arial"/>
          <w:sz w:val="24"/>
          <w:szCs w:val="24"/>
        </w:rPr>
        <w:t>A research methodology is the overall strategy linking research questions to methods of data collection and analysis (Bryman, 2016</w:t>
      </w:r>
      <w:r w:rsidR="003A4C55" w:rsidRPr="00A241FA">
        <w:rPr>
          <w:rFonts w:ascii="Arial" w:eastAsia="Times New Roman" w:hAnsi="Arial" w:cs="Arial"/>
          <w:sz w:val="24"/>
          <w:szCs w:val="24"/>
        </w:rPr>
        <w:t>; Creswell and Creswell, 2018).</w:t>
      </w:r>
    </w:p>
    <w:p w14:paraId="635DE86C" w14:textId="77777777" w:rsidR="00F243CD" w:rsidRPr="00A241FA" w:rsidRDefault="003A4C55" w:rsidP="00E14E51">
      <w:pPr>
        <w:pStyle w:val="NormalWeb"/>
        <w:spacing w:before="120" w:beforeAutospacing="0" w:after="120" w:afterAutospacing="0" w:line="360" w:lineRule="auto"/>
        <w:rPr>
          <w:rFonts w:ascii="Arial" w:hAnsi="Arial" w:cs="Arial"/>
        </w:rPr>
      </w:pPr>
      <w:r w:rsidRPr="00A241FA">
        <w:rPr>
          <w:rFonts w:ascii="Arial" w:hAnsi="Arial" w:cs="Arial"/>
          <w:bCs/>
        </w:rPr>
        <w:t>Design:</w:t>
      </w:r>
      <w:r w:rsidR="00C47FB1" w:rsidRPr="00C47FB1">
        <w:rPr>
          <w:rFonts w:ascii="Arial" w:hAnsi="Arial" w:cs="Arial"/>
        </w:rPr>
        <w:t xml:space="preserve"> </w:t>
      </w:r>
      <w:r w:rsidR="00C47FB1" w:rsidRPr="00A241FA">
        <w:rPr>
          <w:rFonts w:ascii="Arial" w:hAnsi="Arial" w:cs="Arial"/>
          <w:bCs/>
        </w:rPr>
        <w:t>Quantitative</w:t>
      </w:r>
      <w:r w:rsidR="00C47FB1" w:rsidRPr="00C47FB1">
        <w:rPr>
          <w:rFonts w:ascii="Arial" w:hAnsi="Arial" w:cs="Arial"/>
        </w:rPr>
        <w:t xml:space="preserve">, cross-sectional survey administered via </w:t>
      </w:r>
      <w:r w:rsidR="00C47FB1" w:rsidRPr="00A241FA">
        <w:rPr>
          <w:rFonts w:ascii="Arial" w:hAnsi="Arial" w:cs="Arial"/>
          <w:bCs/>
        </w:rPr>
        <w:t>Google Forms</w:t>
      </w:r>
      <w:r w:rsidR="00C47FB1" w:rsidRPr="00C47FB1">
        <w:rPr>
          <w:rFonts w:ascii="Arial" w:hAnsi="Arial" w:cs="Arial"/>
        </w:rPr>
        <w:t xml:space="preserve"> to a UK sample of </w:t>
      </w:r>
      <w:r w:rsidR="00C47FB1" w:rsidRPr="00A241FA">
        <w:rPr>
          <w:rFonts w:ascii="Arial" w:hAnsi="Arial" w:cs="Arial"/>
          <w:bCs/>
        </w:rPr>
        <w:t>100–150</w:t>
      </w:r>
      <w:r w:rsidR="00C47FB1" w:rsidRPr="00C47FB1">
        <w:rPr>
          <w:rFonts w:ascii="Arial" w:hAnsi="Arial" w:cs="Arial"/>
        </w:rPr>
        <w:t xml:space="preserve"> participants (e.g., managers, nurses, carers, activity leads; and, where appropriate and ethical,</w:t>
      </w:r>
      <w:r w:rsidR="009D1BA0" w:rsidRPr="00A241FA">
        <w:rPr>
          <w:rFonts w:ascii="Arial" w:hAnsi="Arial" w:cs="Arial"/>
        </w:rPr>
        <w:t xml:space="preserve"> residents supported by staff). </w:t>
      </w:r>
      <w:r w:rsidR="009773E1" w:rsidRPr="00A241FA">
        <w:rPr>
          <w:rFonts w:ascii="Arial" w:hAnsi="Arial" w:cs="Arial"/>
        </w:rPr>
        <w:t>The use of a quantitative survey is justified as it enables the collection of measurable and objective data from a large number of respondents within a short period</w:t>
      </w:r>
      <w:r w:rsidR="00976A75" w:rsidRPr="00A241FA">
        <w:rPr>
          <w:rFonts w:ascii="Arial" w:hAnsi="Arial" w:cs="Arial"/>
        </w:rPr>
        <w:t xml:space="preserve"> (Bryman, 2016)</w:t>
      </w:r>
      <w:r w:rsidR="009773E1" w:rsidRPr="00A241FA">
        <w:rPr>
          <w:rFonts w:ascii="Arial" w:hAnsi="Arial" w:cs="Arial"/>
        </w:rPr>
        <w:t>. This method supports statistical analysis, allowing the researcher to identify trends, relationships, and the strength of factors. Quantitative surveys provide reliability and generalizability of results, ensuring that findings reflect broader organizational realities. Additionally, structured questionnaires reduce researcher bias and facilitate comparisons between variables, thus helping to achieve the research objecti</w:t>
      </w:r>
      <w:r w:rsidR="00976A75" w:rsidRPr="00A241FA">
        <w:rPr>
          <w:rFonts w:ascii="Arial" w:hAnsi="Arial" w:cs="Arial"/>
        </w:rPr>
        <w:t>ves effectively and efficiently (Creswell and Creswell, 2018)</w:t>
      </w:r>
    </w:p>
    <w:p w14:paraId="24AA6562" w14:textId="77777777" w:rsidR="009D1BA0" w:rsidRPr="00A241FA" w:rsidRDefault="00F243CD" w:rsidP="00E14E51">
      <w:pPr>
        <w:pStyle w:val="NormalWeb"/>
        <w:spacing w:before="120" w:beforeAutospacing="0" w:after="120" w:afterAutospacing="0" w:line="360" w:lineRule="auto"/>
        <w:jc w:val="both"/>
        <w:rPr>
          <w:rFonts w:ascii="Arial" w:hAnsi="Arial" w:cs="Arial"/>
        </w:rPr>
      </w:pPr>
      <w:r w:rsidRPr="00A241FA">
        <w:rPr>
          <w:rFonts w:ascii="Arial" w:hAnsi="Arial" w:cs="Arial"/>
        </w:rPr>
        <w:t>Authority:</w:t>
      </w:r>
      <w:r w:rsidR="009C0357" w:rsidRPr="00A241FA">
        <w:rPr>
          <w:rFonts w:ascii="Arial" w:hAnsi="Arial" w:cs="Arial"/>
        </w:rPr>
        <w:t xml:space="preserve"> This approach enables statistical analysis to identify relationships between variables such as management support, auditor independence, and audit effectiveness. Quantitative surveys provide objectivity, reliability, and comparability of responses, ensuring that findings can be generalized across the organization. Moreover, using a structured questionnaire helps in obtaining consistent feedback efficiently, making it suitable for examining internal auditing practices in a systematic and evidence-based manner.</w:t>
      </w:r>
    </w:p>
    <w:p w14:paraId="38001FFE" w14:textId="77777777" w:rsidR="003A4C55" w:rsidRPr="00A241FA" w:rsidRDefault="003A4C55"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t>Variables:</w:t>
      </w:r>
      <w:r w:rsidR="00C47FB1" w:rsidRPr="00C47FB1">
        <w:rPr>
          <w:rFonts w:ascii="Arial" w:eastAsia="Times New Roman" w:hAnsi="Arial" w:cs="Arial"/>
          <w:sz w:val="24"/>
          <w:szCs w:val="24"/>
        </w:rPr>
        <w:t xml:space="preserve"> Items will capture observed resident mental-health indicators (e.g., low mood, anxiety, withdrawal, agitation), service practices during COVID-19 (e.g., visiting models, activity provision, digital contact) a</w:t>
      </w:r>
      <w:r w:rsidRPr="00A241FA">
        <w:rPr>
          <w:rFonts w:ascii="Arial" w:eastAsia="Times New Roman" w:hAnsi="Arial" w:cs="Arial"/>
          <w:sz w:val="24"/>
          <w:szCs w:val="24"/>
        </w:rPr>
        <w:t>nd context (home type, region).</w:t>
      </w:r>
      <w:r w:rsidR="007F30BA" w:rsidRPr="00A241FA">
        <w:rPr>
          <w:rFonts w:ascii="Arial" w:eastAsia="Times New Roman" w:hAnsi="Arial" w:cs="Arial"/>
          <w:sz w:val="24"/>
          <w:szCs w:val="24"/>
        </w:rPr>
        <w:t xml:space="preserve"> </w:t>
      </w:r>
    </w:p>
    <w:p w14:paraId="77D8205F" w14:textId="77777777" w:rsidR="00C47FB1" w:rsidRPr="00C47FB1" w:rsidRDefault="003A4C55"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t xml:space="preserve">Analysis: </w:t>
      </w:r>
      <w:r w:rsidR="00C47FB1" w:rsidRPr="00A241FA">
        <w:rPr>
          <w:rFonts w:ascii="Arial" w:eastAsia="Times New Roman" w:hAnsi="Arial" w:cs="Arial"/>
          <w:bCs/>
          <w:sz w:val="24"/>
          <w:szCs w:val="24"/>
        </w:rPr>
        <w:t>Descriptive analysis only</w:t>
      </w:r>
      <w:r w:rsidR="00C47FB1" w:rsidRPr="00C47FB1">
        <w:rPr>
          <w:rFonts w:ascii="Arial" w:eastAsia="Times New Roman" w:hAnsi="Arial" w:cs="Arial"/>
          <w:sz w:val="24"/>
          <w:szCs w:val="24"/>
        </w:rPr>
        <w:t xml:space="preserve"> using </w:t>
      </w:r>
      <w:r w:rsidR="00C47FB1" w:rsidRPr="00A241FA">
        <w:rPr>
          <w:rFonts w:ascii="Arial" w:eastAsia="Times New Roman" w:hAnsi="Arial" w:cs="Arial"/>
          <w:bCs/>
          <w:sz w:val="24"/>
          <w:szCs w:val="24"/>
        </w:rPr>
        <w:t>Excel</w:t>
      </w:r>
      <w:r w:rsidR="00C47FB1" w:rsidRPr="00C47FB1">
        <w:rPr>
          <w:rFonts w:ascii="Arial" w:eastAsia="Times New Roman" w:hAnsi="Arial" w:cs="Arial"/>
          <w:sz w:val="24"/>
          <w:szCs w:val="24"/>
        </w:rPr>
        <w:t xml:space="preserve">: frequencies, percentages, means, charts/figures, summary tables and </w:t>
      </w:r>
      <w:r w:rsidR="00C47FB1" w:rsidRPr="00A241FA">
        <w:rPr>
          <w:rFonts w:ascii="Arial" w:eastAsia="Times New Roman" w:hAnsi="Arial" w:cs="Arial"/>
          <w:bCs/>
          <w:sz w:val="24"/>
          <w:szCs w:val="24"/>
        </w:rPr>
        <w:t>cross-tabulations</w:t>
      </w:r>
      <w:r w:rsidR="00C47FB1" w:rsidRPr="00C47FB1">
        <w:rPr>
          <w:rFonts w:ascii="Arial" w:eastAsia="Times New Roman" w:hAnsi="Arial" w:cs="Arial"/>
          <w:sz w:val="24"/>
          <w:szCs w:val="24"/>
        </w:rPr>
        <w:t xml:space="preserve"> (e.g., mental-health indicators by visiting policy). No inferentia</w:t>
      </w:r>
      <w:r w:rsidR="005E48DD" w:rsidRPr="00A241FA">
        <w:rPr>
          <w:rFonts w:ascii="Arial" w:eastAsia="Times New Roman" w:hAnsi="Arial" w:cs="Arial"/>
          <w:sz w:val="24"/>
          <w:szCs w:val="24"/>
        </w:rPr>
        <w:t xml:space="preserve">l statistics will be performed. </w:t>
      </w:r>
      <w:r w:rsidR="00C47FB1" w:rsidRPr="00C47FB1">
        <w:rPr>
          <w:rFonts w:ascii="Arial" w:eastAsia="Times New Roman" w:hAnsi="Arial" w:cs="Arial"/>
          <w:sz w:val="24"/>
          <w:szCs w:val="24"/>
        </w:rPr>
        <w:t>A descriptive approach efficiently maps patterns and associations across multiple homes, providing decision-ready insights while remaining proportionate to scope (Bryman, 2016). It complements existing qualitative accounts by supplying standardised, comparable summary metrics.</w:t>
      </w:r>
      <w:r w:rsidR="00FC1ABE" w:rsidRPr="00A241FA">
        <w:rPr>
          <w:rFonts w:ascii="Arial" w:eastAsia="Times New Roman" w:hAnsi="Arial" w:cs="Arial"/>
          <w:sz w:val="24"/>
          <w:szCs w:val="24"/>
        </w:rPr>
        <w:t xml:space="preserve"> </w:t>
      </w:r>
    </w:p>
    <w:p w14:paraId="395ED931" w14:textId="77777777" w:rsidR="00C47FB1" w:rsidRPr="00A241FA" w:rsidRDefault="00C47FB1" w:rsidP="00E14E51">
      <w:pPr>
        <w:pStyle w:val="Heading1"/>
      </w:pPr>
      <w:bookmarkStart w:id="9" w:name="_Toc213327054"/>
      <w:r w:rsidRPr="00A241FA">
        <w:lastRenderedPageBreak/>
        <w:t>3. Data collection</w:t>
      </w:r>
      <w:bookmarkEnd w:id="9"/>
    </w:p>
    <w:p w14:paraId="06BF103C" w14:textId="77777777" w:rsidR="00C47FB1" w:rsidRPr="00A241FA" w:rsidRDefault="00C47FB1" w:rsidP="00E14E51">
      <w:pPr>
        <w:pStyle w:val="Heading2"/>
        <w:spacing w:before="120" w:beforeAutospacing="0" w:after="120" w:afterAutospacing="0" w:line="360" w:lineRule="auto"/>
        <w:rPr>
          <w:rFonts w:ascii="Arial" w:hAnsi="Arial" w:cs="Arial"/>
        </w:rPr>
      </w:pPr>
      <w:bookmarkStart w:id="10" w:name="_Toc213327055"/>
      <w:r w:rsidRPr="00A241FA">
        <w:rPr>
          <w:rFonts w:ascii="Arial" w:hAnsi="Arial" w:cs="Arial"/>
        </w:rPr>
        <w:t>3.1 Primary vs. Secondary Data</w:t>
      </w:r>
      <w:bookmarkEnd w:id="10"/>
      <w:r w:rsidRPr="00A241FA">
        <w:rPr>
          <w:rFonts w:ascii="Arial" w:hAnsi="Arial" w:cs="Arial"/>
        </w:rPr>
        <w:t xml:space="preserve"> </w:t>
      </w:r>
    </w:p>
    <w:p w14:paraId="6ADE82B2" w14:textId="7FE1F5AE" w:rsidR="00C47FB1" w:rsidRPr="00C47FB1" w:rsidRDefault="00C47FB1" w:rsidP="00E14E51">
      <w:pPr>
        <w:spacing w:before="120" w:after="120" w:line="360" w:lineRule="auto"/>
        <w:jc w:val="both"/>
        <w:rPr>
          <w:rFonts w:ascii="Arial" w:eastAsia="Times New Roman" w:hAnsi="Arial" w:cs="Arial"/>
          <w:sz w:val="24"/>
          <w:szCs w:val="24"/>
        </w:rPr>
      </w:pPr>
      <w:r w:rsidRPr="00A241FA">
        <w:rPr>
          <w:rFonts w:ascii="Arial" w:eastAsia="Times New Roman" w:hAnsi="Arial" w:cs="Arial"/>
          <w:bCs/>
          <w:sz w:val="24"/>
          <w:szCs w:val="24"/>
        </w:rPr>
        <w:t>Primary data</w:t>
      </w:r>
      <w:r w:rsidRPr="00C47FB1">
        <w:rPr>
          <w:rFonts w:ascii="Arial" w:eastAsia="Times New Roman" w:hAnsi="Arial" w:cs="Arial"/>
          <w:sz w:val="24"/>
          <w:szCs w:val="24"/>
        </w:rPr>
        <w:t xml:space="preserve"> are first-hand data collected specifically for this study (the new survey). They align closely with the research questions and allow control over measures and quality. </w:t>
      </w:r>
      <w:r w:rsidRPr="00A241FA">
        <w:rPr>
          <w:rFonts w:ascii="Arial" w:eastAsia="Times New Roman" w:hAnsi="Arial" w:cs="Arial"/>
          <w:bCs/>
          <w:sz w:val="24"/>
          <w:szCs w:val="24"/>
        </w:rPr>
        <w:t>Secondary data</w:t>
      </w:r>
      <w:r w:rsidRPr="00C47FB1">
        <w:rPr>
          <w:rFonts w:ascii="Arial" w:eastAsia="Times New Roman" w:hAnsi="Arial" w:cs="Arial"/>
          <w:sz w:val="24"/>
          <w:szCs w:val="24"/>
        </w:rPr>
        <w:t xml:space="preserve"> are existing materials such as regulator reports, charity publications and national statistics. They provide context and comparators but may not contain the exact variables or populations of interest (Bryman, 2016; Creswell and Creswell, 2018). This project </w:t>
      </w:r>
      <w:r w:rsidR="001C6A1C" w:rsidRPr="00C47FB1">
        <w:rPr>
          <w:rFonts w:ascii="Arial" w:eastAsia="Times New Roman" w:hAnsi="Arial" w:cs="Arial"/>
          <w:sz w:val="24"/>
          <w:szCs w:val="24"/>
        </w:rPr>
        <w:t>priorities</w:t>
      </w:r>
      <w:r w:rsidRPr="00C47FB1">
        <w:rPr>
          <w:rFonts w:ascii="Arial" w:eastAsia="Times New Roman" w:hAnsi="Arial" w:cs="Arial"/>
          <w:sz w:val="24"/>
          <w:szCs w:val="24"/>
        </w:rPr>
        <w:t xml:space="preserve"> primary survey data for care-home-specific indicators, with selected secondary sources used in the literature review and discussion.</w:t>
      </w:r>
    </w:p>
    <w:p w14:paraId="7548C9A4" w14:textId="77777777" w:rsidR="00C47FB1" w:rsidRPr="00A241FA" w:rsidRDefault="00C47FB1" w:rsidP="00E14E51">
      <w:pPr>
        <w:pStyle w:val="Heading2"/>
        <w:spacing w:before="120" w:beforeAutospacing="0" w:after="120" w:afterAutospacing="0" w:line="360" w:lineRule="auto"/>
        <w:rPr>
          <w:rFonts w:ascii="Arial" w:hAnsi="Arial" w:cs="Arial"/>
        </w:rPr>
      </w:pPr>
      <w:bookmarkStart w:id="11" w:name="_Toc213327056"/>
      <w:r w:rsidRPr="00A241FA">
        <w:rPr>
          <w:rFonts w:ascii="Arial" w:hAnsi="Arial" w:cs="Arial"/>
        </w:rPr>
        <w:t>3.2 Data choice for this research</w:t>
      </w:r>
      <w:bookmarkEnd w:id="11"/>
      <w:r w:rsidRPr="00A241FA">
        <w:rPr>
          <w:rFonts w:ascii="Arial" w:hAnsi="Arial" w:cs="Arial"/>
        </w:rPr>
        <w:t xml:space="preserve"> </w:t>
      </w:r>
    </w:p>
    <w:p w14:paraId="046C96D6" w14:textId="7C98BE92" w:rsidR="00C47FB1" w:rsidRPr="00C47FB1" w:rsidRDefault="00C47FB1" w:rsidP="00E14E51">
      <w:p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 xml:space="preserve">This study will use </w:t>
      </w:r>
      <w:r w:rsidRPr="00A241FA">
        <w:rPr>
          <w:rFonts w:ascii="Arial" w:eastAsia="Times New Roman" w:hAnsi="Arial" w:cs="Arial"/>
          <w:bCs/>
          <w:sz w:val="24"/>
          <w:szCs w:val="24"/>
        </w:rPr>
        <w:t>primary quantitative data</w:t>
      </w:r>
      <w:r w:rsidRPr="00C47FB1">
        <w:rPr>
          <w:rFonts w:ascii="Arial" w:eastAsia="Times New Roman" w:hAnsi="Arial" w:cs="Arial"/>
          <w:sz w:val="24"/>
          <w:szCs w:val="24"/>
        </w:rPr>
        <w:t xml:space="preserve"> collected via a structured </w:t>
      </w:r>
      <w:r w:rsidRPr="00A241FA">
        <w:rPr>
          <w:rFonts w:ascii="Arial" w:eastAsia="Times New Roman" w:hAnsi="Arial" w:cs="Arial"/>
          <w:bCs/>
          <w:sz w:val="24"/>
          <w:szCs w:val="24"/>
        </w:rPr>
        <w:t>Google Forms</w:t>
      </w:r>
      <w:r w:rsidRPr="00C47FB1">
        <w:rPr>
          <w:rFonts w:ascii="Arial" w:eastAsia="Times New Roman" w:hAnsi="Arial" w:cs="Arial"/>
          <w:sz w:val="24"/>
          <w:szCs w:val="24"/>
        </w:rPr>
        <w:t xml:space="preserve"> questionnaire circulated through professional networks and care-home managers across the UK (target </w:t>
      </w:r>
      <w:r w:rsidRPr="00A241FA">
        <w:rPr>
          <w:rFonts w:ascii="Arial" w:eastAsia="Times New Roman" w:hAnsi="Arial" w:cs="Arial"/>
          <w:bCs/>
          <w:sz w:val="24"/>
          <w:szCs w:val="24"/>
        </w:rPr>
        <w:t>n = 100–150</w:t>
      </w:r>
      <w:r w:rsidRPr="00C47FB1">
        <w:rPr>
          <w:rFonts w:ascii="Arial" w:eastAsia="Times New Roman" w:hAnsi="Arial" w:cs="Arial"/>
          <w:sz w:val="24"/>
          <w:szCs w:val="24"/>
        </w:rPr>
        <w:t xml:space="preserve">). Inclusion: staff directly involved in resident care/activities and, where feasible and ethical, residents responding with support. Sampling will be pragmatic to achieve regional spread. The instrument will include closed items with predefined response options to facilitate Excel-based descriptive analysis. Data will be </w:t>
      </w:r>
      <w:r w:rsidR="00FE0FFA" w:rsidRPr="00C47FB1">
        <w:rPr>
          <w:rFonts w:ascii="Arial" w:eastAsia="Times New Roman" w:hAnsi="Arial" w:cs="Arial"/>
          <w:sz w:val="24"/>
          <w:szCs w:val="24"/>
        </w:rPr>
        <w:t>summarized</w:t>
      </w:r>
      <w:r w:rsidRPr="00C47FB1">
        <w:rPr>
          <w:rFonts w:ascii="Arial" w:eastAsia="Times New Roman" w:hAnsi="Arial" w:cs="Arial"/>
          <w:sz w:val="24"/>
          <w:szCs w:val="24"/>
        </w:rPr>
        <w:t xml:space="preserve"> using frequency tables, bar/column charts, pie charts (where suitable), and </w:t>
      </w:r>
      <w:r w:rsidRPr="00A241FA">
        <w:rPr>
          <w:rFonts w:ascii="Arial" w:eastAsia="Times New Roman" w:hAnsi="Arial" w:cs="Arial"/>
          <w:bCs/>
          <w:sz w:val="24"/>
          <w:szCs w:val="24"/>
        </w:rPr>
        <w:t>cross-tabulations</w:t>
      </w:r>
      <w:r w:rsidRPr="00C47FB1">
        <w:rPr>
          <w:rFonts w:ascii="Arial" w:eastAsia="Times New Roman" w:hAnsi="Arial" w:cs="Arial"/>
          <w:sz w:val="24"/>
          <w:szCs w:val="24"/>
        </w:rPr>
        <w:t xml:space="preserve"> to compare mental-health indicators across key operational factors (e.g., visiting arrangements). Minimal </w:t>
      </w:r>
      <w:r w:rsidRPr="00A241FA">
        <w:rPr>
          <w:rFonts w:ascii="Arial" w:eastAsia="Times New Roman" w:hAnsi="Arial" w:cs="Arial"/>
          <w:bCs/>
          <w:sz w:val="24"/>
          <w:szCs w:val="24"/>
        </w:rPr>
        <w:t>secondary</w:t>
      </w:r>
      <w:r w:rsidRPr="00C47FB1">
        <w:rPr>
          <w:rFonts w:ascii="Arial" w:eastAsia="Times New Roman" w:hAnsi="Arial" w:cs="Arial"/>
          <w:sz w:val="24"/>
          <w:szCs w:val="24"/>
        </w:rPr>
        <w:t xml:space="preserve"> material (ONS, CQC, Alzheimer’s Society) will </w:t>
      </w:r>
      <w:r w:rsidR="001C6A1C" w:rsidRPr="00C47FB1">
        <w:rPr>
          <w:rFonts w:ascii="Arial" w:eastAsia="Times New Roman" w:hAnsi="Arial" w:cs="Arial"/>
          <w:sz w:val="24"/>
          <w:szCs w:val="24"/>
        </w:rPr>
        <w:t>contextualism</w:t>
      </w:r>
      <w:r w:rsidRPr="00C47FB1">
        <w:rPr>
          <w:rFonts w:ascii="Arial" w:eastAsia="Times New Roman" w:hAnsi="Arial" w:cs="Arial"/>
          <w:sz w:val="24"/>
          <w:szCs w:val="24"/>
        </w:rPr>
        <w:t xml:space="preserve"> findings. Ethical considerations include informed consent, anonymity, safeguarding, capacity-sensitive participation and GDPR-compliant handling of non-identifiable data (CQC, 2021; NICE, 2013).</w:t>
      </w:r>
    </w:p>
    <w:p w14:paraId="54E345C4" w14:textId="77777777" w:rsidR="00C47FB1" w:rsidRPr="00A241FA" w:rsidRDefault="00C47FB1" w:rsidP="001818FD">
      <w:pPr>
        <w:pStyle w:val="Heading1"/>
      </w:pPr>
      <w:bookmarkStart w:id="12" w:name="_Toc213327057"/>
      <w:r w:rsidRPr="00A241FA">
        <w:t>4. Conclusion</w:t>
      </w:r>
      <w:bookmarkEnd w:id="12"/>
      <w:r w:rsidRPr="00A241FA">
        <w:t xml:space="preserve"> </w:t>
      </w:r>
    </w:p>
    <w:p w14:paraId="2DF8489F" w14:textId="77777777" w:rsidR="00C47FB1" w:rsidRDefault="00F10AA1" w:rsidP="00E14E51">
      <w:pPr>
        <w:spacing w:before="120" w:after="120" w:line="360" w:lineRule="auto"/>
        <w:jc w:val="both"/>
        <w:rPr>
          <w:rFonts w:ascii="Arial" w:eastAsia="Times New Roman" w:hAnsi="Arial" w:cs="Arial"/>
          <w:sz w:val="24"/>
          <w:szCs w:val="24"/>
        </w:rPr>
      </w:pPr>
      <w:r>
        <w:rPr>
          <w:rFonts w:ascii="Arial" w:eastAsia="Times New Roman" w:hAnsi="Arial" w:cs="Arial"/>
          <w:sz w:val="24"/>
          <w:szCs w:val="24"/>
        </w:rPr>
        <w:t xml:space="preserve">In conclusion, </w:t>
      </w:r>
      <w:r w:rsidR="00C47FB1" w:rsidRPr="00C47FB1">
        <w:rPr>
          <w:rFonts w:ascii="Arial" w:eastAsia="Times New Roman" w:hAnsi="Arial" w:cs="Arial"/>
          <w:sz w:val="24"/>
          <w:szCs w:val="24"/>
        </w:rPr>
        <w:t>COVID-19 protections, while essential, likely influenced residents’ mental health by limiting social connection, stimulation and routine. This UK-wide, descriptive survey will quantify patterns and highlight operational factors associated with more positiv</w:t>
      </w:r>
      <w:r w:rsidR="008026BD">
        <w:rPr>
          <w:rFonts w:ascii="Arial" w:eastAsia="Times New Roman" w:hAnsi="Arial" w:cs="Arial"/>
          <w:sz w:val="24"/>
          <w:szCs w:val="24"/>
        </w:rPr>
        <w:t xml:space="preserve">e or negative outcomes. Outputs, </w:t>
      </w:r>
      <w:r w:rsidR="00C47FB1" w:rsidRPr="00C47FB1">
        <w:rPr>
          <w:rFonts w:ascii="Arial" w:eastAsia="Times New Roman" w:hAnsi="Arial" w:cs="Arial"/>
          <w:sz w:val="24"/>
          <w:szCs w:val="24"/>
        </w:rPr>
        <w:t>clea</w:t>
      </w:r>
      <w:r w:rsidR="008026BD">
        <w:rPr>
          <w:rFonts w:ascii="Arial" w:eastAsia="Times New Roman" w:hAnsi="Arial" w:cs="Arial"/>
          <w:sz w:val="24"/>
          <w:szCs w:val="24"/>
        </w:rPr>
        <w:t xml:space="preserve">r charts, tables and cross-tabs, </w:t>
      </w:r>
      <w:r w:rsidR="00C47FB1" w:rsidRPr="00C47FB1">
        <w:rPr>
          <w:rFonts w:ascii="Arial" w:eastAsia="Times New Roman" w:hAnsi="Arial" w:cs="Arial"/>
          <w:sz w:val="24"/>
          <w:szCs w:val="24"/>
        </w:rPr>
        <w:t xml:space="preserve">will support proportionate decisions on visiting models, activity provision and digital contact, aligning </w:t>
      </w:r>
      <w:r w:rsidR="00C47FB1" w:rsidRPr="00C47FB1">
        <w:rPr>
          <w:rFonts w:ascii="Arial" w:eastAsia="Times New Roman" w:hAnsi="Arial" w:cs="Arial"/>
          <w:sz w:val="24"/>
          <w:szCs w:val="24"/>
        </w:rPr>
        <w:lastRenderedPageBreak/>
        <w:t>with quality standards for mental wellbeing in care homes (NICE, 2013; CQC, 2021). Findings will inform training and contingency planning and identify priorities for future work, such as longitudinal tracking and mixed-methods studies to deepen understanding of lived experience. Using Excel keeps analysis transparent and replicable for practitioners.</w:t>
      </w:r>
    </w:p>
    <w:bookmarkEnd w:id="3"/>
    <w:p w14:paraId="2906BC20" w14:textId="77777777" w:rsidR="008026BD" w:rsidRDefault="008026BD" w:rsidP="00E14E51">
      <w:pPr>
        <w:spacing w:before="120" w:after="120" w:line="360" w:lineRule="auto"/>
        <w:jc w:val="both"/>
        <w:rPr>
          <w:rFonts w:ascii="Arial" w:eastAsia="Times New Roman" w:hAnsi="Arial" w:cs="Arial"/>
          <w:sz w:val="24"/>
          <w:szCs w:val="24"/>
        </w:rPr>
      </w:pPr>
    </w:p>
    <w:p w14:paraId="026BF298" w14:textId="77777777" w:rsidR="008026BD" w:rsidRDefault="008026BD" w:rsidP="00E14E51">
      <w:pPr>
        <w:spacing w:before="120" w:after="120" w:line="360" w:lineRule="auto"/>
        <w:jc w:val="both"/>
        <w:rPr>
          <w:rFonts w:ascii="Arial" w:eastAsia="Times New Roman" w:hAnsi="Arial" w:cs="Arial"/>
          <w:sz w:val="24"/>
          <w:szCs w:val="24"/>
        </w:rPr>
      </w:pPr>
    </w:p>
    <w:p w14:paraId="024651F7" w14:textId="77777777" w:rsidR="008026BD" w:rsidRDefault="008026BD" w:rsidP="00E14E51">
      <w:pPr>
        <w:spacing w:before="120" w:after="120" w:line="360" w:lineRule="auto"/>
        <w:jc w:val="both"/>
        <w:rPr>
          <w:rFonts w:ascii="Arial" w:eastAsia="Times New Roman" w:hAnsi="Arial" w:cs="Arial"/>
          <w:sz w:val="24"/>
          <w:szCs w:val="24"/>
        </w:rPr>
      </w:pPr>
    </w:p>
    <w:p w14:paraId="5EC332AB" w14:textId="77777777" w:rsidR="008026BD" w:rsidRDefault="008026BD" w:rsidP="00E14E51">
      <w:pPr>
        <w:spacing w:before="120" w:after="120" w:line="360" w:lineRule="auto"/>
        <w:jc w:val="both"/>
        <w:rPr>
          <w:rFonts w:ascii="Arial" w:eastAsia="Times New Roman" w:hAnsi="Arial" w:cs="Arial"/>
          <w:sz w:val="24"/>
          <w:szCs w:val="24"/>
        </w:rPr>
      </w:pPr>
    </w:p>
    <w:p w14:paraId="017BB4F8" w14:textId="77777777" w:rsidR="00A93E2D" w:rsidRDefault="00A93E2D" w:rsidP="00E14E51">
      <w:pPr>
        <w:spacing w:before="120" w:after="120" w:line="360" w:lineRule="auto"/>
        <w:jc w:val="both"/>
        <w:rPr>
          <w:rFonts w:ascii="Arial" w:eastAsia="Times New Roman" w:hAnsi="Arial" w:cs="Arial"/>
          <w:sz w:val="24"/>
          <w:szCs w:val="24"/>
        </w:rPr>
      </w:pPr>
    </w:p>
    <w:p w14:paraId="01DA3AAE" w14:textId="77777777" w:rsidR="00A93E2D" w:rsidRDefault="00A93E2D" w:rsidP="00E14E51">
      <w:pPr>
        <w:spacing w:before="120" w:after="120" w:line="360" w:lineRule="auto"/>
        <w:jc w:val="both"/>
        <w:rPr>
          <w:rFonts w:ascii="Arial" w:eastAsia="Times New Roman" w:hAnsi="Arial" w:cs="Arial"/>
          <w:sz w:val="24"/>
          <w:szCs w:val="24"/>
        </w:rPr>
      </w:pPr>
    </w:p>
    <w:p w14:paraId="2C09DB9D" w14:textId="77777777" w:rsidR="00A93E2D" w:rsidRDefault="00A93E2D" w:rsidP="00E14E51">
      <w:pPr>
        <w:spacing w:before="120" w:after="120" w:line="360" w:lineRule="auto"/>
        <w:jc w:val="both"/>
        <w:rPr>
          <w:rFonts w:ascii="Arial" w:eastAsia="Times New Roman" w:hAnsi="Arial" w:cs="Arial"/>
          <w:sz w:val="24"/>
          <w:szCs w:val="24"/>
        </w:rPr>
      </w:pPr>
    </w:p>
    <w:p w14:paraId="113AD011" w14:textId="77777777" w:rsidR="00A93E2D" w:rsidRDefault="00A93E2D" w:rsidP="00E14E51">
      <w:pPr>
        <w:spacing w:before="120" w:after="120" w:line="360" w:lineRule="auto"/>
        <w:jc w:val="both"/>
        <w:rPr>
          <w:rFonts w:ascii="Arial" w:eastAsia="Times New Roman" w:hAnsi="Arial" w:cs="Arial"/>
          <w:sz w:val="24"/>
          <w:szCs w:val="24"/>
        </w:rPr>
      </w:pPr>
    </w:p>
    <w:p w14:paraId="184CE5F2" w14:textId="77777777" w:rsidR="00A93E2D" w:rsidRDefault="00A93E2D" w:rsidP="00E14E51">
      <w:pPr>
        <w:spacing w:before="120" w:after="120" w:line="360" w:lineRule="auto"/>
        <w:jc w:val="both"/>
        <w:rPr>
          <w:rFonts w:ascii="Arial" w:eastAsia="Times New Roman" w:hAnsi="Arial" w:cs="Arial"/>
          <w:sz w:val="24"/>
          <w:szCs w:val="24"/>
        </w:rPr>
      </w:pPr>
    </w:p>
    <w:p w14:paraId="591E34DD" w14:textId="77777777" w:rsidR="00A93E2D" w:rsidRDefault="00A93E2D" w:rsidP="00E14E51">
      <w:pPr>
        <w:spacing w:before="120" w:after="120" w:line="360" w:lineRule="auto"/>
        <w:jc w:val="both"/>
        <w:rPr>
          <w:rFonts w:ascii="Arial" w:eastAsia="Times New Roman" w:hAnsi="Arial" w:cs="Arial"/>
          <w:sz w:val="24"/>
          <w:szCs w:val="24"/>
        </w:rPr>
      </w:pPr>
    </w:p>
    <w:p w14:paraId="76DEF077" w14:textId="77777777" w:rsidR="00A93E2D" w:rsidRDefault="00A93E2D" w:rsidP="00E14E51">
      <w:pPr>
        <w:spacing w:before="120" w:after="120" w:line="360" w:lineRule="auto"/>
        <w:jc w:val="both"/>
        <w:rPr>
          <w:rFonts w:ascii="Arial" w:eastAsia="Times New Roman" w:hAnsi="Arial" w:cs="Arial"/>
          <w:sz w:val="24"/>
          <w:szCs w:val="24"/>
        </w:rPr>
      </w:pPr>
    </w:p>
    <w:p w14:paraId="61BBF638" w14:textId="77777777" w:rsidR="00A93E2D" w:rsidRDefault="00A93E2D" w:rsidP="00E14E51">
      <w:pPr>
        <w:spacing w:before="120" w:after="120" w:line="360" w:lineRule="auto"/>
        <w:jc w:val="both"/>
        <w:rPr>
          <w:rFonts w:ascii="Arial" w:eastAsia="Times New Roman" w:hAnsi="Arial" w:cs="Arial"/>
          <w:sz w:val="24"/>
          <w:szCs w:val="24"/>
        </w:rPr>
      </w:pPr>
    </w:p>
    <w:p w14:paraId="02E1BF41" w14:textId="77777777" w:rsidR="00FC1CB7" w:rsidRDefault="00FC1CB7" w:rsidP="00E14E51">
      <w:pPr>
        <w:spacing w:before="120" w:after="120" w:line="360" w:lineRule="auto"/>
        <w:jc w:val="both"/>
        <w:rPr>
          <w:rFonts w:ascii="Arial" w:eastAsia="Times New Roman" w:hAnsi="Arial" w:cs="Arial"/>
          <w:sz w:val="24"/>
          <w:szCs w:val="24"/>
        </w:rPr>
      </w:pPr>
    </w:p>
    <w:p w14:paraId="2972CC39" w14:textId="77777777" w:rsidR="00FC1CB7" w:rsidRDefault="00FC1CB7" w:rsidP="00E14E51">
      <w:pPr>
        <w:spacing w:before="120" w:after="120" w:line="360" w:lineRule="auto"/>
        <w:jc w:val="both"/>
        <w:rPr>
          <w:rFonts w:ascii="Arial" w:eastAsia="Times New Roman" w:hAnsi="Arial" w:cs="Arial"/>
          <w:sz w:val="24"/>
          <w:szCs w:val="24"/>
        </w:rPr>
      </w:pPr>
    </w:p>
    <w:p w14:paraId="3411759C" w14:textId="77777777" w:rsidR="00FC1CB7" w:rsidRDefault="00FC1CB7" w:rsidP="00E14E51">
      <w:pPr>
        <w:spacing w:before="120" w:after="120" w:line="360" w:lineRule="auto"/>
        <w:jc w:val="both"/>
        <w:rPr>
          <w:rFonts w:ascii="Arial" w:eastAsia="Times New Roman" w:hAnsi="Arial" w:cs="Arial"/>
          <w:sz w:val="24"/>
          <w:szCs w:val="24"/>
        </w:rPr>
      </w:pPr>
    </w:p>
    <w:p w14:paraId="1CD9B66B" w14:textId="77777777" w:rsidR="00FC1CB7" w:rsidRDefault="00FC1CB7" w:rsidP="00E14E51">
      <w:pPr>
        <w:spacing w:before="120" w:after="120" w:line="360" w:lineRule="auto"/>
        <w:jc w:val="both"/>
        <w:rPr>
          <w:rFonts w:ascii="Arial" w:eastAsia="Times New Roman" w:hAnsi="Arial" w:cs="Arial"/>
          <w:sz w:val="24"/>
          <w:szCs w:val="24"/>
        </w:rPr>
      </w:pPr>
    </w:p>
    <w:p w14:paraId="6737EB0E" w14:textId="77777777" w:rsidR="00FC1CB7" w:rsidRDefault="00FC1CB7" w:rsidP="00E14E51">
      <w:pPr>
        <w:spacing w:before="120" w:after="120" w:line="360" w:lineRule="auto"/>
        <w:jc w:val="both"/>
        <w:rPr>
          <w:rFonts w:ascii="Arial" w:eastAsia="Times New Roman" w:hAnsi="Arial" w:cs="Arial"/>
          <w:sz w:val="24"/>
          <w:szCs w:val="24"/>
        </w:rPr>
      </w:pPr>
    </w:p>
    <w:p w14:paraId="67415D2A" w14:textId="77777777" w:rsidR="00FC1CB7" w:rsidRDefault="00FC1CB7" w:rsidP="00E14E51">
      <w:pPr>
        <w:spacing w:before="120" w:after="120" w:line="360" w:lineRule="auto"/>
        <w:jc w:val="both"/>
        <w:rPr>
          <w:rFonts w:ascii="Arial" w:eastAsia="Times New Roman" w:hAnsi="Arial" w:cs="Arial"/>
          <w:sz w:val="24"/>
          <w:szCs w:val="24"/>
        </w:rPr>
      </w:pPr>
    </w:p>
    <w:p w14:paraId="519FEF5F" w14:textId="77777777" w:rsidR="008026BD" w:rsidRPr="00C47FB1" w:rsidRDefault="008026BD" w:rsidP="00E14E51">
      <w:pPr>
        <w:spacing w:before="120" w:after="120" w:line="360" w:lineRule="auto"/>
        <w:jc w:val="both"/>
        <w:rPr>
          <w:rFonts w:ascii="Arial" w:eastAsia="Times New Roman" w:hAnsi="Arial" w:cs="Arial"/>
          <w:sz w:val="24"/>
          <w:szCs w:val="24"/>
        </w:rPr>
      </w:pPr>
    </w:p>
    <w:p w14:paraId="7FAEE48D" w14:textId="77777777" w:rsidR="00C47FB1" w:rsidRPr="00A241FA" w:rsidRDefault="00C47FB1" w:rsidP="00E14E51">
      <w:pPr>
        <w:pStyle w:val="Heading1"/>
      </w:pPr>
      <w:bookmarkStart w:id="13" w:name="_Toc213327058"/>
      <w:bookmarkStart w:id="14" w:name="_Hlk213603324"/>
      <w:r w:rsidRPr="00A241FA">
        <w:lastRenderedPageBreak/>
        <w:t>5. References</w:t>
      </w:r>
      <w:bookmarkEnd w:id="13"/>
      <w:r w:rsidRPr="00A241FA">
        <w:t xml:space="preserve"> </w:t>
      </w:r>
    </w:p>
    <w:p w14:paraId="7382FBA4" w14:textId="77777777" w:rsidR="00C47FB1" w:rsidRPr="00C47FB1" w:rsidRDefault="00C47FB1" w:rsidP="0057124C">
      <w:pPr>
        <w:numPr>
          <w:ilvl w:val="0"/>
          <w:numId w:val="1"/>
        </w:num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 xml:space="preserve">Alzheimer’s Society (2020) </w:t>
      </w:r>
      <w:r w:rsidRPr="0057124C">
        <w:rPr>
          <w:rFonts w:ascii="Arial" w:eastAsia="Times New Roman" w:hAnsi="Arial" w:cs="Arial"/>
          <w:iCs/>
          <w:sz w:val="24"/>
          <w:szCs w:val="24"/>
        </w:rPr>
        <w:t>The impact of COVID-19 on people affected by dementia</w:t>
      </w:r>
      <w:r w:rsidRPr="00C47FB1">
        <w:rPr>
          <w:rFonts w:ascii="Arial" w:eastAsia="Times New Roman" w:hAnsi="Arial" w:cs="Arial"/>
          <w:sz w:val="24"/>
          <w:szCs w:val="24"/>
        </w:rPr>
        <w:t>. London: Alzheimer’s Society.</w:t>
      </w:r>
      <w:r w:rsidR="00E42236" w:rsidRPr="0057124C">
        <w:rPr>
          <w:rFonts w:ascii="Arial" w:eastAsia="Times New Roman" w:hAnsi="Arial" w:cs="Arial"/>
          <w:sz w:val="24"/>
          <w:szCs w:val="24"/>
        </w:rPr>
        <w:t xml:space="preserve"> </w:t>
      </w:r>
      <w:hyperlink r:id="rId9" w:history="1">
        <w:r w:rsidR="00E42236" w:rsidRPr="0057124C">
          <w:rPr>
            <w:rStyle w:val="Hyperlink"/>
            <w:rFonts w:ascii="Arial" w:eastAsia="Times New Roman" w:hAnsi="Arial" w:cs="Arial"/>
            <w:sz w:val="24"/>
            <w:szCs w:val="24"/>
          </w:rPr>
          <w:t>https://www.alzheimers.org.uk/sites/default/files/2020-08/The_Impact_of_COVID-19_on_People_Affected_By_Dementia.pdf</w:t>
        </w:r>
      </w:hyperlink>
      <w:r w:rsidR="00E42236" w:rsidRPr="0057124C">
        <w:rPr>
          <w:rFonts w:ascii="Arial" w:eastAsia="Times New Roman" w:hAnsi="Arial" w:cs="Arial"/>
          <w:sz w:val="24"/>
          <w:szCs w:val="24"/>
        </w:rPr>
        <w:t xml:space="preserve"> </w:t>
      </w:r>
    </w:p>
    <w:p w14:paraId="02FCBDB0" w14:textId="77777777" w:rsidR="00F06726" w:rsidRPr="0057124C" w:rsidRDefault="00F06726" w:rsidP="0057124C">
      <w:pPr>
        <w:numPr>
          <w:ilvl w:val="0"/>
          <w:numId w:val="1"/>
        </w:numPr>
        <w:spacing w:before="120" w:after="120" w:line="360" w:lineRule="auto"/>
        <w:jc w:val="both"/>
        <w:rPr>
          <w:rFonts w:ascii="Arial" w:eastAsia="Times New Roman" w:hAnsi="Arial" w:cs="Arial"/>
          <w:sz w:val="24"/>
          <w:szCs w:val="24"/>
        </w:rPr>
      </w:pPr>
      <w:r w:rsidRPr="0057124C">
        <w:rPr>
          <w:rFonts w:ascii="Arial" w:hAnsi="Arial" w:cs="Arial"/>
          <w:sz w:val="24"/>
          <w:szCs w:val="24"/>
        </w:rPr>
        <w:t xml:space="preserve">Backhaus, R., Verbeek, H., de Boer, B., </w:t>
      </w:r>
      <w:proofErr w:type="spellStart"/>
      <w:r w:rsidRPr="0057124C">
        <w:rPr>
          <w:rFonts w:ascii="Arial" w:hAnsi="Arial" w:cs="Arial"/>
          <w:sz w:val="24"/>
          <w:szCs w:val="24"/>
        </w:rPr>
        <w:t>Urlings</w:t>
      </w:r>
      <w:proofErr w:type="spellEnd"/>
      <w:r w:rsidRPr="0057124C">
        <w:rPr>
          <w:rFonts w:ascii="Arial" w:hAnsi="Arial" w:cs="Arial"/>
          <w:sz w:val="24"/>
          <w:szCs w:val="24"/>
        </w:rPr>
        <w:t xml:space="preserve">, J.H.J., Gerritsen, D.L., Koopmans, R.T.C.M. and Hamers, J.P.H. (2021) ‘From wave to wave: a Dutch national study on the long-term impact of COVID-19 on well-being and family visitation in nursing homes’, </w:t>
      </w:r>
      <w:r w:rsidRPr="0057124C">
        <w:rPr>
          <w:rStyle w:val="Emphasis"/>
          <w:rFonts w:ascii="Arial" w:hAnsi="Arial" w:cs="Arial"/>
          <w:sz w:val="24"/>
          <w:szCs w:val="24"/>
        </w:rPr>
        <w:t>BMC Geriatrics</w:t>
      </w:r>
      <w:r w:rsidRPr="0057124C">
        <w:rPr>
          <w:rFonts w:ascii="Arial" w:hAnsi="Arial" w:cs="Arial"/>
          <w:sz w:val="24"/>
          <w:szCs w:val="24"/>
        </w:rPr>
        <w:t xml:space="preserve">, 21, 588. </w:t>
      </w:r>
      <w:hyperlink r:id="rId10" w:history="1">
        <w:r w:rsidRPr="0057124C">
          <w:rPr>
            <w:rStyle w:val="Hyperlink"/>
            <w:rFonts w:ascii="Arial" w:hAnsi="Arial" w:cs="Arial"/>
            <w:sz w:val="24"/>
            <w:szCs w:val="24"/>
          </w:rPr>
          <w:t>https://doi.org/10.1186/s12877-021-02530-1</w:t>
        </w:r>
      </w:hyperlink>
      <w:r w:rsidRPr="0057124C">
        <w:rPr>
          <w:rFonts w:ascii="Arial" w:hAnsi="Arial" w:cs="Arial"/>
          <w:sz w:val="24"/>
          <w:szCs w:val="24"/>
        </w:rPr>
        <w:t>.</w:t>
      </w:r>
    </w:p>
    <w:p w14:paraId="3505CD33" w14:textId="77777777" w:rsidR="00C47FB1" w:rsidRPr="00C47FB1" w:rsidRDefault="00C47FB1" w:rsidP="0057124C">
      <w:pPr>
        <w:numPr>
          <w:ilvl w:val="0"/>
          <w:numId w:val="1"/>
        </w:num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 xml:space="preserve">Bryman, A. (2016) </w:t>
      </w:r>
      <w:r w:rsidRPr="0057124C">
        <w:rPr>
          <w:rFonts w:ascii="Arial" w:eastAsia="Times New Roman" w:hAnsi="Arial" w:cs="Arial"/>
          <w:iCs/>
          <w:sz w:val="24"/>
          <w:szCs w:val="24"/>
        </w:rPr>
        <w:t>Social research methods</w:t>
      </w:r>
      <w:r w:rsidRPr="00C47FB1">
        <w:rPr>
          <w:rFonts w:ascii="Arial" w:eastAsia="Times New Roman" w:hAnsi="Arial" w:cs="Arial"/>
          <w:sz w:val="24"/>
          <w:szCs w:val="24"/>
        </w:rPr>
        <w:t xml:space="preserve">. 5th </w:t>
      </w:r>
      <w:proofErr w:type="spellStart"/>
      <w:r w:rsidRPr="00C47FB1">
        <w:rPr>
          <w:rFonts w:ascii="Arial" w:eastAsia="Times New Roman" w:hAnsi="Arial" w:cs="Arial"/>
          <w:sz w:val="24"/>
          <w:szCs w:val="24"/>
        </w:rPr>
        <w:t>edn</w:t>
      </w:r>
      <w:proofErr w:type="spellEnd"/>
      <w:r w:rsidRPr="00C47FB1">
        <w:rPr>
          <w:rFonts w:ascii="Arial" w:eastAsia="Times New Roman" w:hAnsi="Arial" w:cs="Arial"/>
          <w:sz w:val="24"/>
          <w:szCs w:val="24"/>
        </w:rPr>
        <w:t>. Oxford: Oxford University Press.</w:t>
      </w:r>
      <w:r w:rsidR="00E42236" w:rsidRPr="0057124C">
        <w:rPr>
          <w:rFonts w:ascii="Arial" w:eastAsia="Times New Roman" w:hAnsi="Arial" w:cs="Arial"/>
          <w:sz w:val="24"/>
          <w:szCs w:val="24"/>
        </w:rPr>
        <w:t xml:space="preserve"> </w:t>
      </w:r>
      <w:hyperlink r:id="rId11" w:history="1">
        <w:r w:rsidR="00E42236" w:rsidRPr="0057124C">
          <w:rPr>
            <w:rStyle w:val="Hyperlink"/>
            <w:rFonts w:ascii="Arial" w:eastAsia="Times New Roman" w:hAnsi="Arial" w:cs="Arial"/>
            <w:sz w:val="24"/>
            <w:szCs w:val="24"/>
          </w:rPr>
          <w:t>https://ktpu.kpi.ua/wp-content/uploads/2014/02/social-research-methods-alan-bryman.pdf</w:t>
        </w:r>
      </w:hyperlink>
      <w:r w:rsidR="00E42236" w:rsidRPr="0057124C">
        <w:rPr>
          <w:rFonts w:ascii="Arial" w:eastAsia="Times New Roman" w:hAnsi="Arial" w:cs="Arial"/>
          <w:sz w:val="24"/>
          <w:szCs w:val="24"/>
        </w:rPr>
        <w:t xml:space="preserve"> </w:t>
      </w:r>
    </w:p>
    <w:p w14:paraId="3A9DE337" w14:textId="77777777" w:rsidR="00C47FB1" w:rsidRPr="00C47FB1" w:rsidRDefault="00C47FB1" w:rsidP="0057124C">
      <w:pPr>
        <w:numPr>
          <w:ilvl w:val="0"/>
          <w:numId w:val="1"/>
        </w:num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 xml:space="preserve">Care Quality Commission (CQC) (2021) </w:t>
      </w:r>
      <w:r w:rsidRPr="0057124C">
        <w:rPr>
          <w:rFonts w:ascii="Arial" w:eastAsia="Times New Roman" w:hAnsi="Arial" w:cs="Arial"/>
          <w:iCs/>
          <w:sz w:val="24"/>
          <w:szCs w:val="24"/>
        </w:rPr>
        <w:t>The state of health care and adult social care in England 2020/21</w:t>
      </w:r>
      <w:r w:rsidRPr="00C47FB1">
        <w:rPr>
          <w:rFonts w:ascii="Arial" w:eastAsia="Times New Roman" w:hAnsi="Arial" w:cs="Arial"/>
          <w:sz w:val="24"/>
          <w:szCs w:val="24"/>
        </w:rPr>
        <w:t>. Newcastle upon Tyne: CQC.</w:t>
      </w:r>
      <w:r w:rsidR="00A7369F" w:rsidRPr="0057124C">
        <w:rPr>
          <w:rFonts w:ascii="Arial" w:eastAsia="Times New Roman" w:hAnsi="Arial" w:cs="Arial"/>
          <w:sz w:val="24"/>
          <w:szCs w:val="24"/>
        </w:rPr>
        <w:t xml:space="preserve"> </w:t>
      </w:r>
      <w:hyperlink r:id="rId12" w:history="1">
        <w:r w:rsidR="00A7369F" w:rsidRPr="0057124C">
          <w:rPr>
            <w:rStyle w:val="Hyperlink"/>
            <w:rFonts w:ascii="Arial" w:eastAsia="Times New Roman" w:hAnsi="Arial" w:cs="Arial"/>
            <w:sz w:val="24"/>
            <w:szCs w:val="24"/>
          </w:rPr>
          <w:t>https://www.cqc.org.uk/sites/default/files/20211021_stateofcare2021_print.pdf</w:t>
        </w:r>
      </w:hyperlink>
      <w:r w:rsidR="00A7369F" w:rsidRPr="0057124C">
        <w:rPr>
          <w:rFonts w:ascii="Arial" w:eastAsia="Times New Roman" w:hAnsi="Arial" w:cs="Arial"/>
          <w:sz w:val="24"/>
          <w:szCs w:val="24"/>
        </w:rPr>
        <w:t xml:space="preserve"> </w:t>
      </w:r>
    </w:p>
    <w:p w14:paraId="56227C9C" w14:textId="77777777" w:rsidR="00C47FB1" w:rsidRPr="00C47FB1" w:rsidRDefault="00C47FB1" w:rsidP="0057124C">
      <w:pPr>
        <w:numPr>
          <w:ilvl w:val="0"/>
          <w:numId w:val="1"/>
        </w:num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 xml:space="preserve">Creswell, J.W. and Creswell, J.D. (2018) </w:t>
      </w:r>
      <w:r w:rsidRPr="0057124C">
        <w:rPr>
          <w:rFonts w:ascii="Arial" w:eastAsia="Times New Roman" w:hAnsi="Arial" w:cs="Arial"/>
          <w:iCs/>
          <w:sz w:val="24"/>
          <w:szCs w:val="24"/>
        </w:rPr>
        <w:t>Research design: qualitative, quantitative, and mixed methods approaches</w:t>
      </w:r>
      <w:r w:rsidRPr="00C47FB1">
        <w:rPr>
          <w:rFonts w:ascii="Arial" w:eastAsia="Times New Roman" w:hAnsi="Arial" w:cs="Arial"/>
          <w:sz w:val="24"/>
          <w:szCs w:val="24"/>
        </w:rPr>
        <w:t xml:space="preserve">. 5th </w:t>
      </w:r>
      <w:proofErr w:type="spellStart"/>
      <w:r w:rsidRPr="00C47FB1">
        <w:rPr>
          <w:rFonts w:ascii="Arial" w:eastAsia="Times New Roman" w:hAnsi="Arial" w:cs="Arial"/>
          <w:sz w:val="24"/>
          <w:szCs w:val="24"/>
        </w:rPr>
        <w:t>edn</w:t>
      </w:r>
      <w:proofErr w:type="spellEnd"/>
      <w:r w:rsidRPr="00C47FB1">
        <w:rPr>
          <w:rFonts w:ascii="Arial" w:eastAsia="Times New Roman" w:hAnsi="Arial" w:cs="Arial"/>
          <w:sz w:val="24"/>
          <w:szCs w:val="24"/>
        </w:rPr>
        <w:t>. Thousand Oaks, CA: SAGE.</w:t>
      </w:r>
      <w:r w:rsidR="00CA7B39" w:rsidRPr="0057124C">
        <w:rPr>
          <w:rFonts w:ascii="Arial" w:eastAsia="Times New Roman" w:hAnsi="Arial" w:cs="Arial"/>
          <w:sz w:val="24"/>
          <w:szCs w:val="24"/>
        </w:rPr>
        <w:t xml:space="preserve"> </w:t>
      </w:r>
      <w:hyperlink r:id="rId13" w:history="1">
        <w:r w:rsidR="00CA7B39" w:rsidRPr="0057124C">
          <w:rPr>
            <w:rStyle w:val="Hyperlink"/>
            <w:rFonts w:ascii="Arial" w:eastAsia="Times New Roman" w:hAnsi="Arial" w:cs="Arial"/>
            <w:sz w:val="24"/>
            <w:szCs w:val="24"/>
          </w:rPr>
          <w:t>https://spada.uns.ac.id/pluginfile.php/510378/mod_resource/content/1/creswell.pdf</w:t>
        </w:r>
      </w:hyperlink>
      <w:r w:rsidR="00CA7B39" w:rsidRPr="0057124C">
        <w:rPr>
          <w:rFonts w:ascii="Arial" w:eastAsia="Times New Roman" w:hAnsi="Arial" w:cs="Arial"/>
          <w:sz w:val="24"/>
          <w:szCs w:val="24"/>
        </w:rPr>
        <w:t xml:space="preserve"> </w:t>
      </w:r>
    </w:p>
    <w:p w14:paraId="04135F64" w14:textId="77777777" w:rsidR="00C47FB1" w:rsidRPr="00C47FB1" w:rsidRDefault="00C47FB1" w:rsidP="0057124C">
      <w:pPr>
        <w:numPr>
          <w:ilvl w:val="0"/>
          <w:numId w:val="1"/>
        </w:num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 xml:space="preserve">National Institute for Health and Care Excellence (NICE) (2013) </w:t>
      </w:r>
      <w:r w:rsidRPr="0057124C">
        <w:rPr>
          <w:rFonts w:ascii="Arial" w:eastAsia="Times New Roman" w:hAnsi="Arial" w:cs="Arial"/>
          <w:iCs/>
          <w:sz w:val="24"/>
          <w:szCs w:val="24"/>
        </w:rPr>
        <w:t>Mental wellbeing of older people in care homes. Quality standard [QS50]</w:t>
      </w:r>
      <w:r w:rsidRPr="00C47FB1">
        <w:rPr>
          <w:rFonts w:ascii="Arial" w:eastAsia="Times New Roman" w:hAnsi="Arial" w:cs="Arial"/>
          <w:sz w:val="24"/>
          <w:szCs w:val="24"/>
        </w:rPr>
        <w:t>. London: NICE.</w:t>
      </w:r>
      <w:r w:rsidR="00717486" w:rsidRPr="0057124C">
        <w:rPr>
          <w:rFonts w:ascii="Arial" w:eastAsia="Times New Roman" w:hAnsi="Arial" w:cs="Arial"/>
          <w:sz w:val="24"/>
          <w:szCs w:val="24"/>
        </w:rPr>
        <w:t xml:space="preserve"> </w:t>
      </w:r>
      <w:hyperlink r:id="rId14" w:history="1">
        <w:r w:rsidR="00717486" w:rsidRPr="0057124C">
          <w:rPr>
            <w:rStyle w:val="Hyperlink"/>
            <w:rFonts w:ascii="Arial" w:eastAsia="Times New Roman" w:hAnsi="Arial" w:cs="Arial"/>
            <w:sz w:val="24"/>
            <w:szCs w:val="24"/>
          </w:rPr>
          <w:t>https://www.nice.org.uk/guidance/qs50/resources/mental-wellbeing-of-older-people-in-care-homes-pdf-2098720457413</w:t>
        </w:r>
      </w:hyperlink>
      <w:r w:rsidR="00717486" w:rsidRPr="0057124C">
        <w:rPr>
          <w:rFonts w:ascii="Arial" w:eastAsia="Times New Roman" w:hAnsi="Arial" w:cs="Arial"/>
          <w:sz w:val="24"/>
          <w:szCs w:val="24"/>
        </w:rPr>
        <w:t xml:space="preserve"> </w:t>
      </w:r>
    </w:p>
    <w:p w14:paraId="763F3653" w14:textId="77777777" w:rsidR="00C47FB1" w:rsidRPr="0057124C" w:rsidRDefault="00C47FB1" w:rsidP="0057124C">
      <w:pPr>
        <w:numPr>
          <w:ilvl w:val="0"/>
          <w:numId w:val="1"/>
        </w:numPr>
        <w:spacing w:before="120" w:after="120" w:line="360" w:lineRule="auto"/>
        <w:jc w:val="both"/>
        <w:rPr>
          <w:rFonts w:ascii="Arial" w:eastAsia="Times New Roman" w:hAnsi="Arial" w:cs="Arial"/>
          <w:sz w:val="24"/>
          <w:szCs w:val="24"/>
        </w:rPr>
      </w:pPr>
      <w:r w:rsidRPr="00C47FB1">
        <w:rPr>
          <w:rFonts w:ascii="Arial" w:eastAsia="Times New Roman" w:hAnsi="Arial" w:cs="Arial"/>
          <w:sz w:val="24"/>
          <w:szCs w:val="24"/>
        </w:rPr>
        <w:t xml:space="preserve">Office for National Statistics (ONS) (2021) </w:t>
      </w:r>
      <w:r w:rsidRPr="0057124C">
        <w:rPr>
          <w:rFonts w:ascii="Arial" w:eastAsia="Times New Roman" w:hAnsi="Arial" w:cs="Arial"/>
          <w:iCs/>
          <w:sz w:val="24"/>
          <w:szCs w:val="24"/>
        </w:rPr>
        <w:t>Coronavirus and depression in adults, Great Britain: January to March 2021</w:t>
      </w:r>
      <w:r w:rsidRPr="00C47FB1">
        <w:rPr>
          <w:rFonts w:ascii="Arial" w:eastAsia="Times New Roman" w:hAnsi="Arial" w:cs="Arial"/>
          <w:sz w:val="24"/>
          <w:szCs w:val="24"/>
        </w:rPr>
        <w:t>. Newport: ONS.</w:t>
      </w:r>
      <w:r w:rsidR="004C77BB" w:rsidRPr="0057124C">
        <w:rPr>
          <w:rFonts w:ascii="Arial" w:eastAsia="Times New Roman" w:hAnsi="Arial" w:cs="Arial"/>
          <w:sz w:val="24"/>
          <w:szCs w:val="24"/>
        </w:rPr>
        <w:t xml:space="preserve"> </w:t>
      </w:r>
      <w:hyperlink r:id="rId15" w:history="1">
        <w:r w:rsidR="004C77BB" w:rsidRPr="0057124C">
          <w:rPr>
            <w:rStyle w:val="Hyperlink"/>
            <w:rFonts w:ascii="Arial" w:eastAsia="Times New Roman" w:hAnsi="Arial" w:cs="Arial"/>
            <w:sz w:val="24"/>
            <w:szCs w:val="24"/>
          </w:rPr>
          <w:t>https://www.ons.gov.uk/peoplepopulationandcommunity/wellbeing/articles/coronavirusanddepressioninadultsgreatbritain/januarytomarch2021</w:t>
        </w:r>
      </w:hyperlink>
      <w:r w:rsidR="004C77BB" w:rsidRPr="0057124C">
        <w:rPr>
          <w:rFonts w:ascii="Arial" w:eastAsia="Times New Roman" w:hAnsi="Arial" w:cs="Arial"/>
          <w:sz w:val="24"/>
          <w:szCs w:val="24"/>
        </w:rPr>
        <w:t xml:space="preserve"> </w:t>
      </w:r>
    </w:p>
    <w:p w14:paraId="7213F46D" w14:textId="77777777" w:rsidR="00F06726" w:rsidRPr="00C47FB1" w:rsidRDefault="00F06726" w:rsidP="0057124C">
      <w:pPr>
        <w:numPr>
          <w:ilvl w:val="0"/>
          <w:numId w:val="1"/>
        </w:numPr>
        <w:spacing w:before="120" w:after="120" w:line="360" w:lineRule="auto"/>
        <w:jc w:val="both"/>
        <w:rPr>
          <w:rFonts w:ascii="Arial" w:eastAsia="Times New Roman" w:hAnsi="Arial" w:cs="Arial"/>
          <w:sz w:val="24"/>
          <w:szCs w:val="24"/>
        </w:rPr>
      </w:pPr>
      <w:r w:rsidRPr="0057124C">
        <w:rPr>
          <w:rFonts w:ascii="Arial" w:hAnsi="Arial" w:cs="Arial"/>
          <w:sz w:val="24"/>
          <w:szCs w:val="24"/>
        </w:rPr>
        <w:lastRenderedPageBreak/>
        <w:t xml:space="preserve">Suárez-González, A., Rajagopalan, J., Livingston, G. and Alladi, S. (2021) ‘The effect of COVID-19 isolation measures on the cognition and mental health of people living with dementia: A rapid systematic review of one year of quantitative evidence’, </w:t>
      </w:r>
      <w:proofErr w:type="spellStart"/>
      <w:r w:rsidRPr="0057124C">
        <w:rPr>
          <w:rStyle w:val="Emphasis"/>
          <w:rFonts w:ascii="Arial" w:hAnsi="Arial" w:cs="Arial"/>
          <w:sz w:val="24"/>
          <w:szCs w:val="24"/>
        </w:rPr>
        <w:t>EClinicalMedicine</w:t>
      </w:r>
      <w:proofErr w:type="spellEnd"/>
      <w:r w:rsidRPr="0057124C">
        <w:rPr>
          <w:rFonts w:ascii="Arial" w:hAnsi="Arial" w:cs="Arial"/>
          <w:sz w:val="24"/>
          <w:szCs w:val="24"/>
        </w:rPr>
        <w:t xml:space="preserve">, 39, 101047. </w:t>
      </w:r>
      <w:hyperlink r:id="rId16" w:history="1">
        <w:r w:rsidR="0057124C" w:rsidRPr="0057124C">
          <w:rPr>
            <w:rStyle w:val="Hyperlink"/>
            <w:rFonts w:ascii="Arial" w:hAnsi="Arial" w:cs="Arial"/>
            <w:sz w:val="24"/>
            <w:szCs w:val="24"/>
          </w:rPr>
          <w:t>https://doi.org/10.1016/j.eclinm.2021.101047</w:t>
        </w:r>
      </w:hyperlink>
      <w:r w:rsidR="0057124C" w:rsidRPr="0057124C">
        <w:rPr>
          <w:rFonts w:ascii="Arial" w:hAnsi="Arial" w:cs="Arial"/>
          <w:sz w:val="24"/>
          <w:szCs w:val="24"/>
        </w:rPr>
        <w:t xml:space="preserve"> </w:t>
      </w:r>
    </w:p>
    <w:bookmarkEnd w:id="14"/>
    <w:p w14:paraId="0294F78E" w14:textId="77777777" w:rsidR="009D728F" w:rsidRPr="00A241FA" w:rsidRDefault="009D728F" w:rsidP="00E14E51">
      <w:pPr>
        <w:spacing w:before="120" w:after="120" w:line="360" w:lineRule="auto"/>
        <w:jc w:val="both"/>
        <w:rPr>
          <w:rFonts w:ascii="Arial" w:hAnsi="Arial" w:cs="Arial"/>
        </w:rPr>
      </w:pPr>
    </w:p>
    <w:sectPr w:rsidR="009D728F" w:rsidRPr="00A241FA" w:rsidSect="00214C3A">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43941F" w14:textId="77777777" w:rsidR="004D14D2" w:rsidRDefault="004D14D2" w:rsidP="00257669">
      <w:pPr>
        <w:spacing w:after="0" w:line="240" w:lineRule="auto"/>
      </w:pPr>
      <w:r>
        <w:separator/>
      </w:r>
    </w:p>
  </w:endnote>
  <w:endnote w:type="continuationSeparator" w:id="0">
    <w:p w14:paraId="2B20538D" w14:textId="77777777" w:rsidR="004D14D2" w:rsidRDefault="004D14D2" w:rsidP="00257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66719656"/>
      <w:docPartObj>
        <w:docPartGallery w:val="Page Numbers (Bottom of Page)"/>
        <w:docPartUnique/>
      </w:docPartObj>
    </w:sdtPr>
    <w:sdtEndPr>
      <w:rPr>
        <w:noProof/>
      </w:rPr>
    </w:sdtEndPr>
    <w:sdtContent>
      <w:p w14:paraId="24F4FD8F" w14:textId="77777777" w:rsidR="00257669" w:rsidRDefault="00257669">
        <w:pPr>
          <w:pStyle w:val="Footer"/>
          <w:jc w:val="right"/>
        </w:pPr>
        <w:r>
          <w:fldChar w:fldCharType="begin"/>
        </w:r>
        <w:r>
          <w:instrText xml:space="preserve"> PAGE   \* MERGEFORMAT </w:instrText>
        </w:r>
        <w:r>
          <w:fldChar w:fldCharType="separate"/>
        </w:r>
        <w:r w:rsidR="00976C61">
          <w:rPr>
            <w:noProof/>
          </w:rPr>
          <w:t>2</w:t>
        </w:r>
        <w:r>
          <w:rPr>
            <w:noProof/>
          </w:rPr>
          <w:fldChar w:fldCharType="end"/>
        </w:r>
      </w:p>
    </w:sdtContent>
  </w:sdt>
  <w:p w14:paraId="65B02001" w14:textId="77777777" w:rsidR="00257669" w:rsidRDefault="00257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257040" w14:textId="77777777" w:rsidR="004D14D2" w:rsidRDefault="004D14D2" w:rsidP="00257669">
      <w:pPr>
        <w:spacing w:after="0" w:line="240" w:lineRule="auto"/>
      </w:pPr>
      <w:r>
        <w:separator/>
      </w:r>
    </w:p>
  </w:footnote>
  <w:footnote w:type="continuationSeparator" w:id="0">
    <w:p w14:paraId="571C6481" w14:textId="77777777" w:rsidR="004D14D2" w:rsidRDefault="004D14D2" w:rsidP="002576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D31DAF"/>
    <w:multiLevelType w:val="multilevel"/>
    <w:tmpl w:val="8E442EE8"/>
    <w:lvl w:ilvl="0">
      <w:start w:val="1"/>
      <w:numFmt w:val="decimal"/>
      <w:lvlText w:val="%1."/>
      <w:lvlJc w:val="left"/>
      <w:pPr>
        <w:tabs>
          <w:tab w:val="num" w:pos="720"/>
        </w:tabs>
        <w:ind w:left="720" w:hanging="360"/>
      </w:pPr>
      <w:rPr>
        <w:rFonts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9520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FB1"/>
    <w:rsid w:val="00011A69"/>
    <w:rsid w:val="00037822"/>
    <w:rsid w:val="000442B3"/>
    <w:rsid w:val="00054A9A"/>
    <w:rsid w:val="000726D6"/>
    <w:rsid w:val="000A5C8C"/>
    <w:rsid w:val="00144661"/>
    <w:rsid w:val="001556D8"/>
    <w:rsid w:val="001818FD"/>
    <w:rsid w:val="00183DF6"/>
    <w:rsid w:val="001C6A1C"/>
    <w:rsid w:val="001D0E48"/>
    <w:rsid w:val="00205CEA"/>
    <w:rsid w:val="00214C3A"/>
    <w:rsid w:val="00223827"/>
    <w:rsid w:val="00257669"/>
    <w:rsid w:val="002B3189"/>
    <w:rsid w:val="002C5508"/>
    <w:rsid w:val="002F65DB"/>
    <w:rsid w:val="00305C34"/>
    <w:rsid w:val="00343E3D"/>
    <w:rsid w:val="00357DA0"/>
    <w:rsid w:val="00381DA2"/>
    <w:rsid w:val="003A4C55"/>
    <w:rsid w:val="003C2A50"/>
    <w:rsid w:val="003D24AE"/>
    <w:rsid w:val="003D2B97"/>
    <w:rsid w:val="004360E9"/>
    <w:rsid w:val="004638D0"/>
    <w:rsid w:val="004C5943"/>
    <w:rsid w:val="004C77BB"/>
    <w:rsid w:val="004D14D2"/>
    <w:rsid w:val="0057124C"/>
    <w:rsid w:val="005E48DD"/>
    <w:rsid w:val="005E63BE"/>
    <w:rsid w:val="006879A8"/>
    <w:rsid w:val="006C2889"/>
    <w:rsid w:val="00717486"/>
    <w:rsid w:val="007809CB"/>
    <w:rsid w:val="007A002B"/>
    <w:rsid w:val="007F30BA"/>
    <w:rsid w:val="008026BD"/>
    <w:rsid w:val="00817FE2"/>
    <w:rsid w:val="00840C9A"/>
    <w:rsid w:val="008805BC"/>
    <w:rsid w:val="0092739B"/>
    <w:rsid w:val="00965A67"/>
    <w:rsid w:val="00976A75"/>
    <w:rsid w:val="00976C61"/>
    <w:rsid w:val="00976D79"/>
    <w:rsid w:val="009773E1"/>
    <w:rsid w:val="00983149"/>
    <w:rsid w:val="00984843"/>
    <w:rsid w:val="009A1105"/>
    <w:rsid w:val="009C0357"/>
    <w:rsid w:val="009D1BA0"/>
    <w:rsid w:val="009D728F"/>
    <w:rsid w:val="00A00BCB"/>
    <w:rsid w:val="00A241FA"/>
    <w:rsid w:val="00A7369F"/>
    <w:rsid w:val="00A93E2D"/>
    <w:rsid w:val="00BA7E9A"/>
    <w:rsid w:val="00BD3DBA"/>
    <w:rsid w:val="00BF0CAF"/>
    <w:rsid w:val="00C04238"/>
    <w:rsid w:val="00C47FB1"/>
    <w:rsid w:val="00CA7B39"/>
    <w:rsid w:val="00CD32B4"/>
    <w:rsid w:val="00CD7F27"/>
    <w:rsid w:val="00D20C28"/>
    <w:rsid w:val="00D23994"/>
    <w:rsid w:val="00D518BE"/>
    <w:rsid w:val="00D631C2"/>
    <w:rsid w:val="00D671F2"/>
    <w:rsid w:val="00D82F39"/>
    <w:rsid w:val="00DE0235"/>
    <w:rsid w:val="00E06161"/>
    <w:rsid w:val="00E14E51"/>
    <w:rsid w:val="00E42236"/>
    <w:rsid w:val="00E8394A"/>
    <w:rsid w:val="00EE0EF6"/>
    <w:rsid w:val="00F06726"/>
    <w:rsid w:val="00F10AA1"/>
    <w:rsid w:val="00F243CD"/>
    <w:rsid w:val="00FA40A2"/>
    <w:rsid w:val="00FC1ABE"/>
    <w:rsid w:val="00FC1CB7"/>
    <w:rsid w:val="00FD36A9"/>
    <w:rsid w:val="00FE0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F6F5"/>
  <w15:chartTrackingRefBased/>
  <w15:docId w15:val="{DC2CE8F6-8A4C-445B-B00F-5402FFBF4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20C28"/>
    <w:pPr>
      <w:keepNext/>
      <w:keepLines/>
      <w:spacing w:before="120" w:after="120" w:line="360" w:lineRule="auto"/>
      <w:jc w:val="both"/>
      <w:outlineLvl w:val="0"/>
    </w:pPr>
    <w:rPr>
      <w:rFonts w:ascii="Arial" w:eastAsia="Times New Roman" w:hAnsi="Arial" w:cs="Arial"/>
      <w:b/>
      <w:color w:val="000000" w:themeColor="text1"/>
      <w:sz w:val="32"/>
    </w:rPr>
  </w:style>
  <w:style w:type="paragraph" w:styleId="Heading2">
    <w:name w:val="heading 2"/>
    <w:basedOn w:val="Normal"/>
    <w:link w:val="Heading2Char"/>
    <w:autoRedefine/>
    <w:uiPriority w:val="9"/>
    <w:qFormat/>
    <w:rsid w:val="00984843"/>
    <w:pPr>
      <w:spacing w:before="100" w:beforeAutospacing="1" w:after="100" w:afterAutospacing="1" w:line="240" w:lineRule="auto"/>
      <w:outlineLvl w:val="1"/>
    </w:pPr>
    <w:rPr>
      <w:rFonts w:ascii="Times New Roman" w:eastAsia="Times New Roman" w:hAnsi="Times New Roman" w:cs="Times New Roman"/>
      <w:b/>
      <w:bCs/>
      <w:sz w:val="28"/>
      <w:szCs w:val="36"/>
    </w:rPr>
  </w:style>
  <w:style w:type="paragraph" w:styleId="Heading3">
    <w:name w:val="heading 3"/>
    <w:basedOn w:val="Normal"/>
    <w:link w:val="Heading3Char"/>
    <w:uiPriority w:val="9"/>
    <w:qFormat/>
    <w:rsid w:val="00C47FB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C28"/>
    <w:rPr>
      <w:rFonts w:ascii="Arial" w:eastAsia="Times New Roman" w:hAnsi="Arial" w:cs="Arial"/>
      <w:b/>
      <w:color w:val="000000" w:themeColor="text1"/>
      <w:sz w:val="32"/>
    </w:rPr>
  </w:style>
  <w:style w:type="character" w:customStyle="1" w:styleId="Heading2Char">
    <w:name w:val="Heading 2 Char"/>
    <w:basedOn w:val="DefaultParagraphFont"/>
    <w:link w:val="Heading2"/>
    <w:uiPriority w:val="9"/>
    <w:rsid w:val="00984843"/>
    <w:rPr>
      <w:rFonts w:ascii="Times New Roman" w:eastAsia="Times New Roman" w:hAnsi="Times New Roman" w:cs="Times New Roman"/>
      <w:b/>
      <w:bCs/>
      <w:sz w:val="28"/>
      <w:szCs w:val="36"/>
    </w:rPr>
  </w:style>
  <w:style w:type="character" w:customStyle="1" w:styleId="Heading3Char">
    <w:name w:val="Heading 3 Char"/>
    <w:basedOn w:val="DefaultParagraphFont"/>
    <w:link w:val="Heading3"/>
    <w:uiPriority w:val="9"/>
    <w:rsid w:val="00C47FB1"/>
    <w:rPr>
      <w:rFonts w:ascii="Times New Roman" w:eastAsia="Times New Roman" w:hAnsi="Times New Roman" w:cs="Times New Roman"/>
      <w:b/>
      <w:bCs/>
      <w:sz w:val="27"/>
      <w:szCs w:val="27"/>
    </w:rPr>
  </w:style>
  <w:style w:type="paragraph" w:styleId="NormalWeb">
    <w:name w:val="Normal (Web)"/>
    <w:basedOn w:val="Normal"/>
    <w:uiPriority w:val="99"/>
    <w:unhideWhenUsed/>
    <w:rsid w:val="00C47FB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47FB1"/>
    <w:rPr>
      <w:b/>
      <w:bCs/>
    </w:rPr>
  </w:style>
  <w:style w:type="character" w:styleId="Emphasis">
    <w:name w:val="Emphasis"/>
    <w:basedOn w:val="DefaultParagraphFont"/>
    <w:uiPriority w:val="20"/>
    <w:qFormat/>
    <w:rsid w:val="00C47FB1"/>
    <w:rPr>
      <w:i/>
      <w:iCs/>
    </w:rPr>
  </w:style>
  <w:style w:type="paragraph" w:styleId="Header">
    <w:name w:val="header"/>
    <w:basedOn w:val="Normal"/>
    <w:link w:val="HeaderChar"/>
    <w:uiPriority w:val="99"/>
    <w:unhideWhenUsed/>
    <w:rsid w:val="002576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7669"/>
  </w:style>
  <w:style w:type="paragraph" w:styleId="Footer">
    <w:name w:val="footer"/>
    <w:basedOn w:val="Normal"/>
    <w:link w:val="FooterChar"/>
    <w:uiPriority w:val="99"/>
    <w:unhideWhenUsed/>
    <w:rsid w:val="002576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7669"/>
  </w:style>
  <w:style w:type="paragraph" w:styleId="TOC1">
    <w:name w:val="toc 1"/>
    <w:basedOn w:val="Normal"/>
    <w:next w:val="Normal"/>
    <w:autoRedefine/>
    <w:uiPriority w:val="39"/>
    <w:unhideWhenUsed/>
    <w:rsid w:val="00A241FA"/>
    <w:pPr>
      <w:spacing w:after="100"/>
    </w:pPr>
  </w:style>
  <w:style w:type="paragraph" w:styleId="TOC2">
    <w:name w:val="toc 2"/>
    <w:basedOn w:val="Normal"/>
    <w:next w:val="Normal"/>
    <w:autoRedefine/>
    <w:uiPriority w:val="39"/>
    <w:unhideWhenUsed/>
    <w:rsid w:val="00A241FA"/>
    <w:pPr>
      <w:spacing w:after="100"/>
      <w:ind w:left="220"/>
    </w:pPr>
  </w:style>
  <w:style w:type="character" w:styleId="Hyperlink">
    <w:name w:val="Hyperlink"/>
    <w:basedOn w:val="DefaultParagraphFont"/>
    <w:uiPriority w:val="99"/>
    <w:unhideWhenUsed/>
    <w:rsid w:val="00A241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967962">
      <w:bodyDiv w:val="1"/>
      <w:marLeft w:val="0"/>
      <w:marRight w:val="0"/>
      <w:marTop w:val="0"/>
      <w:marBottom w:val="0"/>
      <w:divBdr>
        <w:top w:val="none" w:sz="0" w:space="0" w:color="auto"/>
        <w:left w:val="none" w:sz="0" w:space="0" w:color="auto"/>
        <w:bottom w:val="none" w:sz="0" w:space="0" w:color="auto"/>
        <w:right w:val="none" w:sz="0" w:space="0" w:color="auto"/>
      </w:divBdr>
    </w:div>
    <w:div w:id="862279133">
      <w:bodyDiv w:val="1"/>
      <w:marLeft w:val="0"/>
      <w:marRight w:val="0"/>
      <w:marTop w:val="0"/>
      <w:marBottom w:val="0"/>
      <w:divBdr>
        <w:top w:val="none" w:sz="0" w:space="0" w:color="auto"/>
        <w:left w:val="none" w:sz="0" w:space="0" w:color="auto"/>
        <w:bottom w:val="none" w:sz="0" w:space="0" w:color="auto"/>
        <w:right w:val="none" w:sz="0" w:space="0" w:color="auto"/>
      </w:divBdr>
    </w:div>
    <w:div w:id="1015574983">
      <w:bodyDiv w:val="1"/>
      <w:marLeft w:val="0"/>
      <w:marRight w:val="0"/>
      <w:marTop w:val="0"/>
      <w:marBottom w:val="0"/>
      <w:divBdr>
        <w:top w:val="none" w:sz="0" w:space="0" w:color="auto"/>
        <w:left w:val="none" w:sz="0" w:space="0" w:color="auto"/>
        <w:bottom w:val="none" w:sz="0" w:space="0" w:color="auto"/>
        <w:right w:val="none" w:sz="0" w:space="0" w:color="auto"/>
      </w:divBdr>
      <w:divsChild>
        <w:div w:id="1582180967">
          <w:marLeft w:val="0"/>
          <w:marRight w:val="0"/>
          <w:marTop w:val="0"/>
          <w:marBottom w:val="0"/>
          <w:divBdr>
            <w:top w:val="none" w:sz="0" w:space="0" w:color="auto"/>
            <w:left w:val="none" w:sz="0" w:space="0" w:color="auto"/>
            <w:bottom w:val="none" w:sz="0" w:space="0" w:color="auto"/>
            <w:right w:val="none" w:sz="0" w:space="0" w:color="auto"/>
          </w:divBdr>
          <w:divsChild>
            <w:div w:id="1200169445">
              <w:marLeft w:val="0"/>
              <w:marRight w:val="0"/>
              <w:marTop w:val="0"/>
              <w:marBottom w:val="0"/>
              <w:divBdr>
                <w:top w:val="none" w:sz="0" w:space="0" w:color="auto"/>
                <w:left w:val="none" w:sz="0" w:space="0" w:color="auto"/>
                <w:bottom w:val="none" w:sz="0" w:space="0" w:color="auto"/>
                <w:right w:val="none" w:sz="0" w:space="0" w:color="auto"/>
              </w:divBdr>
              <w:divsChild>
                <w:div w:id="1796220138">
                  <w:marLeft w:val="0"/>
                  <w:marRight w:val="0"/>
                  <w:marTop w:val="0"/>
                  <w:marBottom w:val="0"/>
                  <w:divBdr>
                    <w:top w:val="none" w:sz="0" w:space="0" w:color="auto"/>
                    <w:left w:val="none" w:sz="0" w:space="0" w:color="auto"/>
                    <w:bottom w:val="none" w:sz="0" w:space="0" w:color="auto"/>
                    <w:right w:val="none" w:sz="0" w:space="0" w:color="auto"/>
                  </w:divBdr>
                  <w:divsChild>
                    <w:div w:id="1078818924">
                      <w:marLeft w:val="0"/>
                      <w:marRight w:val="0"/>
                      <w:marTop w:val="0"/>
                      <w:marBottom w:val="0"/>
                      <w:divBdr>
                        <w:top w:val="none" w:sz="0" w:space="0" w:color="auto"/>
                        <w:left w:val="none" w:sz="0" w:space="0" w:color="auto"/>
                        <w:bottom w:val="none" w:sz="0" w:space="0" w:color="auto"/>
                        <w:right w:val="none" w:sz="0" w:space="0" w:color="auto"/>
                      </w:divBdr>
                      <w:divsChild>
                        <w:div w:id="53160367">
                          <w:marLeft w:val="0"/>
                          <w:marRight w:val="0"/>
                          <w:marTop w:val="0"/>
                          <w:marBottom w:val="0"/>
                          <w:divBdr>
                            <w:top w:val="none" w:sz="0" w:space="0" w:color="auto"/>
                            <w:left w:val="none" w:sz="0" w:space="0" w:color="auto"/>
                            <w:bottom w:val="none" w:sz="0" w:space="0" w:color="auto"/>
                            <w:right w:val="none" w:sz="0" w:space="0" w:color="auto"/>
                          </w:divBdr>
                          <w:divsChild>
                            <w:div w:id="176430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175442">
      <w:bodyDiv w:val="1"/>
      <w:marLeft w:val="0"/>
      <w:marRight w:val="0"/>
      <w:marTop w:val="0"/>
      <w:marBottom w:val="0"/>
      <w:divBdr>
        <w:top w:val="none" w:sz="0" w:space="0" w:color="auto"/>
        <w:left w:val="none" w:sz="0" w:space="0" w:color="auto"/>
        <w:bottom w:val="none" w:sz="0" w:space="0" w:color="auto"/>
        <w:right w:val="none" w:sz="0" w:space="0" w:color="auto"/>
      </w:divBdr>
      <w:divsChild>
        <w:div w:id="1796362678">
          <w:marLeft w:val="0"/>
          <w:marRight w:val="0"/>
          <w:marTop w:val="0"/>
          <w:marBottom w:val="0"/>
          <w:divBdr>
            <w:top w:val="none" w:sz="0" w:space="0" w:color="auto"/>
            <w:left w:val="none" w:sz="0" w:space="0" w:color="auto"/>
            <w:bottom w:val="none" w:sz="0" w:space="0" w:color="auto"/>
            <w:right w:val="none" w:sz="0" w:space="0" w:color="auto"/>
          </w:divBdr>
          <w:divsChild>
            <w:div w:id="1064371003">
              <w:marLeft w:val="0"/>
              <w:marRight w:val="0"/>
              <w:marTop w:val="0"/>
              <w:marBottom w:val="0"/>
              <w:divBdr>
                <w:top w:val="none" w:sz="0" w:space="0" w:color="auto"/>
                <w:left w:val="none" w:sz="0" w:space="0" w:color="auto"/>
                <w:bottom w:val="none" w:sz="0" w:space="0" w:color="auto"/>
                <w:right w:val="none" w:sz="0" w:space="0" w:color="auto"/>
              </w:divBdr>
              <w:divsChild>
                <w:div w:id="1665742637">
                  <w:marLeft w:val="0"/>
                  <w:marRight w:val="0"/>
                  <w:marTop w:val="0"/>
                  <w:marBottom w:val="0"/>
                  <w:divBdr>
                    <w:top w:val="none" w:sz="0" w:space="0" w:color="auto"/>
                    <w:left w:val="none" w:sz="0" w:space="0" w:color="auto"/>
                    <w:bottom w:val="none" w:sz="0" w:space="0" w:color="auto"/>
                    <w:right w:val="none" w:sz="0" w:space="0" w:color="auto"/>
                  </w:divBdr>
                  <w:divsChild>
                    <w:div w:id="121928532">
                      <w:marLeft w:val="0"/>
                      <w:marRight w:val="0"/>
                      <w:marTop w:val="0"/>
                      <w:marBottom w:val="0"/>
                      <w:divBdr>
                        <w:top w:val="none" w:sz="0" w:space="0" w:color="auto"/>
                        <w:left w:val="none" w:sz="0" w:space="0" w:color="auto"/>
                        <w:bottom w:val="none" w:sz="0" w:space="0" w:color="auto"/>
                        <w:right w:val="none" w:sz="0" w:space="0" w:color="auto"/>
                      </w:divBdr>
                      <w:divsChild>
                        <w:div w:id="904219910">
                          <w:marLeft w:val="0"/>
                          <w:marRight w:val="0"/>
                          <w:marTop w:val="0"/>
                          <w:marBottom w:val="0"/>
                          <w:divBdr>
                            <w:top w:val="none" w:sz="0" w:space="0" w:color="auto"/>
                            <w:left w:val="none" w:sz="0" w:space="0" w:color="auto"/>
                            <w:bottom w:val="none" w:sz="0" w:space="0" w:color="auto"/>
                            <w:right w:val="none" w:sz="0" w:space="0" w:color="auto"/>
                          </w:divBdr>
                          <w:divsChild>
                            <w:div w:id="110835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958727">
      <w:bodyDiv w:val="1"/>
      <w:marLeft w:val="0"/>
      <w:marRight w:val="0"/>
      <w:marTop w:val="0"/>
      <w:marBottom w:val="0"/>
      <w:divBdr>
        <w:top w:val="none" w:sz="0" w:space="0" w:color="auto"/>
        <w:left w:val="none" w:sz="0" w:space="0" w:color="auto"/>
        <w:bottom w:val="none" w:sz="0" w:space="0" w:color="auto"/>
        <w:right w:val="none" w:sz="0" w:space="0" w:color="auto"/>
      </w:divBdr>
      <w:divsChild>
        <w:div w:id="603346412">
          <w:marLeft w:val="0"/>
          <w:marRight w:val="0"/>
          <w:marTop w:val="0"/>
          <w:marBottom w:val="0"/>
          <w:divBdr>
            <w:top w:val="none" w:sz="0" w:space="0" w:color="auto"/>
            <w:left w:val="none" w:sz="0" w:space="0" w:color="auto"/>
            <w:bottom w:val="none" w:sz="0" w:space="0" w:color="auto"/>
            <w:right w:val="none" w:sz="0" w:space="0" w:color="auto"/>
          </w:divBdr>
          <w:divsChild>
            <w:div w:id="2129665911">
              <w:marLeft w:val="0"/>
              <w:marRight w:val="0"/>
              <w:marTop w:val="0"/>
              <w:marBottom w:val="0"/>
              <w:divBdr>
                <w:top w:val="none" w:sz="0" w:space="0" w:color="auto"/>
                <w:left w:val="none" w:sz="0" w:space="0" w:color="auto"/>
                <w:bottom w:val="none" w:sz="0" w:space="0" w:color="auto"/>
                <w:right w:val="none" w:sz="0" w:space="0" w:color="auto"/>
              </w:divBdr>
              <w:divsChild>
                <w:div w:id="2146729522">
                  <w:marLeft w:val="0"/>
                  <w:marRight w:val="0"/>
                  <w:marTop w:val="0"/>
                  <w:marBottom w:val="0"/>
                  <w:divBdr>
                    <w:top w:val="none" w:sz="0" w:space="0" w:color="auto"/>
                    <w:left w:val="none" w:sz="0" w:space="0" w:color="auto"/>
                    <w:bottom w:val="none" w:sz="0" w:space="0" w:color="auto"/>
                    <w:right w:val="none" w:sz="0" w:space="0" w:color="auto"/>
                  </w:divBdr>
                  <w:divsChild>
                    <w:div w:id="797380522">
                      <w:marLeft w:val="0"/>
                      <w:marRight w:val="0"/>
                      <w:marTop w:val="0"/>
                      <w:marBottom w:val="0"/>
                      <w:divBdr>
                        <w:top w:val="none" w:sz="0" w:space="0" w:color="auto"/>
                        <w:left w:val="none" w:sz="0" w:space="0" w:color="auto"/>
                        <w:bottom w:val="none" w:sz="0" w:space="0" w:color="auto"/>
                        <w:right w:val="none" w:sz="0" w:space="0" w:color="auto"/>
                      </w:divBdr>
                      <w:divsChild>
                        <w:div w:id="1635453280">
                          <w:marLeft w:val="0"/>
                          <w:marRight w:val="0"/>
                          <w:marTop w:val="0"/>
                          <w:marBottom w:val="0"/>
                          <w:divBdr>
                            <w:top w:val="none" w:sz="0" w:space="0" w:color="auto"/>
                            <w:left w:val="none" w:sz="0" w:space="0" w:color="auto"/>
                            <w:bottom w:val="none" w:sz="0" w:space="0" w:color="auto"/>
                            <w:right w:val="none" w:sz="0" w:space="0" w:color="auto"/>
                          </w:divBdr>
                          <w:divsChild>
                            <w:div w:id="95020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pada.uns.ac.id/pluginfile.php/510378/mod_resource/content/1/creswell.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qc.org.uk/sites/default/files/20211021_stateofcare2021_print.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6/j.eclinm.2021.10104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tpu.kpi.ua/wp-content/uploads/2014/02/social-research-methods-alan-bryman.pdf" TargetMode="External"/><Relationship Id="rId5" Type="http://schemas.openxmlformats.org/officeDocument/2006/relationships/webSettings" Target="webSettings.xml"/><Relationship Id="rId15" Type="http://schemas.openxmlformats.org/officeDocument/2006/relationships/hyperlink" Target="https://www.ons.gov.uk/peoplepopulationandcommunity/wellbeing/articles/coronavirusanddepressioninadultsgreatbritain/januarytomarch2021" TargetMode="External"/><Relationship Id="rId10" Type="http://schemas.openxmlformats.org/officeDocument/2006/relationships/hyperlink" Target="https://doi.org/10.1186/s12877-021-02530-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lzheimers.org.uk/sites/default/files/2020-08/The_Impact_of_COVID-19_on_People_Affected_By_Dementia.pdf" TargetMode="External"/><Relationship Id="rId14" Type="http://schemas.openxmlformats.org/officeDocument/2006/relationships/hyperlink" Target="https://www.nice.org.uk/guidance/qs50/resources/mental-wellbeing-of-older-people-in-care-homes-pdf-20987204574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2AD7F-2410-4152-B0FD-CB5EC1477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10</Pages>
  <Words>1983</Words>
  <Characters>13249</Characters>
  <Application>Microsoft Office Word</Application>
  <DocSecurity>0</DocSecurity>
  <Lines>189</Lines>
  <Paragraphs>50</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15182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Moorche</dc:creator>
  <cp:keywords/>
  <dc:description/>
  <cp:lastModifiedBy>Chesney Haroon (2505431)</cp:lastModifiedBy>
  <cp:revision>92</cp:revision>
  <dcterms:created xsi:type="dcterms:W3CDTF">2025-11-06T07:21:00Z</dcterms:created>
  <dcterms:modified xsi:type="dcterms:W3CDTF">2025-11-09T18:06:00Z</dcterms:modified>
</cp:coreProperties>
</file>