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096373444"/>
        <w:docPartObj>
          <w:docPartGallery w:val="Cover Pages"/>
          <w:docPartUnique/>
        </w:docPartObj>
      </w:sdtPr>
      <w:sdtEndPr>
        <w:rPr>
          <w:rFonts w:ascii="Arial" w:eastAsia="Times New Roman" w:hAnsi="Arial" w:cs="Arial"/>
          <w:b/>
          <w:bCs/>
          <w:color w:val="222222"/>
          <w:lang w:eastAsia="en-GB"/>
        </w:rPr>
      </w:sdtEndPr>
      <w:sdtContent>
        <w:p w14:paraId="28DACF12" w14:textId="7D303270" w:rsidR="00FD1758" w:rsidRDefault="00FD1758">
          <w:pPr>
            <w:pStyle w:val="NoSpacing"/>
          </w:pPr>
          <w:r>
            <w:rPr>
              <w:noProof/>
            </w:rPr>
            <mc:AlternateContent>
              <mc:Choice Requires="wpg">
                <w:drawing>
                  <wp:anchor distT="0" distB="0" distL="114300" distR="114300" simplePos="0" relativeHeight="251659264" behindDoc="1" locked="0" layoutInCell="1" allowOverlap="1" wp14:anchorId="6D46AB38" wp14:editId="4B2380B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19T00:00:00Z">
                                      <w:dateFormat w:val="M/d/yyyy"/>
                                      <w:lid w:val="en-US"/>
                                      <w:storeMappedDataAs w:val="dateTime"/>
                                      <w:calendar w:val="gregorian"/>
                                    </w:date>
                                  </w:sdtPr>
                                  <w:sdtContent>
                                    <w:p w14:paraId="7516D026" w14:textId="125E5DB9" w:rsidR="00FD1758" w:rsidRDefault="00AD561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46AB3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19T00:00:00Z">
                                <w:dateFormat w:val="M/d/yyyy"/>
                                <w:lid w:val="en-US"/>
                                <w:storeMappedDataAs w:val="dateTime"/>
                                <w:calendar w:val="gregorian"/>
                              </w:date>
                            </w:sdtPr>
                            <w:sdtContent>
                              <w:p w14:paraId="7516D026" w14:textId="125E5DB9" w:rsidR="00FD1758" w:rsidRDefault="00AD56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C0D2886" wp14:editId="0FD859D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E0496" w14:textId="3C828663" w:rsidR="00FD175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758">
                                      <w:rPr>
                                        <w:color w:val="156082" w:themeColor="accent1"/>
                                        <w:sz w:val="26"/>
                                        <w:szCs w:val="26"/>
                                      </w:rPr>
                                      <w:t>Kulsum Remtulla (2522570)</w:t>
                                    </w:r>
                                  </w:sdtContent>
                                </w:sdt>
                              </w:p>
                              <w:p w14:paraId="1F32C9C2" w14:textId="1643DCE8" w:rsidR="00FD1758" w:rsidRDefault="00FD175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0D2886"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DEE0496" w14:textId="3C828663" w:rsidR="00FD175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758">
                                <w:rPr>
                                  <w:color w:val="156082" w:themeColor="accent1"/>
                                  <w:sz w:val="26"/>
                                  <w:szCs w:val="26"/>
                                </w:rPr>
                                <w:t>Kulsum Remtulla (2522570)</w:t>
                              </w:r>
                            </w:sdtContent>
                          </w:sdt>
                        </w:p>
                        <w:p w14:paraId="1F32C9C2" w14:textId="1643DCE8" w:rsidR="00FD1758" w:rsidRDefault="00FD1758">
                          <w:pPr>
                            <w:pStyle w:val="NoSpacing"/>
                            <w:rPr>
                              <w:color w:val="595959" w:themeColor="text1" w:themeTint="A6"/>
                              <w:sz w:val="20"/>
                              <w:szCs w:val="20"/>
                            </w:rPr>
                          </w:pPr>
                        </w:p>
                      </w:txbxContent>
                    </v:textbox>
                    <w10:wrap anchorx="page" anchory="page"/>
                  </v:shape>
                </w:pict>
              </mc:Fallback>
            </mc:AlternateContent>
          </w:r>
        </w:p>
        <w:p w14:paraId="45704BFF" w14:textId="3D0BF3A4" w:rsidR="00FD1758" w:rsidRDefault="00AF06E7">
          <w:pPr>
            <w:rPr>
              <w:rFonts w:ascii="Arial" w:eastAsia="Times New Roman" w:hAnsi="Arial" w:cs="Arial"/>
              <w:b/>
              <w:bCs/>
              <w:color w:val="222222"/>
              <w:kern w:val="0"/>
              <w:sz w:val="22"/>
              <w:szCs w:val="22"/>
              <w:lang w:eastAsia="en-GB"/>
              <w14:ligatures w14:val="none"/>
            </w:rPr>
          </w:pPr>
          <w:r>
            <w:rPr>
              <w:noProof/>
            </w:rPr>
            <mc:AlternateContent>
              <mc:Choice Requires="wps">
                <w:drawing>
                  <wp:anchor distT="0" distB="0" distL="114300" distR="114300" simplePos="0" relativeHeight="251660288" behindDoc="0" locked="0" layoutInCell="1" allowOverlap="1" wp14:anchorId="79FAAF84" wp14:editId="0B35A08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4448175"/>
                    <wp:effectExtent l="0" t="0" r="7620" b="9525"/>
                    <wp:wrapNone/>
                    <wp:docPr id="1" name="Text Box 30"/>
                    <wp:cNvGraphicFramePr/>
                    <a:graphic xmlns:a="http://schemas.openxmlformats.org/drawingml/2006/main">
                      <a:graphicData uri="http://schemas.microsoft.com/office/word/2010/wordprocessingShape">
                        <wps:wsp>
                          <wps:cNvSpPr txBox="1"/>
                          <wps:spPr>
                            <a:xfrm>
                              <a:off x="0" y="0"/>
                              <a:ext cx="3657600" cy="444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6811C" w14:textId="41DAC3DB" w:rsidR="00FD1758" w:rsidRPr="00B41A13" w:rsidRDefault="00000000">
                                <w:pPr>
                                  <w:spacing w:before="120"/>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D1758" w:rsidRPr="00B41A13">
                                      <w:rPr>
                                        <w:rFonts w:ascii="Arial" w:hAnsi="Arial" w:cs="Arial"/>
                                        <w:color w:val="404040" w:themeColor="text1" w:themeTint="BF"/>
                                        <w:sz w:val="32"/>
                                        <w:szCs w:val="32"/>
                                      </w:rPr>
                                      <w:t>Introduction to Health and Social Care</w:t>
                                    </w:r>
                                  </w:sdtContent>
                                </w:sdt>
                              </w:p>
                              <w:p w14:paraId="74E39F54" w14:textId="68CE713C" w:rsidR="00FD1758"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Module Code: LCHS4003</w:t>
                                </w:r>
                              </w:p>
                              <w:p w14:paraId="354812F2" w14:textId="431681C1" w:rsidR="00AF06E7"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 xml:space="preserve">Assignment Title: Written Assignment </w:t>
                                </w:r>
                              </w:p>
                              <w:p w14:paraId="2C388845" w14:textId="1C0F393D" w:rsidR="00AF06E7"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Name: Kulsum Remtulla 2522570</w:t>
                                </w:r>
                              </w:p>
                              <w:p w14:paraId="116798AC" w14:textId="6AF0E3CF" w:rsidR="00AF06E7" w:rsidRDefault="00AF06E7">
                                <w:pPr>
                                  <w:spacing w:before="120"/>
                                  <w:rPr>
                                    <w:color w:val="404040" w:themeColor="text1" w:themeTint="BF"/>
                                    <w:sz w:val="36"/>
                                    <w:szCs w:val="36"/>
                                  </w:rPr>
                                </w:pPr>
                                <w:r w:rsidRPr="00B41A13">
                                  <w:rPr>
                                    <w:rFonts w:ascii="Arial" w:hAnsi="Arial" w:cs="Arial"/>
                                    <w:color w:val="404040" w:themeColor="text1" w:themeTint="BF"/>
                                    <w:sz w:val="32"/>
                                    <w:szCs w:val="32"/>
                                  </w:rPr>
                                  <w:t>Lecturer: Daniel Haruna</w:t>
                                </w:r>
                              </w:p>
                              <w:p w14:paraId="72CA071D" w14:textId="004EE2F6" w:rsidR="00AD5611" w:rsidRDefault="00AD5611">
                                <w:pPr>
                                  <w:spacing w:before="120"/>
                                  <w:rPr>
                                    <w:color w:val="404040" w:themeColor="text1" w:themeTint="BF"/>
                                    <w:sz w:val="36"/>
                                    <w:szCs w:val="36"/>
                                  </w:rPr>
                                </w:pPr>
                              </w:p>
                              <w:p w14:paraId="38139ED4" w14:textId="77777777" w:rsidR="00AF06E7" w:rsidRDefault="00AF06E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9FAAF84" id="Text Box 30" o:spid="_x0000_s1056" type="#_x0000_t202" style="position:absolute;margin-left:0;margin-top:0;width:4in;height:350.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xOvYwIAADUFAAAOAAAAZHJzL2Uyb0RvYy54bWysVN9v2jAQfp+0/8Hy+xqglFaIUDGqTpOq&#10;thqd+mwcG6I5Ps8+SNhfv7OTQMX20mkvzsX33Xe/PbttKsP2yocSbM6HFwPOlJVQlHaT8+8v959u&#10;OAsobCEMWJXzgwr8dv7xw6x2UzWCLZhCeUYkNkxrl/MtoptmWZBbVYlwAU5ZUmrwlUD69Zus8KIm&#10;9spko8FgktXgC+dBqhDo9q5V8nni11pJfNI6KGQm5xQbptOncx3PbD4T040XblvKLgzxD1FUorTk&#10;9Eh1J1CwnS//oKpK6SGAxgsJVQZal1KlHCib4eAsm9VWOJVyoeIEdyxT+H+08nG/cs+eYfMZGmpg&#10;LEjtwjTQZcyn0b6KX4qUkZ5KeDiWTTXIJF1eTq6uJwNSSdKNx+Ob4fVV5MlO5s4H/KKgYlHIuae+&#10;pHKJ/UPAFtpDojcL96UxqTfGsjrnk8urQTI4aojc2IhVqcsdzSn0JOHBqIgx9pvSrCxSBvEizZda&#10;Gs/2giZDSKkspuQTL6EjSlMQ7zHs8Keo3mPc5tF7BotH46q04FP2Z2EXP/qQdYunmr/JO4rYrBtK&#10;POejvrNrKA7UcA/tLgQn70tqyoMI+Cw8DT81khYan+jQBqj40EmcbcH/+tt9xNNMkpazmpYp5+Hn&#10;TnjFmflqaVrj5vWC74V1L9hdtQTqwpCeCieTSAYeTS9qD9Ur7fkieiGVsJJ85Rx7cYntStM7IdVi&#10;kUC0X07gg105GaljU+KIvTSvwrtuDpFG+BH6NRPTs3FssdHSwmKHoMs0q7GubRW7etNupmnv3pG4&#10;/G//E+r02s1/AwAA//8DAFBLAwQUAAYACAAAACEA9YeSgt4AAAAFAQAADwAAAGRycy9kb3ducmV2&#10;LnhtbEyPS0/DMBCE70j8B2uRuFGbR5sS4lQIVOiJ0vI8uvE2iYjXUey2gV/Plgu9jDSa1cy32aR3&#10;jdhiF2pPGs4HCgRS4W1NpYbXl+nZGESIhqxpPKGGbwwwyY+PMpNav6MFbpexFFxCITUaqhjbVMpQ&#10;VOhMGPgWibO175yJbLtS2s7suNw18kKpkXSmJl6oTIt3FRZfy43TUCSzh/f14urzR06fP67f5pf3&#10;8elR69OT/vYGRMQ+/h/DHp/RIWemld+QDaLRwI/EP+VsmIzYrjQkSg1B5pk8pM9/AQAA//8DAFBL&#10;AQItABQABgAIAAAAIQC2gziS/gAAAOEBAAATAAAAAAAAAAAAAAAAAAAAAABbQ29udGVudF9UeXBl&#10;c10ueG1sUEsBAi0AFAAGAAgAAAAhADj9If/WAAAAlAEAAAsAAAAAAAAAAAAAAAAALwEAAF9yZWxz&#10;Ly5yZWxzUEsBAi0AFAAGAAgAAAAhADP3E69jAgAANQUAAA4AAAAAAAAAAAAAAAAALgIAAGRycy9l&#10;Mm9Eb2MueG1sUEsBAi0AFAAGAAgAAAAhAPWHkoLeAAAABQEAAA8AAAAAAAAAAAAAAAAAvQQAAGRy&#10;cy9kb3ducmV2LnhtbFBLBQYAAAAABAAEAPMAAADIBQAAAAA=&#10;" filled="f" stroked="f" strokeweight=".5pt">
                    <v:textbox inset="0,0,0,0">
                      <w:txbxContent>
                        <w:p w14:paraId="7766811C" w14:textId="41DAC3DB" w:rsidR="00FD1758" w:rsidRPr="00B41A13" w:rsidRDefault="00000000">
                          <w:pPr>
                            <w:spacing w:before="120"/>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D1758" w:rsidRPr="00B41A13">
                                <w:rPr>
                                  <w:rFonts w:ascii="Arial" w:hAnsi="Arial" w:cs="Arial"/>
                                  <w:color w:val="404040" w:themeColor="text1" w:themeTint="BF"/>
                                  <w:sz w:val="32"/>
                                  <w:szCs w:val="32"/>
                                </w:rPr>
                                <w:t>Introduction to Health and Social Care</w:t>
                              </w:r>
                            </w:sdtContent>
                          </w:sdt>
                        </w:p>
                        <w:p w14:paraId="74E39F54" w14:textId="68CE713C" w:rsidR="00FD1758"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Module Code: LCHS4003</w:t>
                          </w:r>
                        </w:p>
                        <w:p w14:paraId="354812F2" w14:textId="431681C1" w:rsidR="00AF06E7"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 xml:space="preserve">Assignment Title: Written Assignment </w:t>
                          </w:r>
                        </w:p>
                        <w:p w14:paraId="2C388845" w14:textId="1C0F393D" w:rsidR="00AF06E7" w:rsidRPr="00B41A13" w:rsidRDefault="00AF06E7">
                          <w:pPr>
                            <w:spacing w:before="120"/>
                            <w:rPr>
                              <w:rFonts w:ascii="Arial" w:hAnsi="Arial" w:cs="Arial"/>
                              <w:color w:val="404040" w:themeColor="text1" w:themeTint="BF"/>
                              <w:sz w:val="32"/>
                              <w:szCs w:val="32"/>
                            </w:rPr>
                          </w:pPr>
                          <w:r w:rsidRPr="00B41A13">
                            <w:rPr>
                              <w:rFonts w:ascii="Arial" w:hAnsi="Arial" w:cs="Arial"/>
                              <w:color w:val="404040" w:themeColor="text1" w:themeTint="BF"/>
                              <w:sz w:val="32"/>
                              <w:szCs w:val="32"/>
                            </w:rPr>
                            <w:t>Name: Kulsum Remtulla 2522570</w:t>
                          </w:r>
                        </w:p>
                        <w:p w14:paraId="116798AC" w14:textId="6AF0E3CF" w:rsidR="00AF06E7" w:rsidRDefault="00AF06E7">
                          <w:pPr>
                            <w:spacing w:before="120"/>
                            <w:rPr>
                              <w:color w:val="404040" w:themeColor="text1" w:themeTint="BF"/>
                              <w:sz w:val="36"/>
                              <w:szCs w:val="36"/>
                            </w:rPr>
                          </w:pPr>
                          <w:r w:rsidRPr="00B41A13">
                            <w:rPr>
                              <w:rFonts w:ascii="Arial" w:hAnsi="Arial" w:cs="Arial"/>
                              <w:color w:val="404040" w:themeColor="text1" w:themeTint="BF"/>
                              <w:sz w:val="32"/>
                              <w:szCs w:val="32"/>
                            </w:rPr>
                            <w:t>Lecturer: Daniel Haruna</w:t>
                          </w:r>
                        </w:p>
                        <w:p w14:paraId="72CA071D" w14:textId="004EE2F6" w:rsidR="00AD5611" w:rsidRDefault="00AD5611">
                          <w:pPr>
                            <w:spacing w:before="120"/>
                            <w:rPr>
                              <w:color w:val="404040" w:themeColor="text1" w:themeTint="BF"/>
                              <w:sz w:val="36"/>
                              <w:szCs w:val="36"/>
                            </w:rPr>
                          </w:pPr>
                        </w:p>
                        <w:p w14:paraId="38139ED4" w14:textId="77777777" w:rsidR="00AF06E7" w:rsidRDefault="00AF06E7">
                          <w:pPr>
                            <w:spacing w:before="120"/>
                            <w:rPr>
                              <w:color w:val="404040" w:themeColor="text1" w:themeTint="BF"/>
                              <w:sz w:val="36"/>
                              <w:szCs w:val="36"/>
                            </w:rPr>
                          </w:pPr>
                        </w:p>
                      </w:txbxContent>
                    </v:textbox>
                    <w10:wrap anchorx="page" anchory="page"/>
                  </v:shape>
                </w:pict>
              </mc:Fallback>
            </mc:AlternateContent>
          </w:r>
          <w:r w:rsidR="00FD1758">
            <w:rPr>
              <w:rFonts w:ascii="Arial" w:eastAsia="Times New Roman" w:hAnsi="Arial" w:cs="Arial"/>
              <w:b/>
              <w:bCs/>
              <w:color w:val="222222"/>
              <w:kern w:val="0"/>
              <w:sz w:val="22"/>
              <w:szCs w:val="22"/>
              <w:lang w:eastAsia="en-GB"/>
              <w14:ligatures w14:val="none"/>
            </w:rPr>
            <w:br w:type="page"/>
          </w:r>
        </w:p>
      </w:sdtContent>
    </w:sdt>
    <w:p w14:paraId="6171AC16" w14:textId="39A79F00" w:rsidR="00235375" w:rsidRDefault="00235375" w:rsidP="00235375">
      <w:pPr>
        <w:spacing w:before="100" w:beforeAutospacing="1" w:after="100" w:afterAutospacing="1" w:line="240" w:lineRule="auto"/>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lastRenderedPageBreak/>
        <w:t>CONTENTS</w:t>
      </w:r>
    </w:p>
    <w:p w14:paraId="7D4ED2CD" w14:textId="77777777" w:rsidR="00235375" w:rsidRDefault="00235375" w:rsidP="00235375">
      <w:pPr>
        <w:spacing w:before="100" w:beforeAutospacing="1" w:after="100" w:afterAutospacing="1" w:line="240" w:lineRule="auto"/>
        <w:jc w:val="center"/>
        <w:textAlignment w:val="bottom"/>
        <w:outlineLvl w:val="2"/>
        <w:rPr>
          <w:rFonts w:ascii="Arial" w:eastAsia="Times New Roman" w:hAnsi="Arial" w:cs="Arial"/>
          <w:b/>
          <w:bCs/>
          <w:color w:val="222222"/>
          <w:kern w:val="0"/>
          <w:sz w:val="22"/>
          <w:szCs w:val="22"/>
          <w:lang w:eastAsia="en-GB"/>
          <w14:ligatures w14:val="none"/>
        </w:rPr>
      </w:pPr>
    </w:p>
    <w:p w14:paraId="6DAAAE82" w14:textId="77777777" w:rsidR="00BE510D" w:rsidRDefault="00BE510D" w:rsidP="00235375">
      <w:pPr>
        <w:spacing w:before="100" w:beforeAutospacing="1" w:after="100" w:afterAutospacing="1" w:line="240" w:lineRule="auto"/>
        <w:jc w:val="center"/>
        <w:textAlignment w:val="bottom"/>
        <w:outlineLvl w:val="2"/>
        <w:rPr>
          <w:rFonts w:ascii="Arial" w:eastAsia="Times New Roman" w:hAnsi="Arial" w:cs="Arial"/>
          <w:b/>
          <w:bCs/>
          <w:color w:val="222222"/>
          <w:kern w:val="0"/>
          <w:sz w:val="22"/>
          <w:szCs w:val="22"/>
          <w:lang w:eastAsia="en-GB"/>
          <w14:ligatures w14:val="none"/>
        </w:rPr>
      </w:pPr>
    </w:p>
    <w:p w14:paraId="345A60AD" w14:textId="77777777" w:rsidR="00BE510D" w:rsidRDefault="00BE510D" w:rsidP="00CA56E2">
      <w:pPr>
        <w:spacing w:before="100" w:beforeAutospacing="1" w:after="100" w:afterAutospacing="1" w:line="240" w:lineRule="auto"/>
        <w:textAlignment w:val="bottom"/>
        <w:outlineLvl w:val="2"/>
        <w:rPr>
          <w:rFonts w:ascii="Arial" w:eastAsia="Times New Roman" w:hAnsi="Arial" w:cs="Arial"/>
          <w:b/>
          <w:bCs/>
          <w:color w:val="222222"/>
          <w:kern w:val="0"/>
          <w:sz w:val="22"/>
          <w:szCs w:val="22"/>
          <w:lang w:eastAsia="en-GB"/>
          <w14:ligatures w14:val="none"/>
        </w:rPr>
      </w:pPr>
    </w:p>
    <w:p w14:paraId="36825869" w14:textId="0A3BA006" w:rsidR="00235375" w:rsidRDefault="00BE510D" w:rsidP="00CA56E2">
      <w:pPr>
        <w:spacing w:before="100" w:beforeAutospacing="1" w:after="100" w:afterAutospacing="1" w:line="240" w:lineRule="auto"/>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INTRODUCTION – 2</w:t>
      </w:r>
    </w:p>
    <w:p w14:paraId="26D854B9" w14:textId="2C76AB1F" w:rsidR="00BE510D" w:rsidRDefault="00BE510D" w:rsidP="00CA56E2">
      <w:pPr>
        <w:spacing w:before="100" w:beforeAutospacing="1" w:after="100" w:afterAutospacing="1" w:line="240" w:lineRule="auto"/>
        <w:ind w:left="720" w:hanging="720"/>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THE IMPORTANCE OF EFFECTIVE COMMUNICATION – 2</w:t>
      </w:r>
    </w:p>
    <w:p w14:paraId="23681544" w14:textId="32A68043" w:rsidR="00BE510D" w:rsidRDefault="00BE510D" w:rsidP="00CA56E2">
      <w:pPr>
        <w:spacing w:before="100" w:beforeAutospacing="1" w:after="100" w:afterAutospacing="1" w:line="240" w:lineRule="auto"/>
        <w:ind w:left="720" w:hanging="720"/>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 xml:space="preserve">THE IMPORTANCE OF GOOD ADMINISTRATIVE SKILLS – </w:t>
      </w:r>
      <w:r w:rsidR="001D5A5A">
        <w:rPr>
          <w:rFonts w:ascii="Arial" w:eastAsia="Times New Roman" w:hAnsi="Arial" w:cs="Arial"/>
          <w:b/>
          <w:bCs/>
          <w:color w:val="222222"/>
          <w:kern w:val="0"/>
          <w:sz w:val="22"/>
          <w:szCs w:val="22"/>
          <w:lang w:eastAsia="en-GB"/>
          <w14:ligatures w14:val="none"/>
        </w:rPr>
        <w:t>4</w:t>
      </w:r>
    </w:p>
    <w:p w14:paraId="0680472B" w14:textId="2CB1C20A" w:rsidR="00BE510D" w:rsidRDefault="00BE510D" w:rsidP="00CA56E2">
      <w:pPr>
        <w:spacing w:before="100" w:beforeAutospacing="1" w:after="100" w:afterAutospacing="1" w:line="240" w:lineRule="auto"/>
        <w:ind w:left="720" w:hanging="720"/>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THE IMPORTANCE OF WORKING COLLABORATIVELY WITH OTHER</w:t>
      </w:r>
      <w:r w:rsidR="00CA56E2">
        <w:rPr>
          <w:rFonts w:ascii="Arial" w:eastAsia="Times New Roman" w:hAnsi="Arial" w:cs="Arial"/>
          <w:b/>
          <w:bCs/>
          <w:color w:val="222222"/>
          <w:kern w:val="0"/>
          <w:sz w:val="22"/>
          <w:szCs w:val="22"/>
          <w:lang w:eastAsia="en-GB"/>
          <w14:ligatures w14:val="none"/>
        </w:rPr>
        <w:t xml:space="preserve"> </w:t>
      </w:r>
      <w:r>
        <w:rPr>
          <w:rFonts w:ascii="Arial" w:eastAsia="Times New Roman" w:hAnsi="Arial" w:cs="Arial"/>
          <w:b/>
          <w:bCs/>
          <w:color w:val="222222"/>
          <w:kern w:val="0"/>
          <w:sz w:val="22"/>
          <w:szCs w:val="22"/>
          <w:lang w:eastAsia="en-GB"/>
          <w14:ligatures w14:val="none"/>
        </w:rPr>
        <w:t xml:space="preserve">PROFESSIONALS – </w:t>
      </w:r>
      <w:r w:rsidR="001D5A5A">
        <w:rPr>
          <w:rFonts w:ascii="Arial" w:eastAsia="Times New Roman" w:hAnsi="Arial" w:cs="Arial"/>
          <w:b/>
          <w:bCs/>
          <w:color w:val="222222"/>
          <w:kern w:val="0"/>
          <w:sz w:val="22"/>
          <w:szCs w:val="22"/>
          <w:lang w:eastAsia="en-GB"/>
          <w14:ligatures w14:val="none"/>
        </w:rPr>
        <w:t>5</w:t>
      </w:r>
    </w:p>
    <w:p w14:paraId="41D7E702" w14:textId="6C6A12B1" w:rsidR="00BE510D" w:rsidRDefault="00BE510D" w:rsidP="00CA56E2">
      <w:pPr>
        <w:spacing w:before="100" w:beforeAutospacing="1" w:after="100" w:afterAutospacing="1" w:line="240" w:lineRule="auto"/>
        <w:ind w:left="720" w:hanging="720"/>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 xml:space="preserve">CONCLUSION – </w:t>
      </w:r>
      <w:r w:rsidR="001D5A5A">
        <w:rPr>
          <w:rFonts w:ascii="Arial" w:eastAsia="Times New Roman" w:hAnsi="Arial" w:cs="Arial"/>
          <w:b/>
          <w:bCs/>
          <w:color w:val="222222"/>
          <w:kern w:val="0"/>
          <w:sz w:val="22"/>
          <w:szCs w:val="22"/>
          <w:lang w:eastAsia="en-GB"/>
          <w14:ligatures w14:val="none"/>
        </w:rPr>
        <w:t>6</w:t>
      </w:r>
    </w:p>
    <w:p w14:paraId="324E81B0" w14:textId="2DED1058" w:rsidR="00BE510D" w:rsidRDefault="00BE510D" w:rsidP="00CA56E2">
      <w:pPr>
        <w:spacing w:before="100" w:beforeAutospacing="1" w:after="100" w:afterAutospacing="1" w:line="240" w:lineRule="auto"/>
        <w:ind w:left="720" w:hanging="720"/>
        <w:jc w:val="center"/>
        <w:textAlignment w:val="bottom"/>
        <w:outlineLvl w:val="2"/>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t xml:space="preserve">REFERENCES - </w:t>
      </w:r>
      <w:r w:rsidR="001D5A5A">
        <w:rPr>
          <w:rFonts w:ascii="Arial" w:eastAsia="Times New Roman" w:hAnsi="Arial" w:cs="Arial"/>
          <w:b/>
          <w:bCs/>
          <w:color w:val="222222"/>
          <w:kern w:val="0"/>
          <w:sz w:val="22"/>
          <w:szCs w:val="22"/>
          <w:lang w:eastAsia="en-GB"/>
          <w14:ligatures w14:val="none"/>
        </w:rPr>
        <w:t>7</w:t>
      </w:r>
    </w:p>
    <w:p w14:paraId="19BE234B" w14:textId="77777777" w:rsidR="00235375" w:rsidRDefault="00235375">
      <w:pPr>
        <w:rPr>
          <w:rFonts w:ascii="Arial" w:eastAsia="Times New Roman" w:hAnsi="Arial" w:cs="Arial"/>
          <w:b/>
          <w:bCs/>
          <w:color w:val="222222"/>
          <w:kern w:val="0"/>
          <w:sz w:val="22"/>
          <w:szCs w:val="22"/>
          <w:lang w:eastAsia="en-GB"/>
          <w14:ligatures w14:val="none"/>
        </w:rPr>
      </w:pPr>
      <w:r>
        <w:rPr>
          <w:rFonts w:ascii="Arial" w:eastAsia="Times New Roman" w:hAnsi="Arial" w:cs="Arial"/>
          <w:b/>
          <w:bCs/>
          <w:color w:val="222222"/>
          <w:kern w:val="0"/>
          <w:sz w:val="22"/>
          <w:szCs w:val="22"/>
          <w:lang w:eastAsia="en-GB"/>
          <w14:ligatures w14:val="none"/>
        </w:rPr>
        <w:br w:type="page"/>
      </w:r>
    </w:p>
    <w:p w14:paraId="48AC9F9C" w14:textId="0E16581C" w:rsidR="003C4F7A" w:rsidRPr="000F5F07" w:rsidRDefault="00E22AF9" w:rsidP="00336E70">
      <w:pPr>
        <w:spacing w:before="100" w:beforeAutospacing="1" w:after="100" w:afterAutospacing="1" w:line="360" w:lineRule="auto"/>
        <w:textAlignment w:val="bottom"/>
        <w:outlineLvl w:val="2"/>
        <w:rPr>
          <w:rFonts w:ascii="Arial" w:eastAsia="Times New Roman" w:hAnsi="Arial" w:cs="Arial"/>
          <w:b/>
          <w:bCs/>
          <w:color w:val="222222"/>
          <w:kern w:val="0"/>
          <w:sz w:val="22"/>
          <w:szCs w:val="22"/>
          <w:lang w:eastAsia="en-GB"/>
          <w14:ligatures w14:val="none"/>
        </w:rPr>
      </w:pPr>
      <w:r w:rsidRPr="000F5F07">
        <w:rPr>
          <w:rFonts w:ascii="Arial" w:eastAsia="Times New Roman" w:hAnsi="Arial" w:cs="Arial"/>
          <w:b/>
          <w:bCs/>
          <w:color w:val="222222"/>
          <w:kern w:val="0"/>
          <w:sz w:val="22"/>
          <w:szCs w:val="22"/>
          <w:lang w:eastAsia="en-GB"/>
          <w14:ligatures w14:val="none"/>
        </w:rPr>
        <w:lastRenderedPageBreak/>
        <w:t>Introduction </w:t>
      </w:r>
    </w:p>
    <w:p w14:paraId="448F711E"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Mrs Thompson is an 84-year-old woman who has recently been discharged from hospital following treatment for pneumonia. She lives alone in sheltered accommodation and receives domiciliary care twice a day. Due to her mild dementia, she sometimes forgets to take her medication, which has resulted in increased confusion after missing two days of prescribed medicines. An incident has also been recorded after she was found outside without appropriate clothing during cold weather, prompting a review by the local council. These concerns highlight the importance of effective communication, accurate record keeping, and collaborative working between health and social care professionals to ensure safe, person-centred care.</w:t>
      </w:r>
    </w:p>
    <w:p w14:paraId="0FD4BD47"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This report examines three key aspects of Mrs Thompson’s care. Firstly, it discusses the importance of effective communication with the service user and her family, incorporating the principles of the Equality Act 2010 and a recognised communication model. Secondly, it explores the importance of administrative skills, including record keeping and data protection. Finally, it evaluates collaborative working between professionals involved in Mrs Thompson’s care to promote her safety, wellbeing and independence.</w:t>
      </w:r>
    </w:p>
    <w:p w14:paraId="196E9DE3" w14:textId="77777777" w:rsidR="00CC34F2" w:rsidRPr="000F5F07" w:rsidRDefault="00CC34F2"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p>
    <w:p w14:paraId="1991F738" w14:textId="3F6F8EBF"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b/>
          <w:bCs/>
          <w:color w:val="222222"/>
          <w:kern w:val="0"/>
          <w:sz w:val="22"/>
          <w:szCs w:val="22"/>
          <w:lang w:eastAsia="en-GB"/>
          <w14:ligatures w14:val="none"/>
        </w:rPr>
        <w:t>The Importance of Effective Communication in Mrs Thompson’s Care</w:t>
      </w:r>
    </w:p>
    <w:p w14:paraId="0FC5CCE7"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Effective communication is fundamental in health and social care because it promotes safe, person-centred care, builds trusting relationships, and enables professionals to identify and respond to the changing needs of service users (NICE, 2023). In Mrs Thompson’s case, effective communication is particularly important because her mild dementia may affect her memory, understanding, and ability to communicate her needs. Health and social care professionals must therefore adapt their communication methods to ensure she understands information about her medication, care plan, and daily activities.</w:t>
      </w:r>
    </w:p>
    <w:p w14:paraId="32527E2E"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 xml:space="preserve">Person-centred communication involves treating Mrs Thompson with dignity, respect, and compassion while recognising her individual needs and preferences (Health and Care Professions Council (HCPC), 2024). Care workers should use clear, simple language, maintain eye contact, speak slowly, and allow additional time for Mrs Thompson to process information. They should regularly check her understanding by asking her to repeat important information in her own words. Visual aids, written medication schedules, reminder </w:t>
      </w:r>
      <w:r w:rsidRPr="000F5F07">
        <w:rPr>
          <w:rFonts w:ascii="Arial" w:eastAsia="Times New Roman" w:hAnsi="Arial" w:cs="Arial"/>
          <w:color w:val="222222"/>
          <w:kern w:val="0"/>
          <w:sz w:val="22"/>
          <w:szCs w:val="22"/>
          <w:lang w:eastAsia="en-GB"/>
          <w14:ligatures w14:val="none"/>
        </w:rPr>
        <w:lastRenderedPageBreak/>
        <w:t>charts, or electronic medication prompts may also support her independence while reducing the risk of missed medication (Alzheimer’s Society, 2024).</w:t>
      </w:r>
    </w:p>
    <w:p w14:paraId="21BF7065"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 xml:space="preserve">The Transactional Model of Communication, developed by </w:t>
      </w:r>
      <w:proofErr w:type="spellStart"/>
      <w:r w:rsidRPr="000F5F07">
        <w:rPr>
          <w:rFonts w:ascii="Arial" w:eastAsia="Times New Roman" w:hAnsi="Arial" w:cs="Arial"/>
          <w:color w:val="222222"/>
          <w:kern w:val="0"/>
          <w:sz w:val="22"/>
          <w:szCs w:val="22"/>
          <w:lang w:eastAsia="en-GB"/>
          <w14:ligatures w14:val="none"/>
        </w:rPr>
        <w:t>Barnlund</w:t>
      </w:r>
      <w:proofErr w:type="spellEnd"/>
      <w:r w:rsidRPr="000F5F07">
        <w:rPr>
          <w:rFonts w:ascii="Arial" w:eastAsia="Times New Roman" w:hAnsi="Arial" w:cs="Arial"/>
          <w:color w:val="222222"/>
          <w:kern w:val="0"/>
          <w:sz w:val="22"/>
          <w:szCs w:val="22"/>
          <w:lang w:eastAsia="en-GB"/>
          <w14:ligatures w14:val="none"/>
        </w:rPr>
        <w:t xml:space="preserve"> (2008), demonstrates that communication is a continuous two-way process in which both individuals simultaneously send and receive messages. This model recognises that communication can be influenced by physical, psychological, environmental, and cultural factors. In Mrs Thompson’s case, dementia may affect her ability to interpret information accurately, while hearing difficulties, anxiety following her recent hospital admission, or distractions within her home environment may create additional barriers to effective communication. Healthcare professionals should therefore minimise distractions, actively listen to her concerns, observe non-verbal communication, and encourage feedback to ensure information has been understood correctly (</w:t>
      </w:r>
      <w:proofErr w:type="spellStart"/>
      <w:r w:rsidRPr="000F5F07">
        <w:rPr>
          <w:rFonts w:ascii="Arial" w:eastAsia="Times New Roman" w:hAnsi="Arial" w:cs="Arial"/>
          <w:color w:val="222222"/>
          <w:kern w:val="0"/>
          <w:sz w:val="22"/>
          <w:szCs w:val="22"/>
          <w:lang w:eastAsia="en-GB"/>
          <w14:ligatures w14:val="none"/>
        </w:rPr>
        <w:t>Barnlund</w:t>
      </w:r>
      <w:proofErr w:type="spellEnd"/>
      <w:r w:rsidRPr="000F5F07">
        <w:rPr>
          <w:rFonts w:ascii="Arial" w:eastAsia="Times New Roman" w:hAnsi="Arial" w:cs="Arial"/>
          <w:color w:val="222222"/>
          <w:kern w:val="0"/>
          <w:sz w:val="22"/>
          <w:szCs w:val="22"/>
          <w:lang w:eastAsia="en-GB"/>
          <w14:ligatures w14:val="none"/>
        </w:rPr>
        <w:t>, 2008).</w:t>
      </w:r>
    </w:p>
    <w:p w14:paraId="4847A9AF"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Communication should also extend to Mrs Thompson’s family members, provided she gives consent or where decisions are made in her best interests under relevant legislation. Family members can provide valuable information about her usual routines, medication adherence, and any recent changes in behaviour. Maintaining regular communication with relatives helps ensure continuity of care and enables concerns, such as increased confusion or wandering outside inappropriately dressed, to be identified and managed promptly (NICE, 2018).</w:t>
      </w:r>
    </w:p>
    <w:p w14:paraId="004573FF" w14:textId="77777777" w:rsidR="00E22AF9" w:rsidRPr="000F5F07" w:rsidRDefault="00E22AF9" w:rsidP="00336E70">
      <w:pPr>
        <w:pStyle w:val="NoSpacing"/>
        <w:spacing w:line="360" w:lineRule="auto"/>
        <w:rPr>
          <w:rFonts w:ascii="Arial" w:eastAsia="Times New Roman" w:hAnsi="Arial" w:cs="Arial"/>
          <w:lang w:eastAsia="en-GB"/>
        </w:rPr>
      </w:pPr>
      <w:r w:rsidRPr="000F5F07">
        <w:rPr>
          <w:rFonts w:ascii="Arial" w:eastAsia="Times New Roman" w:hAnsi="Arial" w:cs="Arial"/>
          <w:lang w:eastAsia="en-GB"/>
        </w:rPr>
        <w:t xml:space="preserve">The Equality Act 2010 requires health and social care providers to ensure individuals are not disadvantaged because of protected characteristics, including age and disability (Equality Act, 2010). As Mrs Thompson has dementia, reasonable adjustments should be made to support her communication needs. These adjustments may include providing information in accessible formats, allowing additional </w:t>
      </w:r>
      <w:r w:rsidRPr="000F5F07">
        <w:rPr>
          <w:rFonts w:ascii="Arial" w:hAnsi="Arial" w:cs="Arial"/>
        </w:rPr>
        <w:t>consultation</w:t>
      </w:r>
      <w:r w:rsidRPr="000F5F07">
        <w:rPr>
          <w:rFonts w:ascii="Arial" w:eastAsia="Times New Roman" w:hAnsi="Arial" w:cs="Arial"/>
          <w:lang w:eastAsia="en-GB"/>
        </w:rPr>
        <w:t xml:space="preserve"> time, involving advocates or family members where appropriate, and ensuring staff receive dementia-awareness training. By making these reasonable adjustments, professionals promote equality, uphold Mrs Thompson’s rights, and improve her ability to participate in decisions regarding her care.</w:t>
      </w:r>
    </w:p>
    <w:p w14:paraId="037FB3D0"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Overall, effective communication enables professionals to identify risks early, support medication adherence, reduce misunderstandings, and deliver safe, compassionate, and person-centred care. In Mrs Thompson’s case, adapting communication to meet her cognitive needs while involving her family and other professionals is essential for maintaining her wellbeing and independence.</w:t>
      </w:r>
    </w:p>
    <w:p w14:paraId="5521F28D" w14:textId="77777777" w:rsidR="00E22AF9" w:rsidRPr="000F5F07" w:rsidRDefault="00E22AF9" w:rsidP="00336E70">
      <w:pPr>
        <w:spacing w:before="100" w:beforeAutospacing="1" w:after="100" w:afterAutospacing="1" w:line="360" w:lineRule="auto"/>
        <w:textAlignment w:val="bottom"/>
        <w:outlineLvl w:val="2"/>
        <w:rPr>
          <w:rFonts w:ascii="Arial" w:eastAsia="Times New Roman" w:hAnsi="Arial" w:cs="Arial"/>
          <w:b/>
          <w:bCs/>
          <w:color w:val="222222"/>
          <w:kern w:val="0"/>
          <w:sz w:val="22"/>
          <w:szCs w:val="22"/>
          <w:lang w:eastAsia="en-GB"/>
          <w14:ligatures w14:val="none"/>
        </w:rPr>
      </w:pPr>
    </w:p>
    <w:p w14:paraId="5F552C70" w14:textId="62FD988D"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b/>
          <w:bCs/>
          <w:color w:val="222222"/>
          <w:kern w:val="0"/>
          <w:sz w:val="22"/>
          <w:szCs w:val="22"/>
          <w:lang w:eastAsia="en-GB"/>
          <w14:ligatures w14:val="none"/>
        </w:rPr>
        <w:lastRenderedPageBreak/>
        <w:t>The Importance of Good Administrative Skills in Professional Practice within Mrs Thompson’s Care </w:t>
      </w:r>
    </w:p>
    <w:p w14:paraId="6196B467" w14:textId="0B4AEC16"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Good administrative skills are essential in health and social care because they ensure that care is safe, effective, well-coordinated, and legally compliant. Accurate record keeping, timely documentation, information sharing, and confidentiality all contribute to high-quality person-centred care. In Mrs Thompson’s case, effective administration is particularly important due to her recent hospital discharge, mild dementia, medication non-adherence, and safeguarding concerns. Maintaining accurate records allows all professionals involved in her care to make informed decisions and respond quickly to changes in her condition (NHS England, 2023).</w:t>
      </w:r>
      <w:r w:rsidR="007C5A25">
        <w:rPr>
          <w:rFonts w:ascii="Arial" w:eastAsia="Times New Roman" w:hAnsi="Arial" w:cs="Arial"/>
          <w:color w:val="222222"/>
          <w:kern w:val="0"/>
          <w:sz w:val="22"/>
          <w:szCs w:val="22"/>
          <w:lang w:eastAsia="en-GB"/>
          <w14:ligatures w14:val="none"/>
        </w:rPr>
        <w:t xml:space="preserve"> </w:t>
      </w:r>
    </w:p>
    <w:p w14:paraId="6D93CCF3"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Accurate record keeping is a fundamental professional responsibility. Care workers should document every visit, medication administration, observations, incidents, and any changes in Mrs Thompson’s physical or mental wellbeing. For example, when Mrs Thompson missed two days of medication and became increasingly confused, this information should be recorded immediately through the organisation’s incident reporting system. Detailed documentation enables healthcare professionals, including her GP, community nurse, and pharmacist, to identify patterns, review treatment plans, and reduce the risk of future harm (Nursing and Midwifery Council (NMC), 2018).</w:t>
      </w:r>
    </w:p>
    <w:p w14:paraId="5A2A77F1"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Similarly, when Mrs Thompson was found outside without appropriate clothing during cold weather, staff should accurately document the incident, the actions taken to keep her safe, and any referrals made to safeguarding services or the local authority. Comprehensive records provide evidence that appropriate procedures have been followed and ensure continuity of care between different professionals and organisations (Care Quality Commission (CQC), 2025).</w:t>
      </w:r>
    </w:p>
    <w:p w14:paraId="2A484785"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The Data Protection Act 2018 and the UK General Data Protection Regulation (UK</w:t>
      </w:r>
      <w:r w:rsidRPr="000F5F07">
        <w:rPr>
          <w:rFonts w:ascii="Arial" w:eastAsia="Times New Roman" w:hAnsi="Arial" w:cs="Arial"/>
          <w:b/>
          <w:bCs/>
          <w:color w:val="222222"/>
          <w:kern w:val="0"/>
          <w:sz w:val="22"/>
          <w:szCs w:val="22"/>
          <w:lang w:eastAsia="en-GB"/>
          <w14:ligatures w14:val="none"/>
        </w:rPr>
        <w:t xml:space="preserve"> </w:t>
      </w:r>
      <w:r w:rsidRPr="000F5F07">
        <w:rPr>
          <w:rFonts w:ascii="Arial" w:eastAsia="Times New Roman" w:hAnsi="Arial" w:cs="Arial"/>
          <w:color w:val="222222"/>
          <w:kern w:val="0"/>
          <w:sz w:val="22"/>
          <w:szCs w:val="22"/>
          <w:lang w:eastAsia="en-GB"/>
          <w14:ligatures w14:val="none"/>
        </w:rPr>
        <w:t>GDPR) require organisations to process personal information lawfully, fairly, and securely (Data Protection Act, 2018). Mrs Thompson’s personal details, medical history, medication records, and care plans contain sensitive personal information and must only be accessed by professionals directly involved in her care. Electronic records should be password protected, paper records should be stored securely, and confidential information should never be discussed in public areas. Sharing information with family members should normally only occur with Mrs Thompson’s consent unless there are legal or safeguarding reasons to disclose information in her best interests (Information Commissioner’s Office (ICO), 2024).</w:t>
      </w:r>
    </w:p>
    <w:p w14:paraId="31EC9388"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lastRenderedPageBreak/>
        <w:t>Several pieces of legislation and policy frameworks support good administrative practice. The Health and Social Care Act 2008 (Regulated Activities) Regulations 2014 requires registered providers to maintain accurate, complete, and secure records while ensuring people receive safe, high-quality care (Health and Social Care Act, 2008). In addition, the Care Act 2014 places a duty on local authorities and health professionals to promote an individual’s wellbeing and protect adults who may be at risk of abuse or neglect (Care Act, 2014). As Mrs Thompson has dementia and has experienced medication-related confusion and wandering, professionals must work together to assess potential risks, complete safeguarding documentation where necessary, and implement strategies to reduce future incidents.</w:t>
      </w:r>
    </w:p>
    <w:p w14:paraId="5D38EC65" w14:textId="5D652F71"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Strong administrative skills also improve communication between multidisciplinary teams. Accurate records ensure that each professional has access to up-to-date information, reducing duplication, preventing medication errors, and supporting coordinated care. For Mrs Thompson, clear documentation of her medication review, cognitive changes, and safeguarding concerns enables professionals to provide consistent, person-centred support while promoting her safety and independence.</w:t>
      </w:r>
    </w:p>
    <w:p w14:paraId="1E7ED13B" w14:textId="77777777" w:rsidR="00CC34F2" w:rsidRPr="000F5F07" w:rsidRDefault="00CC34F2"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p>
    <w:p w14:paraId="4A61DE6E" w14:textId="474EE6DC"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b/>
          <w:bCs/>
          <w:color w:val="222222"/>
          <w:kern w:val="0"/>
          <w:sz w:val="22"/>
          <w:szCs w:val="22"/>
          <w:lang w:eastAsia="en-GB"/>
          <w14:ligatures w14:val="none"/>
        </w:rPr>
        <w:t xml:space="preserve">The Importance of Working Collaboratively with Other Professionals in Mrs Thompson’s Care </w:t>
      </w:r>
    </w:p>
    <w:p w14:paraId="279EF7D5"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Collaborative working is essential in health and social care because it enables professionals from different disciplines to share information, coordinate care, and provide person-centred support that meets an individual’s physical, psychological, and social needs (NICE, 2023). In Mrs Thompson’s case, her recent hospital discharge, mild dementia, medication non-adherence, and safeguarding concerns require effective partnership working between a range of professionals to ensure her safety and wellbeing.</w:t>
      </w:r>
    </w:p>
    <w:p w14:paraId="18966000"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 xml:space="preserve">The multidisciplinary team (MDT) involved in Mrs Thompson’s care may include her GP, community nurse, pharmacist, domiciliary care workers, social worker, occupational therapist, and local authority safeguarding team. Each professional has a specific role in supporting her care. For example, the GP can review her medication and monitor her overall health, while the community nurse can assess her recovery from pneumonia and monitor her cognitive changes. A pharmacist can identify medicines that may contribute to confusion and recommend appropriate adjustments, while domiciliary care workers can encourage medication adherence, monitor her daily wellbeing, and report any concerns promptly. An </w:t>
      </w:r>
      <w:r w:rsidRPr="000F5F07">
        <w:rPr>
          <w:rFonts w:ascii="Arial" w:eastAsia="Times New Roman" w:hAnsi="Arial" w:cs="Arial"/>
          <w:color w:val="222222"/>
          <w:kern w:val="0"/>
          <w:sz w:val="22"/>
          <w:szCs w:val="22"/>
          <w:lang w:eastAsia="en-GB"/>
          <w14:ligatures w14:val="none"/>
        </w:rPr>
        <w:lastRenderedPageBreak/>
        <w:t>occupational therapist may assess her home environment and recommend equipment or adaptations to reduce the risk of falls or wandering, helping Mrs Thompson remain as independent as possible (Care Act, 2014).</w:t>
      </w:r>
    </w:p>
    <w:p w14:paraId="5BEDADA0"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Effective collaboration depends on clear communication, accurate record keeping, regular multidisciplinary meetings, and agreed care plans that are shared between professionals. Information should be exchanged appropriately and lawfully, ensuring confidentiality is maintained while enabling professionals to make informed decisions regarding Mrs Thompson’s care (NMC, 2018).</w:t>
      </w:r>
    </w:p>
    <w:p w14:paraId="482AB3DB" w14:textId="77777777" w:rsidR="00E22AF9"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However, multi-agency working can present challenges. These may include poor communication, delays in sharing information, differences in professional opinions, and unclear responsibilities, all of which can affect the quality of care provided (SCIE, 2022). These challenges can be addressed by maintaining accurate records, using shared electronic care systems where available, holding regular case review meetings, clearly defining professional roles, and ensuring all decisions focus on Mrs Thompson’s best interests. Involving Mrs Thompson and, where appropriate, her family in care planning also promotes person-centred care and supports shared decision-making (NICE, 2023).</w:t>
      </w:r>
    </w:p>
    <w:p w14:paraId="25B43370" w14:textId="7FF540F4" w:rsidR="00CC34F2" w:rsidRPr="000F5F07" w:rsidRDefault="00E22AF9"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Overall, effective collaborative working enables professionals to provide coordinated, safe, and high-quality care that improves Mrs Thompson’s health outcomes, protects her from harm, and supports her independence.</w:t>
      </w:r>
    </w:p>
    <w:p w14:paraId="20915274" w14:textId="77777777" w:rsidR="00CC34F2" w:rsidRPr="000F5F07" w:rsidRDefault="00CC34F2" w:rsidP="00336E70">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p>
    <w:p w14:paraId="41A2A47A" w14:textId="47F1976F" w:rsidR="00E22AF9" w:rsidRPr="000F5F07" w:rsidRDefault="00E22AF9" w:rsidP="00336E70">
      <w:pPr>
        <w:spacing w:before="100" w:beforeAutospacing="1" w:after="100" w:afterAutospacing="1" w:line="360" w:lineRule="auto"/>
        <w:textAlignment w:val="bottom"/>
        <w:outlineLvl w:val="1"/>
        <w:rPr>
          <w:rFonts w:ascii="Arial" w:eastAsia="Times New Roman" w:hAnsi="Arial" w:cs="Arial"/>
          <w:b/>
          <w:bCs/>
          <w:color w:val="222222"/>
          <w:kern w:val="0"/>
          <w:sz w:val="22"/>
          <w:szCs w:val="22"/>
          <w:lang w:eastAsia="en-GB"/>
          <w14:ligatures w14:val="none"/>
        </w:rPr>
      </w:pPr>
      <w:r w:rsidRPr="000F5F07">
        <w:rPr>
          <w:rFonts w:ascii="Arial" w:eastAsia="Times New Roman" w:hAnsi="Arial" w:cs="Arial"/>
          <w:b/>
          <w:bCs/>
          <w:color w:val="222222"/>
          <w:kern w:val="0"/>
          <w:sz w:val="22"/>
          <w:szCs w:val="22"/>
          <w:lang w:eastAsia="en-GB"/>
          <w14:ligatures w14:val="none"/>
        </w:rPr>
        <w:t>Conclusion</w:t>
      </w:r>
    </w:p>
    <w:p w14:paraId="36C99589" w14:textId="77777777" w:rsidR="000F5F07" w:rsidRDefault="00E22AF9" w:rsidP="000F5F07">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0F5F07">
        <w:rPr>
          <w:rFonts w:ascii="Arial" w:eastAsia="Times New Roman" w:hAnsi="Arial" w:cs="Arial"/>
          <w:color w:val="222222"/>
          <w:kern w:val="0"/>
          <w:sz w:val="22"/>
          <w:szCs w:val="22"/>
          <w:lang w:eastAsia="en-GB"/>
          <w14:ligatures w14:val="none"/>
        </w:rPr>
        <w:t xml:space="preserve">In conclusion, providing high-quality care for Mrs Thompson requires effective communication, strong administrative skills, and collaborative working between health and social care professionals. Effective communication enables professionals to build trust, understand Mrs Thompson’s needs, and adapt their approach to support her mild dementia while promoting dignity and independence. Accurate record keeping and effective administrative practice ensure that important information is documented, shared appropriately, and managed in accordance with the Data Protection Act 2018, UK GDPR, and professional standards, helping to reduce risks and maintain continuity of care. Furthermore, collaborative working between the multidisciplinary team allows professionals to combine their expertise to address Mrs Thompson’s medical, social, and safeguarding needs. </w:t>
      </w:r>
    </w:p>
    <w:p w14:paraId="538D7E36" w14:textId="2B13EF21" w:rsidR="00442F5E" w:rsidRPr="000F5F07" w:rsidRDefault="00E22AF9" w:rsidP="000F5F07">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E22AF9">
        <w:rPr>
          <w:rFonts w:ascii="Arial" w:eastAsia="Times New Roman" w:hAnsi="Arial" w:cs="Arial"/>
          <w:b/>
          <w:bCs/>
          <w:color w:val="222222"/>
          <w:kern w:val="36"/>
          <w:sz w:val="48"/>
          <w:szCs w:val="48"/>
          <w:lang w:eastAsia="en-GB"/>
          <w14:ligatures w14:val="none"/>
        </w:rPr>
        <w:lastRenderedPageBreak/>
        <w:t>Reference</w:t>
      </w:r>
      <w:r w:rsidR="00CC34F2">
        <w:rPr>
          <w:rFonts w:ascii="Arial" w:eastAsia="Times New Roman" w:hAnsi="Arial" w:cs="Arial"/>
          <w:b/>
          <w:bCs/>
          <w:color w:val="222222"/>
          <w:kern w:val="36"/>
          <w:sz w:val="48"/>
          <w:szCs w:val="48"/>
          <w:lang w:eastAsia="en-GB"/>
          <w14:ligatures w14:val="none"/>
        </w:rPr>
        <w:t>s</w:t>
      </w:r>
    </w:p>
    <w:p w14:paraId="2155A164"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Alzheimer’s Society (2024) </w:t>
      </w:r>
      <w:r w:rsidRPr="003C4F7A">
        <w:rPr>
          <w:rFonts w:ascii="Arial" w:eastAsia="Times New Roman" w:hAnsi="Arial" w:cs="Arial"/>
          <w:i/>
          <w:iCs/>
          <w:color w:val="222222"/>
          <w:kern w:val="0"/>
          <w:sz w:val="22"/>
          <w:szCs w:val="22"/>
          <w:lang w:eastAsia="en-GB"/>
          <w14:ligatures w14:val="none"/>
        </w:rPr>
        <w:t>Communicating with people living with dementia</w:t>
      </w:r>
      <w:r w:rsidRPr="003C4F7A">
        <w:rPr>
          <w:rFonts w:ascii="Arial" w:eastAsia="Times New Roman" w:hAnsi="Arial" w:cs="Arial"/>
          <w:color w:val="222222"/>
          <w:kern w:val="0"/>
          <w:sz w:val="22"/>
          <w:szCs w:val="22"/>
          <w:lang w:eastAsia="en-GB"/>
          <w14:ligatures w14:val="none"/>
        </w:rPr>
        <w:t>. London: Alzheimer’s Society.</w:t>
      </w:r>
    </w:p>
    <w:p w14:paraId="6D1D4215"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proofErr w:type="spellStart"/>
      <w:r w:rsidRPr="003C4F7A">
        <w:rPr>
          <w:rFonts w:ascii="Arial" w:eastAsia="Times New Roman" w:hAnsi="Arial" w:cs="Arial"/>
          <w:color w:val="222222"/>
          <w:kern w:val="0"/>
          <w:sz w:val="22"/>
          <w:szCs w:val="22"/>
          <w:lang w:eastAsia="en-GB"/>
          <w14:ligatures w14:val="none"/>
        </w:rPr>
        <w:t>Barnlund</w:t>
      </w:r>
      <w:proofErr w:type="spellEnd"/>
      <w:r w:rsidRPr="003C4F7A">
        <w:rPr>
          <w:rFonts w:ascii="Arial" w:eastAsia="Times New Roman" w:hAnsi="Arial" w:cs="Arial"/>
          <w:color w:val="222222"/>
          <w:kern w:val="0"/>
          <w:sz w:val="22"/>
          <w:szCs w:val="22"/>
          <w:lang w:eastAsia="en-GB"/>
          <w14:ligatures w14:val="none"/>
        </w:rPr>
        <w:t>, D.C. (2008) ‘A Transactional Model of Communication’. In: Mortensen, C.D. (ed.) </w:t>
      </w:r>
      <w:r w:rsidRPr="003C4F7A">
        <w:rPr>
          <w:rFonts w:ascii="Arial" w:eastAsia="Times New Roman" w:hAnsi="Arial" w:cs="Arial"/>
          <w:i/>
          <w:iCs/>
          <w:color w:val="222222"/>
          <w:kern w:val="0"/>
          <w:sz w:val="22"/>
          <w:szCs w:val="22"/>
          <w:lang w:eastAsia="en-GB"/>
          <w14:ligatures w14:val="none"/>
        </w:rPr>
        <w:t>Communication Theory</w:t>
      </w:r>
      <w:r w:rsidRPr="003C4F7A">
        <w:rPr>
          <w:rFonts w:ascii="Arial" w:eastAsia="Times New Roman" w:hAnsi="Arial" w:cs="Arial"/>
          <w:color w:val="222222"/>
          <w:kern w:val="0"/>
          <w:sz w:val="22"/>
          <w:szCs w:val="22"/>
          <w:lang w:eastAsia="en-GB"/>
          <w14:ligatures w14:val="none"/>
        </w:rPr>
        <w:t xml:space="preserve">. 2nd </w:t>
      </w:r>
      <w:proofErr w:type="spellStart"/>
      <w:r w:rsidRPr="003C4F7A">
        <w:rPr>
          <w:rFonts w:ascii="Arial" w:eastAsia="Times New Roman" w:hAnsi="Arial" w:cs="Arial"/>
          <w:color w:val="222222"/>
          <w:kern w:val="0"/>
          <w:sz w:val="22"/>
          <w:szCs w:val="22"/>
          <w:lang w:eastAsia="en-GB"/>
          <w14:ligatures w14:val="none"/>
        </w:rPr>
        <w:t>edn</w:t>
      </w:r>
      <w:proofErr w:type="spellEnd"/>
      <w:r w:rsidRPr="003C4F7A">
        <w:rPr>
          <w:rFonts w:ascii="Arial" w:eastAsia="Times New Roman" w:hAnsi="Arial" w:cs="Arial"/>
          <w:color w:val="222222"/>
          <w:kern w:val="0"/>
          <w:sz w:val="22"/>
          <w:szCs w:val="22"/>
          <w:lang w:eastAsia="en-GB"/>
          <w14:ligatures w14:val="none"/>
        </w:rPr>
        <w:t>. New Brunswick: Transaction Publishers.</w:t>
      </w:r>
    </w:p>
    <w:p w14:paraId="55A049B7"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Care Act 2014. c.23. London: The Stationery Office.</w:t>
      </w:r>
    </w:p>
    <w:p w14:paraId="6854918D"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Care Quality Commission (CQC) (2025) </w:t>
      </w:r>
      <w:r w:rsidRPr="003C4F7A">
        <w:rPr>
          <w:rFonts w:ascii="Arial" w:eastAsia="Times New Roman" w:hAnsi="Arial" w:cs="Arial"/>
          <w:i/>
          <w:iCs/>
          <w:color w:val="222222"/>
          <w:kern w:val="0"/>
          <w:sz w:val="22"/>
          <w:szCs w:val="22"/>
          <w:lang w:eastAsia="en-GB"/>
          <w14:ligatures w14:val="none"/>
        </w:rPr>
        <w:t>Guidance for providers on meeting the regulations</w:t>
      </w:r>
      <w:r w:rsidRPr="003C4F7A">
        <w:rPr>
          <w:rFonts w:ascii="Arial" w:eastAsia="Times New Roman" w:hAnsi="Arial" w:cs="Arial"/>
          <w:color w:val="222222"/>
          <w:kern w:val="0"/>
          <w:sz w:val="22"/>
          <w:szCs w:val="22"/>
          <w:lang w:eastAsia="en-GB"/>
          <w14:ligatures w14:val="none"/>
        </w:rPr>
        <w:t>. London: CQC.</w:t>
      </w:r>
    </w:p>
    <w:p w14:paraId="0463E40A" w14:textId="77777777" w:rsidR="00442F5E" w:rsidRPr="003C4F7A" w:rsidRDefault="00442F5E" w:rsidP="00CC34F2">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Data Protection Act 2018. c.12. London: The Stationery Office.</w:t>
      </w:r>
    </w:p>
    <w:p w14:paraId="55E44D7E"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Equality Act 2010. c.15. London: The Stationery Office.</w:t>
      </w:r>
    </w:p>
    <w:p w14:paraId="327DC5C6"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Health and Care Professions Council (HCPC) (2024) </w:t>
      </w:r>
      <w:r w:rsidRPr="003C4F7A">
        <w:rPr>
          <w:rFonts w:ascii="Arial" w:eastAsia="Times New Roman" w:hAnsi="Arial" w:cs="Arial"/>
          <w:i/>
          <w:iCs/>
          <w:color w:val="222222"/>
          <w:kern w:val="0"/>
          <w:sz w:val="22"/>
          <w:szCs w:val="22"/>
          <w:lang w:eastAsia="en-GB"/>
          <w14:ligatures w14:val="none"/>
        </w:rPr>
        <w:t>Standards of Conduct, Performance and Ethics</w:t>
      </w:r>
      <w:r w:rsidRPr="003C4F7A">
        <w:rPr>
          <w:rFonts w:ascii="Arial" w:eastAsia="Times New Roman" w:hAnsi="Arial" w:cs="Arial"/>
          <w:color w:val="222222"/>
          <w:kern w:val="0"/>
          <w:sz w:val="22"/>
          <w:szCs w:val="22"/>
          <w:lang w:eastAsia="en-GB"/>
          <w14:ligatures w14:val="none"/>
        </w:rPr>
        <w:t>. London: HCPC.</w:t>
      </w:r>
    </w:p>
    <w:p w14:paraId="3FFEFE1B"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Health and Social Care Act 2008 (Regulated Activities) Regulations 2014. SI 2014/2936. London: The Stationery Office.</w:t>
      </w:r>
    </w:p>
    <w:p w14:paraId="4F8F4FED" w14:textId="77777777" w:rsidR="00442F5E" w:rsidRPr="003C4F7A" w:rsidRDefault="00442F5E" w:rsidP="00CC34F2">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Information Commissioner’s Office (ICO) (2024) </w:t>
      </w:r>
      <w:r w:rsidRPr="003C4F7A">
        <w:rPr>
          <w:rFonts w:ascii="Arial" w:eastAsia="Times New Roman" w:hAnsi="Arial" w:cs="Arial"/>
          <w:i/>
          <w:iCs/>
          <w:color w:val="222222"/>
          <w:kern w:val="0"/>
          <w:sz w:val="22"/>
          <w:szCs w:val="22"/>
          <w:lang w:eastAsia="en-GB"/>
          <w14:ligatures w14:val="none"/>
        </w:rPr>
        <w:t>Guide to UK GDPR</w:t>
      </w:r>
      <w:r w:rsidRPr="003C4F7A">
        <w:rPr>
          <w:rFonts w:ascii="Arial" w:eastAsia="Times New Roman" w:hAnsi="Arial" w:cs="Arial"/>
          <w:color w:val="222222"/>
          <w:kern w:val="0"/>
          <w:sz w:val="22"/>
          <w:szCs w:val="22"/>
          <w:lang w:eastAsia="en-GB"/>
          <w14:ligatures w14:val="none"/>
        </w:rPr>
        <w:t>. Wilmslow: ICO.</w:t>
      </w:r>
    </w:p>
    <w:p w14:paraId="47FA1F06"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National Health Service (NHS) England (2023) </w:t>
      </w:r>
      <w:r w:rsidRPr="003C4F7A">
        <w:rPr>
          <w:rFonts w:ascii="Arial" w:eastAsia="Times New Roman" w:hAnsi="Arial" w:cs="Arial"/>
          <w:i/>
          <w:iCs/>
          <w:color w:val="222222"/>
          <w:kern w:val="0"/>
          <w:sz w:val="22"/>
          <w:szCs w:val="22"/>
          <w:lang w:eastAsia="en-GB"/>
          <w14:ligatures w14:val="none"/>
        </w:rPr>
        <w:t>Records Management Code of Practice 2023</w:t>
      </w:r>
      <w:r w:rsidRPr="003C4F7A">
        <w:rPr>
          <w:rFonts w:ascii="Arial" w:eastAsia="Times New Roman" w:hAnsi="Arial" w:cs="Arial"/>
          <w:color w:val="222222"/>
          <w:kern w:val="0"/>
          <w:sz w:val="22"/>
          <w:szCs w:val="22"/>
          <w:lang w:eastAsia="en-GB"/>
          <w14:ligatures w14:val="none"/>
        </w:rPr>
        <w:t>. London: NHS England.</w:t>
      </w:r>
    </w:p>
    <w:p w14:paraId="6185008B"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National Institute for Health and Care Excellence (NICE) (2018) </w:t>
      </w:r>
      <w:r w:rsidRPr="003C4F7A">
        <w:rPr>
          <w:rFonts w:ascii="Arial" w:eastAsia="Times New Roman" w:hAnsi="Arial" w:cs="Arial"/>
          <w:i/>
          <w:iCs/>
          <w:color w:val="222222"/>
          <w:kern w:val="0"/>
          <w:sz w:val="22"/>
          <w:szCs w:val="22"/>
          <w:lang w:eastAsia="en-GB"/>
          <w14:ligatures w14:val="none"/>
        </w:rPr>
        <w:t>Dementia: assessment, management and support for people living with dementia and their carers (NG97).</w:t>
      </w:r>
      <w:r w:rsidRPr="003C4F7A">
        <w:rPr>
          <w:rFonts w:ascii="Arial" w:eastAsia="Times New Roman" w:hAnsi="Arial" w:cs="Arial"/>
          <w:color w:val="222222"/>
          <w:kern w:val="0"/>
          <w:sz w:val="22"/>
          <w:szCs w:val="22"/>
          <w:lang w:eastAsia="en-GB"/>
          <w14:ligatures w14:val="none"/>
        </w:rPr>
        <w:t> London: NICE.</w:t>
      </w:r>
    </w:p>
    <w:p w14:paraId="3D25F669"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National Institute for Health and Care Excellence (NICE) (2023) </w:t>
      </w:r>
      <w:r w:rsidRPr="003C4F7A">
        <w:rPr>
          <w:rFonts w:ascii="Arial" w:eastAsia="Times New Roman" w:hAnsi="Arial" w:cs="Arial"/>
          <w:i/>
          <w:iCs/>
          <w:color w:val="222222"/>
          <w:kern w:val="0"/>
          <w:sz w:val="22"/>
          <w:szCs w:val="22"/>
          <w:lang w:eastAsia="en-GB"/>
          <w14:ligatures w14:val="none"/>
        </w:rPr>
        <w:t>Patient experience in adult NHS services: improving the experience of care for people using adult NHS services (CG138).</w:t>
      </w:r>
      <w:r w:rsidRPr="003C4F7A">
        <w:rPr>
          <w:rFonts w:ascii="Arial" w:eastAsia="Times New Roman" w:hAnsi="Arial" w:cs="Arial"/>
          <w:color w:val="222222"/>
          <w:kern w:val="0"/>
          <w:sz w:val="22"/>
          <w:szCs w:val="22"/>
          <w:lang w:eastAsia="en-GB"/>
          <w14:ligatures w14:val="none"/>
        </w:rPr>
        <w:t> London: NICE.</w:t>
      </w:r>
    </w:p>
    <w:p w14:paraId="50EECCDF" w14:textId="77777777" w:rsidR="00442F5E" w:rsidRPr="003C4F7A" w:rsidRDefault="00442F5E" w:rsidP="00CC34F2">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NHS England (2023) </w:t>
      </w:r>
      <w:r w:rsidRPr="003C4F7A">
        <w:rPr>
          <w:rFonts w:ascii="Arial" w:eastAsia="Times New Roman" w:hAnsi="Arial" w:cs="Arial"/>
          <w:i/>
          <w:iCs/>
          <w:color w:val="222222"/>
          <w:kern w:val="0"/>
          <w:sz w:val="22"/>
          <w:szCs w:val="22"/>
          <w:lang w:eastAsia="en-GB"/>
          <w14:ligatures w14:val="none"/>
        </w:rPr>
        <w:t>Records Management Code of Practice 2023</w:t>
      </w:r>
      <w:r w:rsidRPr="003C4F7A">
        <w:rPr>
          <w:rFonts w:ascii="Arial" w:eastAsia="Times New Roman" w:hAnsi="Arial" w:cs="Arial"/>
          <w:color w:val="222222"/>
          <w:kern w:val="0"/>
          <w:sz w:val="22"/>
          <w:szCs w:val="22"/>
          <w:lang w:eastAsia="en-GB"/>
          <w14:ligatures w14:val="none"/>
        </w:rPr>
        <w:t>. London: NHS England.</w:t>
      </w:r>
    </w:p>
    <w:p w14:paraId="74365E60" w14:textId="77777777" w:rsidR="00442F5E" w:rsidRPr="003C4F7A" w:rsidRDefault="00442F5E" w:rsidP="00E22AF9">
      <w:pPr>
        <w:spacing w:before="100" w:beforeAutospacing="1" w:after="100" w:afterAutospacing="1" w:line="24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Nursing and Midwifery Council (NMC) (2018) </w:t>
      </w:r>
      <w:r w:rsidRPr="003C4F7A">
        <w:rPr>
          <w:rFonts w:ascii="Arial" w:eastAsia="Times New Roman" w:hAnsi="Arial" w:cs="Arial"/>
          <w:i/>
          <w:iCs/>
          <w:color w:val="222222"/>
          <w:kern w:val="0"/>
          <w:sz w:val="22"/>
          <w:szCs w:val="22"/>
          <w:lang w:eastAsia="en-GB"/>
          <w14:ligatures w14:val="none"/>
        </w:rPr>
        <w:t>The Code: Professional standards of practice and behaviour for nurses, midwives and nursing associates</w:t>
      </w:r>
      <w:r w:rsidRPr="003C4F7A">
        <w:rPr>
          <w:rFonts w:ascii="Arial" w:eastAsia="Times New Roman" w:hAnsi="Arial" w:cs="Arial"/>
          <w:color w:val="222222"/>
          <w:kern w:val="0"/>
          <w:sz w:val="22"/>
          <w:szCs w:val="22"/>
          <w:lang w:eastAsia="en-GB"/>
          <w14:ligatures w14:val="none"/>
        </w:rPr>
        <w:t>. London: NMC.</w:t>
      </w:r>
    </w:p>
    <w:p w14:paraId="6D7BBD63" w14:textId="77777777" w:rsidR="00442F5E" w:rsidRPr="003C4F7A" w:rsidRDefault="00442F5E" w:rsidP="00103002">
      <w:pPr>
        <w:spacing w:before="100" w:beforeAutospacing="1" w:after="100" w:afterAutospacing="1" w:line="360" w:lineRule="auto"/>
        <w:textAlignment w:val="bottom"/>
        <w:rPr>
          <w:rFonts w:ascii="Arial" w:eastAsia="Times New Roman" w:hAnsi="Arial" w:cs="Arial"/>
          <w:color w:val="222222"/>
          <w:kern w:val="0"/>
          <w:sz w:val="22"/>
          <w:szCs w:val="22"/>
          <w:lang w:eastAsia="en-GB"/>
          <w14:ligatures w14:val="none"/>
        </w:rPr>
      </w:pPr>
      <w:r w:rsidRPr="003C4F7A">
        <w:rPr>
          <w:rFonts w:ascii="Arial" w:eastAsia="Times New Roman" w:hAnsi="Arial" w:cs="Arial"/>
          <w:color w:val="222222"/>
          <w:kern w:val="0"/>
          <w:sz w:val="22"/>
          <w:szCs w:val="22"/>
          <w:lang w:eastAsia="en-GB"/>
          <w14:ligatures w14:val="none"/>
        </w:rPr>
        <w:t>Social Care Institute for Excellence (SCIE) (2022) </w:t>
      </w:r>
      <w:r w:rsidRPr="003C4F7A">
        <w:rPr>
          <w:rFonts w:ascii="Arial" w:eastAsia="Times New Roman" w:hAnsi="Arial" w:cs="Arial"/>
          <w:i/>
          <w:iCs/>
          <w:color w:val="222222"/>
          <w:kern w:val="0"/>
          <w:sz w:val="22"/>
          <w:szCs w:val="22"/>
          <w:lang w:eastAsia="en-GB"/>
          <w14:ligatures w14:val="none"/>
        </w:rPr>
        <w:t>Working in partnership across health and social care</w:t>
      </w:r>
      <w:r w:rsidRPr="003C4F7A">
        <w:rPr>
          <w:rFonts w:ascii="Arial" w:eastAsia="Times New Roman" w:hAnsi="Arial" w:cs="Arial"/>
          <w:color w:val="222222"/>
          <w:kern w:val="0"/>
          <w:sz w:val="22"/>
          <w:szCs w:val="22"/>
          <w:lang w:eastAsia="en-GB"/>
          <w14:ligatures w14:val="none"/>
        </w:rPr>
        <w:t>. London: SCIE.</w:t>
      </w:r>
    </w:p>
    <w:sectPr w:rsidR="00442F5E" w:rsidRPr="003C4F7A" w:rsidSect="00FD175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EA71" w14:textId="77777777" w:rsidR="0096285A" w:rsidRDefault="0096285A" w:rsidP="00F76FBF">
      <w:pPr>
        <w:spacing w:after="0" w:line="240" w:lineRule="auto"/>
      </w:pPr>
      <w:r>
        <w:separator/>
      </w:r>
    </w:p>
  </w:endnote>
  <w:endnote w:type="continuationSeparator" w:id="0">
    <w:p w14:paraId="13F5FAE6" w14:textId="77777777" w:rsidR="0096285A" w:rsidRDefault="0096285A" w:rsidP="00F76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528632"/>
      <w:docPartObj>
        <w:docPartGallery w:val="Page Numbers (Bottom of Page)"/>
        <w:docPartUnique/>
      </w:docPartObj>
    </w:sdtPr>
    <w:sdtEndPr>
      <w:rPr>
        <w:noProof/>
      </w:rPr>
    </w:sdtEndPr>
    <w:sdtContent>
      <w:p w14:paraId="6D98E157" w14:textId="196D9859" w:rsidR="00F76FBF" w:rsidRDefault="00F76F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8E6CA0" w14:textId="77777777" w:rsidR="00F76FBF" w:rsidRDefault="00F76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619A6" w14:textId="77777777" w:rsidR="0096285A" w:rsidRDefault="0096285A" w:rsidP="00F76FBF">
      <w:pPr>
        <w:spacing w:after="0" w:line="240" w:lineRule="auto"/>
      </w:pPr>
      <w:r>
        <w:separator/>
      </w:r>
    </w:p>
  </w:footnote>
  <w:footnote w:type="continuationSeparator" w:id="0">
    <w:p w14:paraId="64897D6F" w14:textId="77777777" w:rsidR="0096285A" w:rsidRDefault="0096285A" w:rsidP="00F76F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AF9"/>
    <w:rsid w:val="000D0BE4"/>
    <w:rsid w:val="000F5F07"/>
    <w:rsid w:val="00103002"/>
    <w:rsid w:val="001A3456"/>
    <w:rsid w:val="001D5A5A"/>
    <w:rsid w:val="001E1B5E"/>
    <w:rsid w:val="00235375"/>
    <w:rsid w:val="00336E70"/>
    <w:rsid w:val="00384BFE"/>
    <w:rsid w:val="003C4F7A"/>
    <w:rsid w:val="003E1E4F"/>
    <w:rsid w:val="00442F5E"/>
    <w:rsid w:val="005A3200"/>
    <w:rsid w:val="00625DB4"/>
    <w:rsid w:val="006A519F"/>
    <w:rsid w:val="006D510A"/>
    <w:rsid w:val="007C5A25"/>
    <w:rsid w:val="007D4D1A"/>
    <w:rsid w:val="00915CF5"/>
    <w:rsid w:val="0096285A"/>
    <w:rsid w:val="009D654E"/>
    <w:rsid w:val="00A72FB0"/>
    <w:rsid w:val="00AD5611"/>
    <w:rsid w:val="00AF06E7"/>
    <w:rsid w:val="00B41A13"/>
    <w:rsid w:val="00B91106"/>
    <w:rsid w:val="00BE510D"/>
    <w:rsid w:val="00C55AEA"/>
    <w:rsid w:val="00C67A3F"/>
    <w:rsid w:val="00CA56E2"/>
    <w:rsid w:val="00CC34F2"/>
    <w:rsid w:val="00E22AF9"/>
    <w:rsid w:val="00F76FBF"/>
    <w:rsid w:val="00FD1758"/>
    <w:rsid w:val="00FE5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D7C57"/>
  <w15:chartTrackingRefBased/>
  <w15:docId w15:val="{1A31CB92-EDA2-459B-B415-87C56BF9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AF9"/>
    <w:rPr>
      <w:rFonts w:eastAsiaTheme="majorEastAsia" w:cstheme="majorBidi"/>
      <w:color w:val="272727" w:themeColor="text1" w:themeTint="D8"/>
    </w:rPr>
  </w:style>
  <w:style w:type="paragraph" w:styleId="Title">
    <w:name w:val="Title"/>
    <w:basedOn w:val="Normal"/>
    <w:next w:val="Normal"/>
    <w:link w:val="TitleChar"/>
    <w:uiPriority w:val="10"/>
    <w:qFormat/>
    <w:rsid w:val="00E22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AF9"/>
    <w:pPr>
      <w:spacing w:before="160"/>
      <w:jc w:val="center"/>
    </w:pPr>
    <w:rPr>
      <w:i/>
      <w:iCs/>
      <w:color w:val="404040" w:themeColor="text1" w:themeTint="BF"/>
    </w:rPr>
  </w:style>
  <w:style w:type="character" w:customStyle="1" w:styleId="QuoteChar">
    <w:name w:val="Quote Char"/>
    <w:basedOn w:val="DefaultParagraphFont"/>
    <w:link w:val="Quote"/>
    <w:uiPriority w:val="29"/>
    <w:rsid w:val="00E22AF9"/>
    <w:rPr>
      <w:i/>
      <w:iCs/>
      <w:color w:val="404040" w:themeColor="text1" w:themeTint="BF"/>
    </w:rPr>
  </w:style>
  <w:style w:type="paragraph" w:styleId="ListParagraph">
    <w:name w:val="List Paragraph"/>
    <w:basedOn w:val="Normal"/>
    <w:uiPriority w:val="34"/>
    <w:qFormat/>
    <w:rsid w:val="00E22AF9"/>
    <w:pPr>
      <w:ind w:left="720"/>
      <w:contextualSpacing/>
    </w:pPr>
  </w:style>
  <w:style w:type="character" w:styleId="IntenseEmphasis">
    <w:name w:val="Intense Emphasis"/>
    <w:basedOn w:val="DefaultParagraphFont"/>
    <w:uiPriority w:val="21"/>
    <w:qFormat/>
    <w:rsid w:val="00E22AF9"/>
    <w:rPr>
      <w:i/>
      <w:iCs/>
      <w:color w:val="0F4761" w:themeColor="accent1" w:themeShade="BF"/>
    </w:rPr>
  </w:style>
  <w:style w:type="paragraph" w:styleId="IntenseQuote">
    <w:name w:val="Intense Quote"/>
    <w:basedOn w:val="Normal"/>
    <w:next w:val="Normal"/>
    <w:link w:val="IntenseQuoteChar"/>
    <w:uiPriority w:val="30"/>
    <w:qFormat/>
    <w:rsid w:val="00E22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AF9"/>
    <w:rPr>
      <w:i/>
      <w:iCs/>
      <w:color w:val="0F4761" w:themeColor="accent1" w:themeShade="BF"/>
    </w:rPr>
  </w:style>
  <w:style w:type="character" w:styleId="IntenseReference">
    <w:name w:val="Intense Reference"/>
    <w:basedOn w:val="DefaultParagraphFont"/>
    <w:uiPriority w:val="32"/>
    <w:qFormat/>
    <w:rsid w:val="00E22AF9"/>
    <w:rPr>
      <w:b/>
      <w:bCs/>
      <w:smallCaps/>
      <w:color w:val="0F4761" w:themeColor="accent1" w:themeShade="BF"/>
      <w:spacing w:val="5"/>
    </w:rPr>
  </w:style>
  <w:style w:type="paragraph" w:styleId="NoSpacing">
    <w:name w:val="No Spacing"/>
    <w:link w:val="NoSpacingChar"/>
    <w:uiPriority w:val="1"/>
    <w:qFormat/>
    <w:rsid w:val="00FD175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D1758"/>
    <w:rPr>
      <w:rFonts w:eastAsiaTheme="minorEastAsia"/>
      <w:kern w:val="0"/>
      <w:sz w:val="22"/>
      <w:szCs w:val="22"/>
      <w:lang w:val="en-US"/>
      <w14:ligatures w14:val="none"/>
    </w:rPr>
  </w:style>
  <w:style w:type="paragraph" w:styleId="Header">
    <w:name w:val="header"/>
    <w:basedOn w:val="Normal"/>
    <w:link w:val="HeaderChar"/>
    <w:uiPriority w:val="99"/>
    <w:unhideWhenUsed/>
    <w:rsid w:val="00F76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FBF"/>
  </w:style>
  <w:style w:type="paragraph" w:styleId="Footer">
    <w:name w:val="footer"/>
    <w:basedOn w:val="Normal"/>
    <w:link w:val="FooterChar"/>
    <w:uiPriority w:val="99"/>
    <w:unhideWhenUsed/>
    <w:rsid w:val="00F76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Health and Social Care</dc:subject>
  <dc:creator>Kulsum Remtulla (2522570)</dc:creator>
  <cp:keywords/>
  <dc:description/>
  <cp:lastModifiedBy>Kulsum Remtulla (2522570)</cp:lastModifiedBy>
  <cp:revision>39</cp:revision>
  <dcterms:created xsi:type="dcterms:W3CDTF">2026-07-19T18:09:00Z</dcterms:created>
  <dcterms:modified xsi:type="dcterms:W3CDTF">2026-07-20T15:33:00Z</dcterms:modified>
</cp:coreProperties>
</file>