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02B71ED" w14:textId="77777777" w:rsidR="00B322E0" w:rsidRPr="00752C57" w:rsidRDefault="00B322E0" w:rsidP="009C2D59">
      <w:pPr>
        <w:rPr>
          <w:b/>
          <w:i/>
          <w:color w:val="auto"/>
          <w:sz w:val="88"/>
          <w:szCs w:val="88"/>
        </w:rPr>
      </w:pPr>
      <w:bookmarkStart w:id="0" w:name="__RefHeading___Toc82856599"/>
      <w:bookmarkEnd w:id="0"/>
    </w:p>
    <w:p w14:paraId="4DBE9618" w14:textId="77777777" w:rsidR="00B322E0" w:rsidRPr="00752C57" w:rsidRDefault="00B322E0">
      <w:pPr>
        <w:jc w:val="center"/>
        <w:rPr>
          <w:b/>
          <w:i/>
          <w:color w:val="auto"/>
          <w:sz w:val="88"/>
          <w:szCs w:val="88"/>
        </w:rPr>
      </w:pPr>
    </w:p>
    <w:p w14:paraId="7FCD19C0" w14:textId="77777777" w:rsidR="00BC521F" w:rsidRDefault="00B748C6">
      <w:pPr>
        <w:jc w:val="center"/>
        <w:rPr>
          <w:b/>
          <w:bCs/>
          <w:i/>
          <w:color w:val="auto"/>
          <w:sz w:val="72"/>
          <w:szCs w:val="72"/>
        </w:rPr>
      </w:pPr>
      <w:r w:rsidRPr="00B748C6">
        <w:rPr>
          <w:b/>
          <w:bCs/>
          <w:i/>
          <w:color w:val="auto"/>
          <w:sz w:val="72"/>
          <w:szCs w:val="72"/>
        </w:rPr>
        <w:t>LCHS4010 Psychology in Health and Social Care</w:t>
      </w:r>
      <w:r w:rsidR="009C2D59" w:rsidRPr="00752C57">
        <w:rPr>
          <w:b/>
          <w:bCs/>
          <w:i/>
          <w:color w:val="auto"/>
          <w:sz w:val="72"/>
          <w:szCs w:val="72"/>
        </w:rPr>
        <w:t> </w:t>
      </w:r>
    </w:p>
    <w:p w14:paraId="6A03DD6B" w14:textId="65424438" w:rsidR="00BC521F" w:rsidRPr="001D1441" w:rsidRDefault="00BC521F" w:rsidP="00BC521F">
      <w:pPr>
        <w:jc w:val="left"/>
        <w:rPr>
          <w:rFonts w:ascii="Arial" w:hAnsi="Arial" w:cs="Arial"/>
          <w:b/>
          <w:bCs/>
          <w:sz w:val="22"/>
        </w:rPr>
      </w:pPr>
      <w:r w:rsidRPr="001D1441">
        <w:rPr>
          <w:rFonts w:ascii="Arial" w:hAnsi="Arial" w:cs="Arial"/>
          <w:b/>
          <w:bCs/>
          <w:sz w:val="22"/>
        </w:rPr>
        <w:t xml:space="preserve">Student name: </w:t>
      </w:r>
      <w:proofErr w:type="spellStart"/>
      <w:r w:rsidRPr="001D1441">
        <w:rPr>
          <w:rFonts w:ascii="Arial" w:hAnsi="Arial" w:cs="Arial"/>
          <w:sz w:val="22"/>
        </w:rPr>
        <w:t>Shakill</w:t>
      </w:r>
      <w:r>
        <w:rPr>
          <w:rFonts w:ascii="Arial" w:hAnsi="Arial" w:cs="Arial"/>
          <w:sz w:val="22"/>
        </w:rPr>
        <w:t>a</w:t>
      </w:r>
      <w:proofErr w:type="spellEnd"/>
      <w:r w:rsidRPr="001D1441">
        <w:rPr>
          <w:rFonts w:ascii="Arial" w:hAnsi="Arial" w:cs="Arial"/>
          <w:sz w:val="22"/>
        </w:rPr>
        <w:t xml:space="preserve"> Naz</w:t>
      </w:r>
      <w:r w:rsidR="007B6297">
        <w:rPr>
          <w:rFonts w:ascii="Arial" w:hAnsi="Arial" w:cs="Arial"/>
          <w:sz w:val="22"/>
        </w:rPr>
        <w:t xml:space="preserve"> </w:t>
      </w:r>
      <w:r w:rsidR="00170675">
        <w:rPr>
          <w:rFonts w:ascii="Arial" w:hAnsi="Arial" w:cs="Arial"/>
          <w:sz w:val="22"/>
        </w:rPr>
        <w:t>(2441135)</w:t>
      </w:r>
    </w:p>
    <w:p w14:paraId="31523BE5" w14:textId="2BE74A58" w:rsidR="00BC521F" w:rsidRPr="001D1441" w:rsidRDefault="00BC521F" w:rsidP="00BC521F">
      <w:pPr>
        <w:jc w:val="left"/>
        <w:rPr>
          <w:rFonts w:ascii="Arial" w:hAnsi="Arial" w:cs="Arial"/>
          <w:b/>
          <w:bCs/>
          <w:sz w:val="22"/>
        </w:rPr>
      </w:pPr>
      <w:r w:rsidRPr="001D1441">
        <w:rPr>
          <w:rFonts w:ascii="Arial" w:hAnsi="Arial" w:cs="Arial"/>
          <w:b/>
          <w:bCs/>
          <w:sz w:val="22"/>
        </w:rPr>
        <w:t>Modul</w:t>
      </w:r>
      <w:r>
        <w:rPr>
          <w:rFonts w:ascii="Arial" w:hAnsi="Arial" w:cs="Arial"/>
          <w:b/>
          <w:bCs/>
          <w:sz w:val="22"/>
        </w:rPr>
        <w:t>e</w:t>
      </w:r>
      <w:r w:rsidRPr="001D1441">
        <w:rPr>
          <w:rFonts w:ascii="Arial" w:hAnsi="Arial" w:cs="Arial"/>
          <w:b/>
          <w:bCs/>
          <w:sz w:val="22"/>
        </w:rPr>
        <w:t xml:space="preserve">: </w:t>
      </w:r>
      <w:r>
        <w:rPr>
          <w:rFonts w:ascii="Arial" w:hAnsi="Arial" w:cs="Arial"/>
          <w:sz w:val="22"/>
        </w:rPr>
        <w:t>Psychology in Health and Social Care</w:t>
      </w:r>
    </w:p>
    <w:p w14:paraId="3AD09ADB" w14:textId="73AE6F4A" w:rsidR="00BC521F" w:rsidRPr="001D1441" w:rsidRDefault="00BC521F" w:rsidP="00BC521F">
      <w:pPr>
        <w:jc w:val="left"/>
        <w:rPr>
          <w:rFonts w:ascii="Arial" w:hAnsi="Arial" w:cs="Arial"/>
          <w:b/>
          <w:bCs/>
          <w:sz w:val="22"/>
        </w:rPr>
      </w:pPr>
      <w:r w:rsidRPr="001D1441">
        <w:rPr>
          <w:rFonts w:ascii="Arial" w:hAnsi="Arial" w:cs="Arial"/>
          <w:b/>
          <w:bCs/>
          <w:sz w:val="22"/>
        </w:rPr>
        <w:t xml:space="preserve">Module code: </w:t>
      </w:r>
      <w:r w:rsidRPr="001D1441">
        <w:rPr>
          <w:rFonts w:ascii="Arial" w:hAnsi="Arial" w:cs="Arial"/>
          <w:sz w:val="22"/>
        </w:rPr>
        <w:t>L</w:t>
      </w:r>
      <w:r w:rsidR="00547A81">
        <w:rPr>
          <w:rFonts w:ascii="Arial" w:hAnsi="Arial" w:cs="Arial"/>
          <w:sz w:val="22"/>
        </w:rPr>
        <w:t>C</w:t>
      </w:r>
      <w:r w:rsidR="00F40DAC">
        <w:rPr>
          <w:rFonts w:ascii="Arial" w:hAnsi="Arial" w:cs="Arial"/>
          <w:sz w:val="22"/>
        </w:rPr>
        <w:t>HS4010</w:t>
      </w:r>
    </w:p>
    <w:p w14:paraId="6FD19527" w14:textId="15D990E5" w:rsidR="00BC521F" w:rsidRPr="001D1441" w:rsidRDefault="00BC521F" w:rsidP="00BC521F">
      <w:pPr>
        <w:jc w:val="left"/>
        <w:rPr>
          <w:rFonts w:ascii="Arial" w:hAnsi="Arial" w:cs="Arial"/>
          <w:b/>
          <w:bCs/>
          <w:sz w:val="22"/>
        </w:rPr>
      </w:pPr>
      <w:r w:rsidRPr="001D1441">
        <w:rPr>
          <w:rFonts w:ascii="Arial" w:hAnsi="Arial" w:cs="Arial"/>
          <w:b/>
          <w:bCs/>
          <w:sz w:val="22"/>
        </w:rPr>
        <w:t xml:space="preserve">Lecturer: </w:t>
      </w:r>
      <w:r w:rsidR="007B6297">
        <w:rPr>
          <w:rFonts w:ascii="Arial" w:hAnsi="Arial" w:cs="Arial"/>
          <w:sz w:val="22"/>
        </w:rPr>
        <w:t>Helen Parsons</w:t>
      </w:r>
    </w:p>
    <w:p w14:paraId="23910072" w14:textId="086758FA" w:rsidR="00793373" w:rsidRPr="00752C57" w:rsidRDefault="00B57A65" w:rsidP="00BC521F">
      <w:pPr>
        <w:jc w:val="left"/>
        <w:rPr>
          <w:b/>
          <w:i/>
          <w:color w:val="auto"/>
          <w:sz w:val="72"/>
          <w:szCs w:val="72"/>
        </w:rPr>
      </w:pPr>
      <w:r w:rsidRPr="00752C57">
        <w:rPr>
          <w:b/>
          <w:i/>
          <w:color w:val="auto"/>
          <w:sz w:val="72"/>
          <w:szCs w:val="72"/>
        </w:rPr>
        <w:t xml:space="preserve"> </w:t>
      </w:r>
    </w:p>
    <w:p w14:paraId="0CCAD435" w14:textId="77777777" w:rsidR="00793373" w:rsidRPr="00752C57" w:rsidRDefault="00793373">
      <w:pPr>
        <w:pStyle w:val="ContentsHeading"/>
        <w:pageBreakBefore/>
        <w:rPr>
          <w:color w:val="auto"/>
        </w:rPr>
      </w:pPr>
      <w:r w:rsidRPr="00752C57">
        <w:rPr>
          <w:color w:val="auto"/>
        </w:rPr>
        <w:lastRenderedPageBreak/>
        <w:t>Table of Contents</w:t>
      </w:r>
    </w:p>
    <w:p w14:paraId="5C3BB0F8" w14:textId="77777777" w:rsidR="001C3928" w:rsidRPr="00C82FB5" w:rsidRDefault="00793373">
      <w:pPr>
        <w:pStyle w:val="TOC1"/>
        <w:rPr>
          <w:rFonts w:ascii="Calibri" w:eastAsia="Times New Roman" w:hAnsi="Calibri" w:cs="Times New Roman"/>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1C3928">
        <w:rPr>
          <w:noProof/>
        </w:rPr>
        <w:t>Part A: Annotated Bibliography</w:t>
      </w:r>
      <w:r w:rsidR="001C3928">
        <w:rPr>
          <w:noProof/>
        </w:rPr>
        <w:tab/>
      </w:r>
      <w:r w:rsidR="001C3928">
        <w:rPr>
          <w:noProof/>
        </w:rPr>
        <w:fldChar w:fldCharType="begin"/>
      </w:r>
      <w:r w:rsidR="001C3928">
        <w:rPr>
          <w:noProof/>
        </w:rPr>
        <w:instrText xml:space="preserve"> PAGEREF _Toc224056160 \h </w:instrText>
      </w:r>
      <w:r w:rsidR="001C3928">
        <w:rPr>
          <w:noProof/>
        </w:rPr>
      </w:r>
      <w:r w:rsidR="001C3928">
        <w:rPr>
          <w:noProof/>
        </w:rPr>
        <w:fldChar w:fldCharType="separate"/>
      </w:r>
      <w:r w:rsidR="001C3928">
        <w:rPr>
          <w:noProof/>
        </w:rPr>
        <w:t>3</w:t>
      </w:r>
      <w:r w:rsidR="001C3928">
        <w:rPr>
          <w:noProof/>
        </w:rPr>
        <w:fldChar w:fldCharType="end"/>
      </w:r>
    </w:p>
    <w:p w14:paraId="79011160" w14:textId="77777777" w:rsidR="001C3928" w:rsidRPr="00C82FB5" w:rsidRDefault="001C3928">
      <w:pPr>
        <w:pStyle w:val="TOC2"/>
        <w:rPr>
          <w:rFonts w:ascii="Calibri" w:eastAsia="Times New Roman" w:hAnsi="Calibri" w:cs="Times New Roman"/>
          <w:noProof/>
          <w:color w:val="auto"/>
          <w:sz w:val="22"/>
          <w:lang w:eastAsia="en-GB"/>
        </w:rPr>
      </w:pPr>
      <w:r>
        <w:rPr>
          <w:noProof/>
        </w:rPr>
        <w:t xml:space="preserve">1. Cumming, E. and Henry, W.E. (1961) </w:t>
      </w:r>
      <w:r w:rsidRPr="00C363FB">
        <w:rPr>
          <w:i/>
          <w:iCs/>
          <w:noProof/>
        </w:rPr>
        <w:t>Growing Old: The Process of Disengagement</w:t>
      </w:r>
      <w:r>
        <w:rPr>
          <w:noProof/>
        </w:rPr>
        <w:t>. New York: Basic Books.</w:t>
      </w:r>
      <w:r>
        <w:rPr>
          <w:noProof/>
        </w:rPr>
        <w:tab/>
      </w:r>
      <w:r>
        <w:rPr>
          <w:noProof/>
        </w:rPr>
        <w:fldChar w:fldCharType="begin"/>
      </w:r>
      <w:r>
        <w:rPr>
          <w:noProof/>
        </w:rPr>
        <w:instrText xml:space="preserve"> PAGEREF _Toc224056161 \h </w:instrText>
      </w:r>
      <w:r>
        <w:rPr>
          <w:noProof/>
        </w:rPr>
      </w:r>
      <w:r>
        <w:rPr>
          <w:noProof/>
        </w:rPr>
        <w:fldChar w:fldCharType="separate"/>
      </w:r>
      <w:r>
        <w:rPr>
          <w:noProof/>
        </w:rPr>
        <w:t>3</w:t>
      </w:r>
      <w:r>
        <w:rPr>
          <w:noProof/>
        </w:rPr>
        <w:fldChar w:fldCharType="end"/>
      </w:r>
    </w:p>
    <w:p w14:paraId="390496AC" w14:textId="77777777" w:rsidR="001C3928" w:rsidRPr="00C82FB5" w:rsidRDefault="001C3928">
      <w:pPr>
        <w:pStyle w:val="TOC2"/>
        <w:rPr>
          <w:rFonts w:ascii="Calibri" w:eastAsia="Times New Roman" w:hAnsi="Calibri" w:cs="Times New Roman"/>
          <w:noProof/>
          <w:color w:val="auto"/>
          <w:sz w:val="22"/>
          <w:lang w:eastAsia="en-GB"/>
        </w:rPr>
      </w:pPr>
      <w:r>
        <w:rPr>
          <w:noProof/>
        </w:rPr>
        <w:t xml:space="preserve">2. Goswami, U. (2019) </w:t>
      </w:r>
      <w:r w:rsidRPr="00C363FB">
        <w:rPr>
          <w:i/>
          <w:iCs/>
          <w:noProof/>
        </w:rPr>
        <w:t>Cognitive Development and Cognitive Neuroscience: The Learning Brain</w:t>
      </w:r>
      <w:r>
        <w:rPr>
          <w:noProof/>
        </w:rPr>
        <w:t>. 2nd edn. London: Routledge.</w:t>
      </w:r>
      <w:r>
        <w:rPr>
          <w:noProof/>
        </w:rPr>
        <w:tab/>
      </w:r>
      <w:r>
        <w:rPr>
          <w:noProof/>
        </w:rPr>
        <w:fldChar w:fldCharType="begin"/>
      </w:r>
      <w:r>
        <w:rPr>
          <w:noProof/>
        </w:rPr>
        <w:instrText xml:space="preserve"> PAGEREF _Toc224056162 \h </w:instrText>
      </w:r>
      <w:r>
        <w:rPr>
          <w:noProof/>
        </w:rPr>
      </w:r>
      <w:r>
        <w:rPr>
          <w:noProof/>
        </w:rPr>
        <w:fldChar w:fldCharType="separate"/>
      </w:r>
      <w:r>
        <w:rPr>
          <w:noProof/>
        </w:rPr>
        <w:t>3</w:t>
      </w:r>
      <w:r>
        <w:rPr>
          <w:noProof/>
        </w:rPr>
        <w:fldChar w:fldCharType="end"/>
      </w:r>
    </w:p>
    <w:p w14:paraId="001515A3" w14:textId="77777777" w:rsidR="001C3928" w:rsidRPr="00C82FB5" w:rsidRDefault="001C3928">
      <w:pPr>
        <w:pStyle w:val="TOC2"/>
        <w:rPr>
          <w:rFonts w:ascii="Calibri" w:eastAsia="Times New Roman" w:hAnsi="Calibri" w:cs="Times New Roman"/>
          <w:noProof/>
          <w:color w:val="auto"/>
          <w:sz w:val="22"/>
          <w:lang w:eastAsia="en-GB"/>
        </w:rPr>
      </w:pPr>
      <w:r>
        <w:rPr>
          <w:noProof/>
        </w:rPr>
        <w:t xml:space="preserve">3. Havighurst, R.J. (1961) ‘Successful Aging’, </w:t>
      </w:r>
      <w:r w:rsidRPr="00C363FB">
        <w:rPr>
          <w:i/>
          <w:iCs/>
          <w:noProof/>
        </w:rPr>
        <w:t>The Gerontologist</w:t>
      </w:r>
      <w:r>
        <w:rPr>
          <w:noProof/>
        </w:rPr>
        <w:t>, 1(1), pp. 8–13.</w:t>
      </w:r>
      <w:r>
        <w:rPr>
          <w:noProof/>
        </w:rPr>
        <w:tab/>
      </w:r>
      <w:r>
        <w:rPr>
          <w:noProof/>
        </w:rPr>
        <w:fldChar w:fldCharType="begin"/>
      </w:r>
      <w:r>
        <w:rPr>
          <w:noProof/>
        </w:rPr>
        <w:instrText xml:space="preserve"> PAGEREF _Toc224056163 \h </w:instrText>
      </w:r>
      <w:r>
        <w:rPr>
          <w:noProof/>
        </w:rPr>
      </w:r>
      <w:r>
        <w:rPr>
          <w:noProof/>
        </w:rPr>
        <w:fldChar w:fldCharType="separate"/>
      </w:r>
      <w:r>
        <w:rPr>
          <w:noProof/>
        </w:rPr>
        <w:t>4</w:t>
      </w:r>
      <w:r>
        <w:rPr>
          <w:noProof/>
        </w:rPr>
        <w:fldChar w:fldCharType="end"/>
      </w:r>
    </w:p>
    <w:p w14:paraId="43EBB6D3" w14:textId="77777777" w:rsidR="001C3928" w:rsidRPr="00C82FB5" w:rsidRDefault="001C3928">
      <w:pPr>
        <w:pStyle w:val="TOC2"/>
        <w:rPr>
          <w:rFonts w:ascii="Calibri" w:eastAsia="Times New Roman" w:hAnsi="Calibri" w:cs="Times New Roman"/>
          <w:noProof/>
          <w:color w:val="auto"/>
          <w:sz w:val="22"/>
          <w:lang w:eastAsia="en-GB"/>
        </w:rPr>
      </w:pPr>
      <w:r>
        <w:rPr>
          <w:noProof/>
        </w:rPr>
        <w:t xml:space="preserve">4. Dhingra, A. and Khan, W. (2023) ‘The PERMA Model of Wellbeing’, in </w:t>
      </w:r>
      <w:r w:rsidRPr="00C363FB">
        <w:rPr>
          <w:i/>
          <w:iCs/>
          <w:noProof/>
        </w:rPr>
        <w:t>Global Perspectives on Health Assessments and Diagnostics in the Elderly</w:t>
      </w:r>
      <w:r>
        <w:rPr>
          <w:noProof/>
        </w:rPr>
        <w:t>. Hershey, PA: IGI Global, pp. 71–81.</w:t>
      </w:r>
      <w:r>
        <w:rPr>
          <w:noProof/>
        </w:rPr>
        <w:tab/>
      </w:r>
      <w:r>
        <w:rPr>
          <w:noProof/>
        </w:rPr>
        <w:fldChar w:fldCharType="begin"/>
      </w:r>
      <w:r>
        <w:rPr>
          <w:noProof/>
        </w:rPr>
        <w:instrText xml:space="preserve"> PAGEREF _Toc224056164 \h </w:instrText>
      </w:r>
      <w:r>
        <w:rPr>
          <w:noProof/>
        </w:rPr>
      </w:r>
      <w:r>
        <w:rPr>
          <w:noProof/>
        </w:rPr>
        <w:fldChar w:fldCharType="separate"/>
      </w:r>
      <w:r>
        <w:rPr>
          <w:noProof/>
        </w:rPr>
        <w:t>4</w:t>
      </w:r>
      <w:r>
        <w:rPr>
          <w:noProof/>
        </w:rPr>
        <w:fldChar w:fldCharType="end"/>
      </w:r>
    </w:p>
    <w:p w14:paraId="44D1A7BA" w14:textId="2750D49E" w:rsidR="001C3928" w:rsidRPr="00C82FB5" w:rsidRDefault="001C3928">
      <w:pPr>
        <w:pStyle w:val="TOC1"/>
        <w:rPr>
          <w:rFonts w:ascii="Calibri" w:eastAsia="Times New Roman" w:hAnsi="Calibri" w:cs="Times New Roman"/>
          <w:noProof/>
          <w:color w:val="auto"/>
          <w:sz w:val="22"/>
          <w:lang w:eastAsia="en-GB"/>
        </w:rPr>
      </w:pPr>
      <w:r>
        <w:rPr>
          <w:noProof/>
        </w:rPr>
        <w:t>Part B: Short Professional Report</w:t>
      </w:r>
      <w:r>
        <w:rPr>
          <w:noProof/>
        </w:rPr>
        <w:tab/>
      </w:r>
      <w:r w:rsidR="00F40DAC">
        <w:rPr>
          <w:noProof/>
        </w:rPr>
        <w:t>5</w:t>
      </w:r>
    </w:p>
    <w:p w14:paraId="3A1C6157" w14:textId="1A70B40F" w:rsidR="001C3928" w:rsidRPr="00C82FB5" w:rsidRDefault="001C3928">
      <w:pPr>
        <w:pStyle w:val="TOC2"/>
        <w:rPr>
          <w:rFonts w:ascii="Calibri" w:eastAsia="Times New Roman" w:hAnsi="Calibri" w:cs="Times New Roman"/>
          <w:noProof/>
          <w:color w:val="auto"/>
          <w:sz w:val="22"/>
          <w:lang w:eastAsia="en-GB"/>
        </w:rPr>
      </w:pPr>
      <w:r>
        <w:rPr>
          <w:noProof/>
        </w:rPr>
        <w:t>Applying the PERMA Model to Improve Psychological Wellbeing in Older Adults Living in Residential Care</w:t>
      </w:r>
      <w:r>
        <w:rPr>
          <w:noProof/>
        </w:rPr>
        <w:tab/>
      </w:r>
      <w:r w:rsidR="00F40DAC">
        <w:rPr>
          <w:noProof/>
        </w:rPr>
        <w:t>5</w:t>
      </w:r>
    </w:p>
    <w:p w14:paraId="6DCF071E" w14:textId="6CE57D01" w:rsidR="001C3928" w:rsidRPr="00C82FB5" w:rsidRDefault="001C3928">
      <w:pPr>
        <w:pStyle w:val="TOC1"/>
        <w:rPr>
          <w:rFonts w:ascii="Calibri" w:eastAsia="Times New Roman" w:hAnsi="Calibri" w:cs="Times New Roman"/>
          <w:noProof/>
          <w:color w:val="auto"/>
          <w:sz w:val="22"/>
          <w:lang w:eastAsia="en-GB"/>
        </w:rPr>
      </w:pPr>
      <w:r>
        <w:rPr>
          <w:noProof/>
        </w:rPr>
        <w:t>References</w:t>
      </w:r>
      <w:r>
        <w:rPr>
          <w:noProof/>
        </w:rPr>
        <w:tab/>
      </w:r>
      <w:r w:rsidR="00F40DAC">
        <w:rPr>
          <w:noProof/>
        </w:rPr>
        <w:t>7</w:t>
      </w:r>
    </w:p>
    <w:p w14:paraId="3A50F2CC" w14:textId="77777777" w:rsidR="005901D0" w:rsidRPr="00752C57" w:rsidRDefault="00793373" w:rsidP="005901D0">
      <w:pPr>
        <w:pStyle w:val="TOC1"/>
        <w:rPr>
          <w:rFonts w:cs="Times New Roman"/>
          <w:color w:val="auto"/>
          <w:szCs w:val="24"/>
        </w:rPr>
      </w:pPr>
      <w:r w:rsidRPr="00752C57">
        <w:rPr>
          <w:rFonts w:cs="Times New Roman"/>
          <w:color w:val="auto"/>
        </w:rPr>
        <w:fldChar w:fldCharType="end"/>
      </w:r>
    </w:p>
    <w:p w14:paraId="4E7F6156" w14:textId="77777777" w:rsidR="00793373" w:rsidRPr="00752C57" w:rsidRDefault="00793373">
      <w:pPr>
        <w:rPr>
          <w:color w:val="auto"/>
          <w:szCs w:val="24"/>
        </w:rPr>
      </w:pPr>
    </w:p>
    <w:p w14:paraId="07C6094C" w14:textId="77777777" w:rsidR="00FA3835" w:rsidRPr="00752C57" w:rsidRDefault="00FA3835">
      <w:pPr>
        <w:rPr>
          <w:color w:val="auto"/>
          <w:szCs w:val="24"/>
        </w:rPr>
      </w:pPr>
    </w:p>
    <w:p w14:paraId="535F4F0C" w14:textId="77777777" w:rsidR="00FA3835" w:rsidRPr="00752C57" w:rsidRDefault="00FA3835">
      <w:pPr>
        <w:rPr>
          <w:color w:val="auto"/>
          <w:szCs w:val="24"/>
        </w:rPr>
      </w:pPr>
    </w:p>
    <w:p w14:paraId="0A68602C" w14:textId="77777777" w:rsidR="0074789A" w:rsidRDefault="00A93B3E" w:rsidP="00A93B3E">
      <w:pPr>
        <w:pStyle w:val="Heading1"/>
      </w:pPr>
      <w:r w:rsidRPr="00A93B3E">
        <w:br w:type="page"/>
      </w:r>
      <w:bookmarkStart w:id="1" w:name="_Toc224056160"/>
      <w:r w:rsidRPr="00A93B3E">
        <w:lastRenderedPageBreak/>
        <w:t>Part A: Annotated Bibliography</w:t>
      </w:r>
      <w:bookmarkEnd w:id="1"/>
    </w:p>
    <w:p w14:paraId="613E1F2C" w14:textId="77777777" w:rsidR="00A93B3E" w:rsidRDefault="00A93B3E" w:rsidP="00A93B3E">
      <w:pPr>
        <w:pStyle w:val="Heading2"/>
      </w:pPr>
      <w:bookmarkStart w:id="2" w:name="_Toc224056161"/>
      <w:r>
        <w:t xml:space="preserve">1. Cumming, E. and Henry, W.E. (1961) </w:t>
      </w:r>
      <w:r>
        <w:rPr>
          <w:rStyle w:val="Emphasis"/>
        </w:rPr>
        <w:t>Growing Old: The Process of Disengagement</w:t>
      </w:r>
      <w:r>
        <w:t>. New York: Basic Books.</w:t>
      </w:r>
      <w:bookmarkEnd w:id="2"/>
    </w:p>
    <w:p w14:paraId="273EB4C0" w14:textId="77777777" w:rsidR="00A93B3E" w:rsidRPr="00F40DAC" w:rsidRDefault="00A93B3E" w:rsidP="00A93B3E">
      <w:pPr>
        <w:rPr>
          <w:rFonts w:ascii="Arial" w:hAnsi="Arial" w:cs="Arial"/>
          <w:sz w:val="22"/>
        </w:rPr>
      </w:pPr>
      <w:r w:rsidRPr="00F40DAC">
        <w:rPr>
          <w:rFonts w:ascii="Arial" w:hAnsi="Arial" w:cs="Arial"/>
          <w:sz w:val="22"/>
        </w:rPr>
        <w:t>The current writing, authored by Cumming and Henry is somewhat primitive piece of literature in the area of social gerontology and introduces a Disengagement Theory according to which the ageing process is progressive and two-way of the act whereby an older person and the rest of the population retreat. The authors suggest that, as a person grows old, the person may reduce his/her social roles, duties and communication, and conversely, the society does not require the person so much. Disengagement is brought in as a matter of course in the theory and adaptive process of ageing and not just a product of decline. The book being one of the earlier theoretical approaches has impacted the discussion of the way the later life should be perceived mighty.</w:t>
      </w:r>
    </w:p>
    <w:p w14:paraId="2BA8F474" w14:textId="425B7AAF" w:rsidR="00A93B3E" w:rsidRPr="00F40DAC" w:rsidRDefault="00A93B3E" w:rsidP="00A93B3E">
      <w:pPr>
        <w:ind w:firstLine="720"/>
        <w:rPr>
          <w:rFonts w:ascii="Arial" w:hAnsi="Arial" w:cs="Arial"/>
          <w:sz w:val="22"/>
        </w:rPr>
      </w:pPr>
      <w:r w:rsidRPr="00F40DAC">
        <w:rPr>
          <w:rFonts w:ascii="Arial" w:hAnsi="Arial" w:cs="Arial"/>
          <w:sz w:val="22"/>
        </w:rPr>
        <w:t>The source can also be applied in health and social care since it would help in explaining why there are some elderly in residential homes who are more socially withdrawn or are less interested. However, it is not of value because it generalises the process of ageing as an inevitable withdrawal. In practice, the majority of elderly individuals seek additional interaction, connectedness and purpose.</w:t>
      </w:r>
    </w:p>
    <w:p w14:paraId="0BB6E3A8" w14:textId="77777777" w:rsidR="00A93B3E" w:rsidRDefault="00A93B3E" w:rsidP="00A93B3E"/>
    <w:p w14:paraId="02484B86" w14:textId="77777777" w:rsidR="00A93B3E" w:rsidRDefault="00A93B3E" w:rsidP="00A93B3E">
      <w:pPr>
        <w:pStyle w:val="Heading2"/>
      </w:pPr>
      <w:bookmarkStart w:id="3" w:name="_Toc224056162"/>
      <w:r>
        <w:t xml:space="preserve">2. Goswami, U. (2019) </w:t>
      </w:r>
      <w:r>
        <w:rPr>
          <w:rStyle w:val="Emphasis"/>
        </w:rPr>
        <w:t>Cognitive Development and Cognitive Neuroscience: The Learning Brain</w:t>
      </w:r>
      <w:r>
        <w:t xml:space="preserve">. 2nd </w:t>
      </w:r>
      <w:proofErr w:type="spellStart"/>
      <w:r>
        <w:t>edn</w:t>
      </w:r>
      <w:proofErr w:type="spellEnd"/>
      <w:r>
        <w:t>. London: Routledge.</w:t>
      </w:r>
      <w:bookmarkEnd w:id="3"/>
    </w:p>
    <w:p w14:paraId="2A85FC98" w14:textId="573D9265" w:rsidR="00A93B3E" w:rsidRPr="00F40DAC" w:rsidRDefault="00A93B3E" w:rsidP="00A93B3E">
      <w:pPr>
        <w:rPr>
          <w:rFonts w:ascii="Arial" w:hAnsi="Arial" w:cs="Arial"/>
          <w:sz w:val="22"/>
        </w:rPr>
      </w:pPr>
      <w:r w:rsidRPr="00F40DAC">
        <w:rPr>
          <w:rFonts w:ascii="Arial" w:hAnsi="Arial" w:cs="Arial"/>
          <w:sz w:val="22"/>
        </w:rPr>
        <w:t>The book by Goswami is rather a general overview of the cognitive development process as the author brings</w:t>
      </w:r>
      <w:r w:rsidR="00236B3D">
        <w:rPr>
          <w:rFonts w:ascii="Arial" w:hAnsi="Arial" w:cs="Arial"/>
          <w:sz w:val="22"/>
        </w:rPr>
        <w:t xml:space="preserve"> </w:t>
      </w:r>
      <w:r w:rsidRPr="00F40DAC">
        <w:rPr>
          <w:rFonts w:ascii="Arial" w:hAnsi="Arial" w:cs="Arial"/>
          <w:sz w:val="22"/>
        </w:rPr>
        <w:t xml:space="preserve">together the experience of traditional developmental psychology and the information available in the other subject known as cognitive neuroscience. The reading explained how the perception, memory, attention, language and reasoning develops through interaction between the brain and experience and learning. Although the primary emphasis was given to the period of childhood and adolescence, the book may be useful in the study of the lifespan cognition since it shows that cognitive functioning is based not only on maturation but the interplay between the changes in the neural development and the environment. It therefore offers a useful scientific base on the way to </w:t>
      </w:r>
      <w:r w:rsidR="00236B3D" w:rsidRPr="00F40DAC">
        <w:rPr>
          <w:rFonts w:ascii="Arial" w:hAnsi="Arial" w:cs="Arial"/>
          <w:sz w:val="22"/>
        </w:rPr>
        <w:t>consider</w:t>
      </w:r>
      <w:r w:rsidRPr="00F40DAC">
        <w:rPr>
          <w:rFonts w:ascii="Arial" w:hAnsi="Arial" w:cs="Arial"/>
          <w:sz w:val="22"/>
        </w:rPr>
        <w:t xml:space="preserve"> cognitive change throughout the life course.</w:t>
      </w:r>
    </w:p>
    <w:p w14:paraId="71380D70" w14:textId="77777777" w:rsidR="00A93B3E" w:rsidRPr="00F40DAC" w:rsidRDefault="006D4253" w:rsidP="006D4253">
      <w:pPr>
        <w:ind w:firstLine="576"/>
        <w:rPr>
          <w:rFonts w:ascii="Arial" w:hAnsi="Arial" w:cs="Arial"/>
          <w:sz w:val="22"/>
        </w:rPr>
      </w:pPr>
      <w:r w:rsidRPr="00F40DAC">
        <w:rPr>
          <w:rFonts w:ascii="Arial" w:hAnsi="Arial" w:cs="Arial"/>
          <w:sz w:val="22"/>
        </w:rPr>
        <w:t xml:space="preserve">The source is relevant to older people in health and social care because cognitive performance affects residential care communication, participation, memory, and adjustment. It raises awareness of why some residents need supported communication, systematised support, </w:t>
      </w:r>
      <w:r w:rsidRPr="00F40DAC">
        <w:rPr>
          <w:rFonts w:ascii="Arial" w:hAnsi="Arial" w:cs="Arial"/>
          <w:sz w:val="22"/>
        </w:rPr>
        <w:lastRenderedPageBreak/>
        <w:t>or positive stimulation. The publication is not especially about ageing or residential care, making it the least targeted of the four sources. Its strength is that it strengthens cognition theory, but it does not provide a model of psychological wellness in old age.</w:t>
      </w:r>
    </w:p>
    <w:p w14:paraId="0E6877B4" w14:textId="77777777" w:rsidR="006D4253" w:rsidRDefault="006D4253" w:rsidP="00A93B3E"/>
    <w:p w14:paraId="58C4EB29" w14:textId="77777777" w:rsidR="00A93B3E" w:rsidRDefault="00A93B3E" w:rsidP="00A93B3E">
      <w:pPr>
        <w:pStyle w:val="Heading2"/>
      </w:pPr>
      <w:bookmarkStart w:id="4" w:name="_Toc224056163"/>
      <w:r>
        <w:t xml:space="preserve">3. Havighurst, R.J. (1961) ‘Successful Aging’, </w:t>
      </w:r>
      <w:r>
        <w:rPr>
          <w:rStyle w:val="Emphasis"/>
        </w:rPr>
        <w:t>The Gerontologist</w:t>
      </w:r>
      <w:r>
        <w:t>, 1(1), pp. 8–13.</w:t>
      </w:r>
      <w:bookmarkEnd w:id="4"/>
    </w:p>
    <w:p w14:paraId="157E7BA2" w14:textId="7D318872" w:rsidR="00A93B3E" w:rsidRPr="00F40DAC" w:rsidRDefault="00A93B3E" w:rsidP="00A93B3E">
      <w:pPr>
        <w:rPr>
          <w:rFonts w:ascii="Arial" w:hAnsi="Arial" w:cs="Arial"/>
          <w:sz w:val="22"/>
        </w:rPr>
      </w:pPr>
      <w:r w:rsidRPr="00F40DAC">
        <w:rPr>
          <w:rFonts w:ascii="Arial" w:hAnsi="Arial" w:cs="Arial"/>
          <w:sz w:val="22"/>
        </w:rPr>
        <w:t xml:space="preserve">The article by Havighurst is a proverb of the Activity Theory and the conception of the successful ageing as a whole. This paper asserts that capability to retain social interactions, significant role and further engagement correlates with the satisfaction of later adulthood in life. Instead of regarding the old as a period of waiting to retire, Havighurst urges the old to grow older staying active amongst the people, their interests and meaningful routines. This approach went against more pessimistic means of understanding ageing and it formed a point of departure in ideas being voiced </w:t>
      </w:r>
      <w:r w:rsidR="00236B3D" w:rsidRPr="00F40DAC">
        <w:rPr>
          <w:rFonts w:ascii="Arial" w:hAnsi="Arial" w:cs="Arial"/>
          <w:sz w:val="22"/>
        </w:rPr>
        <w:t>later</w:t>
      </w:r>
      <w:r w:rsidRPr="00F40DAC">
        <w:rPr>
          <w:rFonts w:ascii="Arial" w:hAnsi="Arial" w:cs="Arial"/>
          <w:sz w:val="22"/>
        </w:rPr>
        <w:t xml:space="preserve"> which focused more on autonomy, participation and quality of life.</w:t>
      </w:r>
    </w:p>
    <w:p w14:paraId="3059B35E" w14:textId="77777777" w:rsidR="00A93B3E" w:rsidRPr="00F40DAC" w:rsidRDefault="006D4253" w:rsidP="006D4253">
      <w:pPr>
        <w:ind w:firstLine="576"/>
        <w:rPr>
          <w:rFonts w:ascii="Arial" w:hAnsi="Arial" w:cs="Arial"/>
          <w:sz w:val="22"/>
        </w:rPr>
      </w:pPr>
      <w:r w:rsidRPr="00F40DAC">
        <w:rPr>
          <w:rFonts w:ascii="Arial" w:hAnsi="Arial" w:cs="Arial"/>
          <w:sz w:val="22"/>
        </w:rPr>
        <w:t>This source would be useful in residential care, where isolation and role identity cause poor wellbeing. It emphasises that care should be based on meaningful connection and social bonding, not bodily demands. One shortcoming of the theory is that applying it too rigidly can appear idealistic. Frailty, such as chronic disease or cognitive impairment, limits older adults' activity. This essay is worth reading since it shows the importance of healthy involvement over withdrawal.</w:t>
      </w:r>
    </w:p>
    <w:p w14:paraId="7C42FBDB" w14:textId="77777777" w:rsidR="006D4253" w:rsidRDefault="006D4253" w:rsidP="00A93B3E"/>
    <w:p w14:paraId="30C4F12D" w14:textId="77777777" w:rsidR="00A93B3E" w:rsidRDefault="00A93B3E" w:rsidP="00A93B3E">
      <w:pPr>
        <w:pStyle w:val="Heading2"/>
      </w:pPr>
      <w:bookmarkStart w:id="5" w:name="_Toc224056164"/>
      <w:r>
        <w:t xml:space="preserve">4. Dhingra, A. and Khan, W. (2023) ‘The PERMA Model of Wellbeing’, in </w:t>
      </w:r>
      <w:r>
        <w:rPr>
          <w:rStyle w:val="Emphasis"/>
        </w:rPr>
        <w:t>Global Perspectives on Health Assessments and Diagnostics in the Elderly</w:t>
      </w:r>
      <w:r>
        <w:t>. Hershey, PA: IGI Global, pp. 71–81.</w:t>
      </w:r>
      <w:bookmarkEnd w:id="5"/>
    </w:p>
    <w:p w14:paraId="0E65257D" w14:textId="77777777" w:rsidR="00A93B3E" w:rsidRPr="00F40DAC" w:rsidRDefault="00A93B3E" w:rsidP="00A93B3E">
      <w:pPr>
        <w:rPr>
          <w:rFonts w:ascii="Arial" w:hAnsi="Arial" w:cs="Arial"/>
          <w:sz w:val="22"/>
        </w:rPr>
      </w:pPr>
      <w:r w:rsidRPr="00F40DAC">
        <w:rPr>
          <w:rFonts w:ascii="Arial" w:hAnsi="Arial" w:cs="Arial"/>
          <w:sz w:val="22"/>
        </w:rPr>
        <w:t>Dhingra and Khan talk about the PERMA walk of wellbeing which is based on the principles of positive psychology since it is a model of promoting reminiscence and psychological health among the older generation. The chapter outlines that people can enhance their wellbeing by using five combinations namely Positive Emotion, Engagement, Relationships, Meaning and Accomplishment. Using the perspective of older adults, the authors propose the use of PERMA to facilitate positive ageing through the demonstration of the three domains: the enhancement of social connectedness, depression, and anxiety treatment, and quality of life. The chapter is particularly helpful since it connects directly the concept of PERMA with reminiscence, which is a typical therapy intervention in late-life care.</w:t>
      </w:r>
    </w:p>
    <w:p w14:paraId="595BF397" w14:textId="57A86140" w:rsidR="00A93B3E" w:rsidRPr="00F40DAC" w:rsidRDefault="00A93B3E" w:rsidP="00A93B3E">
      <w:pPr>
        <w:ind w:firstLine="720"/>
        <w:rPr>
          <w:rFonts w:ascii="Arial" w:hAnsi="Arial" w:cs="Arial"/>
          <w:sz w:val="22"/>
        </w:rPr>
      </w:pPr>
      <w:r w:rsidRPr="00F40DAC">
        <w:rPr>
          <w:rFonts w:ascii="Arial" w:hAnsi="Arial" w:cs="Arial"/>
          <w:sz w:val="22"/>
        </w:rPr>
        <w:lastRenderedPageBreak/>
        <w:t xml:space="preserve">It is the most directly applicable source to the current evaluation </w:t>
      </w:r>
      <w:r w:rsidR="00621634" w:rsidRPr="00F40DAC">
        <w:rPr>
          <w:rFonts w:ascii="Arial" w:hAnsi="Arial" w:cs="Arial"/>
          <w:sz w:val="22"/>
        </w:rPr>
        <w:t>since</w:t>
      </w:r>
      <w:r w:rsidRPr="00F40DAC">
        <w:rPr>
          <w:rFonts w:ascii="Arial" w:hAnsi="Arial" w:cs="Arial"/>
          <w:sz w:val="22"/>
        </w:rPr>
        <w:t xml:space="preserve"> it provides a practical and goal-oriented and strengths-based approach to enhance psychological wellbeing within residential care. It aligns well with the perspective of professional care planning since every dimensional component of the PERMA can be transformed into the intervention, like enjoyable activities, relationship support, life-story work and small achievable goals. It limps primarily on the fact that positive psychology can emphasize structural obstacles, which include low staffing, inadequate resources or severe morbidity. Despite that, the chapter is really applicable and offers a firm theoretical foundation to Part B of the assessment.</w:t>
      </w:r>
    </w:p>
    <w:p w14:paraId="379CD720" w14:textId="77777777" w:rsidR="00A93B3E" w:rsidRDefault="00A93B3E" w:rsidP="00A93B3E"/>
    <w:p w14:paraId="16F5B65A" w14:textId="47150B8F" w:rsidR="00A93B3E" w:rsidRDefault="00A93B3E" w:rsidP="00F40DAC">
      <w:pPr>
        <w:pStyle w:val="Heading1"/>
        <w:numPr>
          <w:ilvl w:val="0"/>
          <w:numId w:val="0"/>
        </w:numPr>
      </w:pPr>
      <w:bookmarkStart w:id="6" w:name="_Toc224056165"/>
      <w:r>
        <w:t>Part B: Short Professional Report</w:t>
      </w:r>
      <w:bookmarkEnd w:id="6"/>
    </w:p>
    <w:p w14:paraId="6B61585C" w14:textId="77777777" w:rsidR="00A93B3E" w:rsidRDefault="00A93B3E" w:rsidP="00A93B3E">
      <w:pPr>
        <w:pStyle w:val="Heading2"/>
      </w:pPr>
      <w:bookmarkStart w:id="7" w:name="_Toc224056166"/>
      <w:r>
        <w:t>Applying the PERMA Model to Improve Psychological Wellbeing in Older Adults Living in Residential Care</w:t>
      </w:r>
      <w:bookmarkEnd w:id="7"/>
    </w:p>
    <w:p w14:paraId="1087AE12" w14:textId="77777777" w:rsidR="00A93B3E" w:rsidRPr="00F40DAC" w:rsidRDefault="00A93B3E" w:rsidP="00A93B3E">
      <w:pPr>
        <w:rPr>
          <w:rFonts w:ascii="Arial" w:hAnsi="Arial" w:cs="Arial"/>
          <w:sz w:val="22"/>
        </w:rPr>
      </w:pPr>
      <w:r w:rsidRPr="00F40DAC">
        <w:rPr>
          <w:rFonts w:ascii="Arial" w:hAnsi="Arial" w:cs="Arial"/>
          <w:sz w:val="22"/>
        </w:rPr>
        <w:t>The psychological wellbeing of older adults is one of the main areas of quality care within a residential facility. Other than the physical health needs, the residents may face loneliness, bereavement, lack of independence, depressed mood and lost identity as a result of transition to the care facility. The assessment brief entails utilizing one of the theories in the bibliography to the practice in a care-home with the elderly population, and the PERMA model of wellbeing is most applicable to this purpose</w:t>
      </w:r>
      <w:r w:rsidR="001F208C" w:rsidRPr="00F40DAC">
        <w:rPr>
          <w:rFonts w:ascii="Arial" w:hAnsi="Arial" w:cs="Arial"/>
          <w:sz w:val="22"/>
        </w:rPr>
        <w:t xml:space="preserve"> (Seligman and Csikszentmihalyi, 2000)</w:t>
      </w:r>
      <w:r w:rsidRPr="00F40DAC">
        <w:rPr>
          <w:rFonts w:ascii="Arial" w:hAnsi="Arial" w:cs="Arial"/>
          <w:sz w:val="22"/>
        </w:rPr>
        <w:t>. The Week 9 slides present to the audience a positive psychology model known as PERMA, which helps achieve wellbeing through Positive Emotion, Engagement, Relationships, Meaning and Accomplishment, and say that it can be applied to health and social care to result in an increased quality of life. This report defines the PERMA model and applies it to a case of residential care and is the solution to a case which identifies one challenge and an effective strategy that can even deal with the challenge.</w:t>
      </w:r>
    </w:p>
    <w:p w14:paraId="402DAAB3" w14:textId="77777777" w:rsidR="002A2F68" w:rsidRPr="00F40DAC" w:rsidRDefault="006D4253" w:rsidP="00A93B3E">
      <w:pPr>
        <w:ind w:firstLine="720"/>
        <w:rPr>
          <w:rFonts w:ascii="Arial" w:hAnsi="Arial" w:cs="Arial"/>
          <w:sz w:val="22"/>
        </w:rPr>
      </w:pPr>
      <w:r w:rsidRPr="00F40DAC">
        <w:rPr>
          <w:rFonts w:ascii="Arial" w:hAnsi="Arial" w:cs="Arial"/>
          <w:sz w:val="22"/>
        </w:rPr>
        <w:t xml:space="preserve">The PERMA paradigm, developed by positive psychology, emphasises strengths and flourishing rather than illness or decline. Hart (2021) states that five factorial concerns promote wellbeing. Positive feelings include hope, comfort, happiness, and thankfulness. Participation in important and persuasive activities is the issue. Social ties are kind and supporting. Meaning means feeling life is meaningful. Success requires goals and small improvements. In particular, Week 9 lecture slides show how engaging activities, good interactions, important roles, and achievable milestones can promote PERMA use in health and social care. </w:t>
      </w:r>
      <w:r w:rsidR="002A2F68" w:rsidRPr="00F40DAC">
        <w:rPr>
          <w:rFonts w:ascii="Arial" w:hAnsi="Arial" w:cs="Arial"/>
          <w:sz w:val="22"/>
        </w:rPr>
        <w:t xml:space="preserve">This makes the strategy applicable to residential care because there is possibility of having patients who have received adequate physical care and yet the patient is exposed to emotional ordeal, boredom or </w:t>
      </w:r>
      <w:r w:rsidR="002A2F68" w:rsidRPr="00F40DAC">
        <w:rPr>
          <w:rFonts w:ascii="Arial" w:hAnsi="Arial" w:cs="Arial"/>
          <w:sz w:val="22"/>
        </w:rPr>
        <w:lastRenderedPageBreak/>
        <w:t>lacks social interactions. I also believe that the psychosomatic well-being is improved with the help of PERMA as well as the symptoms are mitigated.</w:t>
      </w:r>
    </w:p>
    <w:p w14:paraId="32FA7DC7" w14:textId="77777777" w:rsidR="00A93B3E" w:rsidRPr="00F40DAC" w:rsidRDefault="00C94924" w:rsidP="00A93B3E">
      <w:pPr>
        <w:ind w:firstLine="720"/>
        <w:rPr>
          <w:rFonts w:ascii="Arial" w:hAnsi="Arial" w:cs="Arial"/>
          <w:sz w:val="22"/>
        </w:rPr>
      </w:pPr>
      <w:r w:rsidRPr="00F40DAC">
        <w:rPr>
          <w:rFonts w:ascii="Arial" w:hAnsi="Arial" w:cs="Arial"/>
          <w:sz w:val="22"/>
        </w:rPr>
        <w:t>The</w:t>
      </w:r>
      <w:r w:rsidR="00A93B3E" w:rsidRPr="00F40DAC">
        <w:rPr>
          <w:rFonts w:ascii="Arial" w:hAnsi="Arial" w:cs="Arial"/>
          <w:sz w:val="22"/>
        </w:rPr>
        <w:t xml:space="preserve"> case scenario is of a woman who was aged 82 years in a residential care home after the demise of her husband. Since she transferred to the home, she has become socially withdrawn as she does not attend any planned activities, she has the low mood and she thinks she has no meaning in her life. The case is characteristic of the issues that the aging population are facing including bereavement, care and lonely entry and loneliness. The depression, anxiety, and impaired cognitive and frailty which is discussed in the week 9 slide are associated with later life loneliness hence the need to provide psychological support. Playing with the assistance of PERMA, the employees can respond in a sequential and human-centred way.</w:t>
      </w:r>
    </w:p>
    <w:p w14:paraId="4EB81295" w14:textId="77777777" w:rsidR="00817D22" w:rsidRPr="00F40DAC" w:rsidRDefault="00817D22" w:rsidP="00817D22">
      <w:pPr>
        <w:ind w:firstLine="720"/>
        <w:rPr>
          <w:rFonts w:ascii="Arial" w:hAnsi="Arial" w:cs="Arial"/>
          <w:sz w:val="22"/>
        </w:rPr>
      </w:pPr>
      <w:r w:rsidRPr="00F40DAC">
        <w:rPr>
          <w:rFonts w:ascii="Arial" w:hAnsi="Arial" w:cs="Arial"/>
          <w:sz w:val="22"/>
        </w:rPr>
        <w:t>A care staff may also use music, prior talk, minor socialising, or what the victim or patient likes to foster positive emotion. Enhancing Engagement, one can ask a resident whether they have ever enjoyed knitting, gardening, art clubs, etc. and join several of them step-by-step. Relations can be improved by care personnel through one-on-one, peer, and family contact (visiting/calling home). Meaning staff may work on life stories, sort books, or welcome guests in an activity group. In Accommodation, residents are helped to do modest chores like attending one activity per week or making a simple craft. Such accomplishments boost confidence and participation. Overall, PERMA helps employees focus on emotional, social, and purposeful aspects of life rather than tasks.</w:t>
      </w:r>
    </w:p>
    <w:p w14:paraId="06ADCF6D" w14:textId="77777777" w:rsidR="001C3928" w:rsidRPr="00F40DAC" w:rsidRDefault="00817D22" w:rsidP="002A2F68">
      <w:pPr>
        <w:ind w:firstLine="720"/>
        <w:rPr>
          <w:rFonts w:ascii="Arial" w:hAnsi="Arial" w:cs="Arial"/>
          <w:sz w:val="22"/>
        </w:rPr>
      </w:pPr>
      <w:r w:rsidRPr="00F40DAC">
        <w:rPr>
          <w:rFonts w:ascii="Arial" w:hAnsi="Arial" w:cs="Arial"/>
          <w:sz w:val="22"/>
        </w:rPr>
        <w:t xml:space="preserve">Poor motivation and aversion to emotional manifestation after bereavement and foster care transfer hinder PERMA implementation. Even a resident in loss, misery, or hopelessness will never accept the opportunity to live socially, even if it is supportive. This may cause staff wellbeing-based intervention concerns. Instead of general implementation, adopt a PERMA based personalised care plan. The staff should start routine activities with small, well-known, and meaningful tasks, potentially with individual support, and later encourage group activities. To help the resident succeed, create trust, involve family, and set realistic goals. </w:t>
      </w:r>
    </w:p>
    <w:p w14:paraId="67C90829" w14:textId="77777777" w:rsidR="00F40DAC" w:rsidRDefault="00F40DAC" w:rsidP="00F40DAC">
      <w:pPr>
        <w:pStyle w:val="Heading1"/>
        <w:numPr>
          <w:ilvl w:val="0"/>
          <w:numId w:val="0"/>
        </w:numPr>
        <w:rPr>
          <w:rFonts w:ascii="Arial" w:hAnsi="Arial" w:cs="Arial"/>
          <w:sz w:val="22"/>
          <w:szCs w:val="22"/>
        </w:rPr>
      </w:pPr>
      <w:bookmarkStart w:id="8" w:name="_Toc224056167"/>
    </w:p>
    <w:p w14:paraId="54FB2E49" w14:textId="732183C5" w:rsidR="00A93B3E" w:rsidRDefault="00817D22" w:rsidP="00F40DAC">
      <w:pPr>
        <w:pStyle w:val="Heading1"/>
        <w:numPr>
          <w:ilvl w:val="0"/>
          <w:numId w:val="0"/>
        </w:numPr>
      </w:pPr>
      <w:r>
        <w:t>References</w:t>
      </w:r>
      <w:bookmarkEnd w:id="8"/>
    </w:p>
    <w:p w14:paraId="432B8E5F" w14:textId="77777777" w:rsidR="00817D22" w:rsidRPr="00817D22" w:rsidRDefault="00817D22" w:rsidP="00817D22">
      <w:pPr>
        <w:numPr>
          <w:ilvl w:val="0"/>
          <w:numId w:val="1"/>
        </w:numPr>
        <w:suppressAutoHyphens w:val="0"/>
        <w:spacing w:after="240" w:line="240" w:lineRule="auto"/>
        <w:rPr>
          <w:rFonts w:eastAsia="Times New Roman"/>
          <w:color w:val="auto"/>
          <w:szCs w:val="24"/>
          <w:lang w:eastAsia="en-GB"/>
        </w:rPr>
      </w:pPr>
      <w:r w:rsidRPr="00817D22">
        <w:rPr>
          <w:rFonts w:eastAsia="Times New Roman"/>
          <w:color w:val="auto"/>
          <w:szCs w:val="24"/>
          <w:lang w:eastAsia="en-GB"/>
        </w:rPr>
        <w:t xml:space="preserve">Cumming, E. and Henry, W.E. (1961). </w:t>
      </w:r>
      <w:r w:rsidRPr="00817D22">
        <w:rPr>
          <w:rFonts w:eastAsia="Times New Roman"/>
          <w:i/>
          <w:iCs/>
          <w:color w:val="auto"/>
          <w:szCs w:val="24"/>
          <w:lang w:eastAsia="en-GB"/>
        </w:rPr>
        <w:t>Growing Old, the Process of Disengagement</w:t>
      </w:r>
      <w:r w:rsidRPr="00817D22">
        <w:rPr>
          <w:rFonts w:eastAsia="Times New Roman"/>
          <w:color w:val="auto"/>
          <w:szCs w:val="24"/>
          <w:lang w:eastAsia="en-GB"/>
        </w:rPr>
        <w:t>.</w:t>
      </w:r>
    </w:p>
    <w:p w14:paraId="7901A2E8" w14:textId="77777777" w:rsidR="00817D22" w:rsidRPr="00817D22" w:rsidRDefault="00817D22" w:rsidP="00817D22">
      <w:pPr>
        <w:numPr>
          <w:ilvl w:val="0"/>
          <w:numId w:val="1"/>
        </w:numPr>
        <w:suppressAutoHyphens w:val="0"/>
        <w:spacing w:after="240" w:line="240" w:lineRule="auto"/>
        <w:rPr>
          <w:rFonts w:eastAsia="Times New Roman"/>
          <w:color w:val="auto"/>
          <w:szCs w:val="24"/>
          <w:lang w:eastAsia="en-GB"/>
        </w:rPr>
      </w:pPr>
      <w:r w:rsidRPr="00817D22">
        <w:rPr>
          <w:rFonts w:eastAsia="Times New Roman"/>
          <w:color w:val="auto"/>
          <w:szCs w:val="24"/>
          <w:lang w:eastAsia="en-GB"/>
        </w:rPr>
        <w:t xml:space="preserve">Dhingra, A. and Khan, W. (2023). The PERMA Model of Wellbeing. </w:t>
      </w:r>
      <w:r w:rsidRPr="00817D22">
        <w:rPr>
          <w:rFonts w:eastAsia="Times New Roman"/>
          <w:i/>
          <w:iCs/>
          <w:color w:val="auto"/>
          <w:szCs w:val="24"/>
          <w:lang w:eastAsia="en-GB"/>
        </w:rPr>
        <w:t>Advances in medical diagnosis, treatment, and care (AMDTC) book series</w:t>
      </w:r>
      <w:r w:rsidRPr="00817D22">
        <w:rPr>
          <w:rFonts w:eastAsia="Times New Roman"/>
          <w:color w:val="auto"/>
          <w:szCs w:val="24"/>
          <w:lang w:eastAsia="en-GB"/>
        </w:rPr>
        <w:t xml:space="preserve">, pp.71–81. </w:t>
      </w:r>
      <w:proofErr w:type="spellStart"/>
      <w:r w:rsidRPr="00817D22">
        <w:rPr>
          <w:rFonts w:eastAsia="Times New Roman"/>
          <w:color w:val="auto"/>
          <w:szCs w:val="24"/>
          <w:lang w:eastAsia="en-GB"/>
        </w:rPr>
        <w:t>doi</w:t>
      </w:r>
      <w:proofErr w:type="spellEnd"/>
      <w:r w:rsidRPr="00817D22">
        <w:rPr>
          <w:rFonts w:eastAsia="Times New Roman"/>
          <w:color w:val="auto"/>
          <w:szCs w:val="24"/>
          <w:lang w:eastAsia="en-GB"/>
        </w:rPr>
        <w:t>:</w:t>
      </w:r>
      <w:r>
        <w:rPr>
          <w:rFonts w:eastAsia="Times New Roman"/>
          <w:color w:val="auto"/>
          <w:szCs w:val="24"/>
          <w:lang w:eastAsia="en-GB"/>
        </w:rPr>
        <w:t xml:space="preserve"> </w:t>
      </w:r>
      <w:hyperlink r:id="rId8" w:history="1">
        <w:r w:rsidRPr="00954309">
          <w:rPr>
            <w:rStyle w:val="Hyperlink"/>
            <w:rFonts w:eastAsia="Times New Roman"/>
            <w:szCs w:val="24"/>
            <w:lang w:val="en-GB" w:eastAsia="en-GB" w:bidi="ar-SA"/>
          </w:rPr>
          <w:t>https://doi.org/10.4018/978-1-6684-7630-7.ch005</w:t>
        </w:r>
      </w:hyperlink>
      <w:r w:rsidRPr="00817D22">
        <w:rPr>
          <w:rFonts w:eastAsia="Times New Roman"/>
          <w:color w:val="auto"/>
          <w:szCs w:val="24"/>
          <w:lang w:eastAsia="en-GB"/>
        </w:rPr>
        <w:t>.</w:t>
      </w:r>
      <w:r>
        <w:rPr>
          <w:rFonts w:eastAsia="Times New Roman"/>
          <w:color w:val="auto"/>
          <w:szCs w:val="24"/>
          <w:lang w:eastAsia="en-GB"/>
        </w:rPr>
        <w:t xml:space="preserve"> </w:t>
      </w:r>
    </w:p>
    <w:p w14:paraId="4ED39AA9" w14:textId="77777777" w:rsidR="00817D22" w:rsidRPr="00817D22" w:rsidRDefault="00817D22" w:rsidP="00817D22">
      <w:pPr>
        <w:numPr>
          <w:ilvl w:val="0"/>
          <w:numId w:val="1"/>
        </w:numPr>
        <w:suppressAutoHyphens w:val="0"/>
        <w:spacing w:after="240" w:line="240" w:lineRule="auto"/>
        <w:rPr>
          <w:rFonts w:eastAsia="Times New Roman"/>
          <w:color w:val="auto"/>
          <w:szCs w:val="24"/>
          <w:lang w:eastAsia="en-GB"/>
        </w:rPr>
      </w:pPr>
      <w:r w:rsidRPr="00817D22">
        <w:rPr>
          <w:rFonts w:eastAsia="Times New Roman"/>
          <w:color w:val="auto"/>
          <w:szCs w:val="24"/>
          <w:lang w:eastAsia="en-GB"/>
        </w:rPr>
        <w:lastRenderedPageBreak/>
        <w:t xml:space="preserve">Goswami, U. (2019). </w:t>
      </w:r>
      <w:r w:rsidRPr="00817D22">
        <w:rPr>
          <w:rFonts w:eastAsia="Times New Roman"/>
          <w:i/>
          <w:iCs/>
          <w:color w:val="auto"/>
          <w:szCs w:val="24"/>
          <w:lang w:eastAsia="en-GB"/>
        </w:rPr>
        <w:t>Cognitive Development and Cognitive Neuroscience</w:t>
      </w:r>
      <w:r w:rsidRPr="00817D22">
        <w:rPr>
          <w:rFonts w:eastAsia="Times New Roman"/>
          <w:color w:val="auto"/>
          <w:szCs w:val="24"/>
          <w:lang w:eastAsia="en-GB"/>
        </w:rPr>
        <w:t xml:space="preserve">. </w:t>
      </w:r>
      <w:r w:rsidRPr="00817D22">
        <w:rPr>
          <w:rFonts w:eastAsia="Times New Roman"/>
          <w:i/>
          <w:iCs/>
          <w:color w:val="auto"/>
          <w:szCs w:val="24"/>
          <w:lang w:eastAsia="en-GB"/>
        </w:rPr>
        <w:t>Routledge eBooks</w:t>
      </w:r>
      <w:r w:rsidRPr="00817D22">
        <w:rPr>
          <w:rFonts w:eastAsia="Times New Roman"/>
          <w:color w:val="auto"/>
          <w:szCs w:val="24"/>
          <w:lang w:eastAsia="en-GB"/>
        </w:rPr>
        <w:t xml:space="preserve">. Routledge. </w:t>
      </w:r>
      <w:proofErr w:type="spellStart"/>
      <w:r w:rsidRPr="00817D22">
        <w:rPr>
          <w:rFonts w:eastAsia="Times New Roman"/>
          <w:color w:val="auto"/>
          <w:szCs w:val="24"/>
          <w:lang w:eastAsia="en-GB"/>
        </w:rPr>
        <w:t>doi</w:t>
      </w:r>
      <w:proofErr w:type="spellEnd"/>
      <w:r w:rsidRPr="00817D22">
        <w:rPr>
          <w:rFonts w:eastAsia="Times New Roman"/>
          <w:color w:val="auto"/>
          <w:szCs w:val="24"/>
          <w:lang w:eastAsia="en-GB"/>
        </w:rPr>
        <w:t>:</w:t>
      </w:r>
      <w:r>
        <w:rPr>
          <w:rFonts w:eastAsia="Times New Roman"/>
          <w:color w:val="auto"/>
          <w:szCs w:val="24"/>
          <w:lang w:eastAsia="en-GB"/>
        </w:rPr>
        <w:t xml:space="preserve"> </w:t>
      </w:r>
      <w:hyperlink r:id="rId9" w:history="1">
        <w:r w:rsidRPr="00954309">
          <w:rPr>
            <w:rStyle w:val="Hyperlink"/>
            <w:rFonts w:eastAsia="Times New Roman"/>
            <w:szCs w:val="24"/>
            <w:lang w:val="en-GB" w:eastAsia="en-GB" w:bidi="ar-SA"/>
          </w:rPr>
          <w:t>https://doi.org/10.4324/9781315684734</w:t>
        </w:r>
      </w:hyperlink>
      <w:r w:rsidRPr="00817D22">
        <w:rPr>
          <w:rFonts w:eastAsia="Times New Roman"/>
          <w:color w:val="auto"/>
          <w:szCs w:val="24"/>
          <w:lang w:eastAsia="en-GB"/>
        </w:rPr>
        <w:t>.</w:t>
      </w:r>
      <w:r>
        <w:rPr>
          <w:rFonts w:eastAsia="Times New Roman"/>
          <w:color w:val="auto"/>
          <w:szCs w:val="24"/>
          <w:lang w:eastAsia="en-GB"/>
        </w:rPr>
        <w:t xml:space="preserve"> </w:t>
      </w:r>
    </w:p>
    <w:p w14:paraId="26E13351" w14:textId="77777777" w:rsidR="00817D22" w:rsidRPr="00817D22" w:rsidRDefault="00817D22" w:rsidP="00817D22">
      <w:pPr>
        <w:numPr>
          <w:ilvl w:val="0"/>
          <w:numId w:val="1"/>
        </w:numPr>
        <w:suppressAutoHyphens w:val="0"/>
        <w:spacing w:after="240" w:line="240" w:lineRule="auto"/>
        <w:rPr>
          <w:rFonts w:eastAsia="Times New Roman"/>
          <w:color w:val="auto"/>
          <w:szCs w:val="24"/>
          <w:lang w:eastAsia="en-GB"/>
        </w:rPr>
      </w:pPr>
      <w:r w:rsidRPr="00817D22">
        <w:rPr>
          <w:rFonts w:eastAsia="Times New Roman"/>
          <w:color w:val="auto"/>
          <w:szCs w:val="24"/>
          <w:lang w:eastAsia="en-GB"/>
        </w:rPr>
        <w:t xml:space="preserve">Hart, R. (2021). </w:t>
      </w:r>
      <w:r w:rsidRPr="00817D22">
        <w:rPr>
          <w:rFonts w:eastAsia="Times New Roman"/>
          <w:i/>
          <w:iCs/>
          <w:color w:val="auto"/>
          <w:szCs w:val="24"/>
          <w:lang w:eastAsia="en-GB"/>
        </w:rPr>
        <w:t>Positive psychology</w:t>
      </w:r>
      <w:r w:rsidRPr="00817D22">
        <w:rPr>
          <w:rFonts w:eastAsia="Times New Roman"/>
          <w:color w:val="auto"/>
          <w:szCs w:val="24"/>
          <w:lang w:eastAsia="en-GB"/>
        </w:rPr>
        <w:t>. London: Routledge.</w:t>
      </w:r>
    </w:p>
    <w:p w14:paraId="287A6FD0" w14:textId="77777777" w:rsidR="00817D22" w:rsidRPr="00817D22" w:rsidRDefault="00817D22" w:rsidP="00817D22">
      <w:pPr>
        <w:numPr>
          <w:ilvl w:val="0"/>
          <w:numId w:val="1"/>
        </w:numPr>
        <w:suppressAutoHyphens w:val="0"/>
        <w:spacing w:after="240" w:line="240" w:lineRule="auto"/>
        <w:rPr>
          <w:rFonts w:eastAsia="Times New Roman"/>
          <w:color w:val="auto"/>
          <w:szCs w:val="24"/>
          <w:lang w:eastAsia="en-GB"/>
        </w:rPr>
      </w:pPr>
      <w:r w:rsidRPr="00817D22">
        <w:rPr>
          <w:rFonts w:eastAsia="Times New Roman"/>
          <w:color w:val="auto"/>
          <w:szCs w:val="24"/>
          <w:lang w:eastAsia="en-GB"/>
        </w:rPr>
        <w:t xml:space="preserve">Havighurst, R.J. (1961). Successful Aging. </w:t>
      </w:r>
      <w:r w:rsidRPr="00817D22">
        <w:rPr>
          <w:rFonts w:eastAsia="Times New Roman"/>
          <w:i/>
          <w:iCs/>
          <w:color w:val="auto"/>
          <w:szCs w:val="24"/>
          <w:lang w:eastAsia="en-GB"/>
        </w:rPr>
        <w:t>The Gerontologist</w:t>
      </w:r>
      <w:r w:rsidRPr="00817D22">
        <w:rPr>
          <w:rFonts w:eastAsia="Times New Roman"/>
          <w:color w:val="auto"/>
          <w:szCs w:val="24"/>
          <w:lang w:eastAsia="en-GB"/>
        </w:rPr>
        <w:t xml:space="preserve">, [online] 1(1), pp.8–13. </w:t>
      </w:r>
      <w:proofErr w:type="spellStart"/>
      <w:r w:rsidRPr="00817D22">
        <w:rPr>
          <w:rFonts w:eastAsia="Times New Roman"/>
          <w:color w:val="auto"/>
          <w:szCs w:val="24"/>
          <w:lang w:eastAsia="en-GB"/>
        </w:rPr>
        <w:t>doi</w:t>
      </w:r>
      <w:proofErr w:type="spellEnd"/>
      <w:r w:rsidRPr="00817D22">
        <w:rPr>
          <w:rFonts w:eastAsia="Times New Roman"/>
          <w:color w:val="auto"/>
          <w:szCs w:val="24"/>
          <w:lang w:eastAsia="en-GB"/>
        </w:rPr>
        <w:t>:</w:t>
      </w:r>
      <w:r>
        <w:rPr>
          <w:rFonts w:eastAsia="Times New Roman"/>
          <w:color w:val="auto"/>
          <w:szCs w:val="24"/>
          <w:lang w:eastAsia="en-GB"/>
        </w:rPr>
        <w:t xml:space="preserve"> </w:t>
      </w:r>
      <w:hyperlink r:id="rId10" w:history="1">
        <w:r w:rsidRPr="00954309">
          <w:rPr>
            <w:rStyle w:val="Hyperlink"/>
            <w:rFonts w:eastAsia="Times New Roman"/>
            <w:szCs w:val="24"/>
            <w:lang w:val="en-GB" w:eastAsia="en-GB" w:bidi="ar-SA"/>
          </w:rPr>
          <w:t>https://doi.org/10.1093/geront/1.1.8</w:t>
        </w:r>
      </w:hyperlink>
      <w:r w:rsidRPr="00817D22">
        <w:rPr>
          <w:rFonts w:eastAsia="Times New Roman"/>
          <w:color w:val="auto"/>
          <w:szCs w:val="24"/>
          <w:lang w:eastAsia="en-GB"/>
        </w:rPr>
        <w:t>.</w:t>
      </w:r>
      <w:r>
        <w:rPr>
          <w:rFonts w:eastAsia="Times New Roman"/>
          <w:color w:val="auto"/>
          <w:szCs w:val="24"/>
          <w:lang w:eastAsia="en-GB"/>
        </w:rPr>
        <w:t xml:space="preserve"> </w:t>
      </w:r>
    </w:p>
    <w:p w14:paraId="7C2039AD" w14:textId="77777777" w:rsidR="00817D22" w:rsidRPr="00817D22" w:rsidRDefault="00817D22" w:rsidP="00817D22">
      <w:pPr>
        <w:numPr>
          <w:ilvl w:val="0"/>
          <w:numId w:val="1"/>
        </w:numPr>
        <w:suppressAutoHyphens w:val="0"/>
        <w:spacing w:after="240" w:line="240" w:lineRule="auto"/>
        <w:rPr>
          <w:rFonts w:eastAsia="Times New Roman"/>
          <w:color w:val="auto"/>
          <w:szCs w:val="24"/>
          <w:lang w:eastAsia="en-GB"/>
        </w:rPr>
      </w:pPr>
      <w:r w:rsidRPr="00817D22">
        <w:rPr>
          <w:rFonts w:eastAsia="Times New Roman"/>
          <w:color w:val="auto"/>
          <w:szCs w:val="24"/>
          <w:lang w:eastAsia="en-GB"/>
        </w:rPr>
        <w:t xml:space="preserve">Seligman, M.E.P. and Csikszentmihalyi, M. (2000). Positive psychology: An introduction. </w:t>
      </w:r>
      <w:r w:rsidRPr="00817D22">
        <w:rPr>
          <w:rFonts w:eastAsia="Times New Roman"/>
          <w:i/>
          <w:iCs/>
          <w:color w:val="auto"/>
          <w:szCs w:val="24"/>
          <w:lang w:eastAsia="en-GB"/>
        </w:rPr>
        <w:t>American Psychologist</w:t>
      </w:r>
      <w:r w:rsidRPr="00817D22">
        <w:rPr>
          <w:rFonts w:eastAsia="Times New Roman"/>
          <w:color w:val="auto"/>
          <w:szCs w:val="24"/>
          <w:lang w:eastAsia="en-GB"/>
        </w:rPr>
        <w:t xml:space="preserve">, [online] 55(1), pp.5–14. </w:t>
      </w:r>
      <w:proofErr w:type="spellStart"/>
      <w:r w:rsidRPr="00817D22">
        <w:rPr>
          <w:rFonts w:eastAsia="Times New Roman"/>
          <w:color w:val="auto"/>
          <w:szCs w:val="24"/>
          <w:lang w:eastAsia="en-GB"/>
        </w:rPr>
        <w:t>doi</w:t>
      </w:r>
      <w:proofErr w:type="spellEnd"/>
      <w:r w:rsidRPr="00817D22">
        <w:rPr>
          <w:rFonts w:eastAsia="Times New Roman"/>
          <w:color w:val="auto"/>
          <w:szCs w:val="24"/>
          <w:lang w:eastAsia="en-GB"/>
        </w:rPr>
        <w:t>:</w:t>
      </w:r>
      <w:r>
        <w:rPr>
          <w:rFonts w:eastAsia="Times New Roman"/>
          <w:color w:val="auto"/>
          <w:szCs w:val="24"/>
          <w:lang w:eastAsia="en-GB"/>
        </w:rPr>
        <w:t xml:space="preserve"> </w:t>
      </w:r>
      <w:hyperlink r:id="rId11" w:history="1">
        <w:r w:rsidRPr="00954309">
          <w:rPr>
            <w:rStyle w:val="Hyperlink"/>
            <w:rFonts w:eastAsia="Times New Roman"/>
            <w:szCs w:val="24"/>
            <w:lang w:val="en-GB" w:eastAsia="en-GB" w:bidi="ar-SA"/>
          </w:rPr>
          <w:t>https://doi.org/10.1037//0003-066x.55.1.5</w:t>
        </w:r>
      </w:hyperlink>
      <w:r w:rsidRPr="00817D22">
        <w:rPr>
          <w:rFonts w:eastAsia="Times New Roman"/>
          <w:color w:val="auto"/>
          <w:szCs w:val="24"/>
          <w:lang w:eastAsia="en-GB"/>
        </w:rPr>
        <w:t>.</w:t>
      </w:r>
      <w:r>
        <w:rPr>
          <w:rFonts w:eastAsia="Times New Roman"/>
          <w:color w:val="auto"/>
          <w:szCs w:val="24"/>
          <w:lang w:eastAsia="en-GB"/>
        </w:rPr>
        <w:t xml:space="preserve"> </w:t>
      </w:r>
    </w:p>
    <w:p w14:paraId="7B51AE1C" w14:textId="77777777" w:rsidR="00817D22" w:rsidRPr="00817D22" w:rsidRDefault="00817D22" w:rsidP="00817D22"/>
    <w:sectPr w:rsidR="00817D22" w:rsidRPr="00817D22">
      <w:footerReference w:type="defaul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BC5F7" w14:textId="77777777" w:rsidR="00107461" w:rsidRDefault="00107461" w:rsidP="00A87747">
      <w:pPr>
        <w:spacing w:line="240" w:lineRule="auto"/>
      </w:pPr>
      <w:r>
        <w:separator/>
      </w:r>
    </w:p>
  </w:endnote>
  <w:endnote w:type="continuationSeparator" w:id="0">
    <w:p w14:paraId="5C9DAE11" w14:textId="77777777" w:rsidR="00107461" w:rsidRDefault="00107461"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6C978" w14:textId="77777777" w:rsidR="00A87747" w:rsidRDefault="00A87747">
    <w:pPr>
      <w:pStyle w:val="Footer"/>
      <w:jc w:val="center"/>
    </w:pPr>
    <w:r>
      <w:fldChar w:fldCharType="begin"/>
    </w:r>
    <w:r>
      <w:instrText xml:space="preserve"> PAGE   \* MERGEFORMAT </w:instrText>
    </w:r>
    <w:r>
      <w:fldChar w:fldCharType="separate"/>
    </w:r>
    <w:r w:rsidR="00B748C6">
      <w:rPr>
        <w:noProof/>
      </w:rPr>
      <w:t>2</w:t>
    </w:r>
    <w:r>
      <w:rPr>
        <w:noProof/>
      </w:rPr>
      <w:fldChar w:fldCharType="end"/>
    </w:r>
  </w:p>
  <w:p w14:paraId="4A2BC800"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1E1D0" w14:textId="77777777" w:rsidR="00107461" w:rsidRDefault="00107461" w:rsidP="00A87747">
      <w:pPr>
        <w:spacing w:line="240" w:lineRule="auto"/>
      </w:pPr>
      <w:r>
        <w:separator/>
      </w:r>
    </w:p>
  </w:footnote>
  <w:footnote w:type="continuationSeparator" w:id="0">
    <w:p w14:paraId="474D8031" w14:textId="77777777" w:rsidR="00107461" w:rsidRDefault="00107461"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5406369">
    <w:abstractNumId w:val="0"/>
  </w:num>
  <w:num w:numId="2" w16cid:durableId="279149914">
    <w:abstractNumId w:val="1"/>
  </w:num>
  <w:num w:numId="3" w16cid:durableId="1012412962">
    <w:abstractNumId w:val="10"/>
  </w:num>
  <w:num w:numId="4" w16cid:durableId="309335980">
    <w:abstractNumId w:val="24"/>
  </w:num>
  <w:num w:numId="5" w16cid:durableId="1345591593">
    <w:abstractNumId w:val="9"/>
  </w:num>
  <w:num w:numId="6" w16cid:durableId="2079478376">
    <w:abstractNumId w:val="23"/>
  </w:num>
  <w:num w:numId="7" w16cid:durableId="763644946">
    <w:abstractNumId w:val="27"/>
  </w:num>
  <w:num w:numId="8" w16cid:durableId="171531000">
    <w:abstractNumId w:val="19"/>
  </w:num>
  <w:num w:numId="9" w16cid:durableId="677467552">
    <w:abstractNumId w:val="6"/>
  </w:num>
  <w:num w:numId="10" w16cid:durableId="837816766">
    <w:abstractNumId w:val="16"/>
  </w:num>
  <w:num w:numId="11" w16cid:durableId="1309437380">
    <w:abstractNumId w:val="20"/>
  </w:num>
  <w:num w:numId="12" w16cid:durableId="1067457158">
    <w:abstractNumId w:val="11"/>
  </w:num>
  <w:num w:numId="13" w16cid:durableId="1201016789">
    <w:abstractNumId w:val="4"/>
  </w:num>
  <w:num w:numId="14" w16cid:durableId="204875365">
    <w:abstractNumId w:val="17"/>
  </w:num>
  <w:num w:numId="15" w16cid:durableId="412511677">
    <w:abstractNumId w:val="5"/>
  </w:num>
  <w:num w:numId="16" w16cid:durableId="895553499">
    <w:abstractNumId w:val="22"/>
  </w:num>
  <w:num w:numId="17" w16cid:durableId="168759528">
    <w:abstractNumId w:val="3"/>
  </w:num>
  <w:num w:numId="18" w16cid:durableId="1391688666">
    <w:abstractNumId w:val="18"/>
  </w:num>
  <w:num w:numId="19" w16cid:durableId="694384505">
    <w:abstractNumId w:val="2"/>
  </w:num>
  <w:num w:numId="20" w16cid:durableId="926228242">
    <w:abstractNumId w:val="26"/>
  </w:num>
  <w:num w:numId="21" w16cid:durableId="465586414">
    <w:abstractNumId w:val="13"/>
  </w:num>
  <w:num w:numId="22" w16cid:durableId="615603639">
    <w:abstractNumId w:val="12"/>
  </w:num>
  <w:num w:numId="23" w16cid:durableId="15740432">
    <w:abstractNumId w:val="25"/>
  </w:num>
  <w:num w:numId="24" w16cid:durableId="1211308580">
    <w:abstractNumId w:val="28"/>
  </w:num>
  <w:num w:numId="25" w16cid:durableId="276107618">
    <w:abstractNumId w:val="7"/>
  </w:num>
  <w:num w:numId="26" w16cid:durableId="32578883">
    <w:abstractNumId w:val="15"/>
  </w:num>
  <w:num w:numId="27" w16cid:durableId="1017387294">
    <w:abstractNumId w:val="14"/>
  </w:num>
  <w:num w:numId="28" w16cid:durableId="1447312536">
    <w:abstractNumId w:val="21"/>
  </w:num>
  <w:num w:numId="29" w16cid:durableId="15373104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ixqATyvwOIs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07461"/>
    <w:rsid w:val="001127EC"/>
    <w:rsid w:val="00115FA2"/>
    <w:rsid w:val="0011725C"/>
    <w:rsid w:val="0012311E"/>
    <w:rsid w:val="00124129"/>
    <w:rsid w:val="00131CE2"/>
    <w:rsid w:val="00135FA8"/>
    <w:rsid w:val="0014081F"/>
    <w:rsid w:val="0014236D"/>
    <w:rsid w:val="001543C4"/>
    <w:rsid w:val="00155DFF"/>
    <w:rsid w:val="00170675"/>
    <w:rsid w:val="00171AB7"/>
    <w:rsid w:val="001959E7"/>
    <w:rsid w:val="001A2386"/>
    <w:rsid w:val="001A6CE4"/>
    <w:rsid w:val="001B148D"/>
    <w:rsid w:val="001B293F"/>
    <w:rsid w:val="001B2B71"/>
    <w:rsid w:val="001B3DA5"/>
    <w:rsid w:val="001C3928"/>
    <w:rsid w:val="001C4B30"/>
    <w:rsid w:val="001C6C19"/>
    <w:rsid w:val="001C7C69"/>
    <w:rsid w:val="001D1CAC"/>
    <w:rsid w:val="001D46FF"/>
    <w:rsid w:val="001F208C"/>
    <w:rsid w:val="001F2F9D"/>
    <w:rsid w:val="002037AB"/>
    <w:rsid w:val="00203ADA"/>
    <w:rsid w:val="00207BF7"/>
    <w:rsid w:val="0021152B"/>
    <w:rsid w:val="00214B85"/>
    <w:rsid w:val="002157B6"/>
    <w:rsid w:val="00236B3D"/>
    <w:rsid w:val="00245957"/>
    <w:rsid w:val="00245FD9"/>
    <w:rsid w:val="0024714F"/>
    <w:rsid w:val="00251842"/>
    <w:rsid w:val="00255300"/>
    <w:rsid w:val="00267D0D"/>
    <w:rsid w:val="00273F83"/>
    <w:rsid w:val="002923C2"/>
    <w:rsid w:val="0029461D"/>
    <w:rsid w:val="002A218E"/>
    <w:rsid w:val="002A2F68"/>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E5225"/>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47A81"/>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63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4253"/>
    <w:rsid w:val="006D6837"/>
    <w:rsid w:val="006D7C5E"/>
    <w:rsid w:val="006E177F"/>
    <w:rsid w:val="00705F33"/>
    <w:rsid w:val="00711C6D"/>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297"/>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17D22"/>
    <w:rsid w:val="0082293E"/>
    <w:rsid w:val="0083045C"/>
    <w:rsid w:val="0083094A"/>
    <w:rsid w:val="008309B1"/>
    <w:rsid w:val="00831ABD"/>
    <w:rsid w:val="00841350"/>
    <w:rsid w:val="00853117"/>
    <w:rsid w:val="008645D9"/>
    <w:rsid w:val="0087207B"/>
    <w:rsid w:val="00872FDC"/>
    <w:rsid w:val="00884609"/>
    <w:rsid w:val="00884801"/>
    <w:rsid w:val="008934D6"/>
    <w:rsid w:val="008A4FEE"/>
    <w:rsid w:val="008A5AAC"/>
    <w:rsid w:val="008B1D5E"/>
    <w:rsid w:val="008B6785"/>
    <w:rsid w:val="008C4464"/>
    <w:rsid w:val="008C5894"/>
    <w:rsid w:val="008D09FF"/>
    <w:rsid w:val="008E6B1D"/>
    <w:rsid w:val="008F29E6"/>
    <w:rsid w:val="0090045D"/>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3B3E"/>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748C6"/>
    <w:rsid w:val="00B87943"/>
    <w:rsid w:val="00B91486"/>
    <w:rsid w:val="00B97BB3"/>
    <w:rsid w:val="00BA2FDA"/>
    <w:rsid w:val="00BA45F5"/>
    <w:rsid w:val="00BA67AD"/>
    <w:rsid w:val="00BC3B3A"/>
    <w:rsid w:val="00BC521F"/>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2FB5"/>
    <w:rsid w:val="00C8669D"/>
    <w:rsid w:val="00C8743A"/>
    <w:rsid w:val="00C919FB"/>
    <w:rsid w:val="00C94924"/>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18D0"/>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3A4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0DAC"/>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1D5578B"/>
  <w15:chartTrackingRefBased/>
  <w15:docId w15:val="{3AE3FA4D-94D8-44DA-9077-FD5DF4172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A93B3E"/>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DefaultParagraphFont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49185132">
      <w:bodyDiv w:val="1"/>
      <w:marLeft w:val="0"/>
      <w:marRight w:val="0"/>
      <w:marTop w:val="0"/>
      <w:marBottom w:val="0"/>
      <w:divBdr>
        <w:top w:val="none" w:sz="0" w:space="0" w:color="auto"/>
        <w:left w:val="none" w:sz="0" w:space="0" w:color="auto"/>
        <w:bottom w:val="none" w:sz="0" w:space="0" w:color="auto"/>
        <w:right w:val="none" w:sz="0" w:space="0" w:color="auto"/>
      </w:divBdr>
      <w:divsChild>
        <w:div w:id="1553468397">
          <w:marLeft w:val="0"/>
          <w:marRight w:val="0"/>
          <w:marTop w:val="0"/>
          <w:marBottom w:val="0"/>
          <w:divBdr>
            <w:top w:val="none" w:sz="0" w:space="0" w:color="auto"/>
            <w:left w:val="none" w:sz="0" w:space="0" w:color="auto"/>
            <w:bottom w:val="none" w:sz="0" w:space="0" w:color="auto"/>
            <w:right w:val="none" w:sz="0" w:space="0" w:color="auto"/>
          </w:divBdr>
        </w:div>
      </w:divsChild>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978-1-6684-7630-7.ch00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0003-066x.55.1.5" TargetMode="External"/><Relationship Id="rId5" Type="http://schemas.openxmlformats.org/officeDocument/2006/relationships/webSettings" Target="webSettings.xml"/><Relationship Id="rId10" Type="http://schemas.openxmlformats.org/officeDocument/2006/relationships/hyperlink" Target="https://doi.org/10.1093/geront/1.1.8" TargetMode="External"/><Relationship Id="rId4" Type="http://schemas.openxmlformats.org/officeDocument/2006/relationships/settings" Target="settings.xml"/><Relationship Id="rId9" Type="http://schemas.openxmlformats.org/officeDocument/2006/relationships/hyperlink" Target="https://doi.org/10.4324/978131568473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73B19-50B4-4868-B21C-C87A8969C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Links>
    <vt:vector size="24" baseType="variant">
      <vt:variant>
        <vt:i4>4587613</vt:i4>
      </vt:variant>
      <vt:variant>
        <vt:i4>36</vt:i4>
      </vt:variant>
      <vt:variant>
        <vt:i4>0</vt:i4>
      </vt:variant>
      <vt:variant>
        <vt:i4>5</vt:i4>
      </vt:variant>
      <vt:variant>
        <vt:lpwstr>https://doi.org/10.1037//0003-066x.55.1.5</vt:lpwstr>
      </vt:variant>
      <vt:variant>
        <vt:lpwstr/>
      </vt:variant>
      <vt:variant>
        <vt:i4>6029325</vt:i4>
      </vt:variant>
      <vt:variant>
        <vt:i4>33</vt:i4>
      </vt:variant>
      <vt:variant>
        <vt:i4>0</vt:i4>
      </vt:variant>
      <vt:variant>
        <vt:i4>5</vt:i4>
      </vt:variant>
      <vt:variant>
        <vt:lpwstr>https://doi.org/10.1093/geront/1.1.8</vt:lpwstr>
      </vt:variant>
      <vt:variant>
        <vt:lpwstr/>
      </vt:variant>
      <vt:variant>
        <vt:i4>1179733</vt:i4>
      </vt:variant>
      <vt:variant>
        <vt:i4>30</vt:i4>
      </vt:variant>
      <vt:variant>
        <vt:i4>0</vt:i4>
      </vt:variant>
      <vt:variant>
        <vt:i4>5</vt:i4>
      </vt:variant>
      <vt:variant>
        <vt:lpwstr>https://doi.org/10.4324/9781315684734</vt:lpwstr>
      </vt:variant>
      <vt:variant>
        <vt:lpwstr/>
      </vt:variant>
      <vt:variant>
        <vt:i4>8192035</vt:i4>
      </vt:variant>
      <vt:variant>
        <vt:i4>27</vt:i4>
      </vt:variant>
      <vt:variant>
        <vt:i4>0</vt:i4>
      </vt:variant>
      <vt:variant>
        <vt:i4>5</vt:i4>
      </vt:variant>
      <vt:variant>
        <vt:lpwstr>https://doi.org/10.4018/978-1-6684-7630-7.ch005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Shakila Naz</cp:lastModifiedBy>
  <cp:revision>10</cp:revision>
  <cp:lastPrinted>1601-01-01T00:00:00Z</cp:lastPrinted>
  <dcterms:created xsi:type="dcterms:W3CDTF">2026-03-14T20:00:00Z</dcterms:created>
  <dcterms:modified xsi:type="dcterms:W3CDTF">2026-03-14T20:16:00Z</dcterms:modified>
</cp:coreProperties>
</file>