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560F003D" w:rsidR="00E611D9" w:rsidRDefault="002229F0" w:rsidP="00E611D9">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Ond</w:t>
      </w:r>
      <w:proofErr w:type="spellEnd"/>
      <w:r>
        <w:t xml:space="preserve"> </w:t>
      </w:r>
      <w:proofErr w:type="spellStart"/>
      <w:r>
        <w:t>yn</w:t>
      </w:r>
      <w:proofErr w:type="spellEnd"/>
      <w:r>
        <w:t xml:space="preserve"> </w:t>
      </w:r>
      <w:proofErr w:type="spellStart"/>
      <w:r>
        <w:t>berthnasol</w:t>
      </w:r>
      <w:proofErr w:type="spellEnd"/>
      <w:r>
        <w:t xml:space="preserve"> </w:t>
      </w:r>
      <w:proofErr w:type="spellStart"/>
      <w:r>
        <w:t>os</w:t>
      </w:r>
      <w:proofErr w:type="spellEnd"/>
      <w:r>
        <w:t xml:space="preserve"> </w:t>
      </w:r>
      <w:proofErr w:type="spellStart"/>
      <w:r>
        <w:t>yr</w:t>
      </w:r>
      <w:proofErr w:type="spellEnd"/>
      <w:r>
        <w:t xml:space="preserve"> </w:t>
      </w:r>
      <w:proofErr w:type="spellStart"/>
      <w:r>
        <w:t>ydych</w:t>
      </w:r>
      <w:proofErr w:type="spellEnd"/>
      <w:r>
        <w:t xml:space="preserve"> </w:t>
      </w:r>
      <w:proofErr w:type="spellStart"/>
      <w:r>
        <w:t>wedi</w:t>
      </w:r>
      <w:proofErr w:type="spellEnd"/>
      <w:r>
        <w:t xml:space="preserve"> </w:t>
      </w:r>
      <w:proofErr w:type="spellStart"/>
      <w:r>
        <w:t>cwblhau</w:t>
      </w:r>
      <w:proofErr w:type="spellEnd"/>
      <w:r>
        <w:t xml:space="preserve"> </w:t>
      </w:r>
      <w:proofErr w:type="spellStart"/>
      <w:r>
        <w:t>aseiniad</w:t>
      </w:r>
      <w:proofErr w:type="spellEnd"/>
      <w:r>
        <w:t>)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AE1A4C">
            <w:pPr>
              <w:pStyle w:val="AssignBody"/>
            </w:pPr>
          </w:p>
        </w:tc>
        <w:tc>
          <w:tcPr>
            <w:tcW w:w="3647" w:type="dxa"/>
          </w:tcPr>
          <w:p w14:paraId="6D1F9A38" w14:textId="75E67885" w:rsidR="00AD4EBD" w:rsidRDefault="00AD4EBD" w:rsidP="00AE1A4C">
            <w:pPr>
              <w:pStyle w:val="AssignBody"/>
            </w:pPr>
            <w:proofErr w:type="spellStart"/>
            <w:r>
              <w:t>Targed</w:t>
            </w:r>
            <w:proofErr w:type="spellEnd"/>
            <w:r>
              <w:t>/target</w:t>
            </w:r>
          </w:p>
        </w:tc>
        <w:tc>
          <w:tcPr>
            <w:tcW w:w="3647" w:type="dxa"/>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AE1A4C">
            <w:pPr>
              <w:pStyle w:val="AssignBody"/>
            </w:pPr>
          </w:p>
        </w:tc>
      </w:tr>
      <w:tr w:rsidR="00AD4EBD" w14:paraId="4072E411" w14:textId="3E550A78" w:rsidTr="00AD4EBD">
        <w:tc>
          <w:tcPr>
            <w:tcW w:w="1722" w:type="dxa"/>
          </w:tcPr>
          <w:p w14:paraId="3BDD7132" w14:textId="77777777" w:rsidR="00AD4EBD" w:rsidRDefault="00AD4EBD" w:rsidP="00AE1A4C">
            <w:pPr>
              <w:pStyle w:val="AssignBody"/>
            </w:pPr>
            <w:proofErr w:type="spellStart"/>
            <w:r>
              <w:t>T</w:t>
            </w:r>
            <w:bookmarkStart w:id="0" w:name="cysill"/>
            <w:bookmarkEnd w:id="0"/>
            <w:r>
              <w:t>arged</w:t>
            </w:r>
            <w:proofErr w:type="spellEnd"/>
            <w:r>
              <w:t>/Target 1</w:t>
            </w:r>
          </w:p>
        </w:tc>
        <w:tc>
          <w:tcPr>
            <w:tcW w:w="3647" w:type="dxa"/>
          </w:tcPr>
          <w:p w14:paraId="394C5558" w14:textId="3495EE60" w:rsidR="00AD4EBD" w:rsidRPr="00765AEC" w:rsidRDefault="00765AEC" w:rsidP="00AE1A4C">
            <w:pPr>
              <w:pStyle w:val="AssignBody"/>
              <w:rPr>
                <w:color w:val="000000" w:themeColor="text1"/>
              </w:rPr>
            </w:pPr>
            <w:r w:rsidRPr="00765AEC">
              <w:rPr>
                <w:rFonts w:ascii="Roboto" w:hAnsi="Roboto"/>
                <w:color w:val="000000" w:themeColor="text1"/>
                <w:sz w:val="21"/>
                <w:szCs w:val="21"/>
                <w:shd w:val="clear" w:color="auto" w:fill="FFFFFF"/>
              </w:rPr>
              <w:t>Present findings of others in literature with a critical view.</w:t>
            </w:r>
          </w:p>
        </w:tc>
        <w:tc>
          <w:tcPr>
            <w:tcW w:w="3647" w:type="dxa"/>
          </w:tcPr>
          <w:p w14:paraId="5F7F611A" w14:textId="1486BDBA" w:rsidR="00AD4EBD" w:rsidRDefault="00765AEC" w:rsidP="00AE1A4C">
            <w:pPr>
              <w:pStyle w:val="AssignBody"/>
            </w:pPr>
            <w:r>
              <w:t xml:space="preserve">Tried to find literature reflecting opposing viewpoints. </w:t>
            </w:r>
          </w:p>
        </w:tc>
      </w:tr>
      <w:tr w:rsidR="00AD4EBD" w14:paraId="73A65764" w14:textId="34BD1589" w:rsidTr="00AD4EBD">
        <w:tc>
          <w:tcPr>
            <w:tcW w:w="1722" w:type="dxa"/>
          </w:tcPr>
          <w:p w14:paraId="12A42483" w14:textId="77777777" w:rsidR="00AD4EBD" w:rsidRDefault="00AD4EBD" w:rsidP="00AE1A4C">
            <w:pPr>
              <w:pStyle w:val="AssignBody"/>
            </w:pPr>
            <w:proofErr w:type="spellStart"/>
            <w:r>
              <w:t>Targed</w:t>
            </w:r>
            <w:proofErr w:type="spellEnd"/>
            <w:r>
              <w:t>/Target 2</w:t>
            </w:r>
          </w:p>
        </w:tc>
        <w:tc>
          <w:tcPr>
            <w:tcW w:w="3647" w:type="dxa"/>
          </w:tcPr>
          <w:p w14:paraId="3E19823E" w14:textId="39326BC0" w:rsidR="00AD4EBD" w:rsidRDefault="00765AEC" w:rsidP="00AE1A4C">
            <w:pPr>
              <w:pStyle w:val="AssignBody"/>
            </w:pPr>
            <w:r w:rsidRPr="00765AEC">
              <w:rPr>
                <w:rFonts w:ascii="Roboto" w:hAnsi="Roboto"/>
                <w:color w:val="000000" w:themeColor="text1"/>
                <w:sz w:val="21"/>
                <w:szCs w:val="21"/>
                <w:shd w:val="clear" w:color="auto" w:fill="FFFFFF"/>
              </w:rPr>
              <w:t>Leave a line for new paragraphs when word processing.</w:t>
            </w:r>
          </w:p>
        </w:tc>
        <w:tc>
          <w:tcPr>
            <w:tcW w:w="3647" w:type="dxa"/>
          </w:tcPr>
          <w:p w14:paraId="54F0029C" w14:textId="5CB53205" w:rsidR="00AD4EBD" w:rsidRDefault="00765AEC" w:rsidP="00AE1A4C">
            <w:pPr>
              <w:pStyle w:val="AssignBody"/>
            </w:pPr>
            <w:r>
              <w:t xml:space="preserve">Left a line between paragraphs instead of indenting. </w:t>
            </w:r>
          </w:p>
        </w:tc>
      </w:tr>
    </w:tbl>
    <w:p w14:paraId="45E34BBD" w14:textId="77777777" w:rsidR="002229F0" w:rsidRDefault="002229F0" w:rsidP="00E611D9">
      <w:pPr>
        <w:pStyle w:val="AssignBody"/>
      </w:pPr>
    </w:p>
    <w:p w14:paraId="118CB437" w14:textId="2E5041AF" w:rsidR="006419C3" w:rsidRDefault="00765AEC" w:rsidP="00E611D9">
      <w:pPr>
        <w:pStyle w:val="AssignHeader"/>
      </w:pPr>
      <w:r>
        <w:t>How a school develops one aspect of its SDP: maintain and further develop writing skills</w:t>
      </w:r>
    </w:p>
    <w:p w14:paraId="7686EF18" w14:textId="77777777" w:rsidR="00765AEC" w:rsidRDefault="00765AEC" w:rsidP="00765AEC">
      <w:pPr>
        <w:pStyle w:val="AssignSubHeader"/>
        <w:jc w:val="center"/>
        <w:rPr>
          <w:rStyle w:val="normaltextrun"/>
          <w:rFonts w:cs="Arial"/>
          <w:color w:val="000000"/>
          <w:szCs w:val="28"/>
        </w:rPr>
      </w:pPr>
    </w:p>
    <w:p w14:paraId="0A9A6EB5" w14:textId="21207DCD" w:rsidR="00691A46" w:rsidRPr="00765AEC" w:rsidRDefault="00765AEC" w:rsidP="00765AEC">
      <w:pPr>
        <w:pStyle w:val="AssignSubHeader"/>
        <w:jc w:val="center"/>
        <w:rPr>
          <w:rFonts w:cs="Arial"/>
          <w:sz w:val="36"/>
          <w:szCs w:val="28"/>
        </w:rPr>
      </w:pPr>
      <w:r w:rsidRPr="00765AEC">
        <w:rPr>
          <w:rStyle w:val="normaltextrun"/>
          <w:rFonts w:cs="Arial"/>
          <w:color w:val="000000"/>
          <w:szCs w:val="28"/>
        </w:rPr>
        <w:t>Introduction</w:t>
      </w:r>
    </w:p>
    <w:p w14:paraId="4978FDCA" w14:textId="6B7A373F" w:rsidR="00765AEC" w:rsidRDefault="00765AEC" w:rsidP="00765AEC">
      <w:pPr>
        <w:pStyle w:val="paragraph"/>
        <w:spacing w:before="0" w:beforeAutospacing="0" w:after="0" w:afterAutospacing="0" w:line="360" w:lineRule="auto"/>
        <w:textAlignment w:val="baseline"/>
        <w:rPr>
          <w:rStyle w:val="eop"/>
          <w:rFonts w:ascii="Arial" w:hAnsi="Arial" w:cs="Arial"/>
          <w:sz w:val="22"/>
          <w:szCs w:val="22"/>
        </w:rPr>
      </w:pPr>
      <w:r w:rsidRPr="00765AEC">
        <w:rPr>
          <w:rStyle w:val="normaltextrun"/>
          <w:rFonts w:ascii="Arial" w:hAnsi="Arial" w:cs="Arial"/>
          <w:sz w:val="22"/>
          <w:szCs w:val="22"/>
        </w:rPr>
        <w:t>The purpose of this report is to critically discuss how a school develops one action point on its school development plan (SDP). Firstly, the school development process will be discussed, and background literature on the chosen action point will be summarised. Next, the action point will be discussed in the context of the school’s approach to planning. Then, the school’s actions will be evaluated and suggestions for improvements will be presented. Finally, the report will conclude with a summary and personal reflection. </w:t>
      </w:r>
      <w:r w:rsidRPr="00765AEC">
        <w:rPr>
          <w:rStyle w:val="eop"/>
          <w:rFonts w:ascii="Arial" w:hAnsi="Arial" w:cs="Arial"/>
          <w:sz w:val="22"/>
          <w:szCs w:val="22"/>
        </w:rPr>
        <w:t> </w:t>
      </w:r>
    </w:p>
    <w:p w14:paraId="4AA64DE5" w14:textId="77777777" w:rsidR="00765AEC" w:rsidRPr="00765AEC" w:rsidRDefault="00765AEC" w:rsidP="00765AEC">
      <w:pPr>
        <w:pStyle w:val="paragraph"/>
        <w:spacing w:before="0" w:beforeAutospacing="0" w:after="0" w:afterAutospacing="0" w:line="360" w:lineRule="auto"/>
        <w:textAlignment w:val="baseline"/>
        <w:rPr>
          <w:rFonts w:ascii="Arial" w:hAnsi="Arial" w:cs="Arial"/>
          <w:sz w:val="18"/>
          <w:szCs w:val="18"/>
        </w:rPr>
      </w:pPr>
    </w:p>
    <w:p w14:paraId="41ACFCD5" w14:textId="69071425" w:rsidR="00765AEC" w:rsidRDefault="00765AEC" w:rsidP="00765AEC">
      <w:pPr>
        <w:pStyle w:val="paragraph"/>
        <w:spacing w:before="0" w:beforeAutospacing="0" w:after="0" w:afterAutospacing="0" w:line="360" w:lineRule="auto"/>
        <w:textAlignment w:val="baseline"/>
        <w:rPr>
          <w:rStyle w:val="eop"/>
          <w:rFonts w:ascii="Arial" w:hAnsi="Arial" w:cs="Arial"/>
          <w:sz w:val="22"/>
          <w:szCs w:val="22"/>
        </w:rPr>
      </w:pPr>
      <w:r w:rsidRPr="00765AEC">
        <w:rPr>
          <w:rStyle w:val="normaltextrun"/>
          <w:rFonts w:ascii="Arial" w:hAnsi="Arial" w:cs="Arial"/>
          <w:sz w:val="22"/>
          <w:szCs w:val="22"/>
        </w:rPr>
        <w:t>This case study involves a large primary school in Pembrokeshire. There are 652 pupils on roll; 32% are eligible for free school meals, 15% have additional learning needs and 2.84% have English as an additional language (Teacher X, 2023). The school catchment area can be described as economically disadvantaged. </w:t>
      </w:r>
      <w:r w:rsidRPr="00765AEC">
        <w:rPr>
          <w:rStyle w:val="eop"/>
          <w:rFonts w:ascii="Arial" w:hAnsi="Arial" w:cs="Arial"/>
          <w:sz w:val="22"/>
          <w:szCs w:val="22"/>
        </w:rPr>
        <w:t> </w:t>
      </w:r>
    </w:p>
    <w:p w14:paraId="4F9CB3FF" w14:textId="77777777" w:rsidR="00765AEC" w:rsidRPr="00765AEC" w:rsidRDefault="00765AEC" w:rsidP="00765AEC">
      <w:pPr>
        <w:pStyle w:val="paragraph"/>
        <w:spacing w:before="0" w:beforeAutospacing="0" w:after="0" w:afterAutospacing="0" w:line="360" w:lineRule="auto"/>
        <w:textAlignment w:val="baseline"/>
        <w:rPr>
          <w:rFonts w:ascii="Arial" w:hAnsi="Arial" w:cs="Arial"/>
          <w:sz w:val="18"/>
          <w:szCs w:val="18"/>
        </w:rPr>
      </w:pPr>
    </w:p>
    <w:p w14:paraId="246C580A" w14:textId="77777777" w:rsidR="00765AEC" w:rsidRPr="00765AEC" w:rsidRDefault="00765AEC" w:rsidP="00765AEC">
      <w:pPr>
        <w:pStyle w:val="paragraph"/>
        <w:spacing w:before="0" w:beforeAutospacing="0" w:after="0" w:afterAutospacing="0" w:line="360" w:lineRule="auto"/>
        <w:textAlignment w:val="baseline"/>
        <w:rPr>
          <w:rFonts w:ascii="Arial" w:hAnsi="Arial" w:cs="Arial"/>
          <w:sz w:val="18"/>
          <w:szCs w:val="18"/>
        </w:rPr>
      </w:pPr>
      <w:r w:rsidRPr="00765AEC">
        <w:rPr>
          <w:rStyle w:val="normaltextrun"/>
          <w:rFonts w:ascii="Arial" w:hAnsi="Arial" w:cs="Arial"/>
          <w:sz w:val="22"/>
          <w:szCs w:val="22"/>
        </w:rPr>
        <w:t>The school has a three-year SDP which is reviewed annually. This report will focus on the 2022-2023 version, which names five priority areas. Priority area two, ‘Further improve standards in literacy’, is split into three targets: improve oracy skills in the foundation phase, maintain and further develop writing skills, and everyone a reader by the end of foundation phase (School A, 2022). This report will focus on the school’s approach to the second target, specifically, the development of writing skills in upper key stage two.</w:t>
      </w:r>
      <w:r w:rsidRPr="00765AEC">
        <w:rPr>
          <w:rStyle w:val="eop"/>
          <w:rFonts w:ascii="Arial" w:hAnsi="Arial" w:cs="Arial"/>
          <w:sz w:val="22"/>
          <w:szCs w:val="22"/>
        </w:rPr>
        <w:t> </w:t>
      </w:r>
    </w:p>
    <w:p w14:paraId="0D2F6EA6" w14:textId="318F72D1" w:rsidR="00E611D9" w:rsidRDefault="00E611D9" w:rsidP="00765AEC">
      <w:pPr>
        <w:pStyle w:val="AssignBody"/>
      </w:pPr>
    </w:p>
    <w:p w14:paraId="0BE3D9A3" w14:textId="77777777" w:rsidR="00765AEC" w:rsidRPr="00765AEC" w:rsidRDefault="00765AEC" w:rsidP="00765AEC">
      <w:pPr>
        <w:spacing w:after="0" w:line="360" w:lineRule="auto"/>
        <w:jc w:val="center"/>
        <w:textAlignment w:val="baseline"/>
        <w:rPr>
          <w:rFonts w:ascii="Arial" w:eastAsia="Times New Roman" w:hAnsi="Arial" w:cs="Arial"/>
          <w:sz w:val="28"/>
          <w:szCs w:val="28"/>
          <w:lang w:eastAsia="en-GB"/>
        </w:rPr>
      </w:pPr>
      <w:r w:rsidRPr="00765AEC">
        <w:rPr>
          <w:rFonts w:ascii="Arial" w:eastAsia="Times New Roman" w:hAnsi="Arial" w:cs="Arial"/>
          <w:b/>
          <w:bCs/>
          <w:sz w:val="28"/>
          <w:szCs w:val="28"/>
          <w:lang w:eastAsia="en-GB"/>
        </w:rPr>
        <w:lastRenderedPageBreak/>
        <w:t>Literature review </w:t>
      </w:r>
      <w:r w:rsidRPr="00765AEC">
        <w:rPr>
          <w:rFonts w:ascii="Arial" w:eastAsia="Times New Roman" w:hAnsi="Arial" w:cs="Arial"/>
          <w:sz w:val="28"/>
          <w:szCs w:val="28"/>
          <w:lang w:eastAsia="en-GB"/>
        </w:rPr>
        <w:t> </w:t>
      </w:r>
    </w:p>
    <w:p w14:paraId="3F210487" w14:textId="743D652A" w:rsidR="00765AEC" w:rsidRDefault="00765AEC" w:rsidP="00765AEC">
      <w:pPr>
        <w:spacing w:after="0" w:line="360" w:lineRule="auto"/>
        <w:textAlignment w:val="baseline"/>
        <w:rPr>
          <w:rFonts w:ascii="Arial" w:eastAsia="Times New Roman" w:hAnsi="Arial" w:cs="Arial"/>
          <w:lang w:eastAsia="en-GB"/>
        </w:rPr>
      </w:pPr>
      <w:r w:rsidRPr="00765AEC">
        <w:rPr>
          <w:rFonts w:ascii="Arial" w:eastAsia="Times New Roman" w:hAnsi="Arial" w:cs="Arial"/>
          <w:lang w:eastAsia="en-GB"/>
        </w:rPr>
        <w:t>The purpose of school development is to evaluate and improve the school so that pupils have optimal learning experiences and achieve the best possible outcomes, regardless of their background (Welsh Government, 2022a). School development is a continuous process, as reflected in the school development planning cycle (Welsh Government, 2014). This is a four-stage process involving: self-evaluation, strategic planning, making improvements or action, and reviewing impact, which then feeds into another cycle through self-evaluation (ibid). </w:t>
      </w:r>
    </w:p>
    <w:p w14:paraId="725EEF45" w14:textId="77777777" w:rsidR="00765AEC" w:rsidRPr="00765AEC" w:rsidRDefault="00765AEC" w:rsidP="00765AEC">
      <w:pPr>
        <w:spacing w:after="0" w:line="360" w:lineRule="auto"/>
        <w:textAlignment w:val="baseline"/>
        <w:rPr>
          <w:rFonts w:ascii="Arial" w:eastAsia="Times New Roman" w:hAnsi="Arial" w:cs="Arial"/>
          <w:lang w:eastAsia="en-GB"/>
        </w:rPr>
      </w:pPr>
    </w:p>
    <w:p w14:paraId="70B77F5D" w14:textId="13F63218" w:rsidR="00765AEC" w:rsidRDefault="00765AEC" w:rsidP="00765AEC">
      <w:pPr>
        <w:spacing w:after="0" w:line="360" w:lineRule="auto"/>
        <w:textAlignment w:val="baseline"/>
        <w:rPr>
          <w:rFonts w:ascii="Arial" w:eastAsia="Times New Roman" w:hAnsi="Arial" w:cs="Arial"/>
          <w:lang w:eastAsia="en-GB"/>
        </w:rPr>
      </w:pPr>
      <w:r w:rsidRPr="00765AEC">
        <w:rPr>
          <w:rFonts w:ascii="Arial" w:eastAsia="Times New Roman" w:hAnsi="Arial" w:cs="Arial"/>
          <w:lang w:eastAsia="en-GB"/>
        </w:rPr>
        <w:t xml:space="preserve">The SDP is a live document which guides and records the actions taken and the impact made. It should be added to regularly, so it reflects the latest progress in meeting priorities (Welsh Government, 2014). Government requirements state that the SDP should be a three-year rolling document, and the governing body should have overall responsibility for it (ibid). The SDP is a statutory requirement for schools in Wales (Welsh Government, 2022b) and is crucial to the strategic planning stage of the school development planning cycle. It should include the school’s priorities, targets, strategy and expected outcomes, professional development actions, staff and resources, and previous targets (Welsh Government, 2014). A copy of a summary SDP should be available on the school website so that parents, </w:t>
      </w:r>
      <w:r w:rsidR="00E254A3" w:rsidRPr="00765AEC">
        <w:rPr>
          <w:rFonts w:ascii="Arial" w:eastAsia="Times New Roman" w:hAnsi="Arial" w:cs="Arial"/>
          <w:lang w:eastAsia="en-GB"/>
        </w:rPr>
        <w:t>learners,</w:t>
      </w:r>
      <w:r w:rsidRPr="00765AEC">
        <w:rPr>
          <w:rFonts w:ascii="Arial" w:eastAsia="Times New Roman" w:hAnsi="Arial" w:cs="Arial"/>
          <w:lang w:eastAsia="en-GB"/>
        </w:rPr>
        <w:t xml:space="preserve"> and the wider community have access and can view up-to-date information about the school’s progress towards its priorities (Welsh Government, 2022a). </w:t>
      </w:r>
    </w:p>
    <w:p w14:paraId="1C6FF6B7" w14:textId="77777777" w:rsidR="00765AEC" w:rsidRPr="00765AEC" w:rsidRDefault="00765AEC" w:rsidP="00765AEC">
      <w:pPr>
        <w:spacing w:after="0" w:line="360" w:lineRule="auto"/>
        <w:textAlignment w:val="baseline"/>
        <w:rPr>
          <w:rFonts w:ascii="Arial" w:eastAsia="Times New Roman" w:hAnsi="Arial" w:cs="Arial"/>
          <w:lang w:eastAsia="en-GB"/>
        </w:rPr>
      </w:pPr>
    </w:p>
    <w:p w14:paraId="4A9E0833" w14:textId="550C4A5F" w:rsidR="00765AEC" w:rsidRDefault="00765AEC" w:rsidP="00765AEC">
      <w:pPr>
        <w:spacing w:after="0" w:line="360" w:lineRule="auto"/>
        <w:textAlignment w:val="baseline"/>
        <w:rPr>
          <w:rFonts w:ascii="Arial" w:eastAsia="Times New Roman" w:hAnsi="Arial" w:cs="Arial"/>
          <w:lang w:eastAsia="en-GB"/>
        </w:rPr>
      </w:pPr>
      <w:r w:rsidRPr="00765AEC">
        <w:rPr>
          <w:rFonts w:ascii="Arial" w:eastAsia="Times New Roman" w:hAnsi="Arial" w:cs="Arial"/>
          <w:lang w:eastAsia="en-GB"/>
        </w:rPr>
        <w:t xml:space="preserve">This report shall examine the school’s approach to maintaining and further developing writing skills, particularly in key stage two. Within education, writing is one of the most important skills for pupils to develop because writing is not only used to assess understanding of literacy skills, but also to assess understanding of other subjects, such as geography, history, or science (Rezaei &amp; </w:t>
      </w:r>
      <w:proofErr w:type="spellStart"/>
      <w:r w:rsidRPr="00765AEC">
        <w:rPr>
          <w:rFonts w:ascii="Arial" w:eastAsia="Times New Roman" w:hAnsi="Arial" w:cs="Arial"/>
          <w:lang w:eastAsia="en-GB"/>
        </w:rPr>
        <w:t>Lovorn</w:t>
      </w:r>
      <w:proofErr w:type="spellEnd"/>
      <w:r w:rsidRPr="00765AEC">
        <w:rPr>
          <w:rFonts w:ascii="Arial" w:eastAsia="Times New Roman" w:hAnsi="Arial" w:cs="Arial"/>
          <w:lang w:eastAsia="en-GB"/>
        </w:rPr>
        <w:t xml:space="preserve"> 2010). As such, effective teaching, </w:t>
      </w:r>
      <w:r w:rsidR="00E254A3" w:rsidRPr="00765AEC">
        <w:rPr>
          <w:rFonts w:ascii="Arial" w:eastAsia="Times New Roman" w:hAnsi="Arial" w:cs="Arial"/>
          <w:lang w:eastAsia="en-GB"/>
        </w:rPr>
        <w:t>learning,</w:t>
      </w:r>
      <w:r w:rsidRPr="00765AEC">
        <w:rPr>
          <w:rFonts w:ascii="Arial" w:eastAsia="Times New Roman" w:hAnsi="Arial" w:cs="Arial"/>
          <w:lang w:eastAsia="en-GB"/>
        </w:rPr>
        <w:t xml:space="preserve"> and assessment strategies are required for pupils to develop their writing skills at school.  </w:t>
      </w:r>
    </w:p>
    <w:p w14:paraId="538E1439" w14:textId="77777777" w:rsidR="00E254A3" w:rsidRPr="00765AEC" w:rsidRDefault="00E254A3" w:rsidP="00765AEC">
      <w:pPr>
        <w:spacing w:after="0" w:line="360" w:lineRule="auto"/>
        <w:textAlignment w:val="baseline"/>
        <w:rPr>
          <w:rFonts w:ascii="Arial" w:eastAsia="Times New Roman" w:hAnsi="Arial" w:cs="Arial"/>
          <w:lang w:eastAsia="en-GB"/>
        </w:rPr>
      </w:pPr>
    </w:p>
    <w:p w14:paraId="2BAD5848" w14:textId="55576DAE" w:rsidR="00765AEC" w:rsidRDefault="00765AEC" w:rsidP="00765AEC">
      <w:pPr>
        <w:spacing w:after="0" w:line="360" w:lineRule="auto"/>
        <w:textAlignment w:val="baseline"/>
        <w:rPr>
          <w:rFonts w:ascii="Arial" w:eastAsia="Times New Roman" w:hAnsi="Arial" w:cs="Arial"/>
          <w:lang w:eastAsia="en-GB"/>
        </w:rPr>
      </w:pPr>
      <w:r w:rsidRPr="00765AEC">
        <w:rPr>
          <w:rFonts w:ascii="Arial" w:eastAsia="Times New Roman" w:hAnsi="Arial" w:cs="Arial"/>
          <w:lang w:eastAsia="en-GB"/>
        </w:rPr>
        <w:t xml:space="preserve">For progress to be evaluated and targets for improvement identified, pupils’ writing needs to be assessed. Meta-analysis research suggests that formative writing assessments, whereby direct feedback is given to pupils as a part of normal teaching and learning, is an effective way of improving writing quality (Graham, Hebert &amp; Harris, 2015). This research found feedback from adults to have a greater effect than that of self- or peer-assessment (ibid), however other findings suggest that pupils who engage in self- or peer-assessment perform better (Sanchez et al., 2017). These differences in findings could be due to the latter meta-analysis including studies of assessment in a range of subjects, rather than just literacy. </w:t>
      </w:r>
      <w:r w:rsidRPr="00765AEC">
        <w:rPr>
          <w:rFonts w:ascii="Arial" w:eastAsia="Times New Roman" w:hAnsi="Arial" w:cs="Arial"/>
          <w:lang w:eastAsia="en-GB"/>
        </w:rPr>
        <w:lastRenderedPageBreak/>
        <w:t>Nevertheless, this research suggests that formative assessment methods can be used in the classroom to assess and develop pupil’s writing skills by providing more regular and detailed insight than traditional summative writing assessments. Despite this, often writing skills are only assessed by one summative task and by one assessor (Bouwer et al., 2015).  </w:t>
      </w:r>
    </w:p>
    <w:p w14:paraId="16178B4C" w14:textId="77777777" w:rsidR="00765AEC" w:rsidRPr="00765AEC" w:rsidRDefault="00765AEC" w:rsidP="00765AEC">
      <w:pPr>
        <w:spacing w:after="0" w:line="360" w:lineRule="auto"/>
        <w:textAlignment w:val="baseline"/>
        <w:rPr>
          <w:rFonts w:ascii="Arial" w:eastAsia="Times New Roman" w:hAnsi="Arial" w:cs="Arial"/>
          <w:lang w:eastAsia="en-GB"/>
        </w:rPr>
      </w:pPr>
    </w:p>
    <w:p w14:paraId="34208E22" w14:textId="40213B71" w:rsidR="00765AEC" w:rsidRDefault="00765AEC" w:rsidP="00765AEC">
      <w:pPr>
        <w:spacing w:after="0" w:line="360" w:lineRule="auto"/>
        <w:textAlignment w:val="baseline"/>
        <w:rPr>
          <w:rFonts w:ascii="Arial" w:eastAsia="Times New Roman" w:hAnsi="Arial" w:cs="Arial"/>
          <w:lang w:eastAsia="en-GB"/>
        </w:rPr>
      </w:pPr>
      <w:r w:rsidRPr="00765AEC">
        <w:rPr>
          <w:rFonts w:ascii="Arial" w:eastAsia="Times New Roman" w:hAnsi="Arial" w:cs="Arial"/>
          <w:lang w:eastAsia="en-GB"/>
        </w:rPr>
        <w:t>It could be argued that in response to the new curriculum for Wales (Donaldson, 2015), a new method of writing assessment should be developed. In England, curriculum-based measures for writing have been trialled, whereby pupils write in response to a probe and their work is assessed based on well-established academic skills, which are categorised under productivity or accuracy (</w:t>
      </w:r>
      <w:proofErr w:type="spellStart"/>
      <w:r w:rsidRPr="00765AEC">
        <w:rPr>
          <w:rFonts w:ascii="Arial" w:eastAsia="Times New Roman" w:hAnsi="Arial" w:cs="Arial"/>
          <w:lang w:eastAsia="en-GB"/>
        </w:rPr>
        <w:t>Dockrell</w:t>
      </w:r>
      <w:proofErr w:type="spellEnd"/>
      <w:r w:rsidRPr="00765AEC">
        <w:rPr>
          <w:rFonts w:ascii="Arial" w:eastAsia="Times New Roman" w:hAnsi="Arial" w:cs="Arial"/>
          <w:lang w:eastAsia="en-GB"/>
        </w:rPr>
        <w:t xml:space="preserve"> et al., 2015). Results suggest that curriculum-based measures are an effective way of assessing pupil’s writing (ibid) and therefore, it could be important that in Wales, assessment methods are reflective of the national curriculum and what schools are promoting in their teaching. Writing skills come under </w:t>
      </w:r>
      <w:r w:rsidR="00E254A3" w:rsidRPr="00765AEC">
        <w:rPr>
          <w:rFonts w:ascii="Arial" w:eastAsia="Times New Roman" w:hAnsi="Arial" w:cs="Arial"/>
          <w:lang w:eastAsia="en-GB"/>
        </w:rPr>
        <w:t>what</w:t>
      </w:r>
      <w:r w:rsidRPr="00765AEC">
        <w:rPr>
          <w:rFonts w:ascii="Arial" w:eastAsia="Times New Roman" w:hAnsi="Arial" w:cs="Arial"/>
          <w:lang w:eastAsia="en-GB"/>
        </w:rPr>
        <w:t xml:space="preserve"> matters statement ‘Expressing ourselves through languages is key to communication’ (Welsh Government, 2021), suggesting that writing skills should be developed for effective communication in everyday life. In the Netherlands, a writing programme focussing on the communicative nature of writing proved successful in enhancing pupil’s writing skills in upper key stage two (</w:t>
      </w:r>
      <w:proofErr w:type="spellStart"/>
      <w:r w:rsidRPr="00765AEC">
        <w:rPr>
          <w:rFonts w:ascii="Arial" w:eastAsia="Times New Roman" w:hAnsi="Arial" w:cs="Arial"/>
          <w:lang w:eastAsia="en-GB"/>
        </w:rPr>
        <w:t>Rietdijk</w:t>
      </w:r>
      <w:proofErr w:type="spellEnd"/>
      <w:r w:rsidRPr="00765AEC">
        <w:rPr>
          <w:rFonts w:ascii="Arial" w:eastAsia="Times New Roman" w:hAnsi="Arial" w:cs="Arial"/>
          <w:lang w:eastAsia="en-GB"/>
        </w:rPr>
        <w:t xml:space="preserve"> et al., 2017). Therefore, schools aligning their teaching and assessment processes with the curriculum for Wales could be an effective way of improving writing skills.  </w:t>
      </w:r>
    </w:p>
    <w:p w14:paraId="74328E2E" w14:textId="77777777" w:rsidR="00765AEC" w:rsidRPr="00765AEC" w:rsidRDefault="00765AEC" w:rsidP="00765AEC">
      <w:pPr>
        <w:spacing w:after="0" w:line="360" w:lineRule="auto"/>
        <w:textAlignment w:val="baseline"/>
        <w:rPr>
          <w:rFonts w:ascii="Arial" w:eastAsia="Times New Roman" w:hAnsi="Arial" w:cs="Arial"/>
          <w:lang w:eastAsia="en-GB"/>
        </w:rPr>
      </w:pPr>
    </w:p>
    <w:p w14:paraId="5FF98F3B" w14:textId="7284608A" w:rsidR="00765AEC" w:rsidRDefault="00765AEC" w:rsidP="00765AEC">
      <w:pPr>
        <w:spacing w:after="0" w:line="360" w:lineRule="auto"/>
        <w:textAlignment w:val="baseline"/>
        <w:rPr>
          <w:rFonts w:ascii="Arial" w:eastAsia="Times New Roman" w:hAnsi="Arial" w:cs="Arial"/>
          <w:lang w:eastAsia="en-GB"/>
        </w:rPr>
      </w:pPr>
      <w:r w:rsidRPr="00765AEC">
        <w:rPr>
          <w:rFonts w:ascii="Arial" w:eastAsia="Times New Roman" w:hAnsi="Arial" w:cs="Arial"/>
          <w:lang w:eastAsia="en-GB"/>
        </w:rPr>
        <w:t xml:space="preserve">Together, this research suggests that writing is an important skill for pupils to learn, and progress towards writing goals can be evaluated by formative or summative assessment. Regardless of the assessment approach taken, </w:t>
      </w:r>
      <w:r w:rsidR="00E254A3">
        <w:rPr>
          <w:rFonts w:ascii="Arial" w:eastAsia="Times New Roman" w:hAnsi="Arial" w:cs="Arial"/>
          <w:lang w:eastAsia="en-GB"/>
        </w:rPr>
        <w:t>research from other countries shows that writing skills can be developed in line with the national curriculum</w:t>
      </w:r>
      <w:r w:rsidRPr="00765AEC">
        <w:rPr>
          <w:rFonts w:ascii="Arial" w:eastAsia="Times New Roman" w:hAnsi="Arial" w:cs="Arial"/>
          <w:lang w:eastAsia="en-GB"/>
        </w:rPr>
        <w:t>, therefore, schools</w:t>
      </w:r>
      <w:r w:rsidR="00E254A3">
        <w:rPr>
          <w:rFonts w:ascii="Arial" w:eastAsia="Times New Roman" w:hAnsi="Arial" w:cs="Arial"/>
          <w:lang w:eastAsia="en-GB"/>
        </w:rPr>
        <w:t xml:space="preserve"> in Wales</w:t>
      </w:r>
      <w:r w:rsidRPr="00765AEC">
        <w:rPr>
          <w:rFonts w:ascii="Arial" w:eastAsia="Times New Roman" w:hAnsi="Arial" w:cs="Arial"/>
          <w:lang w:eastAsia="en-GB"/>
        </w:rPr>
        <w:t xml:space="preserve"> could use this as a starting point for planning to meet SDP targets.  </w:t>
      </w:r>
    </w:p>
    <w:p w14:paraId="664A8EDC" w14:textId="77777777" w:rsidR="00765AEC" w:rsidRPr="00765AEC" w:rsidRDefault="00765AEC" w:rsidP="00765AEC">
      <w:pPr>
        <w:spacing w:after="0" w:line="360" w:lineRule="auto"/>
        <w:textAlignment w:val="baseline"/>
        <w:rPr>
          <w:rFonts w:ascii="Arial" w:eastAsia="Times New Roman" w:hAnsi="Arial" w:cs="Arial"/>
          <w:lang w:eastAsia="en-GB"/>
        </w:rPr>
      </w:pPr>
    </w:p>
    <w:p w14:paraId="03F8C552" w14:textId="77777777" w:rsidR="00765AEC" w:rsidRPr="00765AEC" w:rsidRDefault="00765AEC" w:rsidP="00765AEC">
      <w:pPr>
        <w:spacing w:after="0" w:line="360" w:lineRule="auto"/>
        <w:jc w:val="center"/>
        <w:textAlignment w:val="baseline"/>
        <w:rPr>
          <w:rFonts w:ascii="Arial" w:eastAsia="Times New Roman" w:hAnsi="Arial" w:cs="Arial"/>
          <w:sz w:val="28"/>
          <w:szCs w:val="28"/>
          <w:lang w:eastAsia="en-GB"/>
        </w:rPr>
      </w:pPr>
      <w:r w:rsidRPr="00765AEC">
        <w:rPr>
          <w:rFonts w:ascii="Arial" w:eastAsia="Times New Roman" w:hAnsi="Arial" w:cs="Arial"/>
          <w:b/>
          <w:bCs/>
          <w:sz w:val="28"/>
          <w:szCs w:val="28"/>
          <w:lang w:eastAsia="en-GB"/>
        </w:rPr>
        <w:t>Developing an action point </w:t>
      </w:r>
      <w:r w:rsidRPr="00765AEC">
        <w:rPr>
          <w:rFonts w:ascii="Arial" w:eastAsia="Times New Roman" w:hAnsi="Arial" w:cs="Arial"/>
          <w:sz w:val="28"/>
          <w:szCs w:val="28"/>
          <w:lang w:eastAsia="en-GB"/>
        </w:rPr>
        <w:t> </w:t>
      </w:r>
    </w:p>
    <w:p w14:paraId="79B68A11" w14:textId="2047A958" w:rsidR="00765AEC" w:rsidRDefault="00765AEC" w:rsidP="00765AEC">
      <w:pPr>
        <w:spacing w:after="0" w:line="360" w:lineRule="auto"/>
        <w:textAlignment w:val="baseline"/>
        <w:rPr>
          <w:rFonts w:ascii="Arial" w:eastAsia="Times New Roman" w:hAnsi="Arial" w:cs="Arial"/>
          <w:lang w:eastAsia="en-GB"/>
        </w:rPr>
      </w:pPr>
      <w:r w:rsidRPr="00765AEC">
        <w:rPr>
          <w:rFonts w:ascii="Arial" w:eastAsia="Times New Roman" w:hAnsi="Arial" w:cs="Arial"/>
          <w:lang w:eastAsia="en-GB"/>
        </w:rPr>
        <w:t>The case study school has adapted the school development planning cycle (Welsh Government, 2014), to a more detailed eight-stage cycle which they conduct annually. The stages are review, prioritise, design, action plan, implement, monitor, self-evaluate, adopt/adapt, which then returns to review (Teacher X, 2023). This demonstrates how the school is using Government guidance to design their school development process but has adapted it to better fit their approach.   </w:t>
      </w:r>
    </w:p>
    <w:p w14:paraId="78385A6D" w14:textId="77777777" w:rsidR="00765AEC" w:rsidRPr="00765AEC" w:rsidRDefault="00765AEC" w:rsidP="00765AEC">
      <w:pPr>
        <w:spacing w:after="0" w:line="360" w:lineRule="auto"/>
        <w:textAlignment w:val="baseline"/>
        <w:rPr>
          <w:rFonts w:ascii="Arial" w:eastAsia="Times New Roman" w:hAnsi="Arial" w:cs="Arial"/>
          <w:lang w:eastAsia="en-GB"/>
        </w:rPr>
      </w:pPr>
    </w:p>
    <w:p w14:paraId="6ADB9F9D" w14:textId="24F1F00D" w:rsidR="00765AEC" w:rsidRDefault="00765AEC" w:rsidP="00765AEC">
      <w:pPr>
        <w:spacing w:after="0" w:line="360" w:lineRule="auto"/>
        <w:textAlignment w:val="baseline"/>
        <w:rPr>
          <w:rFonts w:ascii="Arial" w:eastAsia="Times New Roman" w:hAnsi="Arial" w:cs="Arial"/>
          <w:lang w:eastAsia="en-GB"/>
        </w:rPr>
      </w:pPr>
      <w:r w:rsidRPr="00765AEC">
        <w:rPr>
          <w:rFonts w:ascii="Arial" w:eastAsia="Times New Roman" w:hAnsi="Arial" w:cs="Arial"/>
          <w:lang w:eastAsia="en-GB"/>
        </w:rPr>
        <w:lastRenderedPageBreak/>
        <w:t>Self-evaluation is at the heart of school development as it allows schools to identify areas of strength and areas in need of improvement (Welsh Government, 2014). Qualitative or quantitative data may be analysed to identify targets and develop actions (ibid). The action point ‘maintain and further develop writing skills’ was adapted from one of last year’s targets. A specific three-year goal is to improve the number of pupils working at or above expected level in writing at the end of key stage two (School A, 2022). Thus, through self-evaluation, stakeholders concluded that after one year working on this target, there is still room for improvement. Furthermore, Estyn (2016) recommended ‘improve pupils’ skills in writing at length’ as the first target for school improvement. This suggests that developing writing skills has been a long-term target for the school, but whether for the benefit of pupils or Estyn is unclear.  </w:t>
      </w:r>
    </w:p>
    <w:p w14:paraId="7092DE4A" w14:textId="77777777" w:rsidR="00765AEC" w:rsidRPr="00765AEC" w:rsidRDefault="00765AEC" w:rsidP="00765AEC">
      <w:pPr>
        <w:spacing w:after="0" w:line="360" w:lineRule="auto"/>
        <w:textAlignment w:val="baseline"/>
        <w:rPr>
          <w:rFonts w:ascii="Arial" w:eastAsia="Times New Roman" w:hAnsi="Arial" w:cs="Arial"/>
          <w:lang w:eastAsia="en-GB"/>
        </w:rPr>
      </w:pPr>
    </w:p>
    <w:p w14:paraId="06874A8A" w14:textId="14A3D83D" w:rsidR="00765AEC" w:rsidRDefault="00765AEC" w:rsidP="00765AEC">
      <w:pPr>
        <w:spacing w:after="0" w:line="360" w:lineRule="auto"/>
        <w:textAlignment w:val="baseline"/>
        <w:rPr>
          <w:rFonts w:ascii="Arial" w:eastAsia="Times New Roman" w:hAnsi="Arial" w:cs="Arial"/>
          <w:lang w:eastAsia="en-GB"/>
        </w:rPr>
      </w:pPr>
      <w:r w:rsidRPr="00765AEC">
        <w:rPr>
          <w:rFonts w:ascii="Arial" w:eastAsia="Times New Roman" w:hAnsi="Arial" w:cs="Arial"/>
          <w:lang w:eastAsia="en-GB"/>
        </w:rPr>
        <w:t>Welsh Government guidance (2022b) names four approaches to self-evaluation: looking at teaching and learning, evaluating learner progress, engaging with stakeholders, and planning and implementing improvement. There is limited evidence of the school looking at teaching and learning in relation to developing writing skills; there are no records of lesson observations or learning walks, which is a possible area of improvement for the school. There is, however, clear evidence of evaluating learner progress. Both pupils and teachers assess written work, which progresses from a cold written task where pupils have no prior input, to a hot task after receiving a series of lessons based on the style of writing. </w:t>
      </w:r>
    </w:p>
    <w:p w14:paraId="6CAB631D" w14:textId="77777777" w:rsidR="00765AEC" w:rsidRPr="00765AEC" w:rsidRDefault="00765AEC" w:rsidP="00765AEC">
      <w:pPr>
        <w:spacing w:after="0" w:line="360" w:lineRule="auto"/>
        <w:textAlignment w:val="baseline"/>
        <w:rPr>
          <w:rFonts w:ascii="Arial" w:eastAsia="Times New Roman" w:hAnsi="Arial" w:cs="Arial"/>
          <w:lang w:eastAsia="en-GB"/>
        </w:rPr>
      </w:pPr>
    </w:p>
    <w:p w14:paraId="0F435765" w14:textId="3B1BC970" w:rsidR="00765AEC" w:rsidRDefault="00765AEC" w:rsidP="00765AEC">
      <w:pPr>
        <w:spacing w:after="0" w:line="360" w:lineRule="auto"/>
        <w:textAlignment w:val="baseline"/>
        <w:rPr>
          <w:rFonts w:ascii="Arial" w:eastAsia="Times New Roman" w:hAnsi="Arial" w:cs="Arial"/>
          <w:lang w:eastAsia="en-GB"/>
        </w:rPr>
      </w:pPr>
      <w:r w:rsidRPr="00765AEC">
        <w:rPr>
          <w:rFonts w:ascii="Arial" w:eastAsia="Times New Roman" w:hAnsi="Arial" w:cs="Arial"/>
          <w:lang w:eastAsia="en-GB"/>
        </w:rPr>
        <w:t>Learner progress is also evaluated externally, using No More Marking (NMM). This assessment tool was designed for schools as a quicker and more accurate alternative to traditional marking (No More Marking, 2022). It uses comparative judgement to assess open-ended work, whereby judgements are relative rather than absolute (Jones, 2016). Pupils are all given the same stimulus for writing and the</w:t>
      </w:r>
      <w:r w:rsidR="00E254A3">
        <w:rPr>
          <w:rFonts w:ascii="Arial" w:eastAsia="Times New Roman" w:hAnsi="Arial" w:cs="Arial"/>
          <w:lang w:eastAsia="en-GB"/>
        </w:rPr>
        <w:t>ir</w:t>
      </w:r>
      <w:r w:rsidRPr="00765AEC">
        <w:rPr>
          <w:rFonts w:ascii="Arial" w:eastAsia="Times New Roman" w:hAnsi="Arial" w:cs="Arial"/>
          <w:lang w:eastAsia="en-GB"/>
        </w:rPr>
        <w:t xml:space="preserve"> work is uploaded to the website. Teachers judge pieces against others by comparing two and selecting the better. Schools then receive a report explaining where they have scored in relation to the national average. This school uses NMM for data analysis and setting targets, as well as measuring the impact of targets annually. It could be argued that by relying on the NMM analysis, the school cannot get a full picture of pupils’ writing skills. Welsh Government (2022b) guidance warns that focusing exclusively on specific pieces of data can result in striving to reach scores, rather working towards addressing school improvement priorities, which could be the case with this annual NMM procedure.  </w:t>
      </w:r>
    </w:p>
    <w:p w14:paraId="76040E41" w14:textId="77777777" w:rsidR="00765AEC" w:rsidRPr="00765AEC" w:rsidRDefault="00765AEC" w:rsidP="00765AEC">
      <w:pPr>
        <w:spacing w:after="0" w:line="360" w:lineRule="auto"/>
        <w:textAlignment w:val="baseline"/>
        <w:rPr>
          <w:rFonts w:ascii="Arial" w:eastAsia="Times New Roman" w:hAnsi="Arial" w:cs="Arial"/>
          <w:lang w:eastAsia="en-GB"/>
        </w:rPr>
      </w:pPr>
    </w:p>
    <w:p w14:paraId="257C6734" w14:textId="4744383B" w:rsidR="00765AEC" w:rsidRDefault="00765AEC" w:rsidP="00765AEC">
      <w:pPr>
        <w:spacing w:after="0" w:line="360" w:lineRule="auto"/>
        <w:textAlignment w:val="baseline"/>
        <w:rPr>
          <w:rFonts w:ascii="Arial" w:eastAsia="Times New Roman" w:hAnsi="Arial" w:cs="Arial"/>
          <w:lang w:eastAsia="en-GB"/>
        </w:rPr>
      </w:pPr>
      <w:r w:rsidRPr="00765AEC">
        <w:rPr>
          <w:rFonts w:ascii="Arial" w:eastAsia="Times New Roman" w:hAnsi="Arial" w:cs="Arial"/>
          <w:lang w:eastAsia="en-GB"/>
        </w:rPr>
        <w:t xml:space="preserve">The Welsh Government (2014, 2022b) states that for effective school development planning, all stakeholders should be involved. In this </w:t>
      </w:r>
      <w:r w:rsidR="00E254A3">
        <w:rPr>
          <w:rFonts w:ascii="Arial" w:eastAsia="Times New Roman" w:hAnsi="Arial" w:cs="Arial"/>
          <w:lang w:eastAsia="en-GB"/>
        </w:rPr>
        <w:t>school</w:t>
      </w:r>
      <w:r w:rsidRPr="00765AEC">
        <w:rPr>
          <w:rFonts w:ascii="Arial" w:eastAsia="Times New Roman" w:hAnsi="Arial" w:cs="Arial"/>
          <w:lang w:eastAsia="en-GB"/>
        </w:rPr>
        <w:t xml:space="preserve">, the SDP is a co-constructed document. </w:t>
      </w:r>
      <w:r w:rsidRPr="00765AEC">
        <w:rPr>
          <w:rFonts w:ascii="Arial" w:eastAsia="Times New Roman" w:hAnsi="Arial" w:cs="Arial"/>
          <w:lang w:eastAsia="en-GB"/>
        </w:rPr>
        <w:lastRenderedPageBreak/>
        <w:t xml:space="preserve">Whole staff meetings are held, and questionnaires are sent out to staff, </w:t>
      </w:r>
      <w:r w:rsidR="0065201C" w:rsidRPr="00765AEC">
        <w:rPr>
          <w:rFonts w:ascii="Arial" w:eastAsia="Times New Roman" w:hAnsi="Arial" w:cs="Arial"/>
          <w:lang w:eastAsia="en-GB"/>
        </w:rPr>
        <w:t>parents,</w:t>
      </w:r>
      <w:r w:rsidRPr="00765AEC">
        <w:rPr>
          <w:rFonts w:ascii="Arial" w:eastAsia="Times New Roman" w:hAnsi="Arial" w:cs="Arial"/>
          <w:lang w:eastAsia="en-GB"/>
        </w:rPr>
        <w:t xml:space="preserve"> and pupils, so that everyone’s opinions are heard. Professional Learning Communities (PLC) are created to lead and oversee the progress of specific action points, sharing responsibility. Developing writing skills is overseen by the literacy PLC, which consists of two leaders, one governor and 12 additional staff members from across the school (School A, 2022).  </w:t>
      </w:r>
    </w:p>
    <w:p w14:paraId="6B02777D" w14:textId="77777777" w:rsidR="00765AEC" w:rsidRPr="00765AEC" w:rsidRDefault="00765AEC" w:rsidP="00765AEC">
      <w:pPr>
        <w:spacing w:after="0" w:line="360" w:lineRule="auto"/>
        <w:textAlignment w:val="baseline"/>
        <w:rPr>
          <w:rFonts w:ascii="Arial" w:eastAsia="Times New Roman" w:hAnsi="Arial" w:cs="Arial"/>
          <w:lang w:eastAsia="en-GB"/>
        </w:rPr>
      </w:pPr>
    </w:p>
    <w:p w14:paraId="3090017F" w14:textId="06065044" w:rsidR="00765AEC" w:rsidRDefault="00765AEC" w:rsidP="00765AEC">
      <w:pPr>
        <w:spacing w:after="0" w:line="360" w:lineRule="auto"/>
        <w:textAlignment w:val="baseline"/>
        <w:rPr>
          <w:rFonts w:ascii="Arial" w:eastAsia="Times New Roman" w:hAnsi="Arial" w:cs="Arial"/>
          <w:lang w:eastAsia="en-GB"/>
        </w:rPr>
      </w:pPr>
      <w:r w:rsidRPr="00765AEC">
        <w:rPr>
          <w:rFonts w:ascii="Arial" w:eastAsia="Times New Roman" w:hAnsi="Arial" w:cs="Arial"/>
          <w:lang w:eastAsia="en-GB"/>
        </w:rPr>
        <w:t>During strategic planning the school sets out how they will reach their goals and targets by identifying the why, who, what and when? (Welsh Government, 2022b). For developing writing skills, the SDP states that the literacy PLC are responsible for leading this, with all teachers operating it daily. The SDP details success criteria and actions for improving standards in literacy, but these focus on oracy and reading rather than writing skills (School A, 2022). The strategy taken in upper key stage two is providing as many opportunities for extended writing as possible - two to three pieces per half term currently (Teacher Y, 2023). The SDP does not explain how writing skills will be developed, making it difficult to see how improvements will be made simply by increasing opportunities to write and annually assessing progress against the national average. The cost allocated for this action point is the annual NMM registration fee of approximately £600 (School A, 2022). </w:t>
      </w:r>
    </w:p>
    <w:p w14:paraId="3B41F694" w14:textId="77777777" w:rsidR="00765AEC" w:rsidRPr="00765AEC" w:rsidRDefault="00765AEC" w:rsidP="00765AEC">
      <w:pPr>
        <w:spacing w:after="0" w:line="360" w:lineRule="auto"/>
        <w:textAlignment w:val="baseline"/>
        <w:rPr>
          <w:rFonts w:ascii="Arial" w:eastAsia="Times New Roman" w:hAnsi="Arial" w:cs="Arial"/>
          <w:lang w:eastAsia="en-GB"/>
        </w:rPr>
      </w:pPr>
    </w:p>
    <w:p w14:paraId="1F96232E" w14:textId="28A6FBD7" w:rsidR="00765AEC" w:rsidRDefault="00765AEC" w:rsidP="00765AEC">
      <w:pPr>
        <w:spacing w:after="0" w:line="360" w:lineRule="auto"/>
        <w:textAlignment w:val="baseline"/>
        <w:rPr>
          <w:rFonts w:ascii="Arial" w:eastAsia="Times New Roman" w:hAnsi="Arial" w:cs="Arial"/>
          <w:lang w:eastAsia="en-GB"/>
        </w:rPr>
      </w:pPr>
      <w:r w:rsidRPr="00765AEC">
        <w:rPr>
          <w:rFonts w:ascii="Arial" w:eastAsia="Times New Roman" w:hAnsi="Arial" w:cs="Arial"/>
          <w:lang w:eastAsia="en-GB"/>
        </w:rPr>
        <w:t xml:space="preserve">Once the approach has been planned, the school must work towards the SDP targets. All stakeholders play a role, and clear detail regarding responsibilities, accountability, </w:t>
      </w:r>
      <w:r w:rsidR="0065201C" w:rsidRPr="00765AEC">
        <w:rPr>
          <w:rFonts w:ascii="Arial" w:eastAsia="Times New Roman" w:hAnsi="Arial" w:cs="Arial"/>
          <w:lang w:eastAsia="en-GB"/>
        </w:rPr>
        <w:t>actions,</w:t>
      </w:r>
      <w:r w:rsidRPr="00765AEC">
        <w:rPr>
          <w:rFonts w:ascii="Arial" w:eastAsia="Times New Roman" w:hAnsi="Arial" w:cs="Arial"/>
          <w:lang w:eastAsia="en-GB"/>
        </w:rPr>
        <w:t xml:space="preserve"> and timescales should ensure effective working across the school (Welsh Government, 2014). Finally, the impact of the targets is reviewed. The SDP must be reviewed and updated by the governing body annually, reflecting the school’s progress and current context (ibid). This school can measure the development of writing skills by assessing progress against their success criteria. Efforts have been effective if pupils improve from cold to hot tasks, if a higher percentage of pupils are at or above expected levels for writing at the end of key stage two, and if individuals and the school score higher on the NMM annual assessment compared to last year and the national average (Teacher Y, 2023). Progress is kept under review and action points on the SDP are colour-coded red, amber or green to indicate this (School A, 2022).  </w:t>
      </w:r>
    </w:p>
    <w:p w14:paraId="4B48F601" w14:textId="77777777" w:rsidR="00765AEC" w:rsidRPr="00765AEC" w:rsidRDefault="00765AEC" w:rsidP="00765AEC">
      <w:pPr>
        <w:spacing w:after="0" w:line="360" w:lineRule="auto"/>
        <w:textAlignment w:val="baseline"/>
        <w:rPr>
          <w:rFonts w:ascii="Arial" w:eastAsia="Times New Roman" w:hAnsi="Arial" w:cs="Arial"/>
          <w:lang w:eastAsia="en-GB"/>
        </w:rPr>
      </w:pPr>
    </w:p>
    <w:p w14:paraId="5DD05E78" w14:textId="77777777" w:rsidR="00765AEC" w:rsidRPr="00765AEC" w:rsidRDefault="00765AEC" w:rsidP="00765AEC">
      <w:pPr>
        <w:spacing w:after="0" w:line="360" w:lineRule="auto"/>
        <w:jc w:val="center"/>
        <w:textAlignment w:val="baseline"/>
        <w:rPr>
          <w:rFonts w:ascii="Arial" w:eastAsia="Times New Roman" w:hAnsi="Arial" w:cs="Arial"/>
          <w:sz w:val="28"/>
          <w:szCs w:val="28"/>
          <w:lang w:eastAsia="en-GB"/>
        </w:rPr>
      </w:pPr>
      <w:r w:rsidRPr="00765AEC">
        <w:rPr>
          <w:rFonts w:ascii="Arial" w:eastAsia="Times New Roman" w:hAnsi="Arial" w:cs="Arial"/>
          <w:b/>
          <w:bCs/>
          <w:sz w:val="28"/>
          <w:szCs w:val="28"/>
          <w:lang w:eastAsia="en-GB"/>
        </w:rPr>
        <w:t>Reflection and evaluation </w:t>
      </w:r>
      <w:r w:rsidRPr="00765AEC">
        <w:rPr>
          <w:rFonts w:ascii="Arial" w:eastAsia="Times New Roman" w:hAnsi="Arial" w:cs="Arial"/>
          <w:sz w:val="28"/>
          <w:szCs w:val="28"/>
          <w:lang w:eastAsia="en-GB"/>
        </w:rPr>
        <w:t> </w:t>
      </w:r>
    </w:p>
    <w:p w14:paraId="1DC51BBB" w14:textId="5D45125B" w:rsidR="00765AEC" w:rsidRDefault="00765AEC" w:rsidP="00765AEC">
      <w:pPr>
        <w:spacing w:after="0" w:line="360" w:lineRule="auto"/>
        <w:textAlignment w:val="baseline"/>
        <w:rPr>
          <w:rFonts w:ascii="Arial" w:eastAsia="Times New Roman" w:hAnsi="Arial" w:cs="Arial"/>
          <w:lang w:eastAsia="en-GB"/>
        </w:rPr>
      </w:pPr>
      <w:r w:rsidRPr="00765AEC">
        <w:rPr>
          <w:rFonts w:ascii="Arial" w:eastAsia="Times New Roman" w:hAnsi="Arial" w:cs="Arial"/>
          <w:lang w:eastAsia="en-GB"/>
        </w:rPr>
        <w:t>The school uses NMM analysis to measure progress in pupil’s writing skills. Research suggests that comparative judgement is a fair and robust method for assessing writing in school (</w:t>
      </w:r>
      <w:proofErr w:type="spellStart"/>
      <w:r w:rsidRPr="00765AEC">
        <w:rPr>
          <w:rFonts w:ascii="Arial" w:eastAsia="Times New Roman" w:hAnsi="Arial" w:cs="Arial"/>
          <w:lang w:eastAsia="en-GB"/>
        </w:rPr>
        <w:t>Wheadon</w:t>
      </w:r>
      <w:proofErr w:type="spellEnd"/>
      <w:r w:rsidRPr="00765AEC">
        <w:rPr>
          <w:rFonts w:ascii="Arial" w:eastAsia="Times New Roman" w:hAnsi="Arial" w:cs="Arial"/>
          <w:lang w:eastAsia="en-GB"/>
        </w:rPr>
        <w:t xml:space="preserve"> et al., 2020). Importantly, this research used anchoring as a quality control method to ensure teachers could not inflate pupils’ writing levels. In contrast, teachers at the </w:t>
      </w:r>
      <w:r w:rsidRPr="00765AEC">
        <w:rPr>
          <w:rFonts w:ascii="Arial" w:eastAsia="Times New Roman" w:hAnsi="Arial" w:cs="Arial"/>
          <w:lang w:eastAsia="en-GB"/>
        </w:rPr>
        <w:lastRenderedPageBreak/>
        <w:t xml:space="preserve">case study school spend weeks preparing </w:t>
      </w:r>
      <w:r w:rsidR="001E2A5A">
        <w:rPr>
          <w:rFonts w:ascii="Arial" w:eastAsia="Times New Roman" w:hAnsi="Arial" w:cs="Arial"/>
          <w:lang w:eastAsia="en-GB"/>
        </w:rPr>
        <w:t>pupils</w:t>
      </w:r>
      <w:r w:rsidRPr="00765AEC">
        <w:rPr>
          <w:rFonts w:ascii="Arial" w:eastAsia="Times New Roman" w:hAnsi="Arial" w:cs="Arial"/>
          <w:lang w:eastAsia="en-GB"/>
        </w:rPr>
        <w:t xml:space="preserve"> for their NMM task (Teacher Y, 2023), which must reduce the accuracy of the results. This is implied in the latest results; the national average writing age for year six pupils was 10 years 1 month, yet the school’s average was 14 years 1 month (No More Marking, 2023). Furthermore, the pupil scoring highest is identified by the school as having basic skills and working well under expected level (Teacher Y, 2023), highlighting clear differences between internal and external assessment methods. It should also be noted that pupils with additional learning needs did not complete the NMM task, which could skew the data and isolate these pupils from their peers. Consequently, the school’s approach to NMM is questionable, and appears to lack accuracy and validity</w:t>
      </w:r>
      <w:r w:rsidR="001E2A5A">
        <w:rPr>
          <w:rFonts w:ascii="Arial" w:eastAsia="Times New Roman" w:hAnsi="Arial" w:cs="Arial"/>
          <w:lang w:eastAsia="en-GB"/>
        </w:rPr>
        <w:t>,</w:t>
      </w:r>
      <w:r w:rsidRPr="00765AEC">
        <w:rPr>
          <w:rFonts w:ascii="Arial" w:eastAsia="Times New Roman" w:hAnsi="Arial" w:cs="Arial"/>
          <w:lang w:eastAsia="en-GB"/>
        </w:rPr>
        <w:t xml:space="preserve"> which is concerning when it is relied upon so heavily for an SDP action. For the NMM analysis to be useful in terms of measuring progress and setting targets, it needs to be an accurate reflection of pupils’ writing ability, therefore, in the future, all pupils should be involved and there should be limited teacher input (</w:t>
      </w:r>
      <w:proofErr w:type="spellStart"/>
      <w:r w:rsidRPr="00765AEC">
        <w:rPr>
          <w:rFonts w:ascii="Arial" w:eastAsia="Times New Roman" w:hAnsi="Arial" w:cs="Arial"/>
          <w:lang w:eastAsia="en-GB"/>
        </w:rPr>
        <w:t>Wheadon</w:t>
      </w:r>
      <w:proofErr w:type="spellEnd"/>
      <w:r w:rsidRPr="00765AEC">
        <w:rPr>
          <w:rFonts w:ascii="Arial" w:eastAsia="Times New Roman" w:hAnsi="Arial" w:cs="Arial"/>
          <w:lang w:eastAsia="en-GB"/>
        </w:rPr>
        <w:t xml:space="preserve"> et al., 2020). If pupils are regularly completing cold written tasks in lessons, they should be comfortable writing without guidance from the teacher.  </w:t>
      </w:r>
    </w:p>
    <w:p w14:paraId="63B9FFC6" w14:textId="77777777" w:rsidR="00765AEC" w:rsidRPr="00765AEC" w:rsidRDefault="00765AEC" w:rsidP="00765AEC">
      <w:pPr>
        <w:spacing w:after="0" w:line="360" w:lineRule="auto"/>
        <w:textAlignment w:val="baseline"/>
        <w:rPr>
          <w:rFonts w:ascii="Arial" w:eastAsia="Times New Roman" w:hAnsi="Arial" w:cs="Arial"/>
          <w:lang w:eastAsia="en-GB"/>
        </w:rPr>
      </w:pPr>
    </w:p>
    <w:p w14:paraId="2DC58B42" w14:textId="3DDE1AAE" w:rsidR="00765AEC" w:rsidRDefault="00765AEC" w:rsidP="00765AEC">
      <w:pPr>
        <w:spacing w:after="0" w:line="360" w:lineRule="auto"/>
        <w:textAlignment w:val="baseline"/>
        <w:rPr>
          <w:rFonts w:ascii="Arial" w:eastAsia="Times New Roman" w:hAnsi="Arial" w:cs="Arial"/>
          <w:lang w:eastAsia="en-GB"/>
        </w:rPr>
      </w:pPr>
      <w:r w:rsidRPr="00765AEC">
        <w:rPr>
          <w:rFonts w:ascii="Arial" w:eastAsia="Times New Roman" w:hAnsi="Arial" w:cs="Arial"/>
          <w:lang w:eastAsia="en-GB"/>
        </w:rPr>
        <w:t xml:space="preserve">In the NMM analysis, work is ranked from highest to lowest quality, however, success criteria are not provided. Thus, pupils are not aware of what they should be working towards, and questions arise about how the pieces of writing are assessed. The Assessment Reform Group (2002) note one of the ten </w:t>
      </w:r>
      <w:proofErr w:type="gramStart"/>
      <w:r w:rsidRPr="00765AEC">
        <w:rPr>
          <w:rFonts w:ascii="Arial" w:eastAsia="Times New Roman" w:hAnsi="Arial" w:cs="Arial"/>
          <w:lang w:eastAsia="en-GB"/>
        </w:rPr>
        <w:t>assessment</w:t>
      </w:r>
      <w:proofErr w:type="gramEnd"/>
      <w:r w:rsidRPr="00765AEC">
        <w:rPr>
          <w:rFonts w:ascii="Arial" w:eastAsia="Times New Roman" w:hAnsi="Arial" w:cs="Arial"/>
          <w:lang w:eastAsia="en-GB"/>
        </w:rPr>
        <w:t xml:space="preserve"> for learning principles as a shared understanding of the assessment criteria. This highlights how important it is for pupils to understand what they are trying to achieve and how to be successful, as well as assessors knowing what they are looking for. Therefore, to make the task fairer for pupils and the judgements more accurate, success criteria should be provided for each task. The process would, therefore, promote assessment for learning, which is one of the 12 pedagogical principles (Donaldson, 2015), and ensure that pupils are aware of how to be successful when approaching the task. If this is not possible through the NMM system, the school should consider creating its own success criteria for learners or conducting their own comparative judgement marking system instead of relying on the NMM system.  </w:t>
      </w:r>
    </w:p>
    <w:p w14:paraId="292DF929" w14:textId="77777777" w:rsidR="00765AEC" w:rsidRPr="00765AEC" w:rsidRDefault="00765AEC" w:rsidP="00765AEC">
      <w:pPr>
        <w:spacing w:after="0" w:line="360" w:lineRule="auto"/>
        <w:textAlignment w:val="baseline"/>
        <w:rPr>
          <w:rFonts w:ascii="Arial" w:eastAsia="Times New Roman" w:hAnsi="Arial" w:cs="Arial"/>
          <w:lang w:eastAsia="en-GB"/>
        </w:rPr>
      </w:pPr>
    </w:p>
    <w:p w14:paraId="4F5A88D9" w14:textId="7E9A6780" w:rsidR="00765AEC" w:rsidRDefault="00765AEC" w:rsidP="00765AEC">
      <w:pPr>
        <w:spacing w:after="0" w:line="360" w:lineRule="auto"/>
        <w:textAlignment w:val="baseline"/>
        <w:rPr>
          <w:rFonts w:ascii="Arial" w:eastAsia="Times New Roman" w:hAnsi="Arial" w:cs="Arial"/>
          <w:lang w:eastAsia="en-GB"/>
        </w:rPr>
      </w:pPr>
      <w:r w:rsidRPr="00765AEC">
        <w:rPr>
          <w:rFonts w:ascii="Arial" w:eastAsia="Times New Roman" w:hAnsi="Arial" w:cs="Arial"/>
          <w:lang w:eastAsia="en-GB"/>
        </w:rPr>
        <w:t>Importantly, due to reliance on comparative judgement, the precision of results from the NMM analysis is dependent on the number of judgements being made (Jones, 2016)</w:t>
      </w:r>
      <w:r w:rsidR="001E2A5A">
        <w:rPr>
          <w:rFonts w:ascii="Arial" w:eastAsia="Times New Roman" w:hAnsi="Arial" w:cs="Arial"/>
          <w:lang w:eastAsia="en-GB"/>
        </w:rPr>
        <w:t>. A</w:t>
      </w:r>
      <w:r w:rsidRPr="00765AEC">
        <w:rPr>
          <w:rFonts w:ascii="Arial" w:eastAsia="Times New Roman" w:hAnsi="Arial" w:cs="Arial"/>
          <w:lang w:eastAsia="en-GB"/>
        </w:rPr>
        <w:t xml:space="preserve">lthough over 50,000 pupils were involved in NMM analysis this year, it is not clear how many times each pupils’ work has been judged against others. By creating their own comparative judgement system, the school could be in control of this, however, it would require many staff acting as judges to achieve reliable results. Alternatively, the school could assess pupils’ writing skills on more than one task. Bouwer et al. (2015) suggest that three </w:t>
      </w:r>
      <w:r w:rsidRPr="00765AEC">
        <w:rPr>
          <w:rFonts w:ascii="Arial" w:eastAsia="Times New Roman" w:hAnsi="Arial" w:cs="Arial"/>
          <w:lang w:eastAsia="en-GB"/>
        </w:rPr>
        <w:lastRenderedPageBreak/>
        <w:t>written tasks from different genres, rated by at least two judges should result in valid and reliable inferences about writing skills. This could, therefore, provide a more complete picture of pupil’s writing ability and reduce the reliance on NMM. </w:t>
      </w:r>
    </w:p>
    <w:p w14:paraId="0E7C30E8" w14:textId="63BC717C" w:rsidR="00765AEC" w:rsidRPr="00765AEC" w:rsidRDefault="00765AEC" w:rsidP="00765AEC">
      <w:pPr>
        <w:spacing w:after="0" w:line="360" w:lineRule="auto"/>
        <w:textAlignment w:val="baseline"/>
        <w:rPr>
          <w:rFonts w:ascii="Arial" w:eastAsia="Times New Roman" w:hAnsi="Arial" w:cs="Arial"/>
          <w:lang w:eastAsia="en-GB"/>
        </w:rPr>
      </w:pPr>
      <w:r w:rsidRPr="00765AEC">
        <w:rPr>
          <w:rFonts w:ascii="Arial" w:eastAsia="Times New Roman" w:hAnsi="Arial" w:cs="Arial"/>
          <w:lang w:eastAsia="en-GB"/>
        </w:rPr>
        <w:t> </w:t>
      </w:r>
    </w:p>
    <w:p w14:paraId="4D6CE429" w14:textId="77777777" w:rsidR="00765AEC" w:rsidRPr="00765AEC" w:rsidRDefault="00765AEC" w:rsidP="00765AEC">
      <w:pPr>
        <w:spacing w:after="0" w:line="360" w:lineRule="auto"/>
        <w:jc w:val="center"/>
        <w:textAlignment w:val="baseline"/>
        <w:rPr>
          <w:rFonts w:ascii="Arial" w:eastAsia="Times New Roman" w:hAnsi="Arial" w:cs="Arial"/>
          <w:sz w:val="28"/>
          <w:szCs w:val="28"/>
          <w:lang w:eastAsia="en-GB"/>
        </w:rPr>
      </w:pPr>
      <w:r w:rsidRPr="00765AEC">
        <w:rPr>
          <w:rFonts w:ascii="Arial" w:eastAsia="Times New Roman" w:hAnsi="Arial" w:cs="Arial"/>
          <w:b/>
          <w:bCs/>
          <w:sz w:val="28"/>
          <w:szCs w:val="28"/>
          <w:lang w:eastAsia="en-GB"/>
        </w:rPr>
        <w:t>Conclusion</w:t>
      </w:r>
      <w:r w:rsidRPr="00765AEC">
        <w:rPr>
          <w:rFonts w:ascii="Arial" w:eastAsia="Times New Roman" w:hAnsi="Arial" w:cs="Arial"/>
          <w:sz w:val="28"/>
          <w:szCs w:val="28"/>
          <w:lang w:eastAsia="en-GB"/>
        </w:rPr>
        <w:t> </w:t>
      </w:r>
    </w:p>
    <w:p w14:paraId="6579D55B" w14:textId="5F40CEC3" w:rsidR="00765AEC" w:rsidRDefault="00765AEC" w:rsidP="00765AEC">
      <w:pPr>
        <w:spacing w:after="0" w:line="360" w:lineRule="auto"/>
        <w:textAlignment w:val="baseline"/>
        <w:rPr>
          <w:rFonts w:ascii="Arial" w:eastAsia="Times New Roman" w:hAnsi="Arial" w:cs="Arial"/>
          <w:lang w:eastAsia="en-GB"/>
        </w:rPr>
      </w:pPr>
      <w:r w:rsidRPr="00765AEC">
        <w:rPr>
          <w:rFonts w:ascii="Arial" w:eastAsia="Times New Roman" w:hAnsi="Arial" w:cs="Arial"/>
          <w:lang w:eastAsia="en-GB"/>
        </w:rPr>
        <w:t>This report has discussed a school’s approach to maintaining and developing writing skills, a sub-section of priority two on their SDP. The school development process has been summarised and the school’s approach to this has been discussed. Specifically, the school’s work towards meeting their target of improving writing skills, and the use of NMM analysis has been evaluated using research evidence, with suggestions for improvements presented.  </w:t>
      </w:r>
    </w:p>
    <w:p w14:paraId="5448F830" w14:textId="77777777" w:rsidR="00765AEC" w:rsidRPr="00765AEC" w:rsidRDefault="00765AEC" w:rsidP="00765AEC">
      <w:pPr>
        <w:spacing w:after="0" w:line="360" w:lineRule="auto"/>
        <w:textAlignment w:val="baseline"/>
        <w:rPr>
          <w:rFonts w:ascii="Arial" w:eastAsia="Times New Roman" w:hAnsi="Arial" w:cs="Arial"/>
          <w:lang w:eastAsia="en-GB"/>
        </w:rPr>
      </w:pPr>
    </w:p>
    <w:p w14:paraId="0DFAE372" w14:textId="77777777" w:rsidR="00765AEC" w:rsidRPr="00765AEC" w:rsidRDefault="00765AEC" w:rsidP="00765AEC">
      <w:pPr>
        <w:spacing w:after="0" w:line="360" w:lineRule="auto"/>
        <w:textAlignment w:val="baseline"/>
        <w:rPr>
          <w:rFonts w:ascii="Arial" w:eastAsia="Times New Roman" w:hAnsi="Arial" w:cs="Arial"/>
          <w:lang w:eastAsia="en-GB"/>
        </w:rPr>
      </w:pPr>
      <w:r w:rsidRPr="00765AEC">
        <w:rPr>
          <w:rFonts w:ascii="Arial" w:eastAsia="Times New Roman" w:hAnsi="Arial" w:cs="Arial"/>
          <w:lang w:eastAsia="en-GB"/>
        </w:rPr>
        <w:t>This assignment has developed my understanding of school development planning and SDP documents. I have learned how effective school development involves all stakeholders, so as a teacher I should be aware of, and working towards, the school’s targets every day. By examining a school’s approach to one action point in detail, I have learned how important it is for all actions to be evidence-based and appropriate for the school context. I can see how schools may rely on traditional or well-known approaches; however, the purpose of school development planning is to make a positive difference and that is unlikely if schools consistently use the same approaches. In the future, when involved in school development planning, I will encourage deep, holistic, specific self-evaluation, as I understand that it is the heart of the process, the stem of all targets, and the only way the SDP can be a true reflection of the school. </w:t>
      </w:r>
    </w:p>
    <w:p w14:paraId="6CF448A7" w14:textId="77777777" w:rsidR="00765AEC" w:rsidRPr="00765AEC" w:rsidRDefault="00765AEC" w:rsidP="00765AEC">
      <w:pPr>
        <w:spacing w:after="0" w:line="360" w:lineRule="auto"/>
        <w:textAlignment w:val="baseline"/>
        <w:rPr>
          <w:rFonts w:ascii="Arial" w:eastAsia="Times New Roman" w:hAnsi="Arial" w:cs="Arial"/>
          <w:lang w:eastAsia="en-GB"/>
        </w:rPr>
      </w:pPr>
      <w:r w:rsidRPr="00765AEC">
        <w:rPr>
          <w:rFonts w:ascii="Arial" w:eastAsia="Times New Roman" w:hAnsi="Arial" w:cs="Arial"/>
          <w:lang w:eastAsia="en-GB"/>
        </w:rPr>
        <w:t> </w:t>
      </w:r>
    </w:p>
    <w:p w14:paraId="7294305E" w14:textId="77777777" w:rsidR="00765AEC" w:rsidRPr="00765AEC" w:rsidRDefault="00765AEC" w:rsidP="00765AEC">
      <w:pPr>
        <w:spacing w:after="0" w:line="360" w:lineRule="auto"/>
        <w:textAlignment w:val="baseline"/>
        <w:rPr>
          <w:rFonts w:ascii="Arial" w:eastAsia="Times New Roman" w:hAnsi="Arial" w:cs="Arial"/>
          <w:lang w:eastAsia="en-GB"/>
        </w:rPr>
      </w:pPr>
      <w:r w:rsidRPr="00765AEC">
        <w:rPr>
          <w:rFonts w:ascii="Arial" w:eastAsia="Times New Roman" w:hAnsi="Arial" w:cs="Arial"/>
          <w:lang w:eastAsia="en-GB"/>
        </w:rPr>
        <w:t> </w:t>
      </w:r>
    </w:p>
    <w:p w14:paraId="3A10702C" w14:textId="77777777" w:rsidR="00765AEC" w:rsidRPr="00765AEC" w:rsidRDefault="00765AEC" w:rsidP="00765AEC">
      <w:pPr>
        <w:spacing w:after="0" w:line="360" w:lineRule="auto"/>
        <w:textAlignment w:val="baseline"/>
        <w:rPr>
          <w:rFonts w:ascii="Arial" w:eastAsia="Times New Roman" w:hAnsi="Arial" w:cs="Arial"/>
          <w:lang w:eastAsia="en-GB"/>
        </w:rPr>
      </w:pPr>
      <w:r w:rsidRPr="00765AEC">
        <w:rPr>
          <w:rFonts w:ascii="Arial" w:eastAsia="Times New Roman" w:hAnsi="Arial" w:cs="Arial"/>
          <w:lang w:eastAsia="en-GB"/>
        </w:rPr>
        <w:t> </w:t>
      </w:r>
    </w:p>
    <w:p w14:paraId="23AC22B9" w14:textId="77777777" w:rsidR="00765AEC" w:rsidRPr="00765AEC" w:rsidRDefault="00765AEC" w:rsidP="00765AEC">
      <w:pPr>
        <w:spacing w:after="0" w:line="360" w:lineRule="auto"/>
        <w:textAlignment w:val="baseline"/>
        <w:rPr>
          <w:rFonts w:ascii="Arial" w:eastAsia="Times New Roman" w:hAnsi="Arial" w:cs="Arial"/>
          <w:lang w:eastAsia="en-GB"/>
        </w:rPr>
      </w:pPr>
      <w:r w:rsidRPr="00765AEC">
        <w:rPr>
          <w:rFonts w:ascii="Arial" w:eastAsia="Times New Roman" w:hAnsi="Arial" w:cs="Arial"/>
          <w:lang w:eastAsia="en-GB"/>
        </w:rPr>
        <w:t> </w:t>
      </w:r>
    </w:p>
    <w:p w14:paraId="1DBCEBC6" w14:textId="0E66321E" w:rsidR="00765AEC" w:rsidRDefault="00765AEC" w:rsidP="00765AEC">
      <w:pPr>
        <w:spacing w:after="0" w:line="360" w:lineRule="auto"/>
        <w:textAlignment w:val="baseline"/>
        <w:rPr>
          <w:rFonts w:ascii="Arial" w:eastAsia="Times New Roman" w:hAnsi="Arial" w:cs="Arial"/>
          <w:lang w:eastAsia="en-GB"/>
        </w:rPr>
      </w:pPr>
      <w:r w:rsidRPr="00765AEC">
        <w:rPr>
          <w:rFonts w:ascii="Arial" w:eastAsia="Times New Roman" w:hAnsi="Arial" w:cs="Arial"/>
          <w:lang w:eastAsia="en-GB"/>
        </w:rPr>
        <w:t> </w:t>
      </w:r>
    </w:p>
    <w:p w14:paraId="019D52DD" w14:textId="0B8090FA" w:rsidR="00765AEC" w:rsidRDefault="00765AEC" w:rsidP="00765AEC">
      <w:pPr>
        <w:spacing w:after="0" w:line="360" w:lineRule="auto"/>
        <w:textAlignment w:val="baseline"/>
        <w:rPr>
          <w:rFonts w:ascii="Arial" w:eastAsia="Times New Roman" w:hAnsi="Arial" w:cs="Arial"/>
          <w:lang w:eastAsia="en-GB"/>
        </w:rPr>
      </w:pPr>
    </w:p>
    <w:p w14:paraId="5E466C22" w14:textId="4EAF4B3A" w:rsidR="00765AEC" w:rsidRDefault="00765AEC" w:rsidP="00765AEC">
      <w:pPr>
        <w:spacing w:after="0" w:line="360" w:lineRule="auto"/>
        <w:textAlignment w:val="baseline"/>
        <w:rPr>
          <w:rFonts w:ascii="Arial" w:eastAsia="Times New Roman" w:hAnsi="Arial" w:cs="Arial"/>
          <w:lang w:eastAsia="en-GB"/>
        </w:rPr>
      </w:pPr>
    </w:p>
    <w:p w14:paraId="35E5BD66" w14:textId="499FB6EA" w:rsidR="00765AEC" w:rsidRDefault="00765AEC" w:rsidP="00765AEC">
      <w:pPr>
        <w:spacing w:after="0" w:line="360" w:lineRule="auto"/>
        <w:textAlignment w:val="baseline"/>
        <w:rPr>
          <w:rFonts w:ascii="Arial" w:eastAsia="Times New Roman" w:hAnsi="Arial" w:cs="Arial"/>
          <w:lang w:eastAsia="en-GB"/>
        </w:rPr>
      </w:pPr>
    </w:p>
    <w:p w14:paraId="3A526FCC" w14:textId="0CAAB643" w:rsidR="00765AEC" w:rsidRDefault="00765AEC" w:rsidP="00765AEC">
      <w:pPr>
        <w:spacing w:after="0" w:line="360" w:lineRule="auto"/>
        <w:textAlignment w:val="baseline"/>
        <w:rPr>
          <w:rFonts w:ascii="Arial" w:eastAsia="Times New Roman" w:hAnsi="Arial" w:cs="Arial"/>
          <w:lang w:eastAsia="en-GB"/>
        </w:rPr>
      </w:pPr>
    </w:p>
    <w:p w14:paraId="0C1EDCDE" w14:textId="77777777" w:rsidR="00E254A3" w:rsidRDefault="00E254A3" w:rsidP="00765AEC">
      <w:pPr>
        <w:spacing w:after="0" w:line="360" w:lineRule="auto"/>
        <w:textAlignment w:val="baseline"/>
        <w:rPr>
          <w:rFonts w:ascii="Arial" w:eastAsia="Times New Roman" w:hAnsi="Arial" w:cs="Arial"/>
          <w:lang w:eastAsia="en-GB"/>
        </w:rPr>
      </w:pPr>
    </w:p>
    <w:p w14:paraId="63AD8023" w14:textId="20D4CE56" w:rsidR="00765AEC" w:rsidRDefault="00765AEC" w:rsidP="00765AEC">
      <w:pPr>
        <w:spacing w:after="0" w:line="360" w:lineRule="auto"/>
        <w:textAlignment w:val="baseline"/>
        <w:rPr>
          <w:rFonts w:ascii="Arial" w:eastAsia="Times New Roman" w:hAnsi="Arial" w:cs="Arial"/>
          <w:lang w:eastAsia="en-GB"/>
        </w:rPr>
      </w:pPr>
    </w:p>
    <w:p w14:paraId="1EFC6AC6" w14:textId="5498E3E1" w:rsidR="001E2A5A" w:rsidRDefault="001E2A5A" w:rsidP="00765AEC">
      <w:pPr>
        <w:spacing w:after="0" w:line="360" w:lineRule="auto"/>
        <w:textAlignment w:val="baseline"/>
        <w:rPr>
          <w:rFonts w:ascii="Arial" w:eastAsia="Times New Roman" w:hAnsi="Arial" w:cs="Arial"/>
          <w:lang w:eastAsia="en-GB"/>
        </w:rPr>
      </w:pPr>
    </w:p>
    <w:p w14:paraId="086B0030" w14:textId="77777777" w:rsidR="001E2A5A" w:rsidRPr="00765AEC" w:rsidRDefault="001E2A5A" w:rsidP="00765AEC">
      <w:pPr>
        <w:spacing w:after="0" w:line="360" w:lineRule="auto"/>
        <w:textAlignment w:val="baseline"/>
        <w:rPr>
          <w:rFonts w:ascii="Arial" w:eastAsia="Times New Roman" w:hAnsi="Arial" w:cs="Arial"/>
          <w:lang w:eastAsia="en-GB"/>
        </w:rPr>
      </w:pPr>
    </w:p>
    <w:p w14:paraId="73ADD93A" w14:textId="77777777" w:rsidR="00765AEC" w:rsidRPr="00765AEC" w:rsidRDefault="00765AEC" w:rsidP="00765AEC">
      <w:pPr>
        <w:spacing w:after="0" w:line="360" w:lineRule="auto"/>
        <w:jc w:val="center"/>
        <w:textAlignment w:val="baseline"/>
        <w:rPr>
          <w:rFonts w:ascii="Arial" w:eastAsia="Times New Roman" w:hAnsi="Arial" w:cs="Arial"/>
          <w:sz w:val="28"/>
          <w:szCs w:val="28"/>
          <w:lang w:eastAsia="en-GB"/>
        </w:rPr>
      </w:pPr>
      <w:r w:rsidRPr="00765AEC">
        <w:rPr>
          <w:rFonts w:ascii="Arial" w:eastAsia="Times New Roman" w:hAnsi="Arial" w:cs="Arial"/>
          <w:b/>
          <w:bCs/>
          <w:sz w:val="28"/>
          <w:szCs w:val="28"/>
          <w:lang w:eastAsia="en-GB"/>
        </w:rPr>
        <w:lastRenderedPageBreak/>
        <w:t>References</w:t>
      </w:r>
      <w:r w:rsidRPr="00765AEC">
        <w:rPr>
          <w:rFonts w:ascii="Arial" w:eastAsia="Times New Roman" w:hAnsi="Arial" w:cs="Arial"/>
          <w:sz w:val="28"/>
          <w:szCs w:val="28"/>
          <w:lang w:eastAsia="en-GB"/>
        </w:rPr>
        <w:t> </w:t>
      </w:r>
    </w:p>
    <w:p w14:paraId="6F737F27" w14:textId="77777777" w:rsidR="00765AEC" w:rsidRPr="00765AEC" w:rsidRDefault="00765AEC" w:rsidP="00765AEC">
      <w:pPr>
        <w:spacing w:after="0" w:line="360" w:lineRule="auto"/>
        <w:ind w:left="720" w:hanging="720"/>
        <w:textAlignment w:val="baseline"/>
        <w:rPr>
          <w:rFonts w:ascii="Arial" w:eastAsia="Times New Roman" w:hAnsi="Arial" w:cs="Arial"/>
          <w:lang w:eastAsia="en-GB"/>
        </w:rPr>
      </w:pPr>
      <w:r w:rsidRPr="00765AEC">
        <w:rPr>
          <w:rFonts w:ascii="Arial" w:eastAsia="Times New Roman" w:hAnsi="Arial" w:cs="Arial"/>
          <w:lang w:eastAsia="en-GB"/>
        </w:rPr>
        <w:t xml:space="preserve">[School A] (2022) </w:t>
      </w:r>
      <w:r w:rsidRPr="00765AEC">
        <w:rPr>
          <w:rFonts w:ascii="Arial" w:eastAsia="Times New Roman" w:hAnsi="Arial" w:cs="Arial"/>
          <w:i/>
          <w:iCs/>
          <w:lang w:eastAsia="en-GB"/>
        </w:rPr>
        <w:t>School Development Plan 2021-2024 2022-2023 version.</w:t>
      </w:r>
      <w:r w:rsidRPr="00765AEC">
        <w:rPr>
          <w:rFonts w:ascii="Arial" w:eastAsia="Times New Roman" w:hAnsi="Arial" w:cs="Arial"/>
          <w:lang w:eastAsia="en-GB"/>
        </w:rPr>
        <w:t xml:space="preserve"> Pembrokeshire [School A].  </w:t>
      </w:r>
    </w:p>
    <w:p w14:paraId="3CE1E963" w14:textId="77777777" w:rsidR="00765AEC" w:rsidRPr="00765AEC" w:rsidRDefault="00765AEC" w:rsidP="00765AEC">
      <w:pPr>
        <w:spacing w:after="0" w:line="360" w:lineRule="auto"/>
        <w:ind w:left="720" w:hanging="720"/>
        <w:textAlignment w:val="baseline"/>
        <w:rPr>
          <w:rFonts w:ascii="Arial" w:eastAsia="Times New Roman" w:hAnsi="Arial" w:cs="Arial"/>
          <w:lang w:eastAsia="en-GB"/>
        </w:rPr>
      </w:pPr>
      <w:r w:rsidRPr="00765AEC">
        <w:rPr>
          <w:rFonts w:ascii="Arial" w:eastAsia="Times New Roman" w:hAnsi="Arial" w:cs="Arial"/>
          <w:lang w:eastAsia="en-GB"/>
        </w:rPr>
        <w:t xml:space="preserve">Assessment Reform Group (2002) </w:t>
      </w:r>
      <w:r w:rsidRPr="00765AEC">
        <w:rPr>
          <w:rFonts w:ascii="Arial" w:eastAsia="Times New Roman" w:hAnsi="Arial" w:cs="Arial"/>
          <w:i/>
          <w:iCs/>
          <w:lang w:eastAsia="en-GB"/>
        </w:rPr>
        <w:t>Assessment for Learning: 10 principles</w:t>
      </w:r>
      <w:r w:rsidRPr="00765AEC">
        <w:rPr>
          <w:rFonts w:ascii="Arial" w:eastAsia="Times New Roman" w:hAnsi="Arial" w:cs="Arial"/>
          <w:lang w:eastAsia="en-GB"/>
        </w:rPr>
        <w:t xml:space="preserve">. Available at: </w:t>
      </w:r>
      <w:hyperlink r:id="rId9" w:tgtFrame="_blank" w:history="1">
        <w:r w:rsidRPr="00765AEC">
          <w:rPr>
            <w:rFonts w:ascii="Arial" w:eastAsia="Times New Roman" w:hAnsi="Arial" w:cs="Arial"/>
            <w:color w:val="0563C1"/>
            <w:u w:val="single"/>
            <w:lang w:eastAsia="en-GB"/>
          </w:rPr>
          <w:t>https://dspace.stir.ac.uk/bitstream/1893/32458/1/Assessment%20for%20learning%2010%20principles%202002.pdf</w:t>
        </w:r>
      </w:hyperlink>
      <w:r w:rsidRPr="00765AEC">
        <w:rPr>
          <w:rFonts w:ascii="Arial" w:eastAsia="Times New Roman" w:hAnsi="Arial" w:cs="Arial"/>
          <w:lang w:eastAsia="en-GB"/>
        </w:rPr>
        <w:t xml:space="preserve"> (Accessed: 10 April 2023).   </w:t>
      </w:r>
    </w:p>
    <w:p w14:paraId="41C35C4C" w14:textId="77777777" w:rsidR="00765AEC" w:rsidRPr="00765AEC" w:rsidRDefault="00765AEC" w:rsidP="00765AEC">
      <w:pPr>
        <w:spacing w:after="0" w:line="360" w:lineRule="auto"/>
        <w:ind w:left="720" w:hanging="720"/>
        <w:textAlignment w:val="baseline"/>
        <w:rPr>
          <w:rFonts w:ascii="Arial" w:eastAsia="Times New Roman" w:hAnsi="Arial" w:cs="Arial"/>
          <w:lang w:eastAsia="en-GB"/>
        </w:rPr>
      </w:pPr>
      <w:r w:rsidRPr="00765AEC">
        <w:rPr>
          <w:rFonts w:ascii="Arial" w:eastAsia="Times New Roman" w:hAnsi="Arial" w:cs="Arial"/>
          <w:lang w:eastAsia="en-GB"/>
        </w:rPr>
        <w:t xml:space="preserve">Bouwer, R., </w:t>
      </w:r>
      <w:proofErr w:type="spellStart"/>
      <w:r w:rsidRPr="00765AEC">
        <w:rPr>
          <w:rFonts w:ascii="Arial" w:eastAsia="Times New Roman" w:hAnsi="Arial" w:cs="Arial"/>
          <w:lang w:eastAsia="en-GB"/>
        </w:rPr>
        <w:t>Béguin</w:t>
      </w:r>
      <w:proofErr w:type="spellEnd"/>
      <w:r w:rsidRPr="00765AEC">
        <w:rPr>
          <w:rFonts w:ascii="Arial" w:eastAsia="Times New Roman" w:hAnsi="Arial" w:cs="Arial"/>
          <w:lang w:eastAsia="en-GB"/>
        </w:rPr>
        <w:t xml:space="preserve">, A., Sanders, T. and Van den Bergh, H. (2015) ‘Effect of genre on the generalizability of writing scores’, </w:t>
      </w:r>
      <w:r w:rsidRPr="00765AEC">
        <w:rPr>
          <w:rFonts w:ascii="Arial" w:eastAsia="Times New Roman" w:hAnsi="Arial" w:cs="Arial"/>
          <w:i/>
          <w:iCs/>
          <w:lang w:eastAsia="en-GB"/>
        </w:rPr>
        <w:t>Language Testing</w:t>
      </w:r>
      <w:r w:rsidRPr="00765AEC">
        <w:rPr>
          <w:rFonts w:ascii="Arial" w:eastAsia="Times New Roman" w:hAnsi="Arial" w:cs="Arial"/>
          <w:lang w:eastAsia="en-GB"/>
        </w:rPr>
        <w:t xml:space="preserve">, 32(1), pp. 83-100. DOI: </w:t>
      </w:r>
      <w:hyperlink r:id="rId10" w:tgtFrame="_blank" w:history="1">
        <w:r w:rsidRPr="00765AEC">
          <w:rPr>
            <w:rFonts w:ascii="Arial" w:eastAsia="Times New Roman" w:hAnsi="Arial" w:cs="Arial"/>
            <w:color w:val="0563C1"/>
            <w:u w:val="single"/>
            <w:lang w:eastAsia="en-GB"/>
          </w:rPr>
          <w:t>https://doi.org/10.1177/0265532214542994</w:t>
        </w:r>
      </w:hyperlink>
      <w:r w:rsidRPr="00765AEC">
        <w:rPr>
          <w:rFonts w:ascii="Arial" w:eastAsia="Times New Roman" w:hAnsi="Arial" w:cs="Arial"/>
          <w:lang w:eastAsia="en-GB"/>
        </w:rPr>
        <w:t>  </w:t>
      </w:r>
    </w:p>
    <w:p w14:paraId="7EB8A792" w14:textId="77777777" w:rsidR="00765AEC" w:rsidRPr="00765AEC" w:rsidRDefault="00765AEC" w:rsidP="00765AEC">
      <w:pPr>
        <w:spacing w:after="0" w:line="360" w:lineRule="auto"/>
        <w:ind w:left="720" w:hanging="720"/>
        <w:textAlignment w:val="baseline"/>
        <w:rPr>
          <w:rFonts w:ascii="Arial" w:eastAsia="Times New Roman" w:hAnsi="Arial" w:cs="Arial"/>
          <w:lang w:eastAsia="en-GB"/>
        </w:rPr>
      </w:pPr>
      <w:proofErr w:type="spellStart"/>
      <w:r w:rsidRPr="00765AEC">
        <w:rPr>
          <w:rFonts w:ascii="Arial" w:eastAsia="Times New Roman" w:hAnsi="Arial" w:cs="Arial"/>
          <w:lang w:eastAsia="en-GB"/>
        </w:rPr>
        <w:t>Dockrell</w:t>
      </w:r>
      <w:proofErr w:type="spellEnd"/>
      <w:r w:rsidRPr="00765AEC">
        <w:rPr>
          <w:rFonts w:ascii="Arial" w:eastAsia="Times New Roman" w:hAnsi="Arial" w:cs="Arial"/>
          <w:lang w:eastAsia="en-GB"/>
        </w:rPr>
        <w:t xml:space="preserve">, J. E., Connelly, V., Walter, K. and Critten, S. (2015) ‘Assessing children’s writing products: The role of </w:t>
      </w:r>
      <w:proofErr w:type="gramStart"/>
      <w:r w:rsidRPr="00765AEC">
        <w:rPr>
          <w:rFonts w:ascii="Arial" w:eastAsia="Times New Roman" w:hAnsi="Arial" w:cs="Arial"/>
          <w:lang w:eastAsia="en-GB"/>
        </w:rPr>
        <w:t>curriculum based</w:t>
      </w:r>
      <w:proofErr w:type="gramEnd"/>
      <w:r w:rsidRPr="00765AEC">
        <w:rPr>
          <w:rFonts w:ascii="Arial" w:eastAsia="Times New Roman" w:hAnsi="Arial" w:cs="Arial"/>
          <w:lang w:eastAsia="en-GB"/>
        </w:rPr>
        <w:t xml:space="preserve"> measures’, </w:t>
      </w:r>
      <w:r w:rsidRPr="00765AEC">
        <w:rPr>
          <w:rFonts w:ascii="Arial" w:eastAsia="Times New Roman" w:hAnsi="Arial" w:cs="Arial"/>
          <w:i/>
          <w:iCs/>
          <w:lang w:eastAsia="en-GB"/>
        </w:rPr>
        <w:t>British Educational Research Journal</w:t>
      </w:r>
      <w:r w:rsidRPr="00765AEC">
        <w:rPr>
          <w:rFonts w:ascii="Arial" w:eastAsia="Times New Roman" w:hAnsi="Arial" w:cs="Arial"/>
          <w:lang w:eastAsia="en-GB"/>
        </w:rPr>
        <w:t xml:space="preserve">, 41(4), pp. 575-595. DOI: </w:t>
      </w:r>
      <w:hyperlink r:id="rId11" w:tgtFrame="_blank" w:history="1">
        <w:r w:rsidRPr="00765AEC">
          <w:rPr>
            <w:rFonts w:ascii="Arial" w:eastAsia="Times New Roman" w:hAnsi="Arial" w:cs="Arial"/>
            <w:color w:val="0563C1"/>
            <w:u w:val="single"/>
            <w:lang w:eastAsia="en-GB"/>
          </w:rPr>
          <w:t>https://doi.org/10.1002/berj.3162</w:t>
        </w:r>
      </w:hyperlink>
      <w:r w:rsidRPr="00765AEC">
        <w:rPr>
          <w:rFonts w:ascii="Arial" w:eastAsia="Times New Roman" w:hAnsi="Arial" w:cs="Arial"/>
          <w:lang w:eastAsia="en-GB"/>
        </w:rPr>
        <w:t>  </w:t>
      </w:r>
    </w:p>
    <w:p w14:paraId="0D0195B0" w14:textId="77777777" w:rsidR="00765AEC" w:rsidRPr="00765AEC" w:rsidRDefault="00765AEC" w:rsidP="00765AEC">
      <w:pPr>
        <w:spacing w:after="0" w:line="360" w:lineRule="auto"/>
        <w:ind w:left="720" w:hanging="720"/>
        <w:textAlignment w:val="baseline"/>
        <w:rPr>
          <w:rFonts w:ascii="Arial" w:eastAsia="Times New Roman" w:hAnsi="Arial" w:cs="Arial"/>
          <w:lang w:eastAsia="en-GB"/>
        </w:rPr>
      </w:pPr>
      <w:r w:rsidRPr="00765AEC">
        <w:rPr>
          <w:rFonts w:ascii="Arial" w:eastAsia="Times New Roman" w:hAnsi="Arial" w:cs="Arial"/>
          <w:lang w:val="en-US" w:eastAsia="en-GB"/>
        </w:rPr>
        <w:t xml:space="preserve">Donaldson (2015) </w:t>
      </w:r>
      <w:r w:rsidRPr="00765AEC">
        <w:rPr>
          <w:rFonts w:ascii="Arial" w:eastAsia="Times New Roman" w:hAnsi="Arial" w:cs="Arial"/>
          <w:i/>
          <w:iCs/>
          <w:lang w:val="en-US" w:eastAsia="en-GB"/>
        </w:rPr>
        <w:t>Successful futures</w:t>
      </w:r>
      <w:r w:rsidRPr="00765AEC">
        <w:rPr>
          <w:rFonts w:ascii="Arial" w:eastAsia="Times New Roman" w:hAnsi="Arial" w:cs="Arial"/>
          <w:lang w:val="en-US" w:eastAsia="en-GB"/>
        </w:rPr>
        <w:t xml:space="preserve">. Available at: </w:t>
      </w:r>
      <w:hyperlink r:id="rId12" w:tgtFrame="_blank" w:history="1">
        <w:r w:rsidRPr="00765AEC">
          <w:rPr>
            <w:rFonts w:ascii="Arial" w:eastAsia="Times New Roman" w:hAnsi="Arial" w:cs="Arial"/>
            <w:color w:val="0563C1"/>
            <w:u w:val="single"/>
            <w:lang w:val="en-US" w:eastAsia="en-GB"/>
          </w:rPr>
          <w:t>https://www.gov.wales/sites/default/files/publications/2018-03/successful-futures.pdf</w:t>
        </w:r>
      </w:hyperlink>
      <w:r w:rsidRPr="00765AEC">
        <w:rPr>
          <w:rFonts w:ascii="Arial" w:eastAsia="Times New Roman" w:hAnsi="Arial" w:cs="Arial"/>
          <w:lang w:val="en-US" w:eastAsia="en-GB"/>
        </w:rPr>
        <w:t xml:space="preserve"> (Accessed: 6 March 2023)</w:t>
      </w:r>
      <w:r w:rsidRPr="00765AEC">
        <w:rPr>
          <w:rFonts w:ascii="Arial" w:eastAsia="Times New Roman" w:hAnsi="Arial" w:cs="Arial"/>
          <w:lang w:eastAsia="en-GB"/>
        </w:rPr>
        <w:t>  </w:t>
      </w:r>
    </w:p>
    <w:p w14:paraId="10D827FA" w14:textId="77777777" w:rsidR="00765AEC" w:rsidRPr="00765AEC" w:rsidRDefault="00765AEC" w:rsidP="00765AEC">
      <w:pPr>
        <w:spacing w:after="0" w:line="360" w:lineRule="auto"/>
        <w:ind w:left="720" w:hanging="720"/>
        <w:textAlignment w:val="baseline"/>
        <w:rPr>
          <w:rFonts w:ascii="Arial" w:eastAsia="Times New Roman" w:hAnsi="Arial" w:cs="Arial"/>
          <w:lang w:eastAsia="en-GB"/>
        </w:rPr>
      </w:pPr>
      <w:r w:rsidRPr="00765AEC">
        <w:rPr>
          <w:rFonts w:ascii="Arial" w:eastAsia="Times New Roman" w:hAnsi="Arial" w:cs="Arial"/>
          <w:lang w:eastAsia="en-GB"/>
        </w:rPr>
        <w:t xml:space="preserve">Estyn (2016) </w:t>
      </w:r>
      <w:r w:rsidRPr="00765AEC">
        <w:rPr>
          <w:rFonts w:ascii="Arial" w:eastAsia="Times New Roman" w:hAnsi="Arial" w:cs="Arial"/>
          <w:i/>
          <w:iCs/>
          <w:lang w:eastAsia="en-GB"/>
        </w:rPr>
        <w:t>A report on [School A].</w:t>
      </w:r>
      <w:r w:rsidRPr="00765AEC">
        <w:rPr>
          <w:rFonts w:ascii="Arial" w:eastAsia="Times New Roman" w:hAnsi="Arial" w:cs="Arial"/>
          <w:lang w:eastAsia="en-GB"/>
        </w:rPr>
        <w:t xml:space="preserve"> Available at: </w:t>
      </w:r>
      <w:hyperlink r:id="rId13" w:tgtFrame="_blank" w:history="1">
        <w:r w:rsidRPr="00765AEC">
          <w:rPr>
            <w:rFonts w:ascii="Arial" w:eastAsia="Times New Roman" w:hAnsi="Arial" w:cs="Arial"/>
            <w:color w:val="0563C1"/>
            <w:u w:val="single"/>
            <w:lang w:eastAsia="en-GB"/>
          </w:rPr>
          <w:t>https://drive.google.com/file/d/1_r_KjjwnUZ1sQ_xeY_Rd36Ut70zYfBnc/view</w:t>
        </w:r>
      </w:hyperlink>
      <w:r w:rsidRPr="00765AEC">
        <w:rPr>
          <w:rFonts w:ascii="Arial" w:eastAsia="Times New Roman" w:hAnsi="Arial" w:cs="Arial"/>
          <w:lang w:eastAsia="en-GB"/>
        </w:rPr>
        <w:t xml:space="preserve"> (Accessed: 26 March 2023).   </w:t>
      </w:r>
    </w:p>
    <w:p w14:paraId="4F826DA6" w14:textId="77777777" w:rsidR="00765AEC" w:rsidRPr="00765AEC" w:rsidRDefault="00765AEC" w:rsidP="00765AEC">
      <w:pPr>
        <w:spacing w:after="0" w:line="360" w:lineRule="auto"/>
        <w:ind w:left="720" w:hanging="720"/>
        <w:textAlignment w:val="baseline"/>
        <w:rPr>
          <w:rFonts w:ascii="Arial" w:eastAsia="Times New Roman" w:hAnsi="Arial" w:cs="Arial"/>
          <w:lang w:eastAsia="en-GB"/>
        </w:rPr>
      </w:pPr>
      <w:r w:rsidRPr="00765AEC">
        <w:rPr>
          <w:rFonts w:ascii="Arial" w:eastAsia="Times New Roman" w:hAnsi="Arial" w:cs="Arial"/>
          <w:lang w:eastAsia="en-GB"/>
        </w:rPr>
        <w:t xml:space="preserve">Graham, S., Hebert, M. and Harris, K. R. (2015) ‘Formative assessment and writing: A meta-analysis', The Elementary School Journal, 115(4), pp. 523-547. DOI: </w:t>
      </w:r>
      <w:hyperlink r:id="rId14" w:tgtFrame="_blank" w:history="1">
        <w:r w:rsidRPr="00765AEC">
          <w:rPr>
            <w:rFonts w:ascii="Arial" w:eastAsia="Times New Roman" w:hAnsi="Arial" w:cs="Arial"/>
            <w:color w:val="0563C1"/>
            <w:u w:val="single"/>
            <w:lang w:eastAsia="en-GB"/>
          </w:rPr>
          <w:t>https://doi.org/10.1086/681947</w:t>
        </w:r>
      </w:hyperlink>
      <w:r w:rsidRPr="00765AEC">
        <w:rPr>
          <w:rFonts w:ascii="Arial" w:eastAsia="Times New Roman" w:hAnsi="Arial" w:cs="Arial"/>
          <w:lang w:eastAsia="en-GB"/>
        </w:rPr>
        <w:t>  </w:t>
      </w:r>
    </w:p>
    <w:p w14:paraId="59B54C40" w14:textId="77777777" w:rsidR="00765AEC" w:rsidRPr="00765AEC" w:rsidRDefault="00765AEC" w:rsidP="00765AEC">
      <w:pPr>
        <w:spacing w:after="0" w:line="360" w:lineRule="auto"/>
        <w:ind w:left="720" w:hanging="720"/>
        <w:textAlignment w:val="baseline"/>
        <w:rPr>
          <w:rFonts w:ascii="Arial" w:eastAsia="Times New Roman" w:hAnsi="Arial" w:cs="Arial"/>
          <w:lang w:eastAsia="en-GB"/>
        </w:rPr>
      </w:pPr>
      <w:r w:rsidRPr="00765AEC">
        <w:rPr>
          <w:rFonts w:ascii="Arial" w:eastAsia="Times New Roman" w:hAnsi="Arial" w:cs="Arial"/>
          <w:lang w:eastAsia="en-GB"/>
        </w:rPr>
        <w:t xml:space="preserve">Jones, N. (2016) ‘No More Marking: An online tool for comparative judgement’, in Eugenio, E. G. (ed.) </w:t>
      </w:r>
      <w:r w:rsidRPr="00765AEC">
        <w:rPr>
          <w:rFonts w:ascii="Arial" w:eastAsia="Times New Roman" w:hAnsi="Arial" w:cs="Arial"/>
          <w:i/>
          <w:iCs/>
          <w:lang w:eastAsia="en-GB"/>
        </w:rPr>
        <w:t>Cambridge English Language Assessment Research Notes Issue 63</w:t>
      </w:r>
      <w:r w:rsidRPr="00765AEC">
        <w:rPr>
          <w:rFonts w:ascii="Arial" w:eastAsia="Times New Roman" w:hAnsi="Arial" w:cs="Arial"/>
          <w:lang w:eastAsia="en-GB"/>
        </w:rPr>
        <w:t>. UK: Canon Business Services.  </w:t>
      </w:r>
    </w:p>
    <w:p w14:paraId="1B3B1004" w14:textId="77777777" w:rsidR="00765AEC" w:rsidRPr="00765AEC" w:rsidRDefault="00765AEC" w:rsidP="00765AEC">
      <w:pPr>
        <w:spacing w:after="0" w:line="360" w:lineRule="auto"/>
        <w:ind w:left="720" w:hanging="720"/>
        <w:textAlignment w:val="baseline"/>
        <w:rPr>
          <w:rFonts w:ascii="Arial" w:eastAsia="Times New Roman" w:hAnsi="Arial" w:cs="Arial"/>
          <w:lang w:eastAsia="en-GB"/>
        </w:rPr>
      </w:pPr>
      <w:r w:rsidRPr="00765AEC">
        <w:rPr>
          <w:rFonts w:ascii="Arial" w:eastAsia="Times New Roman" w:hAnsi="Arial" w:cs="Arial"/>
          <w:lang w:eastAsia="en-GB"/>
        </w:rPr>
        <w:t xml:space="preserve">No More Marking (2022) Innovative assessment for schools. Available at: </w:t>
      </w:r>
      <w:hyperlink r:id="rId15" w:tgtFrame="_blank" w:history="1">
        <w:r w:rsidRPr="00765AEC">
          <w:rPr>
            <w:rFonts w:ascii="Arial" w:eastAsia="Times New Roman" w:hAnsi="Arial" w:cs="Arial"/>
            <w:color w:val="0563C1"/>
            <w:u w:val="single"/>
            <w:lang w:eastAsia="en-GB"/>
          </w:rPr>
          <w:t>https://www.nomoremarking.com/?gclid=Cj0KCQjwuLShBhC_ARIsAFod4fKkd6kUUOUS5dWhF7KkZHmlBmIq3xjEewDl3qcFjiM45NewkG0jUtgaAimiEALw_wcB&amp;countryCode=GB</w:t>
        </w:r>
      </w:hyperlink>
      <w:r w:rsidRPr="00765AEC">
        <w:rPr>
          <w:rFonts w:ascii="Arial" w:eastAsia="Times New Roman" w:hAnsi="Arial" w:cs="Arial"/>
          <w:lang w:eastAsia="en-GB"/>
        </w:rPr>
        <w:t xml:space="preserve"> (Accessed: 29 March 2023).   </w:t>
      </w:r>
    </w:p>
    <w:p w14:paraId="43E217FC" w14:textId="77777777" w:rsidR="00765AEC" w:rsidRPr="00765AEC" w:rsidRDefault="00765AEC" w:rsidP="00765AEC">
      <w:pPr>
        <w:spacing w:after="0" w:line="360" w:lineRule="auto"/>
        <w:ind w:left="720" w:hanging="720"/>
        <w:textAlignment w:val="baseline"/>
        <w:rPr>
          <w:rFonts w:ascii="Arial" w:eastAsia="Times New Roman" w:hAnsi="Arial" w:cs="Arial"/>
          <w:lang w:eastAsia="en-GB"/>
        </w:rPr>
      </w:pPr>
      <w:r w:rsidRPr="00765AEC">
        <w:rPr>
          <w:rFonts w:ascii="Arial" w:eastAsia="Times New Roman" w:hAnsi="Arial" w:cs="Arial"/>
          <w:lang w:eastAsia="en-GB"/>
        </w:rPr>
        <w:t>No More Marking (2023) C</w:t>
      </w:r>
      <w:r w:rsidRPr="00765AEC">
        <w:rPr>
          <w:rFonts w:ascii="Arial" w:eastAsia="Times New Roman" w:hAnsi="Arial" w:cs="Arial"/>
          <w:i/>
          <w:iCs/>
          <w:lang w:eastAsia="en-GB"/>
        </w:rPr>
        <w:t>omparative judgement: simplifying assessment for schools – 2022-2023 Year 6 Feb [School A]</w:t>
      </w:r>
      <w:r w:rsidRPr="00765AEC">
        <w:rPr>
          <w:rFonts w:ascii="Arial" w:eastAsia="Times New Roman" w:hAnsi="Arial" w:cs="Arial"/>
          <w:lang w:eastAsia="en-GB"/>
        </w:rPr>
        <w:t xml:space="preserve"> Durham: No More Marking.  </w:t>
      </w:r>
    </w:p>
    <w:p w14:paraId="53BEF0AB" w14:textId="77777777" w:rsidR="00765AEC" w:rsidRPr="00765AEC" w:rsidRDefault="00765AEC" w:rsidP="00765AEC">
      <w:pPr>
        <w:spacing w:after="0" w:line="360" w:lineRule="auto"/>
        <w:ind w:left="720" w:hanging="720"/>
        <w:textAlignment w:val="baseline"/>
        <w:rPr>
          <w:rFonts w:ascii="Arial" w:eastAsia="Times New Roman" w:hAnsi="Arial" w:cs="Arial"/>
          <w:lang w:eastAsia="en-GB"/>
        </w:rPr>
      </w:pPr>
      <w:r w:rsidRPr="00765AEC">
        <w:rPr>
          <w:rFonts w:ascii="Arial" w:eastAsia="Times New Roman" w:hAnsi="Arial" w:cs="Arial"/>
          <w:lang w:eastAsia="en-GB"/>
        </w:rPr>
        <w:t xml:space="preserve">Rezaei, A. R. and </w:t>
      </w:r>
      <w:proofErr w:type="spellStart"/>
      <w:r w:rsidRPr="00765AEC">
        <w:rPr>
          <w:rFonts w:ascii="Arial" w:eastAsia="Times New Roman" w:hAnsi="Arial" w:cs="Arial"/>
          <w:lang w:eastAsia="en-GB"/>
        </w:rPr>
        <w:t>Lovorn</w:t>
      </w:r>
      <w:proofErr w:type="spellEnd"/>
      <w:r w:rsidRPr="00765AEC">
        <w:rPr>
          <w:rFonts w:ascii="Arial" w:eastAsia="Times New Roman" w:hAnsi="Arial" w:cs="Arial"/>
          <w:lang w:eastAsia="en-GB"/>
        </w:rPr>
        <w:t xml:space="preserve">, M. (2010) ‘Reliability and validity of rubrics for assessment through writing’, </w:t>
      </w:r>
      <w:r w:rsidRPr="00765AEC">
        <w:rPr>
          <w:rFonts w:ascii="Arial" w:eastAsia="Times New Roman" w:hAnsi="Arial" w:cs="Arial"/>
          <w:i/>
          <w:iCs/>
          <w:lang w:eastAsia="en-GB"/>
        </w:rPr>
        <w:t>Assessing writing</w:t>
      </w:r>
      <w:r w:rsidRPr="00765AEC">
        <w:rPr>
          <w:rFonts w:ascii="Arial" w:eastAsia="Times New Roman" w:hAnsi="Arial" w:cs="Arial"/>
          <w:lang w:eastAsia="en-GB"/>
        </w:rPr>
        <w:t xml:space="preserve">, 15(1), pp. 18-39. DOI: </w:t>
      </w:r>
      <w:hyperlink r:id="rId16" w:tgtFrame="_blank" w:history="1">
        <w:r w:rsidRPr="00765AEC">
          <w:rPr>
            <w:rFonts w:ascii="Arial" w:eastAsia="Times New Roman" w:hAnsi="Arial" w:cs="Arial"/>
            <w:color w:val="0563C1"/>
            <w:u w:val="single"/>
            <w:lang w:eastAsia="en-GB"/>
          </w:rPr>
          <w:t>https://doi.org/10.1016/j.asw.2010.01.003</w:t>
        </w:r>
      </w:hyperlink>
      <w:r w:rsidRPr="00765AEC">
        <w:rPr>
          <w:rFonts w:ascii="Arial" w:eastAsia="Times New Roman" w:hAnsi="Arial" w:cs="Arial"/>
          <w:lang w:eastAsia="en-GB"/>
        </w:rPr>
        <w:t>  </w:t>
      </w:r>
    </w:p>
    <w:p w14:paraId="5F23ACF5" w14:textId="77777777" w:rsidR="00765AEC" w:rsidRPr="00765AEC" w:rsidRDefault="00765AEC" w:rsidP="00765AEC">
      <w:pPr>
        <w:spacing w:after="0" w:line="360" w:lineRule="auto"/>
        <w:ind w:left="720" w:hanging="720"/>
        <w:textAlignment w:val="baseline"/>
        <w:rPr>
          <w:rFonts w:ascii="Arial" w:eastAsia="Times New Roman" w:hAnsi="Arial" w:cs="Arial"/>
          <w:lang w:eastAsia="en-GB"/>
        </w:rPr>
      </w:pPr>
      <w:proofErr w:type="spellStart"/>
      <w:r w:rsidRPr="00765AEC">
        <w:rPr>
          <w:rFonts w:ascii="Arial" w:eastAsia="Times New Roman" w:hAnsi="Arial" w:cs="Arial"/>
          <w:color w:val="222222"/>
          <w:lang w:eastAsia="en-GB"/>
        </w:rPr>
        <w:t>Rietdijk</w:t>
      </w:r>
      <w:proofErr w:type="spellEnd"/>
      <w:r w:rsidRPr="00765AEC">
        <w:rPr>
          <w:rFonts w:ascii="Arial" w:eastAsia="Times New Roman" w:hAnsi="Arial" w:cs="Arial"/>
          <w:lang w:eastAsia="en-GB"/>
        </w:rPr>
        <w:t xml:space="preserve">, S., Janssen, T., van </w:t>
      </w:r>
      <w:proofErr w:type="spellStart"/>
      <w:r w:rsidRPr="00765AEC">
        <w:rPr>
          <w:rFonts w:ascii="Arial" w:eastAsia="Times New Roman" w:hAnsi="Arial" w:cs="Arial"/>
          <w:lang w:eastAsia="en-GB"/>
        </w:rPr>
        <w:t>Weijen</w:t>
      </w:r>
      <w:proofErr w:type="spellEnd"/>
      <w:r w:rsidRPr="00765AEC">
        <w:rPr>
          <w:rFonts w:ascii="Arial" w:eastAsia="Times New Roman" w:hAnsi="Arial" w:cs="Arial"/>
          <w:lang w:eastAsia="en-GB"/>
        </w:rPr>
        <w:t xml:space="preserve">, D., van den Bergh, H. and </w:t>
      </w:r>
      <w:proofErr w:type="spellStart"/>
      <w:r w:rsidRPr="00765AEC">
        <w:rPr>
          <w:rFonts w:ascii="Arial" w:eastAsia="Times New Roman" w:hAnsi="Arial" w:cs="Arial"/>
          <w:lang w:eastAsia="en-GB"/>
        </w:rPr>
        <w:t>Rijlaarsdam</w:t>
      </w:r>
      <w:proofErr w:type="spellEnd"/>
      <w:r w:rsidRPr="00765AEC">
        <w:rPr>
          <w:rFonts w:ascii="Arial" w:eastAsia="Times New Roman" w:hAnsi="Arial" w:cs="Arial"/>
          <w:lang w:eastAsia="en-GB"/>
        </w:rPr>
        <w:t xml:space="preserve">, G. (2017) ‘Improving writing in primary schools through a comprehensive writing program’, </w:t>
      </w:r>
      <w:r w:rsidRPr="00765AEC">
        <w:rPr>
          <w:rFonts w:ascii="Arial" w:eastAsia="Times New Roman" w:hAnsi="Arial" w:cs="Arial"/>
          <w:i/>
          <w:iCs/>
          <w:lang w:eastAsia="en-GB"/>
        </w:rPr>
        <w:lastRenderedPageBreak/>
        <w:t>Journal of Writing research</w:t>
      </w:r>
      <w:r w:rsidRPr="00765AEC">
        <w:rPr>
          <w:rFonts w:ascii="Arial" w:eastAsia="Times New Roman" w:hAnsi="Arial" w:cs="Arial"/>
          <w:lang w:eastAsia="en-GB"/>
        </w:rPr>
        <w:t xml:space="preserve">, 9(2), pp. 173-225. DOI: </w:t>
      </w:r>
      <w:hyperlink r:id="rId17" w:tgtFrame="_blank" w:history="1">
        <w:r w:rsidRPr="00765AEC">
          <w:rPr>
            <w:rFonts w:ascii="Arial" w:eastAsia="Times New Roman" w:hAnsi="Arial" w:cs="Arial"/>
            <w:color w:val="0563C1"/>
            <w:u w:val="single"/>
            <w:lang w:eastAsia="en-GB"/>
          </w:rPr>
          <w:t>https://doi.org/10.17239/jowr-2017.09.02.04</w:t>
        </w:r>
      </w:hyperlink>
      <w:r w:rsidRPr="00765AEC">
        <w:rPr>
          <w:rFonts w:ascii="Arial" w:eastAsia="Times New Roman" w:hAnsi="Arial" w:cs="Arial"/>
          <w:color w:val="222222"/>
          <w:lang w:eastAsia="en-GB"/>
        </w:rPr>
        <w:t>  </w:t>
      </w:r>
    </w:p>
    <w:p w14:paraId="76AF0EDD" w14:textId="77777777" w:rsidR="00765AEC" w:rsidRPr="00765AEC" w:rsidRDefault="00765AEC" w:rsidP="00765AEC">
      <w:pPr>
        <w:spacing w:after="0" w:line="360" w:lineRule="auto"/>
        <w:ind w:left="720" w:hanging="720"/>
        <w:textAlignment w:val="baseline"/>
        <w:rPr>
          <w:rFonts w:ascii="Arial" w:eastAsia="Times New Roman" w:hAnsi="Arial" w:cs="Arial"/>
          <w:lang w:eastAsia="en-GB"/>
        </w:rPr>
      </w:pPr>
      <w:r w:rsidRPr="00765AEC">
        <w:rPr>
          <w:rFonts w:ascii="Arial" w:eastAsia="Times New Roman" w:hAnsi="Arial" w:cs="Arial"/>
          <w:lang w:eastAsia="en-GB"/>
        </w:rPr>
        <w:t xml:space="preserve">Sanchez, C. E., Atkinson, K. M., </w:t>
      </w:r>
      <w:proofErr w:type="spellStart"/>
      <w:r w:rsidRPr="00765AEC">
        <w:rPr>
          <w:rFonts w:ascii="Arial" w:eastAsia="Times New Roman" w:hAnsi="Arial" w:cs="Arial"/>
          <w:lang w:eastAsia="en-GB"/>
        </w:rPr>
        <w:t>Koenka</w:t>
      </w:r>
      <w:proofErr w:type="spellEnd"/>
      <w:r w:rsidRPr="00765AEC">
        <w:rPr>
          <w:rFonts w:ascii="Arial" w:eastAsia="Times New Roman" w:hAnsi="Arial" w:cs="Arial"/>
          <w:lang w:eastAsia="en-GB"/>
        </w:rPr>
        <w:t xml:space="preserve">, A. C., </w:t>
      </w:r>
      <w:proofErr w:type="spellStart"/>
      <w:r w:rsidRPr="00765AEC">
        <w:rPr>
          <w:rFonts w:ascii="Arial" w:eastAsia="Times New Roman" w:hAnsi="Arial" w:cs="Arial"/>
          <w:lang w:eastAsia="en-GB"/>
        </w:rPr>
        <w:t>Moshontz</w:t>
      </w:r>
      <w:proofErr w:type="spellEnd"/>
      <w:r w:rsidRPr="00765AEC">
        <w:rPr>
          <w:rFonts w:ascii="Arial" w:eastAsia="Times New Roman" w:hAnsi="Arial" w:cs="Arial"/>
          <w:lang w:eastAsia="en-GB"/>
        </w:rPr>
        <w:t>, H. and Cooper, H. (2017) ‘Self-grading and peer-grading for formative and summative assessments in 3</w:t>
      </w:r>
      <w:r w:rsidRPr="00765AEC">
        <w:rPr>
          <w:rFonts w:ascii="Arial" w:eastAsia="Times New Roman" w:hAnsi="Arial" w:cs="Arial"/>
          <w:vertAlign w:val="superscript"/>
          <w:lang w:eastAsia="en-GB"/>
        </w:rPr>
        <w:t>rd</w:t>
      </w:r>
      <w:r w:rsidRPr="00765AEC">
        <w:rPr>
          <w:rFonts w:ascii="Arial" w:eastAsia="Times New Roman" w:hAnsi="Arial" w:cs="Arial"/>
          <w:lang w:eastAsia="en-GB"/>
        </w:rPr>
        <w:t xml:space="preserve"> through 12</w:t>
      </w:r>
      <w:r w:rsidRPr="00765AEC">
        <w:rPr>
          <w:rFonts w:ascii="Arial" w:eastAsia="Times New Roman" w:hAnsi="Arial" w:cs="Arial"/>
          <w:vertAlign w:val="superscript"/>
          <w:lang w:eastAsia="en-GB"/>
        </w:rPr>
        <w:t>th</w:t>
      </w:r>
      <w:r w:rsidRPr="00765AEC">
        <w:rPr>
          <w:rFonts w:ascii="Arial" w:eastAsia="Times New Roman" w:hAnsi="Arial" w:cs="Arial"/>
          <w:lang w:eastAsia="en-GB"/>
        </w:rPr>
        <w:t xml:space="preserve"> grade classrooms: A meta-analysis', </w:t>
      </w:r>
      <w:r w:rsidRPr="00765AEC">
        <w:rPr>
          <w:rFonts w:ascii="Arial" w:eastAsia="Times New Roman" w:hAnsi="Arial" w:cs="Arial"/>
          <w:i/>
          <w:iCs/>
          <w:lang w:eastAsia="en-GB"/>
        </w:rPr>
        <w:t>Journal of Educational Psychology</w:t>
      </w:r>
      <w:r w:rsidRPr="00765AEC">
        <w:rPr>
          <w:rFonts w:ascii="Arial" w:eastAsia="Times New Roman" w:hAnsi="Arial" w:cs="Arial"/>
          <w:lang w:eastAsia="en-GB"/>
        </w:rPr>
        <w:t xml:space="preserve">, 109(8), p. 1049. DOI: </w:t>
      </w:r>
      <w:hyperlink r:id="rId18" w:tgtFrame="_blank" w:history="1">
        <w:r w:rsidRPr="00765AEC">
          <w:rPr>
            <w:rFonts w:ascii="Arial" w:eastAsia="Times New Roman" w:hAnsi="Arial" w:cs="Arial"/>
            <w:color w:val="0563C1"/>
            <w:u w:val="single"/>
            <w:lang w:eastAsia="en-GB"/>
          </w:rPr>
          <w:t>https://doi.org/10.1037/edu0000190</w:t>
        </w:r>
      </w:hyperlink>
      <w:r w:rsidRPr="00765AEC">
        <w:rPr>
          <w:rFonts w:ascii="Arial" w:eastAsia="Times New Roman" w:hAnsi="Arial" w:cs="Arial"/>
          <w:lang w:eastAsia="en-GB"/>
        </w:rPr>
        <w:t>  </w:t>
      </w:r>
    </w:p>
    <w:p w14:paraId="34DA28A6" w14:textId="77777777" w:rsidR="00765AEC" w:rsidRPr="00765AEC" w:rsidRDefault="00765AEC" w:rsidP="00765AEC">
      <w:pPr>
        <w:spacing w:after="0" w:line="360" w:lineRule="auto"/>
        <w:ind w:left="720" w:hanging="720"/>
        <w:textAlignment w:val="baseline"/>
        <w:rPr>
          <w:rFonts w:ascii="Arial" w:eastAsia="Times New Roman" w:hAnsi="Arial" w:cs="Arial"/>
          <w:lang w:eastAsia="en-GB"/>
        </w:rPr>
      </w:pPr>
      <w:r w:rsidRPr="00765AEC">
        <w:rPr>
          <w:rFonts w:ascii="Arial" w:eastAsia="Times New Roman" w:hAnsi="Arial" w:cs="Arial"/>
          <w:lang w:eastAsia="en-GB"/>
        </w:rPr>
        <w:t>Teacher X (2023) Conversation with student teacher 2204557, 22 March.   </w:t>
      </w:r>
    </w:p>
    <w:p w14:paraId="30564597" w14:textId="77777777" w:rsidR="00765AEC" w:rsidRPr="00765AEC" w:rsidRDefault="00765AEC" w:rsidP="00765AEC">
      <w:pPr>
        <w:spacing w:after="0" w:line="360" w:lineRule="auto"/>
        <w:ind w:left="720" w:hanging="720"/>
        <w:textAlignment w:val="baseline"/>
        <w:rPr>
          <w:rFonts w:ascii="Arial" w:eastAsia="Times New Roman" w:hAnsi="Arial" w:cs="Arial"/>
          <w:lang w:eastAsia="en-GB"/>
        </w:rPr>
      </w:pPr>
      <w:r w:rsidRPr="00765AEC">
        <w:rPr>
          <w:rFonts w:ascii="Arial" w:eastAsia="Times New Roman" w:hAnsi="Arial" w:cs="Arial"/>
          <w:lang w:eastAsia="en-GB"/>
        </w:rPr>
        <w:t>Teacher Y (2023) Conversation with student teacher 2204557, 28 March.   </w:t>
      </w:r>
    </w:p>
    <w:p w14:paraId="78B89129" w14:textId="77777777" w:rsidR="00765AEC" w:rsidRPr="00765AEC" w:rsidRDefault="00765AEC" w:rsidP="00765AEC">
      <w:pPr>
        <w:spacing w:after="0" w:line="360" w:lineRule="auto"/>
        <w:ind w:left="720" w:hanging="720"/>
        <w:textAlignment w:val="baseline"/>
        <w:rPr>
          <w:rFonts w:ascii="Arial" w:eastAsia="Times New Roman" w:hAnsi="Arial" w:cs="Arial"/>
          <w:lang w:eastAsia="en-GB"/>
        </w:rPr>
      </w:pPr>
      <w:r w:rsidRPr="00765AEC">
        <w:rPr>
          <w:rFonts w:ascii="Arial" w:eastAsia="Times New Roman" w:hAnsi="Arial" w:cs="Arial"/>
          <w:lang w:eastAsia="en-GB"/>
        </w:rPr>
        <w:t xml:space="preserve">Welsh Government (2014) </w:t>
      </w:r>
      <w:r w:rsidRPr="00765AEC">
        <w:rPr>
          <w:rFonts w:ascii="Arial" w:eastAsia="Times New Roman" w:hAnsi="Arial" w:cs="Arial"/>
          <w:i/>
          <w:iCs/>
          <w:lang w:eastAsia="en-GB"/>
        </w:rPr>
        <w:t>School development plans</w:t>
      </w:r>
      <w:r w:rsidRPr="00765AEC">
        <w:rPr>
          <w:rFonts w:ascii="Arial" w:eastAsia="Times New Roman" w:hAnsi="Arial" w:cs="Arial"/>
          <w:lang w:eastAsia="en-GB"/>
        </w:rPr>
        <w:t xml:space="preserve">. Available at: </w:t>
      </w:r>
      <w:hyperlink r:id="rId19" w:tgtFrame="_blank" w:history="1">
        <w:r w:rsidRPr="00765AEC">
          <w:rPr>
            <w:rFonts w:ascii="Arial" w:eastAsia="Times New Roman" w:hAnsi="Arial" w:cs="Arial"/>
            <w:color w:val="0563C1"/>
            <w:u w:val="single"/>
            <w:lang w:eastAsia="en-GB"/>
          </w:rPr>
          <w:t>https://www.gov.wales/sites/default/files/publications/2018-03/school-development-plans.pdf</w:t>
        </w:r>
      </w:hyperlink>
      <w:r w:rsidRPr="00765AEC">
        <w:rPr>
          <w:rFonts w:ascii="Arial" w:eastAsia="Times New Roman" w:hAnsi="Arial" w:cs="Arial"/>
          <w:lang w:eastAsia="en-GB"/>
        </w:rPr>
        <w:t xml:space="preserve"> (Accessed: 28 March, 2023).   </w:t>
      </w:r>
    </w:p>
    <w:p w14:paraId="5BA5D3E5" w14:textId="77777777" w:rsidR="00765AEC" w:rsidRPr="00765AEC" w:rsidRDefault="00765AEC" w:rsidP="00765AEC">
      <w:pPr>
        <w:spacing w:after="0" w:line="360" w:lineRule="auto"/>
        <w:ind w:left="720" w:hanging="720"/>
        <w:textAlignment w:val="baseline"/>
        <w:rPr>
          <w:rFonts w:ascii="Arial" w:eastAsia="Times New Roman" w:hAnsi="Arial" w:cs="Arial"/>
          <w:lang w:eastAsia="en-GB"/>
        </w:rPr>
      </w:pPr>
      <w:r w:rsidRPr="00765AEC">
        <w:rPr>
          <w:rFonts w:ascii="Arial" w:eastAsia="Times New Roman" w:hAnsi="Arial" w:cs="Arial"/>
          <w:lang w:eastAsia="en-GB"/>
        </w:rPr>
        <w:t xml:space="preserve">Welsh Government (2021) </w:t>
      </w:r>
      <w:r w:rsidRPr="00765AEC">
        <w:rPr>
          <w:rFonts w:ascii="Arial" w:eastAsia="Times New Roman" w:hAnsi="Arial" w:cs="Arial"/>
          <w:i/>
          <w:iCs/>
          <w:lang w:eastAsia="en-GB"/>
        </w:rPr>
        <w:t>The Curriculum for Wales – Statements of What Matters Code.</w:t>
      </w:r>
      <w:r w:rsidRPr="00765AEC">
        <w:rPr>
          <w:rFonts w:ascii="Arial" w:eastAsia="Times New Roman" w:hAnsi="Arial" w:cs="Arial"/>
          <w:lang w:eastAsia="en-GB"/>
        </w:rPr>
        <w:t xml:space="preserve"> Available at: </w:t>
      </w:r>
      <w:hyperlink r:id="rId20" w:tgtFrame="_blank" w:history="1">
        <w:r w:rsidRPr="00765AEC">
          <w:rPr>
            <w:rFonts w:ascii="Arial" w:eastAsia="Times New Roman" w:hAnsi="Arial" w:cs="Arial"/>
            <w:color w:val="0563C1"/>
            <w:u w:val="single"/>
            <w:lang w:eastAsia="en-GB"/>
          </w:rPr>
          <w:t>https://www.gov.wales/sites/default/files/publications/2021-11/curriculum-for-wales-statements-of-what-matters-code.pdf</w:t>
        </w:r>
      </w:hyperlink>
      <w:r w:rsidRPr="00765AEC">
        <w:rPr>
          <w:rFonts w:ascii="Arial" w:eastAsia="Times New Roman" w:hAnsi="Arial" w:cs="Arial"/>
          <w:lang w:eastAsia="en-GB"/>
        </w:rPr>
        <w:t xml:space="preserve"> (Accessed: 22 March 2023).   </w:t>
      </w:r>
    </w:p>
    <w:p w14:paraId="03BED7BB" w14:textId="77777777" w:rsidR="00765AEC" w:rsidRPr="00765AEC" w:rsidRDefault="00765AEC" w:rsidP="00765AEC">
      <w:pPr>
        <w:spacing w:after="0" w:line="360" w:lineRule="auto"/>
        <w:ind w:left="720" w:hanging="720"/>
        <w:textAlignment w:val="baseline"/>
        <w:rPr>
          <w:rFonts w:ascii="Arial" w:eastAsia="Times New Roman" w:hAnsi="Arial" w:cs="Arial"/>
          <w:lang w:eastAsia="en-GB"/>
        </w:rPr>
      </w:pPr>
      <w:r w:rsidRPr="00765AEC">
        <w:rPr>
          <w:rFonts w:ascii="Arial" w:eastAsia="Times New Roman" w:hAnsi="Arial" w:cs="Arial"/>
          <w:lang w:eastAsia="en-GB"/>
        </w:rPr>
        <w:t xml:space="preserve">Welsh Government (2022a) </w:t>
      </w:r>
      <w:r w:rsidRPr="00765AEC">
        <w:rPr>
          <w:rFonts w:ascii="Arial" w:eastAsia="Times New Roman" w:hAnsi="Arial" w:cs="Arial"/>
          <w:i/>
          <w:iCs/>
          <w:lang w:eastAsia="en-GB"/>
        </w:rPr>
        <w:t>School improvement guidance: impact assessment</w:t>
      </w:r>
      <w:r w:rsidRPr="00765AEC">
        <w:rPr>
          <w:rFonts w:ascii="Arial" w:eastAsia="Times New Roman" w:hAnsi="Arial" w:cs="Arial"/>
          <w:lang w:eastAsia="en-GB"/>
        </w:rPr>
        <w:t xml:space="preserve">. Available at: </w:t>
      </w:r>
      <w:hyperlink r:id="rId21" w:tgtFrame="_blank" w:history="1">
        <w:r w:rsidRPr="00765AEC">
          <w:rPr>
            <w:rFonts w:ascii="Arial" w:eastAsia="Times New Roman" w:hAnsi="Arial" w:cs="Arial"/>
            <w:color w:val="0563C1"/>
            <w:u w:val="single"/>
            <w:lang w:eastAsia="en-GB"/>
          </w:rPr>
          <w:t>https://www.gov.wales/sites/default/files/pdf-versions/2022/7/3/1657103361/school-improvement-guidance-impact-assessment.pdf</w:t>
        </w:r>
      </w:hyperlink>
      <w:r w:rsidRPr="00765AEC">
        <w:rPr>
          <w:rFonts w:ascii="Arial" w:eastAsia="Times New Roman" w:hAnsi="Arial" w:cs="Arial"/>
          <w:lang w:eastAsia="en-GB"/>
        </w:rPr>
        <w:t xml:space="preserve"> (Accessed: 30 March 2023).   </w:t>
      </w:r>
    </w:p>
    <w:p w14:paraId="4B66C4C0" w14:textId="77777777" w:rsidR="00765AEC" w:rsidRPr="00765AEC" w:rsidRDefault="00765AEC" w:rsidP="00765AEC">
      <w:pPr>
        <w:spacing w:after="0" w:line="360" w:lineRule="auto"/>
        <w:ind w:left="720" w:hanging="720"/>
        <w:textAlignment w:val="baseline"/>
        <w:rPr>
          <w:rFonts w:ascii="Arial" w:eastAsia="Times New Roman" w:hAnsi="Arial" w:cs="Arial"/>
          <w:lang w:eastAsia="en-GB"/>
        </w:rPr>
      </w:pPr>
      <w:r w:rsidRPr="00765AEC">
        <w:rPr>
          <w:rFonts w:ascii="Arial" w:eastAsia="Times New Roman" w:hAnsi="Arial" w:cs="Arial"/>
          <w:lang w:eastAsia="en-GB"/>
        </w:rPr>
        <w:t xml:space="preserve">Welsh Government (2022b) </w:t>
      </w:r>
      <w:r w:rsidRPr="00765AEC">
        <w:rPr>
          <w:rFonts w:ascii="Arial" w:eastAsia="Times New Roman" w:hAnsi="Arial" w:cs="Arial"/>
          <w:i/>
          <w:iCs/>
          <w:lang w:eastAsia="en-GB"/>
        </w:rPr>
        <w:t>The national resource: evaluation and improvemen</w:t>
      </w:r>
      <w:r w:rsidRPr="00765AEC">
        <w:rPr>
          <w:rFonts w:ascii="Arial" w:eastAsia="Times New Roman" w:hAnsi="Arial" w:cs="Arial"/>
          <w:lang w:eastAsia="en-GB"/>
        </w:rPr>
        <w:t xml:space="preserve">t. Available at: </w:t>
      </w:r>
      <w:hyperlink r:id="rId22" w:tgtFrame="_blank" w:history="1">
        <w:r w:rsidRPr="00765AEC">
          <w:rPr>
            <w:rFonts w:ascii="Arial" w:eastAsia="Times New Roman" w:hAnsi="Arial" w:cs="Arial"/>
            <w:color w:val="0563C1"/>
            <w:u w:val="single"/>
            <w:lang w:eastAsia="en-GB"/>
          </w:rPr>
          <w:t>https://hwb.gov.wales/evaluation-improvement-and-accountability/the-national-resource-evaluation-and-improvement/</w:t>
        </w:r>
      </w:hyperlink>
      <w:r w:rsidRPr="00765AEC">
        <w:rPr>
          <w:rFonts w:ascii="Arial" w:eastAsia="Times New Roman" w:hAnsi="Arial" w:cs="Arial"/>
          <w:lang w:eastAsia="en-GB"/>
        </w:rPr>
        <w:t xml:space="preserve"> (Accessed: 30 March 2023).   </w:t>
      </w:r>
    </w:p>
    <w:p w14:paraId="4096CCD9" w14:textId="77777777" w:rsidR="00765AEC" w:rsidRPr="00765AEC" w:rsidRDefault="00765AEC" w:rsidP="00765AEC">
      <w:pPr>
        <w:spacing w:after="0" w:line="360" w:lineRule="auto"/>
        <w:ind w:left="720" w:hanging="720"/>
        <w:textAlignment w:val="baseline"/>
        <w:rPr>
          <w:rFonts w:ascii="Arial" w:eastAsia="Times New Roman" w:hAnsi="Arial" w:cs="Arial"/>
          <w:lang w:eastAsia="en-GB"/>
        </w:rPr>
      </w:pPr>
      <w:proofErr w:type="spellStart"/>
      <w:r w:rsidRPr="00765AEC">
        <w:rPr>
          <w:rFonts w:ascii="Arial" w:eastAsia="Times New Roman" w:hAnsi="Arial" w:cs="Arial"/>
          <w:lang w:eastAsia="en-GB"/>
        </w:rPr>
        <w:t>Wheadon</w:t>
      </w:r>
      <w:proofErr w:type="spellEnd"/>
      <w:r w:rsidRPr="00765AEC">
        <w:rPr>
          <w:rFonts w:ascii="Arial" w:eastAsia="Times New Roman" w:hAnsi="Arial" w:cs="Arial"/>
          <w:lang w:eastAsia="en-GB"/>
        </w:rPr>
        <w:t xml:space="preserve">, C., </w:t>
      </w:r>
      <w:proofErr w:type="spellStart"/>
      <w:r w:rsidRPr="00765AEC">
        <w:rPr>
          <w:rFonts w:ascii="Arial" w:eastAsia="Times New Roman" w:hAnsi="Arial" w:cs="Arial"/>
          <w:lang w:eastAsia="en-GB"/>
        </w:rPr>
        <w:t>Barmby</w:t>
      </w:r>
      <w:proofErr w:type="spellEnd"/>
      <w:r w:rsidRPr="00765AEC">
        <w:rPr>
          <w:rFonts w:ascii="Arial" w:eastAsia="Times New Roman" w:hAnsi="Arial" w:cs="Arial"/>
          <w:lang w:eastAsia="en-GB"/>
        </w:rPr>
        <w:t xml:space="preserve">, P., Christodoulou, D. and Henderson, B. (2020) ‘A comparative judgement approach to the large-scale assessment of primary writing in England’, </w:t>
      </w:r>
      <w:r w:rsidRPr="00765AEC">
        <w:rPr>
          <w:rFonts w:ascii="Arial" w:eastAsia="Times New Roman" w:hAnsi="Arial" w:cs="Arial"/>
          <w:i/>
          <w:iCs/>
          <w:lang w:eastAsia="en-GB"/>
        </w:rPr>
        <w:t>Assessment in Education: Principles, Policy &amp; Practice</w:t>
      </w:r>
      <w:r w:rsidRPr="00765AEC">
        <w:rPr>
          <w:rFonts w:ascii="Arial" w:eastAsia="Times New Roman" w:hAnsi="Arial" w:cs="Arial"/>
          <w:lang w:eastAsia="en-GB"/>
        </w:rPr>
        <w:t xml:space="preserve">, 27(1), pp. 46-64. DOI: </w:t>
      </w:r>
      <w:hyperlink r:id="rId23" w:tgtFrame="_blank" w:history="1">
        <w:r w:rsidRPr="00765AEC">
          <w:rPr>
            <w:rFonts w:ascii="Arial" w:eastAsia="Times New Roman" w:hAnsi="Arial" w:cs="Arial"/>
            <w:color w:val="0563C1"/>
            <w:u w:val="single"/>
            <w:lang w:eastAsia="en-GB"/>
          </w:rPr>
          <w:t>https://doi.org/10.1080/0969594X.2019.1700212</w:t>
        </w:r>
      </w:hyperlink>
      <w:r w:rsidRPr="00765AEC">
        <w:rPr>
          <w:rFonts w:ascii="Arial" w:eastAsia="Times New Roman" w:hAnsi="Arial" w:cs="Arial"/>
          <w:color w:val="006DB4"/>
          <w:lang w:eastAsia="en-GB"/>
        </w:rPr>
        <w:t> </w:t>
      </w:r>
    </w:p>
    <w:p w14:paraId="67348295" w14:textId="77777777" w:rsidR="00765AEC" w:rsidRPr="00E611D9" w:rsidRDefault="00765AEC" w:rsidP="00765AEC">
      <w:pPr>
        <w:pStyle w:val="AssignBody"/>
      </w:pPr>
    </w:p>
    <w:sectPr w:rsidR="00765AEC" w:rsidRPr="00E611D9">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C38E63" w14:textId="77777777" w:rsidR="00BE3C74" w:rsidRDefault="00BE3C74" w:rsidP="00E611D9">
      <w:pPr>
        <w:spacing w:after="0" w:line="240" w:lineRule="auto"/>
      </w:pPr>
      <w:r>
        <w:separator/>
      </w:r>
    </w:p>
  </w:endnote>
  <w:endnote w:type="continuationSeparator" w:id="0">
    <w:p w14:paraId="3B3DABD7" w14:textId="77777777" w:rsidR="00BE3C74" w:rsidRDefault="00BE3C74"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D58210" w14:textId="77777777" w:rsidR="00BE3C74" w:rsidRDefault="00BE3C74" w:rsidP="00E611D9">
      <w:pPr>
        <w:spacing w:after="0" w:line="240" w:lineRule="auto"/>
      </w:pPr>
      <w:r>
        <w:separator/>
      </w:r>
    </w:p>
  </w:footnote>
  <w:footnote w:type="continuationSeparator" w:id="0">
    <w:p w14:paraId="6EFF924F" w14:textId="77777777" w:rsidR="00BE3C74" w:rsidRDefault="00BE3C74"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0B8C47D3" w:rsidR="00E611D9" w:rsidRPr="00E611D9" w:rsidRDefault="00E611D9">
          <w:pPr>
            <w:pStyle w:val="Header"/>
            <w:rPr>
              <w:rFonts w:ascii="Arial" w:hAnsi="Arial" w:cs="Arial"/>
            </w:rPr>
          </w:pPr>
          <w:r w:rsidRPr="00E611D9">
            <w:rPr>
              <w:rFonts w:ascii="Arial" w:hAnsi="Arial" w:cs="Arial"/>
            </w:rPr>
            <w:t>E</w:t>
          </w:r>
          <w:r>
            <w:rPr>
              <w:rFonts w:ascii="Arial" w:hAnsi="Arial" w:cs="Arial"/>
            </w:rPr>
            <w:t>CA</w:t>
          </w:r>
          <w:r w:rsidR="00765AEC">
            <w:rPr>
              <w:rFonts w:ascii="Arial" w:hAnsi="Arial" w:cs="Arial"/>
            </w:rPr>
            <w:t>D7003</w:t>
          </w:r>
        </w:p>
      </w:tc>
      <w:tc>
        <w:tcPr>
          <w:tcW w:w="4508" w:type="dxa"/>
        </w:tcPr>
        <w:p w14:paraId="51D506A0" w14:textId="7886A81D"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w:t>
          </w:r>
          <w:r w:rsidR="00765AEC">
            <w:rPr>
              <w:rFonts w:ascii="Arial" w:hAnsi="Arial" w:cs="Arial"/>
            </w:rPr>
            <w:t xml:space="preserve"> 2204557</w:t>
          </w:r>
          <w:r>
            <w:rPr>
              <w:rFonts w:ascii="Arial" w:hAnsi="Arial" w:cs="Arial"/>
            </w:rPr>
            <w:t xml:space="preserve"> </w:t>
          </w:r>
        </w:p>
      </w:tc>
    </w:tr>
  </w:tbl>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44331"/>
    <w:rsid w:val="00087FFD"/>
    <w:rsid w:val="001E2A5A"/>
    <w:rsid w:val="002229F0"/>
    <w:rsid w:val="003E55AE"/>
    <w:rsid w:val="00433F17"/>
    <w:rsid w:val="006419C3"/>
    <w:rsid w:val="0065201C"/>
    <w:rsid w:val="00691A46"/>
    <w:rsid w:val="006B5861"/>
    <w:rsid w:val="007600E0"/>
    <w:rsid w:val="00765AEC"/>
    <w:rsid w:val="00817F7A"/>
    <w:rsid w:val="00AD4EBD"/>
    <w:rsid w:val="00BC651E"/>
    <w:rsid w:val="00BE3C74"/>
    <w:rsid w:val="00CD1240"/>
    <w:rsid w:val="00E254A3"/>
    <w:rsid w:val="00E611D9"/>
    <w:rsid w:val="00F04581"/>
    <w:rsid w:val="00FE0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765A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65AEC"/>
  </w:style>
  <w:style w:type="character" w:customStyle="1" w:styleId="eop">
    <w:name w:val="eop"/>
    <w:basedOn w:val="DefaultParagraphFont"/>
    <w:rsid w:val="00765AEC"/>
  </w:style>
  <w:style w:type="paragraph" w:customStyle="1" w:styleId="msonormal0">
    <w:name w:val="msonormal"/>
    <w:basedOn w:val="Normal"/>
    <w:rsid w:val="00765A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765AEC"/>
  </w:style>
  <w:style w:type="character" w:styleId="Hyperlink">
    <w:name w:val="Hyperlink"/>
    <w:basedOn w:val="DefaultParagraphFont"/>
    <w:uiPriority w:val="99"/>
    <w:semiHidden/>
    <w:unhideWhenUsed/>
    <w:rsid w:val="00765AEC"/>
    <w:rPr>
      <w:color w:val="0000FF"/>
      <w:u w:val="single"/>
    </w:rPr>
  </w:style>
  <w:style w:type="character" w:styleId="FollowedHyperlink">
    <w:name w:val="FollowedHyperlink"/>
    <w:basedOn w:val="DefaultParagraphFont"/>
    <w:uiPriority w:val="99"/>
    <w:semiHidden/>
    <w:unhideWhenUsed/>
    <w:rsid w:val="00765AEC"/>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989273">
      <w:bodyDiv w:val="1"/>
      <w:marLeft w:val="0"/>
      <w:marRight w:val="0"/>
      <w:marTop w:val="0"/>
      <w:marBottom w:val="0"/>
      <w:divBdr>
        <w:top w:val="none" w:sz="0" w:space="0" w:color="auto"/>
        <w:left w:val="none" w:sz="0" w:space="0" w:color="auto"/>
        <w:bottom w:val="none" w:sz="0" w:space="0" w:color="auto"/>
        <w:right w:val="none" w:sz="0" w:space="0" w:color="auto"/>
      </w:divBdr>
      <w:divsChild>
        <w:div w:id="1131439149">
          <w:marLeft w:val="0"/>
          <w:marRight w:val="0"/>
          <w:marTop w:val="0"/>
          <w:marBottom w:val="0"/>
          <w:divBdr>
            <w:top w:val="none" w:sz="0" w:space="0" w:color="auto"/>
            <w:left w:val="none" w:sz="0" w:space="0" w:color="auto"/>
            <w:bottom w:val="none" w:sz="0" w:space="0" w:color="auto"/>
            <w:right w:val="none" w:sz="0" w:space="0" w:color="auto"/>
          </w:divBdr>
        </w:div>
        <w:div w:id="805004216">
          <w:marLeft w:val="0"/>
          <w:marRight w:val="0"/>
          <w:marTop w:val="0"/>
          <w:marBottom w:val="0"/>
          <w:divBdr>
            <w:top w:val="none" w:sz="0" w:space="0" w:color="auto"/>
            <w:left w:val="none" w:sz="0" w:space="0" w:color="auto"/>
            <w:bottom w:val="none" w:sz="0" w:space="0" w:color="auto"/>
            <w:right w:val="none" w:sz="0" w:space="0" w:color="auto"/>
          </w:divBdr>
        </w:div>
        <w:div w:id="1103766713">
          <w:marLeft w:val="0"/>
          <w:marRight w:val="0"/>
          <w:marTop w:val="0"/>
          <w:marBottom w:val="0"/>
          <w:divBdr>
            <w:top w:val="none" w:sz="0" w:space="0" w:color="auto"/>
            <w:left w:val="none" w:sz="0" w:space="0" w:color="auto"/>
            <w:bottom w:val="none" w:sz="0" w:space="0" w:color="auto"/>
            <w:right w:val="none" w:sz="0" w:space="0" w:color="auto"/>
          </w:divBdr>
        </w:div>
        <w:div w:id="1448505444">
          <w:marLeft w:val="0"/>
          <w:marRight w:val="0"/>
          <w:marTop w:val="0"/>
          <w:marBottom w:val="0"/>
          <w:divBdr>
            <w:top w:val="none" w:sz="0" w:space="0" w:color="auto"/>
            <w:left w:val="none" w:sz="0" w:space="0" w:color="auto"/>
            <w:bottom w:val="none" w:sz="0" w:space="0" w:color="auto"/>
            <w:right w:val="none" w:sz="0" w:space="0" w:color="auto"/>
          </w:divBdr>
        </w:div>
        <w:div w:id="1686862646">
          <w:marLeft w:val="0"/>
          <w:marRight w:val="0"/>
          <w:marTop w:val="0"/>
          <w:marBottom w:val="0"/>
          <w:divBdr>
            <w:top w:val="none" w:sz="0" w:space="0" w:color="auto"/>
            <w:left w:val="none" w:sz="0" w:space="0" w:color="auto"/>
            <w:bottom w:val="none" w:sz="0" w:space="0" w:color="auto"/>
            <w:right w:val="none" w:sz="0" w:space="0" w:color="auto"/>
          </w:divBdr>
        </w:div>
        <w:div w:id="1768845067">
          <w:marLeft w:val="0"/>
          <w:marRight w:val="0"/>
          <w:marTop w:val="0"/>
          <w:marBottom w:val="0"/>
          <w:divBdr>
            <w:top w:val="none" w:sz="0" w:space="0" w:color="auto"/>
            <w:left w:val="none" w:sz="0" w:space="0" w:color="auto"/>
            <w:bottom w:val="none" w:sz="0" w:space="0" w:color="auto"/>
            <w:right w:val="none" w:sz="0" w:space="0" w:color="auto"/>
          </w:divBdr>
        </w:div>
        <w:div w:id="265426353">
          <w:marLeft w:val="0"/>
          <w:marRight w:val="0"/>
          <w:marTop w:val="0"/>
          <w:marBottom w:val="0"/>
          <w:divBdr>
            <w:top w:val="none" w:sz="0" w:space="0" w:color="auto"/>
            <w:left w:val="none" w:sz="0" w:space="0" w:color="auto"/>
            <w:bottom w:val="none" w:sz="0" w:space="0" w:color="auto"/>
            <w:right w:val="none" w:sz="0" w:space="0" w:color="auto"/>
          </w:divBdr>
        </w:div>
        <w:div w:id="1161234837">
          <w:marLeft w:val="0"/>
          <w:marRight w:val="0"/>
          <w:marTop w:val="0"/>
          <w:marBottom w:val="0"/>
          <w:divBdr>
            <w:top w:val="none" w:sz="0" w:space="0" w:color="auto"/>
            <w:left w:val="none" w:sz="0" w:space="0" w:color="auto"/>
            <w:bottom w:val="none" w:sz="0" w:space="0" w:color="auto"/>
            <w:right w:val="none" w:sz="0" w:space="0" w:color="auto"/>
          </w:divBdr>
        </w:div>
        <w:div w:id="337345485">
          <w:marLeft w:val="0"/>
          <w:marRight w:val="0"/>
          <w:marTop w:val="0"/>
          <w:marBottom w:val="0"/>
          <w:divBdr>
            <w:top w:val="none" w:sz="0" w:space="0" w:color="auto"/>
            <w:left w:val="none" w:sz="0" w:space="0" w:color="auto"/>
            <w:bottom w:val="none" w:sz="0" w:space="0" w:color="auto"/>
            <w:right w:val="none" w:sz="0" w:space="0" w:color="auto"/>
          </w:divBdr>
        </w:div>
        <w:div w:id="604265041">
          <w:marLeft w:val="0"/>
          <w:marRight w:val="0"/>
          <w:marTop w:val="0"/>
          <w:marBottom w:val="0"/>
          <w:divBdr>
            <w:top w:val="none" w:sz="0" w:space="0" w:color="auto"/>
            <w:left w:val="none" w:sz="0" w:space="0" w:color="auto"/>
            <w:bottom w:val="none" w:sz="0" w:space="0" w:color="auto"/>
            <w:right w:val="none" w:sz="0" w:space="0" w:color="auto"/>
          </w:divBdr>
        </w:div>
        <w:div w:id="1728215332">
          <w:marLeft w:val="0"/>
          <w:marRight w:val="0"/>
          <w:marTop w:val="0"/>
          <w:marBottom w:val="0"/>
          <w:divBdr>
            <w:top w:val="none" w:sz="0" w:space="0" w:color="auto"/>
            <w:left w:val="none" w:sz="0" w:space="0" w:color="auto"/>
            <w:bottom w:val="none" w:sz="0" w:space="0" w:color="auto"/>
            <w:right w:val="none" w:sz="0" w:space="0" w:color="auto"/>
          </w:divBdr>
        </w:div>
        <w:div w:id="348216331">
          <w:marLeft w:val="0"/>
          <w:marRight w:val="0"/>
          <w:marTop w:val="0"/>
          <w:marBottom w:val="0"/>
          <w:divBdr>
            <w:top w:val="none" w:sz="0" w:space="0" w:color="auto"/>
            <w:left w:val="none" w:sz="0" w:space="0" w:color="auto"/>
            <w:bottom w:val="none" w:sz="0" w:space="0" w:color="auto"/>
            <w:right w:val="none" w:sz="0" w:space="0" w:color="auto"/>
          </w:divBdr>
        </w:div>
        <w:div w:id="801070925">
          <w:marLeft w:val="0"/>
          <w:marRight w:val="0"/>
          <w:marTop w:val="0"/>
          <w:marBottom w:val="0"/>
          <w:divBdr>
            <w:top w:val="none" w:sz="0" w:space="0" w:color="auto"/>
            <w:left w:val="none" w:sz="0" w:space="0" w:color="auto"/>
            <w:bottom w:val="none" w:sz="0" w:space="0" w:color="auto"/>
            <w:right w:val="none" w:sz="0" w:space="0" w:color="auto"/>
          </w:divBdr>
        </w:div>
        <w:div w:id="524368286">
          <w:marLeft w:val="0"/>
          <w:marRight w:val="0"/>
          <w:marTop w:val="0"/>
          <w:marBottom w:val="0"/>
          <w:divBdr>
            <w:top w:val="none" w:sz="0" w:space="0" w:color="auto"/>
            <w:left w:val="none" w:sz="0" w:space="0" w:color="auto"/>
            <w:bottom w:val="none" w:sz="0" w:space="0" w:color="auto"/>
            <w:right w:val="none" w:sz="0" w:space="0" w:color="auto"/>
          </w:divBdr>
        </w:div>
        <w:div w:id="1782720789">
          <w:marLeft w:val="0"/>
          <w:marRight w:val="0"/>
          <w:marTop w:val="0"/>
          <w:marBottom w:val="0"/>
          <w:divBdr>
            <w:top w:val="none" w:sz="0" w:space="0" w:color="auto"/>
            <w:left w:val="none" w:sz="0" w:space="0" w:color="auto"/>
            <w:bottom w:val="none" w:sz="0" w:space="0" w:color="auto"/>
            <w:right w:val="none" w:sz="0" w:space="0" w:color="auto"/>
          </w:divBdr>
        </w:div>
        <w:div w:id="471755237">
          <w:marLeft w:val="0"/>
          <w:marRight w:val="0"/>
          <w:marTop w:val="0"/>
          <w:marBottom w:val="0"/>
          <w:divBdr>
            <w:top w:val="none" w:sz="0" w:space="0" w:color="auto"/>
            <w:left w:val="none" w:sz="0" w:space="0" w:color="auto"/>
            <w:bottom w:val="none" w:sz="0" w:space="0" w:color="auto"/>
            <w:right w:val="none" w:sz="0" w:space="0" w:color="auto"/>
          </w:divBdr>
        </w:div>
        <w:div w:id="358242346">
          <w:marLeft w:val="0"/>
          <w:marRight w:val="0"/>
          <w:marTop w:val="0"/>
          <w:marBottom w:val="0"/>
          <w:divBdr>
            <w:top w:val="none" w:sz="0" w:space="0" w:color="auto"/>
            <w:left w:val="none" w:sz="0" w:space="0" w:color="auto"/>
            <w:bottom w:val="none" w:sz="0" w:space="0" w:color="auto"/>
            <w:right w:val="none" w:sz="0" w:space="0" w:color="auto"/>
          </w:divBdr>
        </w:div>
        <w:div w:id="1631934302">
          <w:marLeft w:val="0"/>
          <w:marRight w:val="0"/>
          <w:marTop w:val="0"/>
          <w:marBottom w:val="0"/>
          <w:divBdr>
            <w:top w:val="none" w:sz="0" w:space="0" w:color="auto"/>
            <w:left w:val="none" w:sz="0" w:space="0" w:color="auto"/>
            <w:bottom w:val="none" w:sz="0" w:space="0" w:color="auto"/>
            <w:right w:val="none" w:sz="0" w:space="0" w:color="auto"/>
          </w:divBdr>
        </w:div>
        <w:div w:id="1196381881">
          <w:marLeft w:val="0"/>
          <w:marRight w:val="0"/>
          <w:marTop w:val="0"/>
          <w:marBottom w:val="0"/>
          <w:divBdr>
            <w:top w:val="none" w:sz="0" w:space="0" w:color="auto"/>
            <w:left w:val="none" w:sz="0" w:space="0" w:color="auto"/>
            <w:bottom w:val="none" w:sz="0" w:space="0" w:color="auto"/>
            <w:right w:val="none" w:sz="0" w:space="0" w:color="auto"/>
          </w:divBdr>
        </w:div>
        <w:div w:id="637998452">
          <w:marLeft w:val="0"/>
          <w:marRight w:val="0"/>
          <w:marTop w:val="0"/>
          <w:marBottom w:val="0"/>
          <w:divBdr>
            <w:top w:val="none" w:sz="0" w:space="0" w:color="auto"/>
            <w:left w:val="none" w:sz="0" w:space="0" w:color="auto"/>
            <w:bottom w:val="none" w:sz="0" w:space="0" w:color="auto"/>
            <w:right w:val="none" w:sz="0" w:space="0" w:color="auto"/>
          </w:divBdr>
        </w:div>
        <w:div w:id="372775503">
          <w:marLeft w:val="0"/>
          <w:marRight w:val="0"/>
          <w:marTop w:val="0"/>
          <w:marBottom w:val="0"/>
          <w:divBdr>
            <w:top w:val="none" w:sz="0" w:space="0" w:color="auto"/>
            <w:left w:val="none" w:sz="0" w:space="0" w:color="auto"/>
            <w:bottom w:val="none" w:sz="0" w:space="0" w:color="auto"/>
            <w:right w:val="none" w:sz="0" w:space="0" w:color="auto"/>
          </w:divBdr>
        </w:div>
        <w:div w:id="1476217135">
          <w:marLeft w:val="0"/>
          <w:marRight w:val="0"/>
          <w:marTop w:val="0"/>
          <w:marBottom w:val="0"/>
          <w:divBdr>
            <w:top w:val="none" w:sz="0" w:space="0" w:color="auto"/>
            <w:left w:val="none" w:sz="0" w:space="0" w:color="auto"/>
            <w:bottom w:val="none" w:sz="0" w:space="0" w:color="auto"/>
            <w:right w:val="none" w:sz="0" w:space="0" w:color="auto"/>
          </w:divBdr>
        </w:div>
        <w:div w:id="791166944">
          <w:marLeft w:val="0"/>
          <w:marRight w:val="0"/>
          <w:marTop w:val="0"/>
          <w:marBottom w:val="0"/>
          <w:divBdr>
            <w:top w:val="none" w:sz="0" w:space="0" w:color="auto"/>
            <w:left w:val="none" w:sz="0" w:space="0" w:color="auto"/>
            <w:bottom w:val="none" w:sz="0" w:space="0" w:color="auto"/>
            <w:right w:val="none" w:sz="0" w:space="0" w:color="auto"/>
          </w:divBdr>
        </w:div>
        <w:div w:id="28846374">
          <w:marLeft w:val="0"/>
          <w:marRight w:val="0"/>
          <w:marTop w:val="0"/>
          <w:marBottom w:val="0"/>
          <w:divBdr>
            <w:top w:val="none" w:sz="0" w:space="0" w:color="auto"/>
            <w:left w:val="none" w:sz="0" w:space="0" w:color="auto"/>
            <w:bottom w:val="none" w:sz="0" w:space="0" w:color="auto"/>
            <w:right w:val="none" w:sz="0" w:space="0" w:color="auto"/>
          </w:divBdr>
        </w:div>
        <w:div w:id="607540670">
          <w:marLeft w:val="0"/>
          <w:marRight w:val="0"/>
          <w:marTop w:val="0"/>
          <w:marBottom w:val="0"/>
          <w:divBdr>
            <w:top w:val="none" w:sz="0" w:space="0" w:color="auto"/>
            <w:left w:val="none" w:sz="0" w:space="0" w:color="auto"/>
            <w:bottom w:val="none" w:sz="0" w:space="0" w:color="auto"/>
            <w:right w:val="none" w:sz="0" w:space="0" w:color="auto"/>
          </w:divBdr>
        </w:div>
        <w:div w:id="171379501">
          <w:marLeft w:val="0"/>
          <w:marRight w:val="0"/>
          <w:marTop w:val="0"/>
          <w:marBottom w:val="0"/>
          <w:divBdr>
            <w:top w:val="none" w:sz="0" w:space="0" w:color="auto"/>
            <w:left w:val="none" w:sz="0" w:space="0" w:color="auto"/>
            <w:bottom w:val="none" w:sz="0" w:space="0" w:color="auto"/>
            <w:right w:val="none" w:sz="0" w:space="0" w:color="auto"/>
          </w:divBdr>
        </w:div>
        <w:div w:id="1032464430">
          <w:marLeft w:val="0"/>
          <w:marRight w:val="0"/>
          <w:marTop w:val="0"/>
          <w:marBottom w:val="0"/>
          <w:divBdr>
            <w:top w:val="none" w:sz="0" w:space="0" w:color="auto"/>
            <w:left w:val="none" w:sz="0" w:space="0" w:color="auto"/>
            <w:bottom w:val="none" w:sz="0" w:space="0" w:color="auto"/>
            <w:right w:val="none" w:sz="0" w:space="0" w:color="auto"/>
          </w:divBdr>
        </w:div>
        <w:div w:id="1876961982">
          <w:marLeft w:val="0"/>
          <w:marRight w:val="0"/>
          <w:marTop w:val="0"/>
          <w:marBottom w:val="0"/>
          <w:divBdr>
            <w:top w:val="none" w:sz="0" w:space="0" w:color="auto"/>
            <w:left w:val="none" w:sz="0" w:space="0" w:color="auto"/>
            <w:bottom w:val="none" w:sz="0" w:space="0" w:color="auto"/>
            <w:right w:val="none" w:sz="0" w:space="0" w:color="auto"/>
          </w:divBdr>
        </w:div>
        <w:div w:id="1524710605">
          <w:marLeft w:val="0"/>
          <w:marRight w:val="0"/>
          <w:marTop w:val="0"/>
          <w:marBottom w:val="0"/>
          <w:divBdr>
            <w:top w:val="none" w:sz="0" w:space="0" w:color="auto"/>
            <w:left w:val="none" w:sz="0" w:space="0" w:color="auto"/>
            <w:bottom w:val="none" w:sz="0" w:space="0" w:color="auto"/>
            <w:right w:val="none" w:sz="0" w:space="0" w:color="auto"/>
          </w:divBdr>
        </w:div>
        <w:div w:id="283462051">
          <w:marLeft w:val="0"/>
          <w:marRight w:val="0"/>
          <w:marTop w:val="0"/>
          <w:marBottom w:val="0"/>
          <w:divBdr>
            <w:top w:val="none" w:sz="0" w:space="0" w:color="auto"/>
            <w:left w:val="none" w:sz="0" w:space="0" w:color="auto"/>
            <w:bottom w:val="none" w:sz="0" w:space="0" w:color="auto"/>
            <w:right w:val="none" w:sz="0" w:space="0" w:color="auto"/>
          </w:divBdr>
        </w:div>
        <w:div w:id="295068508">
          <w:marLeft w:val="0"/>
          <w:marRight w:val="0"/>
          <w:marTop w:val="0"/>
          <w:marBottom w:val="0"/>
          <w:divBdr>
            <w:top w:val="none" w:sz="0" w:space="0" w:color="auto"/>
            <w:left w:val="none" w:sz="0" w:space="0" w:color="auto"/>
            <w:bottom w:val="none" w:sz="0" w:space="0" w:color="auto"/>
            <w:right w:val="none" w:sz="0" w:space="0" w:color="auto"/>
          </w:divBdr>
        </w:div>
        <w:div w:id="1654093256">
          <w:marLeft w:val="0"/>
          <w:marRight w:val="0"/>
          <w:marTop w:val="0"/>
          <w:marBottom w:val="0"/>
          <w:divBdr>
            <w:top w:val="none" w:sz="0" w:space="0" w:color="auto"/>
            <w:left w:val="none" w:sz="0" w:space="0" w:color="auto"/>
            <w:bottom w:val="none" w:sz="0" w:space="0" w:color="auto"/>
            <w:right w:val="none" w:sz="0" w:space="0" w:color="auto"/>
          </w:divBdr>
        </w:div>
        <w:div w:id="453790897">
          <w:marLeft w:val="0"/>
          <w:marRight w:val="0"/>
          <w:marTop w:val="0"/>
          <w:marBottom w:val="0"/>
          <w:divBdr>
            <w:top w:val="none" w:sz="0" w:space="0" w:color="auto"/>
            <w:left w:val="none" w:sz="0" w:space="0" w:color="auto"/>
            <w:bottom w:val="none" w:sz="0" w:space="0" w:color="auto"/>
            <w:right w:val="none" w:sz="0" w:space="0" w:color="auto"/>
          </w:divBdr>
        </w:div>
        <w:div w:id="913662463">
          <w:marLeft w:val="0"/>
          <w:marRight w:val="0"/>
          <w:marTop w:val="0"/>
          <w:marBottom w:val="0"/>
          <w:divBdr>
            <w:top w:val="none" w:sz="0" w:space="0" w:color="auto"/>
            <w:left w:val="none" w:sz="0" w:space="0" w:color="auto"/>
            <w:bottom w:val="none" w:sz="0" w:space="0" w:color="auto"/>
            <w:right w:val="none" w:sz="0" w:space="0" w:color="auto"/>
          </w:divBdr>
        </w:div>
        <w:div w:id="349378660">
          <w:marLeft w:val="0"/>
          <w:marRight w:val="0"/>
          <w:marTop w:val="0"/>
          <w:marBottom w:val="0"/>
          <w:divBdr>
            <w:top w:val="none" w:sz="0" w:space="0" w:color="auto"/>
            <w:left w:val="none" w:sz="0" w:space="0" w:color="auto"/>
            <w:bottom w:val="none" w:sz="0" w:space="0" w:color="auto"/>
            <w:right w:val="none" w:sz="0" w:space="0" w:color="auto"/>
          </w:divBdr>
        </w:div>
        <w:div w:id="848174170">
          <w:marLeft w:val="0"/>
          <w:marRight w:val="0"/>
          <w:marTop w:val="0"/>
          <w:marBottom w:val="0"/>
          <w:divBdr>
            <w:top w:val="none" w:sz="0" w:space="0" w:color="auto"/>
            <w:left w:val="none" w:sz="0" w:space="0" w:color="auto"/>
            <w:bottom w:val="none" w:sz="0" w:space="0" w:color="auto"/>
            <w:right w:val="none" w:sz="0" w:space="0" w:color="auto"/>
          </w:divBdr>
        </w:div>
        <w:div w:id="1233272509">
          <w:marLeft w:val="0"/>
          <w:marRight w:val="0"/>
          <w:marTop w:val="0"/>
          <w:marBottom w:val="0"/>
          <w:divBdr>
            <w:top w:val="none" w:sz="0" w:space="0" w:color="auto"/>
            <w:left w:val="none" w:sz="0" w:space="0" w:color="auto"/>
            <w:bottom w:val="none" w:sz="0" w:space="0" w:color="auto"/>
            <w:right w:val="none" w:sz="0" w:space="0" w:color="auto"/>
          </w:divBdr>
        </w:div>
        <w:div w:id="1973048356">
          <w:marLeft w:val="0"/>
          <w:marRight w:val="0"/>
          <w:marTop w:val="0"/>
          <w:marBottom w:val="0"/>
          <w:divBdr>
            <w:top w:val="none" w:sz="0" w:space="0" w:color="auto"/>
            <w:left w:val="none" w:sz="0" w:space="0" w:color="auto"/>
            <w:bottom w:val="none" w:sz="0" w:space="0" w:color="auto"/>
            <w:right w:val="none" w:sz="0" w:space="0" w:color="auto"/>
          </w:divBdr>
        </w:div>
        <w:div w:id="217280013">
          <w:marLeft w:val="0"/>
          <w:marRight w:val="0"/>
          <w:marTop w:val="0"/>
          <w:marBottom w:val="0"/>
          <w:divBdr>
            <w:top w:val="none" w:sz="0" w:space="0" w:color="auto"/>
            <w:left w:val="none" w:sz="0" w:space="0" w:color="auto"/>
            <w:bottom w:val="none" w:sz="0" w:space="0" w:color="auto"/>
            <w:right w:val="none" w:sz="0" w:space="0" w:color="auto"/>
          </w:divBdr>
        </w:div>
        <w:div w:id="58796726">
          <w:marLeft w:val="0"/>
          <w:marRight w:val="0"/>
          <w:marTop w:val="0"/>
          <w:marBottom w:val="0"/>
          <w:divBdr>
            <w:top w:val="none" w:sz="0" w:space="0" w:color="auto"/>
            <w:left w:val="none" w:sz="0" w:space="0" w:color="auto"/>
            <w:bottom w:val="none" w:sz="0" w:space="0" w:color="auto"/>
            <w:right w:val="none" w:sz="0" w:space="0" w:color="auto"/>
          </w:divBdr>
        </w:div>
        <w:div w:id="651953276">
          <w:marLeft w:val="0"/>
          <w:marRight w:val="0"/>
          <w:marTop w:val="0"/>
          <w:marBottom w:val="0"/>
          <w:divBdr>
            <w:top w:val="none" w:sz="0" w:space="0" w:color="auto"/>
            <w:left w:val="none" w:sz="0" w:space="0" w:color="auto"/>
            <w:bottom w:val="none" w:sz="0" w:space="0" w:color="auto"/>
            <w:right w:val="none" w:sz="0" w:space="0" w:color="auto"/>
          </w:divBdr>
        </w:div>
        <w:div w:id="10108861">
          <w:marLeft w:val="0"/>
          <w:marRight w:val="0"/>
          <w:marTop w:val="0"/>
          <w:marBottom w:val="0"/>
          <w:divBdr>
            <w:top w:val="none" w:sz="0" w:space="0" w:color="auto"/>
            <w:left w:val="none" w:sz="0" w:space="0" w:color="auto"/>
            <w:bottom w:val="none" w:sz="0" w:space="0" w:color="auto"/>
            <w:right w:val="none" w:sz="0" w:space="0" w:color="auto"/>
          </w:divBdr>
        </w:div>
        <w:div w:id="1260141601">
          <w:marLeft w:val="0"/>
          <w:marRight w:val="0"/>
          <w:marTop w:val="0"/>
          <w:marBottom w:val="0"/>
          <w:divBdr>
            <w:top w:val="none" w:sz="0" w:space="0" w:color="auto"/>
            <w:left w:val="none" w:sz="0" w:space="0" w:color="auto"/>
            <w:bottom w:val="none" w:sz="0" w:space="0" w:color="auto"/>
            <w:right w:val="none" w:sz="0" w:space="0" w:color="auto"/>
          </w:divBdr>
        </w:div>
        <w:div w:id="1625426481">
          <w:marLeft w:val="0"/>
          <w:marRight w:val="0"/>
          <w:marTop w:val="0"/>
          <w:marBottom w:val="0"/>
          <w:divBdr>
            <w:top w:val="none" w:sz="0" w:space="0" w:color="auto"/>
            <w:left w:val="none" w:sz="0" w:space="0" w:color="auto"/>
            <w:bottom w:val="none" w:sz="0" w:space="0" w:color="auto"/>
            <w:right w:val="none" w:sz="0" w:space="0" w:color="auto"/>
          </w:divBdr>
        </w:div>
        <w:div w:id="2084066874">
          <w:marLeft w:val="0"/>
          <w:marRight w:val="0"/>
          <w:marTop w:val="0"/>
          <w:marBottom w:val="0"/>
          <w:divBdr>
            <w:top w:val="none" w:sz="0" w:space="0" w:color="auto"/>
            <w:left w:val="none" w:sz="0" w:space="0" w:color="auto"/>
            <w:bottom w:val="none" w:sz="0" w:space="0" w:color="auto"/>
            <w:right w:val="none" w:sz="0" w:space="0" w:color="auto"/>
          </w:divBdr>
        </w:div>
        <w:div w:id="87845985">
          <w:marLeft w:val="0"/>
          <w:marRight w:val="0"/>
          <w:marTop w:val="0"/>
          <w:marBottom w:val="0"/>
          <w:divBdr>
            <w:top w:val="none" w:sz="0" w:space="0" w:color="auto"/>
            <w:left w:val="none" w:sz="0" w:space="0" w:color="auto"/>
            <w:bottom w:val="none" w:sz="0" w:space="0" w:color="auto"/>
            <w:right w:val="none" w:sz="0" w:space="0" w:color="auto"/>
          </w:divBdr>
        </w:div>
        <w:div w:id="2078165564">
          <w:marLeft w:val="0"/>
          <w:marRight w:val="0"/>
          <w:marTop w:val="0"/>
          <w:marBottom w:val="0"/>
          <w:divBdr>
            <w:top w:val="none" w:sz="0" w:space="0" w:color="auto"/>
            <w:left w:val="none" w:sz="0" w:space="0" w:color="auto"/>
            <w:bottom w:val="none" w:sz="0" w:space="0" w:color="auto"/>
            <w:right w:val="none" w:sz="0" w:space="0" w:color="auto"/>
          </w:divBdr>
        </w:div>
        <w:div w:id="15009526">
          <w:marLeft w:val="0"/>
          <w:marRight w:val="0"/>
          <w:marTop w:val="0"/>
          <w:marBottom w:val="0"/>
          <w:divBdr>
            <w:top w:val="none" w:sz="0" w:space="0" w:color="auto"/>
            <w:left w:val="none" w:sz="0" w:space="0" w:color="auto"/>
            <w:bottom w:val="none" w:sz="0" w:space="0" w:color="auto"/>
            <w:right w:val="none" w:sz="0" w:space="0" w:color="auto"/>
          </w:divBdr>
        </w:div>
      </w:divsChild>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465390928">
      <w:bodyDiv w:val="1"/>
      <w:marLeft w:val="0"/>
      <w:marRight w:val="0"/>
      <w:marTop w:val="0"/>
      <w:marBottom w:val="0"/>
      <w:divBdr>
        <w:top w:val="none" w:sz="0" w:space="0" w:color="auto"/>
        <w:left w:val="none" w:sz="0" w:space="0" w:color="auto"/>
        <w:bottom w:val="none" w:sz="0" w:space="0" w:color="auto"/>
        <w:right w:val="none" w:sz="0" w:space="0" w:color="auto"/>
      </w:divBdr>
      <w:divsChild>
        <w:div w:id="1435442897">
          <w:marLeft w:val="0"/>
          <w:marRight w:val="0"/>
          <w:marTop w:val="0"/>
          <w:marBottom w:val="0"/>
          <w:divBdr>
            <w:top w:val="none" w:sz="0" w:space="0" w:color="auto"/>
            <w:left w:val="none" w:sz="0" w:space="0" w:color="auto"/>
            <w:bottom w:val="none" w:sz="0" w:space="0" w:color="auto"/>
            <w:right w:val="none" w:sz="0" w:space="0" w:color="auto"/>
          </w:divBdr>
        </w:div>
        <w:div w:id="957881433">
          <w:marLeft w:val="0"/>
          <w:marRight w:val="0"/>
          <w:marTop w:val="0"/>
          <w:marBottom w:val="0"/>
          <w:divBdr>
            <w:top w:val="none" w:sz="0" w:space="0" w:color="auto"/>
            <w:left w:val="none" w:sz="0" w:space="0" w:color="auto"/>
            <w:bottom w:val="none" w:sz="0" w:space="0" w:color="auto"/>
            <w:right w:val="none" w:sz="0" w:space="0" w:color="auto"/>
          </w:divBdr>
        </w:div>
        <w:div w:id="5651890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rive.google.com/file/d/1_r_KjjwnUZ1sQ_xeY_Rd36Ut70zYfBnc/view" TargetMode="External"/><Relationship Id="rId18" Type="http://schemas.openxmlformats.org/officeDocument/2006/relationships/hyperlink" Target="https://psycnet.apa.org/doi/10.1037/edu0000190"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gov.wales/sites/default/files/pdf-versions/2022/7/3/1657103361/school-improvement-guidance-impact-assessment.pdf" TargetMode="External"/><Relationship Id="rId7" Type="http://schemas.openxmlformats.org/officeDocument/2006/relationships/footnotes" Target="footnotes.xml"/><Relationship Id="rId12" Type="http://schemas.openxmlformats.org/officeDocument/2006/relationships/hyperlink" Target="https://www.gov.wales/sites/default/files/publications/2018-03/successful-futures.pdf" TargetMode="External"/><Relationship Id="rId17" Type="http://schemas.openxmlformats.org/officeDocument/2006/relationships/hyperlink" Target="https://doi.org/10.17239/jowr-2017.09.02.04"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oi.org/10.1016/j.asw.2010.01.003" TargetMode="External"/><Relationship Id="rId20" Type="http://schemas.openxmlformats.org/officeDocument/2006/relationships/hyperlink" Target="https://www.gov.wales/sites/default/files/publications/2021-11/curriculum-for-wales-statements-of-what-matters-code.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02/berj.3162"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ww.nomoremarking.com/?gclid=Cj0KCQjwuLShBhC_ARIsAFod4fKkd6kUUOUS5dWhF7KkZHmlBmIq3xjEewDl3qcFjiM45NewkG0jUtgaAimiEALw_wcB&amp;countryCode=GB" TargetMode="External"/><Relationship Id="rId23" Type="http://schemas.openxmlformats.org/officeDocument/2006/relationships/hyperlink" Target="https://doi.org/10.1080/0969594X.2019.1700212" TargetMode="External"/><Relationship Id="rId10" Type="http://schemas.openxmlformats.org/officeDocument/2006/relationships/hyperlink" Target="https://doi.org/10.1177/0265532214542994" TargetMode="External"/><Relationship Id="rId19" Type="http://schemas.openxmlformats.org/officeDocument/2006/relationships/hyperlink" Target="https://www.gov.wales/sites/default/files/publications/2018-03/school-development-plans.pdf" TargetMode="External"/><Relationship Id="rId4" Type="http://schemas.openxmlformats.org/officeDocument/2006/relationships/styles" Target="styles.xml"/><Relationship Id="rId9" Type="http://schemas.openxmlformats.org/officeDocument/2006/relationships/hyperlink" Target="https://dspace.stir.ac.uk/bitstream/1893/32458/1/Assessment%20for%20learning%2010%20principles%202002.pdf" TargetMode="External"/><Relationship Id="rId14" Type="http://schemas.openxmlformats.org/officeDocument/2006/relationships/hyperlink" Target="https://doi.org/10.1086/681947" TargetMode="External"/><Relationship Id="rId22" Type="http://schemas.openxmlformats.org/officeDocument/2006/relationships/hyperlink" Target="https://hwb.gov.wales/evaluation-improvement-and-accountability/the-national-resource-evaluation-and-improvemen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2.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Pages>
  <Words>3500</Words>
  <Characters>19952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Jennifer Tyler (2204557)</cp:lastModifiedBy>
  <cp:revision>4</cp:revision>
  <dcterms:created xsi:type="dcterms:W3CDTF">2023-04-12T11:03:00Z</dcterms:created>
  <dcterms:modified xsi:type="dcterms:W3CDTF">2023-04-12T12:38:00Z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