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BB6083" w14:textId="4E724F11" w:rsidR="002164CC" w:rsidRDefault="002164CC" w:rsidP="00F24FE0">
      <w:pPr>
        <w:spacing w:line="360" w:lineRule="auto"/>
      </w:pPr>
      <w:r>
        <w:t xml:space="preserve"> </w:t>
      </w:r>
    </w:p>
    <w:sdt>
      <w:sdtPr>
        <w:id w:val="341446838"/>
        <w:docPartObj>
          <w:docPartGallery w:val="Cover Pages"/>
          <w:docPartUnique/>
        </w:docPartObj>
      </w:sdtPr>
      <w:sdtContent>
        <w:p w14:paraId="0BA7F5FE" w14:textId="1148AA56" w:rsidR="00ED4C1A" w:rsidRDefault="00BF7DE6" w:rsidP="00F24FE0">
          <w:pPr>
            <w:spacing w:line="360" w:lineRule="auto"/>
          </w:pPr>
          <w:r>
            <w:rPr>
              <w:noProof/>
            </w:rPr>
            <mc:AlternateContent>
              <mc:Choice Requires="wps">
                <w:drawing>
                  <wp:anchor distT="0" distB="0" distL="114300" distR="114300" simplePos="0" relativeHeight="251660288" behindDoc="0" locked="0" layoutInCell="1" allowOverlap="1" wp14:anchorId="7FCDBAC6" wp14:editId="0BD1EB70">
                    <wp:simplePos x="0" y="0"/>
                    <wp:positionH relativeFrom="page">
                      <wp:posOffset>3436620</wp:posOffset>
                    </wp:positionH>
                    <wp:positionV relativeFrom="page">
                      <wp:posOffset>266700</wp:posOffset>
                    </wp:positionV>
                    <wp:extent cx="2875915" cy="3131185"/>
                    <wp:effectExtent l="0" t="0" r="3175" b="0"/>
                    <wp:wrapNone/>
                    <wp:docPr id="467" name="Rectangle 259"/>
                    <wp:cNvGraphicFramePr/>
                    <a:graphic xmlns:a="http://schemas.openxmlformats.org/drawingml/2006/main">
                      <a:graphicData uri="http://schemas.microsoft.com/office/word/2010/wordprocessingShape">
                        <wps:wsp>
                          <wps:cNvSpPr/>
                          <wps:spPr>
                            <a:xfrm>
                              <a:off x="0" y="0"/>
                              <a:ext cx="2875915" cy="3131185"/>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5C491EA" w14:textId="0C42D52C" w:rsidR="00ED4C1A" w:rsidRDefault="00000000" w:rsidP="0051145D">
                                <w:pPr>
                                  <w:spacing w:before="240"/>
                                  <w:jc w:val="center"/>
                                  <w:rPr>
                                    <w:color w:val="FFFFFF" w:themeColor="background1"/>
                                  </w:rPr>
                                </w:pPr>
                                <w:sdt>
                                  <w:sdtPr>
                                    <w:rPr>
                                      <w:rFonts w:ascii="Bell MT" w:hAnsi="Bell MT"/>
                                      <w:color w:val="D9E2F3" w:themeColor="accent1" w:themeTint="33"/>
                                      <w:sz w:val="24"/>
                                      <w:szCs w:val="24"/>
                                    </w:rPr>
                                    <w:alias w:val="Abstract"/>
                                    <w:id w:val="8276291"/>
                                    <w:dataBinding w:prefixMappings="xmlns:ns0='http://schemas.microsoft.com/office/2006/coverPageProps'" w:xpath="/ns0:CoverPageProperties[1]/ns0:Abstract[1]" w:storeItemID="{55AF091B-3C7A-41E3-B477-F2FDAA23CFDA}"/>
                                    <w:text/>
                                  </w:sdtPr>
                                  <w:sdtContent>
                                    <w:r w:rsidR="0051145D" w:rsidRPr="0051145D">
                                      <w:rPr>
                                        <w:rFonts w:ascii="Bell MT" w:hAnsi="Bell MT"/>
                                        <w:color w:val="D9E2F3" w:themeColor="accent1" w:themeTint="33"/>
                                        <w:sz w:val="24"/>
                                        <w:szCs w:val="24"/>
                                      </w:rPr>
                                      <w:t xml:space="preserve">Lecturer:  Neale Haddon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0</wp14:pctHeight>
                    </wp14:sizeRelV>
                  </wp:anchor>
                </w:drawing>
              </mc:Choice>
              <mc:Fallback>
                <w:pict>
                  <v:rect w14:anchorId="7FCDBAC6" id="Rectangle 259" o:spid="_x0000_s1026" style="position:absolute;margin-left:270.6pt;margin-top:21pt;width:226.45pt;height:246.55pt;z-index:251660288;visibility:visible;mso-wrap-style:square;mso-width-percent:370;mso-height-percent:0;mso-wrap-distance-left:9pt;mso-wrap-distance-top:0;mso-wrap-distance-right:9pt;mso-wrap-distance-bottom:0;mso-position-horizontal:absolute;mso-position-horizontal-relative:page;mso-position-vertical:absolute;mso-position-vertical-relative:page;mso-width-percent:37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" fillcolor="#44546a [3215]" stroked="f" strokeweight="1pt">
                    <v:textbox inset="14.4pt,14.4pt,14.4pt,28.8pt">
                      <w:txbxContent>
                        <w:p w14:paraId="65C491EA" w14:textId="0C42D52C" w:rsidR="00ED4C1A" w:rsidRDefault="00000000" w:rsidP="0051145D">
                          <w:pPr>
                            <w:spacing w:before="240"/>
                            <w:jc w:val="center"/>
                            <w:rPr>
                              <w:color w:val="FFFFFF" w:themeColor="background1"/>
                            </w:rPr>
                          </w:pPr>
                          <w:sdt>
                            <w:sdtPr>
                              <w:rPr>
                                <w:rFonts w:ascii="Bell MT" w:hAnsi="Bell MT"/>
                                <w:color w:val="D9E2F3" w:themeColor="accent1" w:themeTint="33"/>
                                <w:sz w:val="24"/>
                                <w:szCs w:val="24"/>
                              </w:rPr>
                              <w:alias w:val="Abstract"/>
                              <w:id w:val="8276291"/>
                              <w:dataBinding w:prefixMappings="xmlns:ns0='http://schemas.microsoft.com/office/2006/coverPageProps'" w:xpath="/ns0:CoverPageProperties[1]/ns0:Abstract[1]" w:storeItemID="{55AF091B-3C7A-41E3-B477-F2FDAA23CFDA}"/>
                              <w:text/>
                            </w:sdtPr>
                            <w:sdtContent>
                              <w:r w:rsidR="0051145D" w:rsidRPr="0051145D">
                                <w:rPr>
                                  <w:rFonts w:ascii="Bell MT" w:hAnsi="Bell MT"/>
                                  <w:color w:val="D9E2F3" w:themeColor="accent1" w:themeTint="33"/>
                                  <w:sz w:val="24"/>
                                  <w:szCs w:val="24"/>
                                </w:rPr>
                                <w:t xml:space="preserve">Lecturer:  Neale Haddon  </w:t>
                              </w:r>
                            </w:sdtContent>
                          </w:sdt>
                        </w:p>
                      </w:txbxContent>
                    </v:textbox>
                    <w10:wrap anchorx="page" anchory="page"/>
                  </v:rect>
                </w:pict>
              </mc:Fallback>
            </mc:AlternateContent>
          </w:r>
          <w:r w:rsidR="00ED4C1A">
            <w:rPr>
              <w:noProof/>
            </w:rPr>
            <mc:AlternateContent>
              <mc:Choice Requires="wps">
                <w:drawing>
                  <wp:anchor distT="0" distB="0" distL="114300" distR="114300" simplePos="0" relativeHeight="251663360" behindDoc="1" locked="0" layoutInCell="1" allowOverlap="1" wp14:anchorId="246274EF" wp14:editId="50C9C9F7">
                    <wp:simplePos x="0" y="0"/>
                    <wp:positionH relativeFrom="page">
                      <wp:align>center</wp:align>
                    </wp:positionH>
                    <wp:positionV relativeFrom="page">
                      <wp:align>center</wp:align>
                    </wp:positionV>
                    <wp:extent cx="7383780" cy="9555480"/>
                    <wp:effectExtent l="0" t="0" r="7620" b="7620"/>
                    <wp:wrapNone/>
                    <wp:docPr id="466" name="Rectangle 2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144CEA48" w14:textId="77777777" w:rsidR="00ED4C1A" w:rsidRDefault="00ED4C1A" w:rsidP="0051145D">
                                <w:pPr>
                                  <w:jc w:val="center"/>
                                </w:pPr>
                              </w:p>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246274EF" id="Rectangle 257"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d9e2f3 [660]" stroked="f" strokeweight="1pt">
                    <v:fill color2="#8eaadb [1940]" rotate="t" focus="100%" type="gradient">
                      <o:fill v:ext="view" type="gradientUnscaled"/>
                    </v:fill>
                    <v:textbox inset="21.6pt,,21.6pt">
                      <w:txbxContent>
                        <w:p w14:paraId="144CEA48" w14:textId="77777777" w:rsidR="00ED4C1A" w:rsidRDefault="00ED4C1A" w:rsidP="0051145D">
                          <w:pPr>
                            <w:jc w:val="center"/>
                          </w:pPr>
                        </w:p>
                      </w:txbxContent>
                    </v:textbox>
                    <w10:wrap anchorx="page" anchory="page"/>
                  </v:rect>
                </w:pict>
              </mc:Fallback>
            </mc:AlternateContent>
          </w:r>
          <w:r w:rsidR="00ED4C1A">
            <w:rPr>
              <w:noProof/>
            </w:rPr>
            <mc:AlternateContent>
              <mc:Choice Requires="wps">
                <w:drawing>
                  <wp:anchor distT="0" distB="0" distL="114300" distR="114300" simplePos="0" relativeHeight="251659264" behindDoc="0" locked="0" layoutInCell="1" allowOverlap="1" wp14:anchorId="50386CFE" wp14:editId="1FBA3CD1">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261"/>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43998B0C" id="Rectangle 261"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47070 [1614]" strokeweight="1.25pt">
                    <w10:wrap anchorx="page" anchory="page"/>
                  </v:rect>
                </w:pict>
              </mc:Fallback>
            </mc:AlternateContent>
          </w:r>
          <w:r w:rsidR="00ED4C1A">
            <w:rPr>
              <w:noProof/>
            </w:rPr>
            <mc:AlternateContent>
              <mc:Choice Requires="wps">
                <w:drawing>
                  <wp:anchor distT="0" distB="0" distL="114300" distR="114300" simplePos="0" relativeHeight="251662336" behindDoc="0" locked="0" layoutInCell="1" allowOverlap="1" wp14:anchorId="46BBF105" wp14:editId="331A3784">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26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31109439" id="Rectangle 263"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4472c4 [3204]" stroked="f" strokeweight="1pt">
                    <w10:wrap anchorx="page" anchory="page"/>
                  </v:rect>
                </w:pict>
              </mc:Fallback>
            </mc:AlternateContent>
          </w:r>
          <w:r w:rsidR="00ED4C1A">
            <w:rPr>
              <w:noProof/>
            </w:rPr>
            <mc:AlternateContent>
              <mc:Choice Requires="wps">
                <w:drawing>
                  <wp:anchor distT="0" distB="0" distL="114300" distR="114300" simplePos="0" relativeHeight="251661312" behindDoc="0" locked="0" layoutInCell="1" allowOverlap="1" wp14:anchorId="0FD08F9C" wp14:editId="4F22002E">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265"/>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Garamond" w:eastAsiaTheme="majorEastAsia" w:hAnsi="Garamond" w:cstheme="majorBidi"/>
                                    <w:color w:val="4472C4" w:themeColor="accent1"/>
                                    <w:sz w:val="56"/>
                                    <w:szCs w:val="56"/>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411E9BF8" w14:textId="5283606F" w:rsidR="00ED4C1A" w:rsidRDefault="00ED4C1A">
                                    <w:pPr>
                                      <w:rPr>
                                        <w:rFonts w:asciiTheme="majorHAnsi" w:eastAsiaTheme="majorEastAsia" w:hAnsiTheme="majorHAnsi" w:cstheme="majorBidi"/>
                                        <w:color w:val="4472C4" w:themeColor="accent1"/>
                                        <w:sz w:val="72"/>
                                        <w:szCs w:val="72"/>
                                      </w:rPr>
                                    </w:pPr>
                                    <w:r w:rsidRPr="00ED4C1A">
                                      <w:rPr>
                                        <w:rFonts w:ascii="Garamond" w:eastAsiaTheme="majorEastAsia" w:hAnsi="Garamond" w:cstheme="majorBidi"/>
                                        <w:color w:val="4472C4" w:themeColor="accent1"/>
                                        <w:sz w:val="56"/>
                                        <w:szCs w:val="56"/>
                                      </w:rPr>
                                      <w:t xml:space="preserve">Component </w:t>
                                    </w:r>
                                    <w:r w:rsidR="00F24FE0">
                                      <w:rPr>
                                        <w:rFonts w:ascii="Garamond" w:eastAsiaTheme="majorEastAsia" w:hAnsi="Garamond" w:cstheme="majorBidi"/>
                                        <w:color w:val="4472C4" w:themeColor="accent1"/>
                                        <w:sz w:val="56"/>
                                        <w:szCs w:val="56"/>
                                      </w:rPr>
                                      <w:t>2</w:t>
                                    </w:r>
                                    <w:r w:rsidRPr="00ED4C1A">
                                      <w:rPr>
                                        <w:rFonts w:ascii="Garamond" w:eastAsiaTheme="majorEastAsia" w:hAnsi="Garamond" w:cstheme="majorBidi"/>
                                        <w:color w:val="4472C4" w:themeColor="accent1"/>
                                        <w:sz w:val="56"/>
                                        <w:szCs w:val="56"/>
                                      </w:rPr>
                                      <w:t>: Written Report</w:t>
                                    </w:r>
                                  </w:p>
                                </w:sdtContent>
                              </w:sdt>
                              <w:sdt>
                                <w:sdtPr>
                                  <w:rPr>
                                    <w:rFonts w:asciiTheme="majorHAnsi" w:eastAsiaTheme="majorEastAsia" w:hAnsiTheme="majorHAnsi" w:cstheme="majorBidi"/>
                                    <w:color w:val="44546A" w:themeColor="text2"/>
                                    <w:sz w:val="28"/>
                                    <w:szCs w:val="28"/>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4E524A64" w14:textId="6F24D5B3" w:rsidR="00ED4C1A" w:rsidRDefault="0051145D" w:rsidP="0051145D">
                                    <w:pPr>
                                      <w:jc w:val="center"/>
                                      <w:rPr>
                                        <w:rFonts w:asciiTheme="majorHAnsi" w:eastAsiaTheme="majorEastAsia" w:hAnsiTheme="majorHAnsi" w:cstheme="majorBidi"/>
                                        <w:color w:val="44546A" w:themeColor="text2"/>
                                        <w:sz w:val="32"/>
                                        <w:szCs w:val="32"/>
                                      </w:rPr>
                                    </w:pPr>
                                    <w:r w:rsidRPr="0051145D">
                                      <w:rPr>
                                        <w:rFonts w:asciiTheme="majorHAnsi" w:eastAsiaTheme="majorEastAsia" w:hAnsiTheme="majorHAnsi" w:cstheme="majorBidi"/>
                                        <w:color w:val="44546A" w:themeColor="text2"/>
                                        <w:sz w:val="28"/>
                                        <w:szCs w:val="28"/>
                                      </w:rPr>
                                      <w:t>Psychological Classifications and Provisions Professions (BMHP602</w:t>
                                    </w:r>
                                    <w:r>
                                      <w:rPr>
                                        <w:rFonts w:asciiTheme="majorHAnsi" w:eastAsiaTheme="majorEastAsia" w:hAnsiTheme="majorHAnsi" w:cstheme="majorBidi"/>
                                        <w:color w:val="44546A" w:themeColor="text2"/>
                                        <w:sz w:val="28"/>
                                        <w:szCs w:val="28"/>
                                      </w:rPr>
                                      <w:t>9</w:t>
                                    </w:r>
                                    <w:r w:rsidRPr="0051145D">
                                      <w:rPr>
                                        <w:rFonts w:asciiTheme="majorHAnsi" w:eastAsiaTheme="majorEastAsia" w:hAnsiTheme="majorHAnsi" w:cstheme="majorBidi"/>
                                        <w:color w:val="44546A" w:themeColor="text2"/>
                                        <w:sz w:val="28"/>
                                        <w:szCs w:val="28"/>
                                      </w:rPr>
                                      <w:t>)</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w14:anchorId="0FD08F9C" id="_x0000_t202" coordsize="21600,21600" o:spt="202" path="m,l,21600r21600,l21600,xe">
                    <v:stroke joinstyle="miter"/>
                    <v:path gradientshapeok="t" o:connecttype="rect"/>
                  </v:shapetype>
                  <v:shape id="Text Box 265" o:spid="_x0000_s1028"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DRZOWAIwIAAEIEAAAOAAAAAAAAAAAAAAAAAC4CAABkcnMvZTJvRG9jLnhtbFBL&#10;AQItABQABgAIAAAAIQB5RCvu2gAAAAUBAAAPAAAAAAAAAAAAAAAAAH0EAABkcnMvZG93bnJldi54&#10;bWxQSwUGAAAAAAQABADzAAAAhAUAAAAA&#10;" filled="f" stroked="f" strokeweight=".5pt">
                    <v:textbox style="mso-fit-shape-to-text:t">
                      <w:txbxContent>
                        <w:sdt>
                          <w:sdtPr>
                            <w:rPr>
                              <w:rFonts w:ascii="Garamond" w:eastAsiaTheme="majorEastAsia" w:hAnsi="Garamond" w:cstheme="majorBidi"/>
                              <w:color w:val="4472C4" w:themeColor="accent1"/>
                              <w:sz w:val="56"/>
                              <w:szCs w:val="56"/>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411E9BF8" w14:textId="5283606F" w:rsidR="00ED4C1A" w:rsidRDefault="00ED4C1A">
                              <w:pPr>
                                <w:rPr>
                                  <w:rFonts w:asciiTheme="majorHAnsi" w:eastAsiaTheme="majorEastAsia" w:hAnsiTheme="majorHAnsi" w:cstheme="majorBidi"/>
                                  <w:color w:val="4472C4" w:themeColor="accent1"/>
                                  <w:sz w:val="72"/>
                                  <w:szCs w:val="72"/>
                                </w:rPr>
                              </w:pPr>
                              <w:r w:rsidRPr="00ED4C1A">
                                <w:rPr>
                                  <w:rFonts w:ascii="Garamond" w:eastAsiaTheme="majorEastAsia" w:hAnsi="Garamond" w:cstheme="majorBidi"/>
                                  <w:color w:val="4472C4" w:themeColor="accent1"/>
                                  <w:sz w:val="56"/>
                                  <w:szCs w:val="56"/>
                                </w:rPr>
                                <w:t xml:space="preserve">Component </w:t>
                              </w:r>
                              <w:r w:rsidR="00F24FE0">
                                <w:rPr>
                                  <w:rFonts w:ascii="Garamond" w:eastAsiaTheme="majorEastAsia" w:hAnsi="Garamond" w:cstheme="majorBidi"/>
                                  <w:color w:val="4472C4" w:themeColor="accent1"/>
                                  <w:sz w:val="56"/>
                                  <w:szCs w:val="56"/>
                                </w:rPr>
                                <w:t>2</w:t>
                              </w:r>
                              <w:r w:rsidRPr="00ED4C1A">
                                <w:rPr>
                                  <w:rFonts w:ascii="Garamond" w:eastAsiaTheme="majorEastAsia" w:hAnsi="Garamond" w:cstheme="majorBidi"/>
                                  <w:color w:val="4472C4" w:themeColor="accent1"/>
                                  <w:sz w:val="56"/>
                                  <w:szCs w:val="56"/>
                                </w:rPr>
                                <w:t>: Written Report</w:t>
                              </w:r>
                            </w:p>
                          </w:sdtContent>
                        </w:sdt>
                        <w:sdt>
                          <w:sdtPr>
                            <w:rPr>
                              <w:rFonts w:asciiTheme="majorHAnsi" w:eastAsiaTheme="majorEastAsia" w:hAnsiTheme="majorHAnsi" w:cstheme="majorBidi"/>
                              <w:color w:val="44546A" w:themeColor="text2"/>
                              <w:sz w:val="28"/>
                              <w:szCs w:val="28"/>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4E524A64" w14:textId="6F24D5B3" w:rsidR="00ED4C1A" w:rsidRDefault="0051145D" w:rsidP="0051145D">
                              <w:pPr>
                                <w:jc w:val="center"/>
                                <w:rPr>
                                  <w:rFonts w:asciiTheme="majorHAnsi" w:eastAsiaTheme="majorEastAsia" w:hAnsiTheme="majorHAnsi" w:cstheme="majorBidi"/>
                                  <w:color w:val="44546A" w:themeColor="text2"/>
                                  <w:sz w:val="32"/>
                                  <w:szCs w:val="32"/>
                                </w:rPr>
                              </w:pPr>
                              <w:r w:rsidRPr="0051145D">
                                <w:rPr>
                                  <w:rFonts w:asciiTheme="majorHAnsi" w:eastAsiaTheme="majorEastAsia" w:hAnsiTheme="majorHAnsi" w:cstheme="majorBidi"/>
                                  <w:color w:val="44546A" w:themeColor="text2"/>
                                  <w:sz w:val="28"/>
                                  <w:szCs w:val="28"/>
                                </w:rPr>
                                <w:t>Psychological Classifications and Provisions Professions (BMHP602</w:t>
                              </w:r>
                              <w:r>
                                <w:rPr>
                                  <w:rFonts w:asciiTheme="majorHAnsi" w:eastAsiaTheme="majorEastAsia" w:hAnsiTheme="majorHAnsi" w:cstheme="majorBidi"/>
                                  <w:color w:val="44546A" w:themeColor="text2"/>
                                  <w:sz w:val="28"/>
                                  <w:szCs w:val="28"/>
                                </w:rPr>
                                <w:t>9</w:t>
                              </w:r>
                              <w:r w:rsidRPr="0051145D">
                                <w:rPr>
                                  <w:rFonts w:asciiTheme="majorHAnsi" w:eastAsiaTheme="majorEastAsia" w:hAnsiTheme="majorHAnsi" w:cstheme="majorBidi"/>
                                  <w:color w:val="44546A" w:themeColor="text2"/>
                                  <w:sz w:val="28"/>
                                  <w:szCs w:val="28"/>
                                </w:rPr>
                                <w:t>)</w:t>
                              </w:r>
                            </w:p>
                          </w:sdtContent>
                        </w:sdt>
                      </w:txbxContent>
                    </v:textbox>
                    <w10:wrap type="square" anchorx="page" anchory="page"/>
                  </v:shape>
                </w:pict>
              </mc:Fallback>
            </mc:AlternateContent>
          </w:r>
        </w:p>
        <w:p w14:paraId="3C98C18D" w14:textId="7C21077C" w:rsidR="00F24FE0" w:rsidRDefault="00ED4C1A" w:rsidP="00F24FE0">
          <w:pPr>
            <w:spacing w:line="360" w:lineRule="auto"/>
          </w:pPr>
          <w:r>
            <w:rPr>
              <w:noProof/>
            </w:rPr>
            <mc:AlternateContent>
              <mc:Choice Requires="wps">
                <w:drawing>
                  <wp:anchor distT="0" distB="0" distL="114300" distR="114300" simplePos="0" relativeHeight="251664384" behindDoc="0" locked="0" layoutInCell="1" allowOverlap="1" wp14:anchorId="4594DB27" wp14:editId="641CA3EB">
                    <wp:simplePos x="0" y="0"/>
                    <wp:positionH relativeFrom="page">
                      <wp:posOffset>3436620</wp:posOffset>
                    </wp:positionH>
                    <wp:positionV relativeFrom="page">
                      <wp:posOffset>6697980</wp:posOffset>
                    </wp:positionV>
                    <wp:extent cx="2917190" cy="495300"/>
                    <wp:effectExtent l="0" t="0" r="0" b="0"/>
                    <wp:wrapSquare wrapText="bothSides"/>
                    <wp:docPr id="465" name="Text Box 255"/>
                    <wp:cNvGraphicFramePr/>
                    <a:graphic xmlns:a="http://schemas.openxmlformats.org/drawingml/2006/main">
                      <a:graphicData uri="http://schemas.microsoft.com/office/word/2010/wordprocessingShape">
                        <wps:wsp>
                          <wps:cNvSpPr txBox="1"/>
                          <wps:spPr>
                            <a:xfrm>
                              <a:off x="0" y="0"/>
                              <a:ext cx="2917190" cy="495300"/>
                            </a:xfrm>
                            <a:prstGeom prst="rect">
                              <a:avLst/>
                            </a:prstGeom>
                            <a:noFill/>
                            <a:ln w="6350">
                              <a:noFill/>
                            </a:ln>
                            <a:effectLst/>
                          </wps:spPr>
                          <wps:txbx>
                            <w:txbxContent>
                              <w:p w14:paraId="17C5A4B8" w14:textId="7C16B37C" w:rsidR="00ED4C1A" w:rsidRDefault="00F24FE0">
                                <w:pPr>
                                  <w:pStyle w:val="NoSpacing"/>
                                  <w:rPr>
                                    <w:color w:val="44546A" w:themeColor="text2"/>
                                  </w:rPr>
                                </w:pPr>
                                <w:r>
                                  <w:rPr>
                                    <w:color w:val="44546A" w:themeColor="text2"/>
                                  </w:rPr>
                                  <w:t xml:space="preserve">                                  </w:t>
                                </w:r>
                                <w:r w:rsidR="00ED4C1A">
                                  <w:rPr>
                                    <w:color w:val="44546A" w:themeColor="text2"/>
                                  </w:rPr>
                                  <w:t xml:space="preserve">Submitted by: Nafeesa Bibi </w:t>
                                </w:r>
                              </w:p>
                              <w:p w14:paraId="4F1D7CB8" w14:textId="42113125" w:rsidR="00ED4C1A" w:rsidRDefault="00F24FE0">
                                <w:pPr>
                                  <w:pStyle w:val="NoSpacing"/>
                                  <w:rPr>
                                    <w:color w:val="44546A" w:themeColor="text2"/>
                                  </w:rPr>
                                </w:pPr>
                                <w:r>
                                  <w:rPr>
                                    <w:color w:val="44546A" w:themeColor="text2"/>
                                  </w:rPr>
                                  <w:t xml:space="preserve">                                  Student ID: 2331120</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594DB27" id="Text Box 255" o:spid="_x0000_s1029" type="#_x0000_t202" style="position:absolute;margin-left:270.6pt;margin-top:527.4pt;width:229.7pt;height:39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" filled="f" stroked="f" strokeweight=".5pt">
                    <v:textbox>
                      <w:txbxContent>
                        <w:p w14:paraId="17C5A4B8" w14:textId="7C16B37C" w:rsidR="00ED4C1A" w:rsidRDefault="00F24FE0">
                          <w:pPr>
                            <w:pStyle w:val="NoSpacing"/>
                            <w:rPr>
                              <w:color w:val="44546A" w:themeColor="text2"/>
                            </w:rPr>
                          </w:pPr>
                          <w:r>
                            <w:rPr>
                              <w:color w:val="44546A" w:themeColor="text2"/>
                            </w:rPr>
                            <w:t xml:space="preserve">                                  </w:t>
                          </w:r>
                          <w:r w:rsidR="00ED4C1A">
                            <w:rPr>
                              <w:color w:val="44546A" w:themeColor="text2"/>
                            </w:rPr>
                            <w:t xml:space="preserve">Submitted by: Nafeesa Bibi </w:t>
                          </w:r>
                        </w:p>
                        <w:p w14:paraId="4F1D7CB8" w14:textId="42113125" w:rsidR="00ED4C1A" w:rsidRDefault="00F24FE0">
                          <w:pPr>
                            <w:pStyle w:val="NoSpacing"/>
                            <w:rPr>
                              <w:color w:val="44546A" w:themeColor="text2"/>
                            </w:rPr>
                          </w:pPr>
                          <w:r>
                            <w:rPr>
                              <w:color w:val="44546A" w:themeColor="text2"/>
                            </w:rPr>
                            <w:t xml:space="preserve">                                  Student ID: 2331120</w:t>
                          </w:r>
                        </w:p>
                      </w:txbxContent>
                    </v:textbox>
                    <w10:wrap type="square" anchorx="page" anchory="page"/>
                  </v:shape>
                </w:pict>
              </mc:Fallback>
            </mc:AlternateContent>
          </w:r>
          <w:r>
            <w:br w:type="page"/>
          </w:r>
        </w:p>
      </w:sdtContent>
    </w:sdt>
    <w:p w14:paraId="33F2A997" w14:textId="1B470D73" w:rsidR="00F24FE0" w:rsidRDefault="00000000" w:rsidP="00F24FE0">
      <w:pPr>
        <w:pStyle w:val="Heading1"/>
        <w:spacing w:before="300" w:after="150" w:line="360" w:lineRule="auto"/>
      </w:pPr>
      <w:r>
        <w:lastRenderedPageBreak/>
        <w:t>Introduction</w:t>
      </w:r>
    </w:p>
    <w:p w14:paraId="30EFE1B4" w14:textId="68C9BA01" w:rsidR="00487ACA" w:rsidRDefault="00A70C45" w:rsidP="00F24FE0">
      <w:pPr>
        <w:spacing w:after="200" w:line="360" w:lineRule="auto"/>
        <w:jc w:val="both"/>
      </w:pPr>
      <w:r w:rsidRPr="00A70C45">
        <w:t>Now</w:t>
      </w:r>
      <w:r w:rsidRPr="00A70C45">
        <w:t xml:space="preserve">, autism spectrum disorder (ASD) is at the heart of a major debate in the field of mental health: Is it a disorder that needs to be diagnosed and treated or a natural difference that services should support rather than ‘fix’? The World Health Organisation’s ICD-11 attempts to do both. It still uses the word ‘disorder’ for autism but also uses language that recognises the impact of a person’s environment and that autism can look different at different points in life (Greaves-Lord, Skuse and Mandy, 2022). This report considers the classification and diagnosis of autism in ICD-11, the treatment and support of autism in practice, and the debates around neurodivergence, unequal diagnosis and reclassification that are impacting practice and </w:t>
      </w:r>
      <w:r w:rsidRPr="00A70C45">
        <w:t>policy</w:t>
      </w:r>
      <w:r>
        <w:t xml:space="preserve"> today</w:t>
      </w:r>
      <w:r w:rsidR="00000000">
        <w:t>.</w:t>
      </w:r>
    </w:p>
    <w:p w14:paraId="46E9FA0E" w14:textId="192AD556" w:rsidR="00F24FE0" w:rsidRDefault="00000000" w:rsidP="00F24FE0">
      <w:pPr>
        <w:pStyle w:val="Heading1"/>
        <w:spacing w:before="300" w:after="150" w:line="360" w:lineRule="auto"/>
      </w:pPr>
      <w:r>
        <w:t>Classification and Diagnosis</w:t>
      </w:r>
    </w:p>
    <w:p w14:paraId="4725DE0D" w14:textId="0252C84C" w:rsidR="00487ACA" w:rsidRDefault="00A70C45" w:rsidP="00F24FE0">
      <w:pPr>
        <w:spacing w:after="200" w:line="360" w:lineRule="auto"/>
        <w:jc w:val="both"/>
      </w:pPr>
      <w:r w:rsidRPr="00A70C45">
        <w:t>In ICD-11, autism spectrum disorder is coded as 6A02 and is placed in the group ‘Neurodevelopmental Disorders’. This placement indicates that autism is thought of as something that a person is largely born with, through genes and brain development, although the environment also has a role (Greaves-Lord, Skuse and Mandy, 2022). For someone to be diagnosed, they must have problems in two main areas, not three as in previous systems: (1) persistent difficulties starting and maintaining reciprocal social communication, and (2) a restricted, repetitive and rigid pattern of behaviours or interests that is clearly unusual for the person's age and culture (Greaves-Lord, Skuse and Mandy, 2022). A new addition in comparison with ICD-10 is unusual sensory reactions, such as hypersensitivity or hyposensitivity to sound, light or touch. For the first time, this is considered a core diagnostic feature (Greaves-Lord, Skuse and Mandy, 2022).</w:t>
      </w:r>
    </w:p>
    <w:p w14:paraId="12C47377" w14:textId="58888CD8" w:rsidR="00487ACA" w:rsidRDefault="00A70C45" w:rsidP="00F24FE0">
      <w:pPr>
        <w:spacing w:after="200" w:line="360" w:lineRule="auto"/>
        <w:jc w:val="both"/>
      </w:pPr>
      <w:r w:rsidRPr="00A70C45">
        <w:t>One of the biggest changes is that the old separate categories of childhood autism, atypical autism, Asperger syndrome and pervasive developmental disorder not otherwise specified have all been combined into one single spectrum diagnosis. The reason for this change was that studies showed that these categories could not be reliably distinguished in real clinical practice and maintaining them as separate categories was creating artificial distinctions. ICD-11 also removes the strict rule that signs must appear before three to five years of age. Instead, it acknowledges that challenges may only manifest when life becomes more challenging, for example, in adolescence, at university or when starting a new job (Greaves-Lord, Skuse and Mandy, 2022).</w:t>
      </w:r>
      <w:r w:rsidR="00000000">
        <w:t xml:space="preserve"> </w:t>
      </w:r>
      <w:r w:rsidRPr="00A70C45">
        <w:t>Instead of the three severity levels used by DSM-</w:t>
      </w:r>
      <w:r w:rsidRPr="00A70C45">
        <w:t>5,</w:t>
      </w:r>
      <w:r w:rsidRPr="00A70C45">
        <w:t xml:space="preserve"> ICD-11 adds additional notes on the degree to which a person 's intellectual ability and language ability are </w:t>
      </w:r>
      <w:r w:rsidRPr="00A70C45">
        <w:t>affected.</w:t>
      </w:r>
      <w:r w:rsidRPr="00A70C45">
        <w:t xml:space="preserve"> These attributes can change over the </w:t>
      </w:r>
      <w:r w:rsidRPr="00A70C45">
        <w:t>years,</w:t>
      </w:r>
      <w:r w:rsidRPr="00A70C45">
        <w:t xml:space="preserve"> so ICD-11 uses a different </w:t>
      </w:r>
      <w:r w:rsidRPr="00A70C45">
        <w:t>approach.</w:t>
      </w:r>
    </w:p>
    <w:p w14:paraId="158E4E6F" w14:textId="2BCA2D73" w:rsidR="00487ACA" w:rsidRDefault="00A70C45" w:rsidP="00F24FE0">
      <w:pPr>
        <w:spacing w:after="200" w:line="360" w:lineRule="auto"/>
        <w:jc w:val="both"/>
      </w:pPr>
      <w:r w:rsidRPr="00A70C45">
        <w:lastRenderedPageBreak/>
        <w:t>The words of ICD-11 matter. It explicitly describes autism as a ‘disorder’ and locates it within a medical classification system used for health statistics and funding decisions. This is the case even if the people who wrote ICD-11 also value a more rounded, biopsychosocial way of thinking about autism that fits with the neurodiversity movement (Greaves-Lord, Skuse and Mandy, 2022). For the first time, ‘camouflaging’, or masking, is recognised on diagnosis in ICD-11. This is where an autistic person works extremely hard to hide their autism and try to pass as non-autistic.</w:t>
      </w:r>
      <w:r w:rsidR="00000000">
        <w:t xml:space="preserve"> </w:t>
      </w:r>
      <w:r w:rsidR="00BD48FA" w:rsidRPr="00BD48FA">
        <w:t>According to ICD-11, a diagnosis can still be made even if the person's troubles have been disguised from others. In practice, making a diagnosis necessitates a thorough examination of a person's development, rather than simply seeing how they behave now, because physicians want confirmation that autistic features were present early in life, even if they were not clearly causing difficulties at the time.</w:t>
      </w:r>
    </w:p>
    <w:p w14:paraId="0F63C6A1" w14:textId="3BBC87B5" w:rsidR="00487ACA" w:rsidRDefault="00BD48FA" w:rsidP="00F24FE0">
      <w:pPr>
        <w:spacing w:after="200" w:line="360" w:lineRule="auto"/>
        <w:jc w:val="both"/>
      </w:pPr>
      <w:r w:rsidRPr="00BD48FA">
        <w:t>It might be difficult to distinguish between autism and other disorders. ICD-11 classifies problems that frequently overlap with autism, such as intellectual impairment, ADHD, and personality disorder, under the heading 'boundaries with other diseases and conditions', rather than considering them as something that inherently rule autism out. This represents how frequently these problems occur together in actual patients (Greaves-Lord, Skuse, &amp; Mandy, 2022). It is particularly difficult to distinguish between late-appearing autistic features and an adult personality disorder since both might entail difficulties with connection, understanding other people's perspectives, and emotion management.</w:t>
      </w:r>
      <w:r w:rsidR="00000000">
        <w:t xml:space="preserve"> </w:t>
      </w:r>
      <w:r w:rsidRPr="00BD48FA">
        <w:t>Clinicians are instructed to seek evidence that social issues date back to early infancy, since personality disorder does not need this. The number of persons diagnosed with autism has also increased dramatically during the previous two decades. Most experts believe this is due to broader diagnosis criteria and more awareness, particularly among autistic persons with average or higher IQ, rather than more people acquiring autism (Zeidan et al., 2022).</w:t>
      </w:r>
    </w:p>
    <w:p w14:paraId="01C7BADA" w14:textId="77777777" w:rsidR="00487ACA" w:rsidRDefault="00000000" w:rsidP="00F24FE0">
      <w:pPr>
        <w:pStyle w:val="Heading1"/>
        <w:spacing w:before="300" w:after="150" w:line="360" w:lineRule="auto"/>
      </w:pPr>
      <w:r>
        <w:t>Treatment and Rehabilitation</w:t>
      </w:r>
    </w:p>
    <w:p w14:paraId="6657DEB0" w14:textId="54037CC1" w:rsidR="00487ACA" w:rsidRDefault="00BD48FA" w:rsidP="00F24FE0">
      <w:pPr>
        <w:spacing w:after="200" w:line="360" w:lineRule="auto"/>
        <w:jc w:val="both"/>
      </w:pPr>
      <w:r w:rsidRPr="00BD48FA">
        <w:t xml:space="preserve">There is no treatment or cure for autism's basic traits. Medication is only used to treat associated issues, such as anxiety, irritability, or poor sleep. The most prevalent treatment strategy is Applied Behaviour Analysis (ABA), which is often provided as Early Intensive Behavioural Intervention (EIBI). This often entails 20 to 40 hours of treatment each week for pre-school children, in addition to comparable programs such as the Early Start Denver Model. A 2018 Cochrane review, one of the most reliable kinds of evidence evaluation, discovered only 'limited evidence' that EIBI works. The review identified small sample sizes, a high risk of bias, and inconsistent methods for evaluating outcomes across studies (Reichow, Hume, Barton, and Boyd, 2018). A subsequent UK research, financed by the National Institute for </w:t>
      </w:r>
      <w:r w:rsidRPr="00BD48FA">
        <w:lastRenderedPageBreak/>
        <w:t xml:space="preserve">Health Research, gathered data from 491 youngsters over 10 trials. It discovered minor increases in cognitive skills and everyday adaptive behaviour after one and two years compared to usual treatment, but no significant change in autistic symptoms itself. Only one trial tracked children for more than two years, and by seven years, the initial gains </w:t>
      </w:r>
      <w:proofErr w:type="gramStart"/>
      <w:r w:rsidRPr="00BD48FA">
        <w:t>were vanished</w:t>
      </w:r>
      <w:proofErr w:type="gramEnd"/>
      <w:r w:rsidRPr="00BD48FA">
        <w:t xml:space="preserve"> (Rodgers et al., 2021; Rodgers et al., 2020).</w:t>
      </w:r>
    </w:p>
    <w:p w14:paraId="5406E732" w14:textId="4A5475B4" w:rsidR="00487ACA" w:rsidRDefault="00BD48FA" w:rsidP="00F24FE0">
      <w:pPr>
        <w:spacing w:after="200" w:line="360" w:lineRule="auto"/>
        <w:jc w:val="both"/>
      </w:pPr>
      <w:r w:rsidRPr="00BD48FA">
        <w:t>These findings raise an important question: what is this treatment truly doing, and for whom? A cost-effectiveness analysis conducted for UK health services discovered that early intense ABA-based therapy was only cost effective if the effects lasted a long time and changed a child's school placement, which existing research does not support. There is also dispute on what these programs should aim to accomplish in the first place. Because ABA-based programs have generally attempted to diminish conspicuous autistic symptoms while increasing 'normal' social conduct, critics argue that they can lead to autistic children engaging in the same camouflage and masking that ICD-11 now defines as detrimental. Masking has been associated to weariness and greater rates of anxiety, sadness, and suicide ideation</w:t>
      </w:r>
      <w:r w:rsidR="00000000">
        <w:t xml:space="preserve"> (Cook et al., 2021).</w:t>
      </w:r>
    </w:p>
    <w:p w14:paraId="27E0512B" w14:textId="3062F038" w:rsidR="00487ACA" w:rsidRDefault="00BD48FA" w:rsidP="00F24FE0">
      <w:pPr>
        <w:spacing w:after="200" w:line="360" w:lineRule="auto"/>
        <w:jc w:val="both"/>
      </w:pPr>
      <w:r w:rsidRPr="00BD48FA">
        <w:t xml:space="preserve">The ICD-11 provides a more realistic, functional approach, and current best-practice guidelines are following suit. It focuses on enhancing a person's fit with their surroundings rather than completely removing autistic features. Speech and language treatment, occupational therapy for sensory issues, organised autism education, and adjustments to school or workplace environments can be utilised in conjunction with or in place of solely behavioural programs (Greaves-Lord, Skuse, and Mandy, 2022). In 2022, the Lancet Commission on Autism advocated for </w:t>
      </w:r>
      <w:r w:rsidRPr="00BD48FA">
        <w:t>a ‘stepped</w:t>
      </w:r>
      <w:r w:rsidRPr="00BD48FA">
        <w:t xml:space="preserve"> care' paradigm. This entails providing customised, needs-based care developed in collaboration with autistic persons and their families, rather than implementing a single standard therapy to everyone, given the diversity of the autistic population. Even yet, in practice, many health systems continue to provide ABA-based programs as the default option, while family support, school-based assistance, and methods that focus on wellness rather than 'fixing' behaviour remain underfunded and understudied.</w:t>
      </w:r>
    </w:p>
    <w:p w14:paraId="63969697" w14:textId="77777777" w:rsidR="00487ACA" w:rsidRDefault="00000000" w:rsidP="00F24FE0">
      <w:pPr>
        <w:pStyle w:val="Heading1"/>
        <w:spacing w:before="300" w:after="150" w:line="360" w:lineRule="auto"/>
      </w:pPr>
      <w:r>
        <w:t>Current Debates and Emerging Issues</w:t>
      </w:r>
    </w:p>
    <w:p w14:paraId="231C12FF" w14:textId="0DB344EA" w:rsidR="00487ACA" w:rsidRDefault="00BD48FA" w:rsidP="00F24FE0">
      <w:pPr>
        <w:spacing w:after="200" w:line="360" w:lineRule="auto"/>
        <w:jc w:val="both"/>
      </w:pPr>
      <w:r w:rsidRPr="00BD48FA">
        <w:t xml:space="preserve">The 'neurodiversity' movement is currently the topic of the most heated controversy. Autism, according to this style of thought, is not a sickness, but rather one of the normal ways that human brains may function, like ADHD and dyspraxia. According to Pellicano, and den Houting (2022), autism research has traditionally been based on a 'normal science' model that looks for deficits, but autistic researchers and advocates are now pushing the field to view </w:t>
      </w:r>
      <w:r w:rsidRPr="00BD48FA">
        <w:lastRenderedPageBreak/>
        <w:t>autism as a natural variation and to focus more on fitting the environment to the person. This adds stress to ICD-11.</w:t>
      </w:r>
      <w:r>
        <w:t xml:space="preserve"> </w:t>
      </w:r>
      <w:r w:rsidRPr="00BD48FA">
        <w:t>Even while the categorisation now acknowledges masking and how much autism may change over time, it still refers to autism as a 'disease'. This does not play well with a movement that opposes labelling differences as illnesses (Green, 2023).</w:t>
      </w:r>
    </w:p>
    <w:p w14:paraId="071188F2" w14:textId="1294352C" w:rsidR="00487ACA" w:rsidRDefault="00BD48FA" w:rsidP="00F24FE0">
      <w:pPr>
        <w:spacing w:after="200" w:line="360" w:lineRule="auto"/>
        <w:jc w:val="both"/>
      </w:pPr>
      <w:r w:rsidRPr="00BD48FA">
        <w:t>However, this is more than a one-sided debate. Recent studies including both autistic and non-autistic people of the autism community discovered a great deal of shared agreement, such as lowering stigma and enhancing support. However, there was serious dispute. Some people, particularly those close to autistic people with intellectual disabilities or who do not speak, are concerned that focusing too heavily on neurodiversity will diminish the gravity of some people's difficulties and the extent to which they still require structured, evidence-based support (Dwyer et al., 2025).</w:t>
      </w:r>
      <w:r w:rsidR="00000000">
        <w:t xml:space="preserve"> </w:t>
      </w:r>
      <w:r w:rsidR="00CE17DA" w:rsidRPr="00CE17DA">
        <w:t>Ellis (2023) makes a similar point, claiming that the neurodiversity movement is as much about identification and belonging as it is about science, therefore conflicts over how autism is defined are inextricably linked to discussions over identity and recognition.</w:t>
      </w:r>
    </w:p>
    <w:p w14:paraId="46BF6A41" w14:textId="0ABEA5D6" w:rsidR="00487ACA" w:rsidRDefault="00CE17DA" w:rsidP="00F24FE0">
      <w:pPr>
        <w:spacing w:after="200" w:line="360" w:lineRule="auto"/>
        <w:jc w:val="both"/>
      </w:pPr>
      <w:r w:rsidRPr="00CE17DA">
        <w:t>A second key point of contention is uneven diagnosis, particularly based on gender and sex. Autism is diagnosed nearly three times more frequently in men than in women. A growing body of research links part of this gap to the 'female autism phenotype,' in which clinicians who are used to seeing male-typical autism may miss it in girls and women or diagnose them with something else, such as anxiety, an eating disorder, or a personality disorder (Hull, Petrides, and Mandy, 2020).</w:t>
      </w:r>
      <w:r w:rsidR="00000000">
        <w:t xml:space="preserve"> </w:t>
      </w:r>
      <w:r w:rsidRPr="00CE17DA">
        <w:t>Because the majority of the research and clinical experience behind ICD-11 has been conducted on males, it is reasonable to question if the criteria are sensitive enough to detect this type of presentation, even though the current wording now specifically addresses camouflaging (Greaves-Lord, Skuse, and Mandy, 2022).</w:t>
      </w:r>
    </w:p>
    <w:p w14:paraId="385C1E40" w14:textId="1E0AFD77" w:rsidR="00487ACA" w:rsidRDefault="00CE17DA" w:rsidP="00F24FE0">
      <w:pPr>
        <w:spacing w:after="200" w:line="360" w:lineRule="auto"/>
        <w:jc w:val="both"/>
      </w:pPr>
      <w:r w:rsidRPr="00CE17DA">
        <w:t xml:space="preserve">Finally, it is still debatable whether Asperger syndrome should be removed as a discrete diagnostic and included into the broader autism spectrum. This was a reasonable therapeutic conclusion, as studies shown that the category could not be consistently distinguished from autism in general. However, some people who had developed their identity and group around having </w:t>
      </w:r>
      <w:proofErr w:type="gramStart"/>
      <w:r w:rsidRPr="00CE17DA">
        <w:t>a</w:t>
      </w:r>
      <w:proofErr w:type="gramEnd"/>
      <w:r w:rsidRPr="00CE17DA">
        <w:t xml:space="preserve"> 'Asperger's' diagnosis saw this development as a serious loss. This demonstrates how categorisation judgements influence actual people's lives and identities, rather than merely clinical paperwork (Ellis, 2023).</w:t>
      </w:r>
      <w:r w:rsidR="00000000">
        <w:t xml:space="preserve"> </w:t>
      </w:r>
      <w:r w:rsidRPr="00CE17DA">
        <w:t xml:space="preserve">Simultaneously, more people are being referred for </w:t>
      </w:r>
      <w:r w:rsidRPr="00CE17DA">
        <w:t>evaluation and</w:t>
      </w:r>
      <w:r w:rsidRPr="00CE17DA">
        <w:t xml:space="preserve"> waiting lists for autism diagnosis are growing throughout children's and young people's mental health facilities. This is compounded worse by the fact that, according to experts, many of the therapies now available lack good proof (Green, 2023).</w:t>
      </w:r>
    </w:p>
    <w:p w14:paraId="4A68DB54" w14:textId="77777777" w:rsidR="00CE17DA" w:rsidRDefault="00CE17DA" w:rsidP="00F24FE0">
      <w:pPr>
        <w:pStyle w:val="Heading1"/>
        <w:spacing w:before="300" w:after="150" w:line="360" w:lineRule="auto"/>
        <w:rPr>
          <w:color w:val="auto"/>
          <w:sz w:val="22"/>
          <w:szCs w:val="22"/>
        </w:rPr>
      </w:pPr>
      <w:r w:rsidRPr="00CE17DA">
        <w:rPr>
          <w:color w:val="auto"/>
          <w:sz w:val="22"/>
          <w:szCs w:val="22"/>
        </w:rPr>
        <w:lastRenderedPageBreak/>
        <w:t>Rising referral rates and broader diagnostic criteria have had a significant impact on autism diagnosis waiting times in public healthcare, which have risen from months to years in many cases (Green, 2023; Zeidan et al., 2022). This is a significant issue for policymakers. Simply identifying more individuals faster without enhancing the assistance available after diagnosis risks leaving more people with a label but no improved aid.</w:t>
      </w:r>
      <w:r>
        <w:rPr>
          <w:color w:val="auto"/>
          <w:sz w:val="22"/>
          <w:szCs w:val="22"/>
        </w:rPr>
        <w:t xml:space="preserve"> </w:t>
      </w:r>
    </w:p>
    <w:p w14:paraId="6815A5F4" w14:textId="6F0FC0EB" w:rsidR="00487ACA" w:rsidRDefault="00000000" w:rsidP="00F24FE0">
      <w:pPr>
        <w:pStyle w:val="Heading1"/>
        <w:spacing w:before="300" w:after="150" w:line="360" w:lineRule="auto"/>
      </w:pPr>
      <w:r>
        <w:t>Recommendations</w:t>
      </w:r>
    </w:p>
    <w:p w14:paraId="218C67D8" w14:textId="79865392" w:rsidR="00487ACA" w:rsidRDefault="00CE17DA" w:rsidP="00F24FE0">
      <w:pPr>
        <w:spacing w:after="200" w:line="360" w:lineRule="auto"/>
        <w:jc w:val="both"/>
      </w:pPr>
      <w:r w:rsidRPr="00CE17DA">
        <w:t>A few practical modifications would be beneficial. First, physicians should receive training on how autism manifests differently in women and girls, as well as how to detect camouflage using evaluation methods created with this in mind. This might assist to prevent late or missing diagnosis (Hull, Petrides, &amp; Mandy, 2020). Second, health providers and doctors should avoid treating ABA-based programs as the default first option. Instead, they should adopt the Lancet Commission's individual, stepped-care model and focus on outcomes that autistic people say are important, such as wellbeing and less pressure to mask, rather than simply making behaviour appear more 'normal' (Lord et al., 2022; Dwyer et al., 2025).</w:t>
      </w:r>
      <w:r w:rsidR="00000000">
        <w:t xml:space="preserve"> </w:t>
      </w:r>
      <w:r w:rsidRPr="00CE17DA">
        <w:t>Third, future research funding should prioritise tracking children for considerably longer than the normal two years, as we do not yet know if early changes translate to improved adult outcomes (Rodgers et al., 2021). Finally, when future diagnostic guidance and policy are developed, autistic people, including those with intellectual disabilities and those who do not use speech, should be properly involved to ensure that a shift toward neurodiversity-friendly policy does not leave people with the most support needs behind (Dwyer et al., 2025; Pellicano and den Houting, 2022).</w:t>
      </w:r>
    </w:p>
    <w:p w14:paraId="22789A05" w14:textId="77777777" w:rsidR="00487ACA" w:rsidRDefault="00000000" w:rsidP="00F24FE0">
      <w:pPr>
        <w:pStyle w:val="Heading1"/>
        <w:spacing w:before="300" w:after="150" w:line="360" w:lineRule="auto"/>
      </w:pPr>
      <w:r>
        <w:t>Conclusion</w:t>
      </w:r>
    </w:p>
    <w:p w14:paraId="49323C66" w14:textId="182E793B" w:rsidR="00F24FE0" w:rsidRDefault="00CE17DA" w:rsidP="00F24FE0">
      <w:pPr>
        <w:spacing w:after="200" w:line="360" w:lineRule="auto"/>
        <w:jc w:val="both"/>
      </w:pPr>
      <w:r w:rsidRPr="00CE17DA">
        <w:t xml:space="preserve">ICD-11 represents a significant improvement over previous methods of defining autism, particularly in terms of identifying camouflage, lifetime variance, and sensory impairments. However, autism is still referred to as a 'disease', the evidence for traditional treatments is poor and contested, and diagnosis remains discriminatory to certain groups, particularly women and girls. This demonstrates that categorisation, diagnosis, and therapy are still ongoing tasks, not settled science. Real progress will be made by developing programs, research agendas, and daily language that autistic individuals perceive to be fair and </w:t>
      </w:r>
      <w:proofErr w:type="gramStart"/>
      <w:r w:rsidRPr="00CE17DA">
        <w:t>actually beneficial</w:t>
      </w:r>
      <w:proofErr w:type="gramEnd"/>
      <w:r w:rsidRPr="00CE17DA">
        <w:t>, rather than redrawing diagnostic borders.</w:t>
      </w:r>
    </w:p>
    <w:p w14:paraId="71B83550" w14:textId="77777777" w:rsidR="00F24FE0" w:rsidRDefault="00F24FE0" w:rsidP="00F24FE0">
      <w:pPr>
        <w:spacing w:after="200" w:line="360" w:lineRule="auto"/>
        <w:jc w:val="both"/>
      </w:pPr>
    </w:p>
    <w:p w14:paraId="7A4DE189" w14:textId="77777777" w:rsidR="00F24FE0" w:rsidRDefault="00F24FE0" w:rsidP="00F24FE0">
      <w:pPr>
        <w:spacing w:after="200" w:line="360" w:lineRule="auto"/>
        <w:jc w:val="both"/>
      </w:pPr>
    </w:p>
    <w:p w14:paraId="55BB357B" w14:textId="77777777" w:rsidR="00F24FE0" w:rsidRDefault="00F24FE0" w:rsidP="00F24FE0">
      <w:pPr>
        <w:spacing w:after="200" w:line="360" w:lineRule="auto"/>
        <w:jc w:val="both"/>
      </w:pPr>
    </w:p>
    <w:p w14:paraId="2DE3AD7B" w14:textId="49C9B5C4" w:rsidR="00F24FE0" w:rsidRDefault="00000000" w:rsidP="00F24FE0">
      <w:pPr>
        <w:pStyle w:val="Heading1"/>
        <w:spacing w:before="300" w:after="150" w:line="360" w:lineRule="auto"/>
      </w:pPr>
      <w:r>
        <w:t>Reference List</w:t>
      </w:r>
    </w:p>
    <w:p w14:paraId="4916AE4A" w14:textId="77777777" w:rsidR="00C5608B" w:rsidRPr="00C5608B" w:rsidRDefault="00C5608B" w:rsidP="00C5608B">
      <w:pPr>
        <w:spacing w:after="160" w:line="360" w:lineRule="auto"/>
        <w:ind w:left="720" w:hanging="720"/>
      </w:pPr>
      <w:r w:rsidRPr="00C5608B">
        <w:t>Cook, J., Hull, L., Crane, L. and Mandy, W. (2021) 'Camouflaging in autism: A systematic review', Clinical Psychology Review, 89, 102080. https://doi.org/10.1016/j.cpr.2021.102080</w:t>
      </w:r>
    </w:p>
    <w:p w14:paraId="062925AD" w14:textId="77777777" w:rsidR="00C5608B" w:rsidRPr="00C5608B" w:rsidRDefault="00C5608B" w:rsidP="00C5608B">
      <w:pPr>
        <w:spacing w:after="160" w:line="360" w:lineRule="auto"/>
        <w:ind w:left="720" w:hanging="720"/>
      </w:pPr>
      <w:r w:rsidRPr="00C5608B">
        <w:t>Dwyer, P., Gurba, A.N., Kapp, S.K., Kilgallon, E., Hersh, L.H., Chang, D.S., Rivera, S.M. and Gillespie-Lynch, K. (2025) 'Community views of neurodiversity, models of disability and autism intervention: Mixed methods reveal shared goals and key tensions', Autism. https://doi.org/10.1177/13623613241273029</w:t>
      </w:r>
    </w:p>
    <w:p w14:paraId="73971AB0" w14:textId="77777777" w:rsidR="00C5608B" w:rsidRPr="00C5608B" w:rsidRDefault="00C5608B" w:rsidP="00C5608B">
      <w:pPr>
        <w:spacing w:after="160" w:line="360" w:lineRule="auto"/>
        <w:ind w:left="720" w:hanging="720"/>
      </w:pPr>
      <w:r w:rsidRPr="00C5608B">
        <w:t xml:space="preserve">Ellis, J. (2023) 'Imagining neurodivergent futures from the belly of the identity machine: Neurodiversity, </w:t>
      </w:r>
      <w:proofErr w:type="spellStart"/>
      <w:r w:rsidRPr="00C5608B">
        <w:t>biosociality</w:t>
      </w:r>
      <w:proofErr w:type="spellEnd"/>
      <w:r w:rsidRPr="00C5608B">
        <w:t>, and strategic essentialism', Autism in Adulthood, 5(3), pp. 225–235. https://doi.org/10.1089/aut.2021.0075</w:t>
      </w:r>
    </w:p>
    <w:p w14:paraId="06E7BEAA" w14:textId="77777777" w:rsidR="00C5608B" w:rsidRPr="00C5608B" w:rsidRDefault="00C5608B" w:rsidP="00C5608B">
      <w:pPr>
        <w:spacing w:after="160" w:line="360" w:lineRule="auto"/>
        <w:ind w:left="720" w:hanging="720"/>
      </w:pPr>
      <w:r w:rsidRPr="00C5608B">
        <w:t>Greaves-Lord, K., Skuse, D. and Mandy, W. (2022) 'Innovations of the ICD-11 in the field of autism spectrum disorder: A psychological approach', Clinical Psychology in Europe, 4(Spec Issue), e10005. https://doi.org/10.32872/cpe.10005</w:t>
      </w:r>
    </w:p>
    <w:p w14:paraId="038A2274" w14:textId="77777777" w:rsidR="00C5608B" w:rsidRPr="00C5608B" w:rsidRDefault="00C5608B" w:rsidP="00C5608B">
      <w:pPr>
        <w:spacing w:after="160" w:line="360" w:lineRule="auto"/>
        <w:ind w:left="720" w:hanging="720"/>
      </w:pPr>
      <w:r w:rsidRPr="00C5608B">
        <w:t>Green, J. (2023) 'Debate: Neurodiversity, autism and healthcare', Child and Adolescent Mental Health, 28(4), pp. 438–442. https://doi.org/10.1111/camh.12663</w:t>
      </w:r>
    </w:p>
    <w:p w14:paraId="65587370" w14:textId="77777777" w:rsidR="00C5608B" w:rsidRPr="00C5608B" w:rsidRDefault="00C5608B" w:rsidP="00C5608B">
      <w:pPr>
        <w:spacing w:after="160" w:line="360" w:lineRule="auto"/>
        <w:ind w:left="720" w:hanging="720"/>
      </w:pPr>
      <w:r w:rsidRPr="00C5608B">
        <w:t>Hull, L., Petrides, K.V. and Mandy, W. (2020) 'The female autism phenotype and camouflaging: A narrative review', Review Journal of Autism and Developmental Disorders, 7(4), pp. 306–317. https://doi.org/10.1007/s40489-020-00197-9</w:t>
      </w:r>
    </w:p>
    <w:p w14:paraId="0D516B7A" w14:textId="77777777" w:rsidR="00C5608B" w:rsidRPr="00C5608B" w:rsidRDefault="00C5608B" w:rsidP="00C5608B">
      <w:pPr>
        <w:spacing w:after="160" w:line="360" w:lineRule="auto"/>
        <w:ind w:left="720" w:hanging="720"/>
      </w:pPr>
      <w:r w:rsidRPr="00C5608B">
        <w:t xml:space="preserve">Lord, C., Charman, T., Havdahl, A., Carbone, P., Anagnostou, E., Boyd, B., Carr, T., de Vries, P.J., Dissanayake, C., Divan, G., Freitag, C.M., Gotelli, M.M., </w:t>
      </w:r>
      <w:proofErr w:type="spellStart"/>
      <w:r w:rsidRPr="00C5608B">
        <w:t>Kasari</w:t>
      </w:r>
      <w:proofErr w:type="spellEnd"/>
      <w:r w:rsidRPr="00C5608B">
        <w:t xml:space="preserve">, C., Knapp, M., Mundy, P., Plank, A., Scahill, L., </w:t>
      </w:r>
      <w:proofErr w:type="spellStart"/>
      <w:r w:rsidRPr="00C5608B">
        <w:t>Servili</w:t>
      </w:r>
      <w:proofErr w:type="spellEnd"/>
      <w:r w:rsidRPr="00C5608B">
        <w:t>, C., Shattuck, P. and McCauley, J.B. (2022) 'The Lancet Commission on the future of care and clinical research in autism', The Lancet, 399(10321), pp. 271–334. https://doi.org/10.1016/S0140-6736(21)01541-5</w:t>
      </w:r>
    </w:p>
    <w:p w14:paraId="0794EE5B" w14:textId="77777777" w:rsidR="00C5608B" w:rsidRPr="00C5608B" w:rsidRDefault="00C5608B" w:rsidP="00C5608B">
      <w:pPr>
        <w:spacing w:after="160" w:line="360" w:lineRule="auto"/>
        <w:ind w:left="720" w:hanging="720"/>
      </w:pPr>
      <w:r w:rsidRPr="00C5608B">
        <w:t>Pellicano, E. and den Houting, J. (2022) 'Annual Research Review: Shifting from "normal science" to neurodiversity in autism science', Journal of Child Psychology and Psychiatry, 63(4), pp. 381–396. https://doi.org/10.1111/jcpp.13534</w:t>
      </w:r>
    </w:p>
    <w:p w14:paraId="7788D406" w14:textId="77777777" w:rsidR="00C5608B" w:rsidRPr="00C5608B" w:rsidRDefault="00C5608B" w:rsidP="00C5608B">
      <w:pPr>
        <w:spacing w:after="160" w:line="360" w:lineRule="auto"/>
        <w:ind w:left="720" w:hanging="720"/>
      </w:pPr>
      <w:r w:rsidRPr="00C5608B">
        <w:t xml:space="preserve">Reichow, B., Hume, K., Barton, E.E. and Boyd, B.A. (2018) 'Early intensive </w:t>
      </w:r>
      <w:proofErr w:type="spellStart"/>
      <w:r w:rsidRPr="00C5608B">
        <w:t>behavioral</w:t>
      </w:r>
      <w:proofErr w:type="spellEnd"/>
      <w:r w:rsidRPr="00C5608B">
        <w:t xml:space="preserve"> intervention (EIBI) for young children with autism spectrum disorders (ASD)', </w:t>
      </w:r>
      <w:r w:rsidRPr="00C5608B">
        <w:lastRenderedPageBreak/>
        <w:t>Cochrane Database of Systematic Reviews, Issue 5, Art. No. CD009260. https://doi.org/10.1002/14651858.CD009260.pub3</w:t>
      </w:r>
    </w:p>
    <w:p w14:paraId="573AE882" w14:textId="77777777" w:rsidR="00C5608B" w:rsidRPr="00C5608B" w:rsidRDefault="00C5608B" w:rsidP="00C5608B">
      <w:pPr>
        <w:spacing w:after="160" w:line="360" w:lineRule="auto"/>
        <w:ind w:left="720" w:hanging="720"/>
      </w:pPr>
      <w:r w:rsidRPr="00C5608B">
        <w:t xml:space="preserve">Rodgers, M., Marshall, D., Simmonds, M., Le </w:t>
      </w:r>
      <w:proofErr w:type="spellStart"/>
      <w:r w:rsidRPr="00C5608B">
        <w:t>Couteur</w:t>
      </w:r>
      <w:proofErr w:type="spellEnd"/>
      <w:r w:rsidRPr="00C5608B">
        <w:t>, A., Biswas, M., Wright, K., Rai, D., Palmer, S., Stewart, L. and Hodgson, R. (2020) 'Interventions based on early intensive applied behaviour analysis for autistic children: A systematic review and cost-effectiveness analysis', Health Technology Assessment, 24(35), pp. 1–306. https://doi.org/10.3310/hta24350</w:t>
      </w:r>
    </w:p>
    <w:p w14:paraId="09F6A6A9" w14:textId="77777777" w:rsidR="00C5608B" w:rsidRPr="00C5608B" w:rsidRDefault="00C5608B" w:rsidP="00C5608B">
      <w:pPr>
        <w:spacing w:after="160" w:line="360" w:lineRule="auto"/>
        <w:ind w:left="720" w:hanging="720"/>
      </w:pPr>
      <w:r w:rsidRPr="00C5608B">
        <w:t xml:space="preserve">Rodgers, M., Simmonds, M., Marshall, D., Hodgson, R., Stewart, L.A., Rai, D., Wright, K., Ben-Itzchak, E., </w:t>
      </w:r>
      <w:proofErr w:type="spellStart"/>
      <w:r w:rsidRPr="00C5608B">
        <w:t>Eikeseth</w:t>
      </w:r>
      <w:proofErr w:type="spellEnd"/>
      <w:r w:rsidRPr="00C5608B">
        <w:t xml:space="preserve">, S., Eldevik, S., Kovshoff, H., </w:t>
      </w:r>
      <w:proofErr w:type="spellStart"/>
      <w:r w:rsidRPr="00C5608B">
        <w:t>Magiati</w:t>
      </w:r>
      <w:proofErr w:type="spellEnd"/>
      <w:r w:rsidRPr="00C5608B">
        <w:t xml:space="preserve">, I., Osborne, L.A., Reed, P., Vivanti, G., Zachor, D. and Le </w:t>
      </w:r>
      <w:proofErr w:type="spellStart"/>
      <w:r w:rsidRPr="00C5608B">
        <w:t>Couteur</w:t>
      </w:r>
      <w:proofErr w:type="spellEnd"/>
      <w:r w:rsidRPr="00C5608B">
        <w:t>, A. (2021) 'Intensive behavioural interventions based on applied behaviour analysis for young children with autism: An international collaborative individual participant data meta-analysis', Autism, 25(4), pp. 1137–1153. https://doi.org/10.1177/1362361320985680</w:t>
      </w:r>
    </w:p>
    <w:p w14:paraId="5664564B" w14:textId="77777777" w:rsidR="00C5608B" w:rsidRPr="00C5608B" w:rsidRDefault="00C5608B" w:rsidP="00C5608B">
      <w:pPr>
        <w:spacing w:after="160" w:line="360" w:lineRule="auto"/>
        <w:ind w:left="720" w:hanging="720"/>
      </w:pPr>
      <w:r w:rsidRPr="00C5608B">
        <w:t xml:space="preserve">World Health Organization (2019) ICD-11 for Mortality and Morbidity Statistics: 6A02 </w:t>
      </w:r>
      <w:proofErr w:type="gramStart"/>
      <w:r w:rsidRPr="00C5608B">
        <w:t>Autism spectrum disorder</w:t>
      </w:r>
      <w:proofErr w:type="gramEnd"/>
      <w:r w:rsidRPr="00C5608B">
        <w:t>. Geneva: WHO. Available at: https://icd.who.int/browse11 (Accessed: 19 July 2026).</w:t>
      </w:r>
    </w:p>
    <w:p w14:paraId="47C97FC4" w14:textId="624F5E39" w:rsidR="00487ACA" w:rsidRDefault="00C5608B" w:rsidP="00C5608B">
      <w:pPr>
        <w:spacing w:after="160" w:line="360" w:lineRule="auto"/>
        <w:ind w:left="720" w:hanging="720"/>
      </w:pPr>
      <w:r w:rsidRPr="00C5608B">
        <w:t xml:space="preserve">Zeidan, J., </w:t>
      </w:r>
      <w:proofErr w:type="spellStart"/>
      <w:r w:rsidRPr="00C5608B">
        <w:t>Fombonne</w:t>
      </w:r>
      <w:proofErr w:type="spellEnd"/>
      <w:r w:rsidRPr="00C5608B">
        <w:t xml:space="preserve">, E., </w:t>
      </w:r>
      <w:proofErr w:type="spellStart"/>
      <w:r w:rsidRPr="00C5608B">
        <w:t>Scorah</w:t>
      </w:r>
      <w:proofErr w:type="spellEnd"/>
      <w:r w:rsidRPr="00C5608B">
        <w:t xml:space="preserve">, J., Ibrahim, A., Durkin, M.S., Saxena, S., Yusuf, A., Shih, A. and </w:t>
      </w:r>
      <w:proofErr w:type="spellStart"/>
      <w:r w:rsidRPr="00C5608B">
        <w:t>Elsabbagh</w:t>
      </w:r>
      <w:proofErr w:type="spellEnd"/>
      <w:r w:rsidRPr="00C5608B">
        <w:t>, M. (2022) 'Global prevalence of autism: A systematic review update', Autism Research, 15(5), pp. 778–790. https://doi.org/10.1002/aur.2696</w:t>
      </w:r>
    </w:p>
    <w:sectPr w:rsidR="00487ACA" w:rsidSect="00BF7DE6">
      <w:headerReference w:type="default" r:id="rId9"/>
      <w:footerReference w:type="default" r:id="rId10"/>
      <w:pgSz w:w="11906" w:h="16838"/>
      <w:pgMar w:top="1440" w:right="1440" w:bottom="1440" w:left="1440" w:header="708" w:footer="708" w:gutter="0"/>
      <w:pgBorders w:display="notFirstPage"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08B981" w14:textId="77777777" w:rsidR="007B0E1C" w:rsidRDefault="007B0E1C">
      <w:r>
        <w:separator/>
      </w:r>
    </w:p>
  </w:endnote>
  <w:endnote w:type="continuationSeparator" w:id="0">
    <w:p w14:paraId="66738708" w14:textId="77777777" w:rsidR="007B0E1C" w:rsidRDefault="007B0E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ell MT">
    <w:panose1 w:val="02020503060305020303"/>
    <w:charset w:val="00"/>
    <w:family w:val="roman"/>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E7E773" w14:textId="77777777" w:rsidR="00487ACA" w:rsidRDefault="00000000">
    <w:pPr>
      <w:jc w:val="center"/>
    </w:pPr>
    <w:r>
      <w:rPr>
        <w:sz w:val="18"/>
        <w:szCs w:val="18"/>
      </w:rPr>
      <w:fldChar w:fldCharType="begin"/>
    </w:r>
    <w:r>
      <w:rPr>
        <w:sz w:val="18"/>
        <w:szCs w:val="18"/>
      </w:rPr>
      <w:instrText>PAGE</w:instrText>
    </w:r>
    <w:r>
      <w:rPr>
        <w:sz w:val="18"/>
        <w:szCs w:val="18"/>
      </w:rPr>
      <w:fldChar w:fldCharType="separate"/>
    </w:r>
    <w:r w:rsidR="00ED4C1A">
      <w:rPr>
        <w:noProof/>
        <w:sz w:val="18"/>
        <w:szCs w:val="18"/>
      </w:rPr>
      <w:t>1</w:t>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852CEA" w14:textId="77777777" w:rsidR="007B0E1C" w:rsidRDefault="007B0E1C">
      <w:r>
        <w:separator/>
      </w:r>
    </w:p>
  </w:footnote>
  <w:footnote w:type="continuationSeparator" w:id="0">
    <w:p w14:paraId="41B4A837" w14:textId="77777777" w:rsidR="007B0E1C" w:rsidRDefault="007B0E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text1" w:themeTint="80"/>
      </w:rPr>
      <w:alias w:val="Title"/>
      <w:tag w:val=""/>
      <w:id w:val="1116400235"/>
      <w:placeholder>
        <w:docPart w:val="500F5CC25F3746C2BB0D0EC108731EF0"/>
      </w:placeholder>
      <w:dataBinding w:prefixMappings="xmlns:ns0='http://purl.org/dc/elements/1.1/' xmlns:ns1='http://schemas.openxmlformats.org/package/2006/metadata/core-properties' " w:xpath="/ns1:coreProperties[1]/ns0:title[1]" w:storeItemID="{6C3C8BC8-F283-45AE-878A-BAB7291924A1}"/>
      <w:text/>
    </w:sdtPr>
    <w:sdtContent>
      <w:p w14:paraId="18AFB1A8" w14:textId="135A4504" w:rsidR="00F24FE0" w:rsidRDefault="00F24FE0">
        <w:pPr>
          <w:pStyle w:val="Header"/>
          <w:jc w:val="right"/>
          <w:rPr>
            <w:color w:val="7F7F7F" w:themeColor="text1" w:themeTint="80"/>
          </w:rPr>
        </w:pPr>
        <w:r>
          <w:rPr>
            <w:color w:val="7F7F7F" w:themeColor="text1" w:themeTint="80"/>
          </w:rPr>
          <w:t>Component 2: Written Report</w:t>
        </w:r>
      </w:p>
    </w:sdtContent>
  </w:sdt>
  <w:p w14:paraId="05802C52" w14:textId="7B58CCA4" w:rsidR="00F24FE0" w:rsidRDefault="00F24F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CC822B0"/>
    <w:multiLevelType w:val="hybridMultilevel"/>
    <w:tmpl w:val="06205FD0"/>
    <w:lvl w:ilvl="0" w:tplc="2AF687BC">
      <w:start w:val="1"/>
      <w:numFmt w:val="bullet"/>
      <w:lvlText w:val="●"/>
      <w:lvlJc w:val="left"/>
      <w:pPr>
        <w:ind w:left="720" w:hanging="360"/>
      </w:pPr>
    </w:lvl>
    <w:lvl w:ilvl="1" w:tplc="D25A85F4">
      <w:start w:val="1"/>
      <w:numFmt w:val="bullet"/>
      <w:lvlText w:val="○"/>
      <w:lvlJc w:val="left"/>
      <w:pPr>
        <w:ind w:left="1440" w:hanging="360"/>
      </w:pPr>
    </w:lvl>
    <w:lvl w:ilvl="2" w:tplc="7E9CA790">
      <w:start w:val="1"/>
      <w:numFmt w:val="bullet"/>
      <w:lvlText w:val="■"/>
      <w:lvlJc w:val="left"/>
      <w:pPr>
        <w:ind w:left="2160" w:hanging="360"/>
      </w:pPr>
    </w:lvl>
    <w:lvl w:ilvl="3" w:tplc="F21260FA">
      <w:start w:val="1"/>
      <w:numFmt w:val="bullet"/>
      <w:lvlText w:val="●"/>
      <w:lvlJc w:val="left"/>
      <w:pPr>
        <w:ind w:left="2880" w:hanging="360"/>
      </w:pPr>
    </w:lvl>
    <w:lvl w:ilvl="4" w:tplc="DDD274C8">
      <w:start w:val="1"/>
      <w:numFmt w:val="bullet"/>
      <w:lvlText w:val="○"/>
      <w:lvlJc w:val="left"/>
      <w:pPr>
        <w:ind w:left="3600" w:hanging="360"/>
      </w:pPr>
    </w:lvl>
    <w:lvl w:ilvl="5" w:tplc="BB2283A6">
      <w:start w:val="1"/>
      <w:numFmt w:val="bullet"/>
      <w:lvlText w:val="■"/>
      <w:lvlJc w:val="left"/>
      <w:pPr>
        <w:ind w:left="4320" w:hanging="360"/>
      </w:pPr>
    </w:lvl>
    <w:lvl w:ilvl="6" w:tplc="E5E4D6EA">
      <w:start w:val="1"/>
      <w:numFmt w:val="bullet"/>
      <w:lvlText w:val="●"/>
      <w:lvlJc w:val="left"/>
      <w:pPr>
        <w:ind w:left="5040" w:hanging="360"/>
      </w:pPr>
    </w:lvl>
    <w:lvl w:ilvl="7" w:tplc="4774ACA2">
      <w:start w:val="1"/>
      <w:numFmt w:val="bullet"/>
      <w:lvlText w:val="●"/>
      <w:lvlJc w:val="left"/>
      <w:pPr>
        <w:ind w:left="5760" w:hanging="360"/>
      </w:pPr>
    </w:lvl>
    <w:lvl w:ilvl="8" w:tplc="5D702F88">
      <w:start w:val="1"/>
      <w:numFmt w:val="bullet"/>
      <w:lvlText w:val="●"/>
      <w:lvlJc w:val="left"/>
      <w:pPr>
        <w:ind w:left="6480" w:hanging="360"/>
      </w:pPr>
    </w:lvl>
  </w:abstractNum>
  <w:num w:numId="1" w16cid:durableId="118181784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7ACA"/>
    <w:rsid w:val="002164CC"/>
    <w:rsid w:val="00487ACA"/>
    <w:rsid w:val="004C64AA"/>
    <w:rsid w:val="0051145D"/>
    <w:rsid w:val="007B0E1C"/>
    <w:rsid w:val="00887EAD"/>
    <w:rsid w:val="00A70C45"/>
    <w:rsid w:val="00A96689"/>
    <w:rsid w:val="00AB4D2A"/>
    <w:rsid w:val="00BD48FA"/>
    <w:rsid w:val="00BF7DE6"/>
    <w:rsid w:val="00C16362"/>
    <w:rsid w:val="00C5608B"/>
    <w:rsid w:val="00CE17DA"/>
    <w:rsid w:val="00ED4C1A"/>
    <w:rsid w:val="00EE1561"/>
    <w:rsid w:val="00F24F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3DAADE"/>
  <w15:docId w15:val="{A10AF8A5-AF90-4F96-845E-A0805FE76F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ED4C1A"/>
    <w:pPr>
      <w:tabs>
        <w:tab w:val="center" w:pos="4513"/>
        <w:tab w:val="right" w:pos="9026"/>
      </w:tabs>
    </w:pPr>
  </w:style>
  <w:style w:type="character" w:customStyle="1" w:styleId="HeaderChar">
    <w:name w:val="Header Char"/>
    <w:basedOn w:val="DefaultParagraphFont"/>
    <w:link w:val="Header"/>
    <w:uiPriority w:val="99"/>
    <w:rsid w:val="00ED4C1A"/>
  </w:style>
  <w:style w:type="paragraph" w:styleId="Footer">
    <w:name w:val="footer"/>
    <w:basedOn w:val="Normal"/>
    <w:link w:val="FooterChar"/>
    <w:uiPriority w:val="99"/>
    <w:unhideWhenUsed/>
    <w:rsid w:val="00ED4C1A"/>
    <w:pPr>
      <w:tabs>
        <w:tab w:val="center" w:pos="4513"/>
        <w:tab w:val="right" w:pos="9026"/>
      </w:tabs>
    </w:pPr>
  </w:style>
  <w:style w:type="character" w:customStyle="1" w:styleId="FooterChar">
    <w:name w:val="Footer Char"/>
    <w:basedOn w:val="DefaultParagraphFont"/>
    <w:link w:val="Footer"/>
    <w:uiPriority w:val="99"/>
    <w:rsid w:val="00ED4C1A"/>
  </w:style>
  <w:style w:type="paragraph" w:styleId="NoSpacing">
    <w:name w:val="No Spacing"/>
    <w:link w:val="NoSpacingChar"/>
    <w:uiPriority w:val="1"/>
    <w:qFormat/>
    <w:rsid w:val="00ED4C1A"/>
    <w:rPr>
      <w:rFonts w:asciiTheme="minorHAnsi" w:eastAsiaTheme="minorEastAsia" w:hAnsiTheme="minorHAnsi" w:cstheme="minorBidi"/>
    </w:rPr>
  </w:style>
  <w:style w:type="character" w:customStyle="1" w:styleId="NoSpacingChar">
    <w:name w:val="No Spacing Char"/>
    <w:basedOn w:val="DefaultParagraphFont"/>
    <w:link w:val="NoSpacing"/>
    <w:uiPriority w:val="1"/>
    <w:rsid w:val="00ED4C1A"/>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00F5CC25F3746C2BB0D0EC108731EF0"/>
        <w:category>
          <w:name w:val="General"/>
          <w:gallery w:val="placeholder"/>
        </w:category>
        <w:types>
          <w:type w:val="bbPlcHdr"/>
        </w:types>
        <w:behaviors>
          <w:behavior w:val="content"/>
        </w:behaviors>
        <w:guid w:val="{1AE92AA1-2859-4B1F-B485-F2546E08111A}"/>
      </w:docPartPr>
      <w:docPartBody>
        <w:p w:rsidR="00524DCD" w:rsidRDefault="00A91AB4" w:rsidP="00A91AB4">
          <w:pPr>
            <w:pStyle w:val="500F5CC25F3746C2BB0D0EC108731EF0"/>
          </w:pPr>
          <w:r>
            <w:rPr>
              <w:color w:val="7F7F7F" w:themeColor="text1" w:themeTint="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ell MT">
    <w:panose1 w:val="02020503060305020303"/>
    <w:charset w:val="00"/>
    <w:family w:val="roman"/>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1AB4"/>
    <w:rsid w:val="002226F3"/>
    <w:rsid w:val="004C64AA"/>
    <w:rsid w:val="00524DCD"/>
    <w:rsid w:val="009861B0"/>
    <w:rsid w:val="00A91AB4"/>
    <w:rsid w:val="00EE15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00F5CC25F3746C2BB0D0EC108731EF0">
    <w:name w:val="500F5CC25F3746C2BB0D0EC108731EF0"/>
    <w:rsid w:val="00A91AB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Lecturer:  Neale Haddon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9262F1D-535B-4233-ADF0-6E5E9C80CE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8</Pages>
  <Words>2616</Words>
  <Characters>14912</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Component 2: Written Report</vt:lpstr>
    </vt:vector>
  </TitlesOfParts>
  <Company/>
  <LinksUpToDate>false</LinksUpToDate>
  <CharactersWithSpaces>17494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Component 2: Written Report</dc:title>
  <dc:subject>Psychological Classifications and Provisions Professions (BMHP6029)</dc:subject>
  <dc:creator>Submitted by: Nafeesa Bibi                                              Student Id: 2331120</dc:creator>
  <cp:lastModifiedBy>Nafeesa Bibi (2331120)</cp:lastModifiedBy>
  <cp:revision>6</cp:revision>
  <dcterms:created xsi:type="dcterms:W3CDTF">2026-07-19T18:28:00Z</dcterms:created>
  <dcterms:modified xsi:type="dcterms:W3CDTF">2026-07-20T08:52:00Z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79143c6f-d66e-4f49-9340-bf2410512f5c</vt:lpwstr>
  </property>
</Properties>
</file>