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C2669" w:rsidRDefault="005C2669">
      <w:pPr>
        <w:spacing w:line="360" w:lineRule="auto"/>
        <w:jc w:val="center"/>
        <w:rPr>
          <w:b/>
          <w:color w:val="000000"/>
          <w:sz w:val="44"/>
          <w:szCs w:val="44"/>
          <w:u w:val="single"/>
        </w:rPr>
      </w:pPr>
    </w:p>
    <w:p w14:paraId="00000002" w14:textId="77777777" w:rsidR="005C2669" w:rsidRDefault="005C2669">
      <w:pPr>
        <w:spacing w:line="360" w:lineRule="auto"/>
        <w:jc w:val="center"/>
        <w:rPr>
          <w:b/>
          <w:color w:val="000000"/>
          <w:sz w:val="44"/>
          <w:szCs w:val="44"/>
          <w:u w:val="single"/>
        </w:rPr>
      </w:pPr>
    </w:p>
    <w:p w14:paraId="00000003" w14:textId="77777777" w:rsidR="005C2669" w:rsidRDefault="005C2669">
      <w:pPr>
        <w:spacing w:line="360" w:lineRule="auto"/>
        <w:jc w:val="center"/>
        <w:rPr>
          <w:b/>
          <w:color w:val="000000"/>
          <w:sz w:val="44"/>
          <w:szCs w:val="44"/>
          <w:u w:val="single"/>
        </w:rPr>
      </w:pPr>
    </w:p>
    <w:p w14:paraId="00000004" w14:textId="77777777" w:rsidR="005C2669" w:rsidRDefault="005C2669">
      <w:pPr>
        <w:spacing w:line="360" w:lineRule="auto"/>
        <w:jc w:val="center"/>
        <w:rPr>
          <w:b/>
          <w:color w:val="000000"/>
          <w:sz w:val="44"/>
          <w:szCs w:val="44"/>
          <w:u w:val="single"/>
        </w:rPr>
      </w:pPr>
    </w:p>
    <w:p w14:paraId="00000005" w14:textId="77777777" w:rsidR="005C2669" w:rsidRDefault="00014887">
      <w:pPr>
        <w:spacing w:line="360" w:lineRule="auto"/>
        <w:jc w:val="center"/>
        <w:rPr>
          <w:b/>
          <w:color w:val="000000"/>
          <w:sz w:val="44"/>
          <w:szCs w:val="44"/>
          <w:u w:val="single"/>
        </w:rPr>
      </w:pPr>
      <w:r>
        <w:rPr>
          <w:b/>
          <w:color w:val="000000"/>
          <w:sz w:val="44"/>
          <w:szCs w:val="44"/>
          <w:u w:val="single"/>
        </w:rPr>
        <w:t>Accounting Fundamentals</w:t>
      </w:r>
    </w:p>
    <w:p w14:paraId="00000006" w14:textId="77777777" w:rsidR="005C2669" w:rsidRDefault="00014887">
      <w:pPr>
        <w:spacing w:line="360" w:lineRule="auto"/>
        <w:rPr>
          <w:color w:val="000000"/>
        </w:rPr>
      </w:pPr>
      <w:r>
        <w:rPr>
          <w:color w:val="000000"/>
        </w:rPr>
        <w:t xml:space="preserve">Module code: LCBB4001 </w:t>
      </w:r>
    </w:p>
    <w:p w14:paraId="00000007" w14:textId="0EB8A3BF" w:rsidR="005C2669" w:rsidRDefault="00014887">
      <w:pPr>
        <w:spacing w:line="360" w:lineRule="auto"/>
        <w:rPr>
          <w:color w:val="000000"/>
        </w:rPr>
      </w:pPr>
      <w:r>
        <w:rPr>
          <w:color w:val="000000"/>
        </w:rPr>
        <w:t xml:space="preserve">Student name: Gina </w:t>
      </w:r>
      <w:proofErr w:type="spellStart"/>
      <w:r>
        <w:rPr>
          <w:color w:val="000000"/>
        </w:rPr>
        <w:t>Velicu</w:t>
      </w:r>
      <w:proofErr w:type="spellEnd"/>
    </w:p>
    <w:p w14:paraId="00000009" w14:textId="74E1592C" w:rsidR="005C2669" w:rsidRDefault="00014887">
      <w:pPr>
        <w:spacing w:line="360" w:lineRule="auto"/>
        <w:rPr>
          <w:color w:val="000000"/>
        </w:rPr>
      </w:pPr>
      <w:r>
        <w:rPr>
          <w:color w:val="000000"/>
        </w:rPr>
        <w:t>Student ID: 2028707</w:t>
      </w:r>
    </w:p>
    <w:p w14:paraId="0000000A" w14:textId="77777777" w:rsidR="005C2669" w:rsidRDefault="00014887">
      <w:pPr>
        <w:spacing w:line="360" w:lineRule="auto"/>
        <w:jc w:val="left"/>
        <w:rPr>
          <w:color w:val="000000"/>
        </w:rPr>
      </w:pPr>
      <w:r>
        <w:br w:type="page"/>
      </w:r>
    </w:p>
    <w:p w14:paraId="0000000B" w14:textId="77777777" w:rsidR="005C2669" w:rsidRDefault="00014887">
      <w:pPr>
        <w:keepNext/>
        <w:keepLines/>
        <w:pBdr>
          <w:top w:val="nil"/>
          <w:left w:val="nil"/>
          <w:bottom w:val="nil"/>
          <w:right w:val="nil"/>
          <w:between w:val="nil"/>
        </w:pBdr>
        <w:spacing w:before="240" w:after="0" w:line="360" w:lineRule="auto"/>
        <w:jc w:val="left"/>
        <w:rPr>
          <w:b/>
          <w:color w:val="000000"/>
          <w:sz w:val="32"/>
          <w:szCs w:val="32"/>
        </w:rPr>
      </w:pPr>
      <w:r>
        <w:rPr>
          <w:b/>
          <w:color w:val="000000"/>
          <w:sz w:val="32"/>
          <w:szCs w:val="32"/>
        </w:rPr>
        <w:lastRenderedPageBreak/>
        <w:t>Table of Contents</w:t>
      </w:r>
    </w:p>
    <w:sdt>
      <w:sdtPr>
        <w:id w:val="479583384"/>
        <w:docPartObj>
          <w:docPartGallery w:val="Table of Contents"/>
          <w:docPartUnique/>
        </w:docPartObj>
      </w:sdtPr>
      <w:sdtEndPr/>
      <w:sdtContent>
        <w:p w14:paraId="0000000C" w14:textId="77777777" w:rsidR="005C2669" w:rsidRDefault="00014887">
          <w:pPr>
            <w:pBdr>
              <w:top w:val="nil"/>
              <w:left w:val="nil"/>
              <w:bottom w:val="nil"/>
              <w:right w:val="nil"/>
              <w:between w:val="nil"/>
            </w:pBdr>
            <w:tabs>
              <w:tab w:val="right" w:pos="9016"/>
            </w:tabs>
            <w:spacing w:after="100" w:line="360" w:lineRule="auto"/>
            <w:rPr>
              <w:color w:val="000000"/>
            </w:rPr>
          </w:pPr>
          <w:r>
            <w:fldChar w:fldCharType="begin"/>
          </w:r>
          <w:r>
            <w:instrText xml:space="preserve"> TOC \h \u \z </w:instrText>
          </w:r>
          <w:r>
            <w:fldChar w:fldCharType="separate"/>
          </w:r>
          <w:hyperlink w:anchor="_gjdgxs">
            <w:r>
              <w:rPr>
                <w:color w:val="000000"/>
              </w:rPr>
              <w:t>Question 1</w:t>
            </w:r>
            <w:r>
              <w:rPr>
                <w:color w:val="000000"/>
              </w:rPr>
              <w:tab/>
              <w:t>3</w:t>
            </w:r>
          </w:hyperlink>
        </w:p>
        <w:p w14:paraId="0000000D" w14:textId="77777777" w:rsidR="005C2669" w:rsidRDefault="00014887">
          <w:pPr>
            <w:pBdr>
              <w:top w:val="nil"/>
              <w:left w:val="nil"/>
              <w:bottom w:val="nil"/>
              <w:right w:val="nil"/>
              <w:between w:val="nil"/>
            </w:pBdr>
            <w:tabs>
              <w:tab w:val="right" w:pos="9016"/>
            </w:tabs>
            <w:spacing w:after="100" w:line="360" w:lineRule="auto"/>
            <w:ind w:left="240"/>
            <w:rPr>
              <w:color w:val="000000"/>
            </w:rPr>
          </w:pPr>
          <w:hyperlink w:anchor="_30j0zll">
            <w:r>
              <w:rPr>
                <w:color w:val="000000"/>
              </w:rPr>
              <w:t>The Profit and Loss statement for Kedison PLC</w:t>
            </w:r>
            <w:r>
              <w:rPr>
                <w:color w:val="000000"/>
              </w:rPr>
              <w:tab/>
              <w:t>3</w:t>
            </w:r>
          </w:hyperlink>
        </w:p>
        <w:p w14:paraId="0000000E" w14:textId="77777777" w:rsidR="005C2669" w:rsidRDefault="00014887">
          <w:pPr>
            <w:pBdr>
              <w:top w:val="nil"/>
              <w:left w:val="nil"/>
              <w:bottom w:val="nil"/>
              <w:right w:val="nil"/>
              <w:between w:val="nil"/>
            </w:pBdr>
            <w:tabs>
              <w:tab w:val="right" w:pos="9016"/>
            </w:tabs>
            <w:spacing w:after="100" w:line="360" w:lineRule="auto"/>
            <w:ind w:left="240"/>
            <w:rPr>
              <w:color w:val="000000"/>
            </w:rPr>
          </w:pPr>
          <w:hyperlink w:anchor="_1fob9te">
            <w:r>
              <w:rPr>
                <w:color w:val="000000"/>
              </w:rPr>
              <w:t>The statement of financial position for Kedison PLC</w:t>
            </w:r>
            <w:r>
              <w:rPr>
                <w:color w:val="000000"/>
              </w:rPr>
              <w:tab/>
              <w:t>4</w:t>
            </w:r>
          </w:hyperlink>
        </w:p>
        <w:p w14:paraId="0000000F" w14:textId="77777777" w:rsidR="005C2669" w:rsidRDefault="00014887">
          <w:pPr>
            <w:pBdr>
              <w:top w:val="nil"/>
              <w:left w:val="nil"/>
              <w:bottom w:val="nil"/>
              <w:right w:val="nil"/>
              <w:between w:val="nil"/>
            </w:pBdr>
            <w:tabs>
              <w:tab w:val="right" w:pos="9016"/>
            </w:tabs>
            <w:spacing w:after="100" w:line="360" w:lineRule="auto"/>
            <w:ind w:left="240"/>
            <w:rPr>
              <w:color w:val="000000"/>
            </w:rPr>
          </w:pPr>
          <w:hyperlink w:anchor="_3znysh7">
            <w:r>
              <w:rPr>
                <w:color w:val="000000"/>
              </w:rPr>
              <w:t>The explanation for the financial statement's equal balance</w:t>
            </w:r>
            <w:r>
              <w:rPr>
                <w:color w:val="000000"/>
              </w:rPr>
              <w:tab/>
              <w:t>6</w:t>
            </w:r>
          </w:hyperlink>
        </w:p>
        <w:p w14:paraId="00000010" w14:textId="77777777" w:rsidR="005C2669" w:rsidRDefault="00014887">
          <w:pPr>
            <w:pBdr>
              <w:top w:val="nil"/>
              <w:left w:val="nil"/>
              <w:bottom w:val="nil"/>
              <w:right w:val="nil"/>
              <w:between w:val="nil"/>
            </w:pBdr>
            <w:tabs>
              <w:tab w:val="right" w:pos="9016"/>
            </w:tabs>
            <w:spacing w:after="100" w:line="360" w:lineRule="auto"/>
            <w:rPr>
              <w:color w:val="000000"/>
            </w:rPr>
          </w:pPr>
          <w:hyperlink w:anchor="_2et92p0">
            <w:r>
              <w:rPr>
                <w:color w:val="000000"/>
              </w:rPr>
              <w:t>Question 2</w:t>
            </w:r>
            <w:r>
              <w:rPr>
                <w:color w:val="000000"/>
              </w:rPr>
              <w:tab/>
              <w:t>7</w:t>
            </w:r>
          </w:hyperlink>
        </w:p>
        <w:p w14:paraId="00000011" w14:textId="77777777" w:rsidR="005C2669" w:rsidRDefault="00014887">
          <w:pPr>
            <w:pBdr>
              <w:top w:val="nil"/>
              <w:left w:val="nil"/>
              <w:bottom w:val="nil"/>
              <w:right w:val="nil"/>
              <w:between w:val="nil"/>
            </w:pBdr>
            <w:tabs>
              <w:tab w:val="right" w:pos="9016"/>
            </w:tabs>
            <w:spacing w:after="100" w:line="360" w:lineRule="auto"/>
            <w:ind w:left="240"/>
            <w:rPr>
              <w:color w:val="000000"/>
            </w:rPr>
          </w:pPr>
          <w:hyperlink w:anchor="_tyjcwt">
            <w:r>
              <w:rPr>
                <w:color w:val="000000"/>
              </w:rPr>
              <w:t>The calculations of ratios for including the formulas and workings</w:t>
            </w:r>
            <w:r>
              <w:rPr>
                <w:color w:val="000000"/>
              </w:rPr>
              <w:tab/>
              <w:t>7</w:t>
            </w:r>
          </w:hyperlink>
        </w:p>
        <w:p w14:paraId="00000012" w14:textId="77777777" w:rsidR="005C2669" w:rsidRDefault="00014887">
          <w:pPr>
            <w:pBdr>
              <w:top w:val="nil"/>
              <w:left w:val="nil"/>
              <w:bottom w:val="nil"/>
              <w:right w:val="nil"/>
              <w:between w:val="nil"/>
            </w:pBdr>
            <w:tabs>
              <w:tab w:val="right" w:pos="9016"/>
            </w:tabs>
            <w:spacing w:after="100" w:line="360" w:lineRule="auto"/>
            <w:ind w:left="240"/>
            <w:rPr>
              <w:color w:val="000000"/>
            </w:rPr>
          </w:pPr>
          <w:hyperlink w:anchor="_3dy6vkm">
            <w:r>
              <w:rPr>
                <w:color w:val="000000"/>
              </w:rPr>
              <w:t>Chocco plc's financial performance and position analysis</w:t>
            </w:r>
            <w:r>
              <w:rPr>
                <w:color w:val="000000"/>
              </w:rPr>
              <w:tab/>
              <w:t>11</w:t>
            </w:r>
          </w:hyperlink>
        </w:p>
        <w:p w14:paraId="00000013" w14:textId="77777777" w:rsidR="005C2669" w:rsidRDefault="00014887">
          <w:pPr>
            <w:pBdr>
              <w:top w:val="nil"/>
              <w:left w:val="nil"/>
              <w:bottom w:val="nil"/>
              <w:right w:val="nil"/>
              <w:between w:val="nil"/>
            </w:pBdr>
            <w:tabs>
              <w:tab w:val="right" w:pos="9016"/>
            </w:tabs>
            <w:spacing w:after="100" w:line="360" w:lineRule="auto"/>
            <w:rPr>
              <w:color w:val="000000"/>
            </w:rPr>
          </w:pPr>
          <w:hyperlink w:anchor="_1t3h5sf">
            <w:r>
              <w:rPr>
                <w:color w:val="000000"/>
              </w:rPr>
              <w:t>References</w:t>
            </w:r>
            <w:r>
              <w:rPr>
                <w:color w:val="000000"/>
              </w:rPr>
              <w:tab/>
              <w:t>13</w:t>
            </w:r>
          </w:hyperlink>
        </w:p>
        <w:p w14:paraId="00000014" w14:textId="77777777" w:rsidR="005C2669" w:rsidRDefault="00014887">
          <w:pPr>
            <w:spacing w:line="360" w:lineRule="auto"/>
            <w:rPr>
              <w:color w:val="000000"/>
            </w:rPr>
          </w:pPr>
          <w:r>
            <w:fldChar w:fldCharType="end"/>
          </w:r>
        </w:p>
      </w:sdtContent>
    </w:sdt>
    <w:p w14:paraId="00000015" w14:textId="77777777" w:rsidR="005C2669" w:rsidRDefault="00014887">
      <w:pPr>
        <w:spacing w:line="360" w:lineRule="auto"/>
        <w:jc w:val="left"/>
        <w:rPr>
          <w:color w:val="000000"/>
        </w:rPr>
      </w:pPr>
      <w:r>
        <w:br w:type="page"/>
      </w:r>
    </w:p>
    <w:p w14:paraId="00000016" w14:textId="77777777" w:rsidR="005C2669" w:rsidRDefault="00014887">
      <w:pPr>
        <w:pStyle w:val="Heading1"/>
        <w:rPr>
          <w:color w:val="000000"/>
        </w:rPr>
      </w:pPr>
      <w:bookmarkStart w:id="0" w:name="_gjdgxs" w:colFirst="0" w:colLast="0"/>
      <w:bookmarkEnd w:id="0"/>
      <w:r>
        <w:rPr>
          <w:color w:val="000000"/>
        </w:rPr>
        <w:lastRenderedPageBreak/>
        <w:t>Question 1</w:t>
      </w:r>
    </w:p>
    <w:p w14:paraId="00000017" w14:textId="77777777" w:rsidR="005C2669" w:rsidRDefault="00014887">
      <w:pPr>
        <w:pStyle w:val="Heading2"/>
        <w:rPr>
          <w:color w:val="000000"/>
        </w:rPr>
      </w:pPr>
      <w:bookmarkStart w:id="1" w:name="_30j0zll" w:colFirst="0" w:colLast="0"/>
      <w:bookmarkEnd w:id="1"/>
      <w:r>
        <w:rPr>
          <w:color w:val="000000"/>
        </w:rPr>
        <w:t xml:space="preserve">The Profit and Loss statement for </w:t>
      </w:r>
      <w:proofErr w:type="spellStart"/>
      <w:r>
        <w:rPr>
          <w:color w:val="000000"/>
        </w:rPr>
        <w:t>Kedison</w:t>
      </w:r>
      <w:proofErr w:type="spellEnd"/>
      <w:r>
        <w:rPr>
          <w:color w:val="000000"/>
        </w:rPr>
        <w:t xml:space="preserve"> PLC</w:t>
      </w:r>
    </w:p>
    <w:p w14:paraId="00000018" w14:textId="77777777" w:rsidR="005C2669" w:rsidRDefault="00014887">
      <w:pPr>
        <w:spacing w:line="360" w:lineRule="auto"/>
        <w:rPr>
          <w:color w:val="000000"/>
        </w:rPr>
      </w:pPr>
      <w:r>
        <w:rPr>
          <w:color w:val="000000"/>
        </w:rPr>
        <w:t xml:space="preserve">A profit and loss statement </w:t>
      </w:r>
      <w:proofErr w:type="gramStart"/>
      <w:r>
        <w:rPr>
          <w:color w:val="000000"/>
        </w:rPr>
        <w:t>is</w:t>
      </w:r>
      <w:proofErr w:type="gramEnd"/>
      <w:r>
        <w:rPr>
          <w:color w:val="000000"/>
        </w:rPr>
        <w:t xml:space="preserve"> a financial statement that displays a company's revenue, expenses, and profit. A company's profit and loss statement </w:t>
      </w:r>
      <w:r>
        <w:rPr>
          <w:color w:val="000000"/>
        </w:rPr>
        <w:t xml:space="preserve">are one of the most essential instruments for demonstrating its financial condition and success (Elliott and Elliott, 2019). The profit and loss statement combines </w:t>
      </w:r>
      <w:proofErr w:type="gramStart"/>
      <w:r>
        <w:rPr>
          <w:color w:val="000000"/>
        </w:rPr>
        <w:t>all of</w:t>
      </w:r>
      <w:proofErr w:type="gramEnd"/>
      <w:r>
        <w:rPr>
          <w:color w:val="000000"/>
        </w:rPr>
        <w:t xml:space="preserve"> a company's revenue and expenses over a certain period and provides a final number th</w:t>
      </w:r>
      <w:r>
        <w:rPr>
          <w:color w:val="000000"/>
        </w:rPr>
        <w:t xml:space="preserve">at reflects the company's profit or loss for that period. It demonstrates how much money the company earned and lost </w:t>
      </w:r>
      <w:proofErr w:type="gramStart"/>
      <w:r>
        <w:rPr>
          <w:color w:val="000000"/>
        </w:rPr>
        <w:t>as a consequence of</w:t>
      </w:r>
      <w:proofErr w:type="gramEnd"/>
      <w:r>
        <w:rPr>
          <w:color w:val="000000"/>
        </w:rPr>
        <w:t xml:space="preserve"> business transactions. The costs of operating the business, such as the cost of goods sold, overhead costs, financing c</w:t>
      </w:r>
      <w:r>
        <w:rPr>
          <w:color w:val="000000"/>
        </w:rPr>
        <w:t xml:space="preserve">harges, tax, and so on, are subtracted from the revenue generated to arrive at profit and loss (Elliott and Elliott, 2019). It informs the interests of the stakeholders about how a business works and </w:t>
      </w:r>
      <w:proofErr w:type="gramStart"/>
      <w:r>
        <w:rPr>
          <w:color w:val="000000"/>
        </w:rPr>
        <w:t>whether or not</w:t>
      </w:r>
      <w:proofErr w:type="gramEnd"/>
      <w:r>
        <w:rPr>
          <w:color w:val="000000"/>
        </w:rPr>
        <w:t xml:space="preserve"> it is profitable. This report shows a com</w:t>
      </w:r>
      <w:r>
        <w:rPr>
          <w:color w:val="000000"/>
        </w:rPr>
        <w:t>pany's financial performance over a certain period, such as monthly, quarterly, or even annually. P&amp;L statements provide the data necessary to predict a corporation's revenue-generating capacity, operating efficiency, profit-generating divisions, and risky</w:t>
      </w:r>
      <w:r>
        <w:rPr>
          <w:color w:val="000000"/>
        </w:rPr>
        <w:t xml:space="preserve"> investments.</w:t>
      </w:r>
    </w:p>
    <w:p w14:paraId="00000019" w14:textId="77777777" w:rsidR="005C2669" w:rsidRDefault="00014887">
      <w:pPr>
        <w:spacing w:line="360" w:lineRule="auto"/>
        <w:rPr>
          <w:color w:val="000000"/>
        </w:rPr>
      </w:pPr>
      <w:r>
        <w:rPr>
          <w:color w:val="000000"/>
        </w:rPr>
        <w:t xml:space="preserve">The following is the profit and loss statement for </w:t>
      </w:r>
      <w:proofErr w:type="spellStart"/>
      <w:r>
        <w:rPr>
          <w:color w:val="000000"/>
        </w:rPr>
        <w:t>Kedison</w:t>
      </w:r>
      <w:proofErr w:type="spellEnd"/>
      <w:r>
        <w:rPr>
          <w:color w:val="000000"/>
        </w:rPr>
        <w:t xml:space="preserve"> PLC for the year ending December 31, 2020:</w:t>
      </w:r>
    </w:p>
    <w:p w14:paraId="0000001A" w14:textId="77777777" w:rsidR="005C2669" w:rsidRDefault="00014887">
      <w:pPr>
        <w:spacing w:line="360" w:lineRule="auto"/>
        <w:jc w:val="center"/>
        <w:rPr>
          <w:b/>
          <w:color w:val="000000"/>
        </w:rPr>
      </w:pPr>
      <w:proofErr w:type="spellStart"/>
      <w:r>
        <w:rPr>
          <w:b/>
          <w:color w:val="000000"/>
        </w:rPr>
        <w:t>Kedison</w:t>
      </w:r>
      <w:proofErr w:type="spellEnd"/>
      <w:r>
        <w:rPr>
          <w:b/>
          <w:color w:val="000000"/>
        </w:rPr>
        <w:t xml:space="preserve"> PLC</w:t>
      </w:r>
    </w:p>
    <w:p w14:paraId="0000001B" w14:textId="77777777" w:rsidR="005C2669" w:rsidRDefault="00014887">
      <w:pPr>
        <w:spacing w:line="360" w:lineRule="auto"/>
        <w:jc w:val="center"/>
        <w:rPr>
          <w:b/>
          <w:color w:val="000000"/>
        </w:rPr>
      </w:pPr>
      <w:r>
        <w:rPr>
          <w:b/>
          <w:color w:val="000000"/>
        </w:rPr>
        <w:t>Profit and Loss Statement</w:t>
      </w:r>
    </w:p>
    <w:p w14:paraId="0000001C" w14:textId="77777777" w:rsidR="005C2669" w:rsidRDefault="00014887">
      <w:pPr>
        <w:spacing w:line="360" w:lineRule="auto"/>
        <w:jc w:val="center"/>
        <w:rPr>
          <w:b/>
          <w:color w:val="000000"/>
        </w:rPr>
      </w:pPr>
      <w:r>
        <w:rPr>
          <w:b/>
          <w:color w:val="000000"/>
        </w:rPr>
        <w:t>For the Year Ended 31st December 2020</w:t>
      </w:r>
    </w:p>
    <w:p w14:paraId="0000001D" w14:textId="77777777" w:rsidR="005C2669" w:rsidRDefault="00014887">
      <w:pPr>
        <w:spacing w:line="360" w:lineRule="auto"/>
        <w:rPr>
          <w:color w:val="000000"/>
        </w:rPr>
      </w:pPr>
      <w:r>
        <w:rPr>
          <w:noProof/>
          <w:color w:val="000000"/>
        </w:rPr>
        <w:lastRenderedPageBreak/>
        <w:drawing>
          <wp:inline distT="0" distB="0" distL="0" distR="0">
            <wp:extent cx="5731510" cy="87401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1510" cy="8740140"/>
                    </a:xfrm>
                    <a:prstGeom prst="rect">
                      <a:avLst/>
                    </a:prstGeom>
                    <a:ln/>
                  </pic:spPr>
                </pic:pic>
              </a:graphicData>
            </a:graphic>
          </wp:inline>
        </w:drawing>
      </w:r>
    </w:p>
    <w:p w14:paraId="0000001E" w14:textId="77777777" w:rsidR="005C2669" w:rsidRDefault="00014887">
      <w:pPr>
        <w:pStyle w:val="Heading2"/>
        <w:rPr>
          <w:color w:val="000000"/>
        </w:rPr>
      </w:pPr>
      <w:bookmarkStart w:id="2" w:name="_4d34og8" w:colFirst="0" w:colLast="0"/>
      <w:bookmarkEnd w:id="2"/>
      <w:r>
        <w:rPr>
          <w:color w:val="000000"/>
        </w:rPr>
        <w:lastRenderedPageBreak/>
        <w:t xml:space="preserve">The statement of financial position for </w:t>
      </w:r>
      <w:proofErr w:type="spellStart"/>
      <w:r>
        <w:rPr>
          <w:color w:val="000000"/>
        </w:rPr>
        <w:t>Kedison</w:t>
      </w:r>
      <w:proofErr w:type="spellEnd"/>
      <w:r>
        <w:rPr>
          <w:color w:val="000000"/>
        </w:rPr>
        <w:t xml:space="preserve"> PLC</w:t>
      </w:r>
    </w:p>
    <w:p w14:paraId="0000001F" w14:textId="77777777" w:rsidR="005C2669" w:rsidRDefault="00014887">
      <w:pPr>
        <w:spacing w:line="360" w:lineRule="auto"/>
        <w:rPr>
          <w:color w:val="000000"/>
        </w:rPr>
      </w:pPr>
      <w:r>
        <w:rPr>
          <w:color w:val="000000"/>
        </w:rPr>
        <w:t xml:space="preserve">Financial statements are records that provide information about a company's activities and financial condition. The Financial Statement Users are provided with information on the company's assets, </w:t>
      </w:r>
      <w:proofErr w:type="gramStart"/>
      <w:r>
        <w:rPr>
          <w:color w:val="000000"/>
        </w:rPr>
        <w:t>liabili</w:t>
      </w:r>
      <w:r>
        <w:rPr>
          <w:color w:val="000000"/>
        </w:rPr>
        <w:t>ties</w:t>
      </w:r>
      <w:proofErr w:type="gramEnd"/>
      <w:r>
        <w:rPr>
          <w:color w:val="000000"/>
        </w:rPr>
        <w:t xml:space="preserve"> and equity, so that they may comprehend at any time the company's financial position (Horngren and Harrison, 2015). In a statement of financial position, a company's financial record and financial status are summarised. The financial statement is one </w:t>
      </w:r>
      <w:r>
        <w:rPr>
          <w:color w:val="000000"/>
        </w:rPr>
        <w:t>of the most essential because at a given point it shows the financial situation of the firm (Elliott and Elliott, 2019). To put it differently, it describes a business's financial position and acts as a snapshot of the organisation at a given moment.</w:t>
      </w:r>
    </w:p>
    <w:p w14:paraId="00000020" w14:textId="77777777" w:rsidR="005C2669" w:rsidRDefault="00014887">
      <w:pPr>
        <w:spacing w:line="360" w:lineRule="auto"/>
        <w:rPr>
          <w:color w:val="000000"/>
        </w:rPr>
      </w:pPr>
      <w:r>
        <w:rPr>
          <w:color w:val="000000"/>
        </w:rPr>
        <w:t>Manag</w:t>
      </w:r>
      <w:r>
        <w:rPr>
          <w:color w:val="000000"/>
        </w:rPr>
        <w:t>ers, investors, banks, creditors, officials, the government, companies, consumers, and the public at large, for example, profit from financial statements. Stakeholders and prospective investors may use a financial statement to determine if they will make a</w:t>
      </w:r>
      <w:r>
        <w:rPr>
          <w:color w:val="000000"/>
        </w:rPr>
        <w:t xml:space="preserve"> profit on their investment. Creditors and suppliers may use it to determine the level of risk involved in funding or supplying the business (</w:t>
      </w:r>
      <w:proofErr w:type="spellStart"/>
      <w:r>
        <w:rPr>
          <w:color w:val="000000"/>
        </w:rPr>
        <w:t>Simini</w:t>
      </w:r>
      <w:proofErr w:type="spellEnd"/>
      <w:r>
        <w:rPr>
          <w:color w:val="000000"/>
        </w:rPr>
        <w:t xml:space="preserve"> and </w:t>
      </w:r>
      <w:proofErr w:type="spellStart"/>
      <w:r>
        <w:rPr>
          <w:color w:val="000000"/>
        </w:rPr>
        <w:t>Hingley</w:t>
      </w:r>
      <w:proofErr w:type="spellEnd"/>
      <w:r>
        <w:rPr>
          <w:color w:val="000000"/>
        </w:rPr>
        <w:t>, 2019). A statement of financial condition may be used to compare ratios to those from previous</w:t>
      </w:r>
      <w:r>
        <w:rPr>
          <w:color w:val="000000"/>
        </w:rPr>
        <w:t xml:space="preserve"> years or those of rivals in the industry. </w:t>
      </w:r>
      <w:proofErr w:type="gramStart"/>
      <w:r>
        <w:rPr>
          <w:color w:val="000000"/>
        </w:rPr>
        <w:t>As a consequence</w:t>
      </w:r>
      <w:proofErr w:type="gramEnd"/>
      <w:r>
        <w:rPr>
          <w:color w:val="000000"/>
        </w:rPr>
        <w:t xml:space="preserve">, making decisions in the future will be simpler. The following are the components of </w:t>
      </w:r>
      <w:proofErr w:type="spellStart"/>
      <w:r>
        <w:rPr>
          <w:color w:val="000000"/>
        </w:rPr>
        <w:t>Kedison</w:t>
      </w:r>
      <w:proofErr w:type="spellEnd"/>
      <w:r>
        <w:rPr>
          <w:color w:val="000000"/>
        </w:rPr>
        <w:t xml:space="preserve"> PLC's statement of financial position:</w:t>
      </w:r>
    </w:p>
    <w:p w14:paraId="00000021" w14:textId="77777777" w:rsidR="005C2669" w:rsidRDefault="00014887">
      <w:pPr>
        <w:spacing w:line="360" w:lineRule="auto"/>
        <w:jc w:val="center"/>
        <w:rPr>
          <w:b/>
          <w:color w:val="000000"/>
        </w:rPr>
      </w:pPr>
      <w:proofErr w:type="spellStart"/>
      <w:r>
        <w:rPr>
          <w:b/>
          <w:color w:val="000000"/>
        </w:rPr>
        <w:t>Kedison</w:t>
      </w:r>
      <w:proofErr w:type="spellEnd"/>
      <w:r>
        <w:rPr>
          <w:b/>
          <w:color w:val="000000"/>
        </w:rPr>
        <w:t xml:space="preserve"> PLC</w:t>
      </w:r>
    </w:p>
    <w:p w14:paraId="00000022" w14:textId="77777777" w:rsidR="005C2669" w:rsidRDefault="00014887">
      <w:pPr>
        <w:spacing w:line="360" w:lineRule="auto"/>
        <w:jc w:val="center"/>
        <w:rPr>
          <w:b/>
          <w:color w:val="000000"/>
        </w:rPr>
      </w:pPr>
      <w:r>
        <w:rPr>
          <w:b/>
          <w:color w:val="000000"/>
        </w:rPr>
        <w:t>Statement of Financial Position</w:t>
      </w:r>
    </w:p>
    <w:p w14:paraId="00000023" w14:textId="77777777" w:rsidR="005C2669" w:rsidRDefault="00014887">
      <w:pPr>
        <w:spacing w:line="360" w:lineRule="auto"/>
        <w:jc w:val="center"/>
        <w:rPr>
          <w:b/>
          <w:color w:val="000000"/>
        </w:rPr>
      </w:pPr>
      <w:r>
        <w:rPr>
          <w:b/>
          <w:color w:val="000000"/>
        </w:rPr>
        <w:t>For 31st December 20</w:t>
      </w:r>
      <w:r>
        <w:rPr>
          <w:b/>
          <w:color w:val="000000"/>
        </w:rPr>
        <w:t>20</w:t>
      </w:r>
    </w:p>
    <w:p w14:paraId="00000024" w14:textId="77777777" w:rsidR="005C2669" w:rsidRDefault="00014887">
      <w:pPr>
        <w:spacing w:line="360" w:lineRule="auto"/>
        <w:rPr>
          <w:color w:val="000000"/>
        </w:rPr>
      </w:pPr>
      <w:r>
        <w:rPr>
          <w:noProof/>
          <w:color w:val="000000"/>
        </w:rPr>
        <w:lastRenderedPageBreak/>
        <w:drawing>
          <wp:inline distT="0" distB="0" distL="0" distR="0">
            <wp:extent cx="5731510" cy="87401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31510" cy="8740140"/>
                    </a:xfrm>
                    <a:prstGeom prst="rect">
                      <a:avLst/>
                    </a:prstGeom>
                    <a:ln/>
                  </pic:spPr>
                </pic:pic>
              </a:graphicData>
            </a:graphic>
          </wp:inline>
        </w:drawing>
      </w:r>
    </w:p>
    <w:p w14:paraId="00000025" w14:textId="77777777" w:rsidR="005C2669" w:rsidRDefault="00014887">
      <w:pPr>
        <w:pStyle w:val="Heading2"/>
        <w:rPr>
          <w:color w:val="000000"/>
        </w:rPr>
      </w:pPr>
      <w:bookmarkStart w:id="3" w:name="_3znysh7" w:colFirst="0" w:colLast="0"/>
      <w:bookmarkEnd w:id="3"/>
      <w:r>
        <w:rPr>
          <w:color w:val="000000"/>
        </w:rPr>
        <w:lastRenderedPageBreak/>
        <w:t>The explanation for the financial statement's equal balance</w:t>
      </w:r>
    </w:p>
    <w:p w14:paraId="00000026" w14:textId="77777777" w:rsidR="005C2669" w:rsidRDefault="00014887">
      <w:pPr>
        <w:spacing w:line="360" w:lineRule="auto"/>
        <w:rPr>
          <w:color w:val="000000"/>
        </w:rPr>
      </w:pPr>
      <w:r>
        <w:rPr>
          <w:color w:val="000000"/>
        </w:rPr>
        <w:t>An accounting statement showing a company's financial status, typically at the end of a period quarter or year, is a statement of financial position. The financial situation statement is inte</w:t>
      </w:r>
      <w:r>
        <w:rPr>
          <w:color w:val="000000"/>
        </w:rPr>
        <w:t xml:space="preserve">nded to give accurate information on the assets, </w:t>
      </w:r>
      <w:proofErr w:type="gramStart"/>
      <w:r>
        <w:rPr>
          <w:color w:val="000000"/>
        </w:rPr>
        <w:t>liabilities</w:t>
      </w:r>
      <w:proofErr w:type="gramEnd"/>
      <w:r>
        <w:rPr>
          <w:color w:val="000000"/>
        </w:rPr>
        <w:t xml:space="preserve"> and equities of the Company (</w:t>
      </w:r>
      <w:proofErr w:type="spellStart"/>
      <w:r>
        <w:rPr>
          <w:color w:val="000000"/>
        </w:rPr>
        <w:t>Simini</w:t>
      </w:r>
      <w:proofErr w:type="spellEnd"/>
      <w:r>
        <w:rPr>
          <w:color w:val="000000"/>
        </w:rPr>
        <w:t xml:space="preserve"> and </w:t>
      </w:r>
      <w:proofErr w:type="spellStart"/>
      <w:r>
        <w:rPr>
          <w:color w:val="000000"/>
        </w:rPr>
        <w:t>Hingley</w:t>
      </w:r>
      <w:proofErr w:type="spellEnd"/>
      <w:r>
        <w:rPr>
          <w:color w:val="000000"/>
        </w:rPr>
        <w:t>, 2019). It helps to show the financial status of the business at certain point in time. The information provided in the statement contributes to fi</w:t>
      </w:r>
      <w:r>
        <w:rPr>
          <w:color w:val="000000"/>
        </w:rPr>
        <w:t xml:space="preserve">nancial analysis and investment decisions by stakeholders. Investors may </w:t>
      </w:r>
      <w:proofErr w:type="spellStart"/>
      <w:r>
        <w:rPr>
          <w:color w:val="000000"/>
        </w:rPr>
        <w:t>analyzed</w:t>
      </w:r>
      <w:proofErr w:type="spellEnd"/>
      <w:r>
        <w:rPr>
          <w:color w:val="000000"/>
        </w:rPr>
        <w:t xml:space="preserve"> the actual statement to the report of the previous year to see how great </w:t>
      </w:r>
      <w:proofErr w:type="gramStart"/>
      <w:r>
        <w:rPr>
          <w:color w:val="000000"/>
        </w:rPr>
        <w:t>is the difference</w:t>
      </w:r>
      <w:proofErr w:type="gramEnd"/>
      <w:r>
        <w:rPr>
          <w:color w:val="000000"/>
        </w:rPr>
        <w:t xml:space="preserve"> (</w:t>
      </w:r>
      <w:proofErr w:type="spellStart"/>
      <w:r>
        <w:rPr>
          <w:color w:val="000000"/>
        </w:rPr>
        <w:t>Kieso</w:t>
      </w:r>
      <w:proofErr w:type="spellEnd"/>
      <w:r>
        <w:rPr>
          <w:color w:val="000000"/>
        </w:rPr>
        <w:t>, Warfield and Weygandt, 2020). It will provide customers a further insight i</w:t>
      </w:r>
      <w:r>
        <w:rPr>
          <w:color w:val="000000"/>
        </w:rPr>
        <w:t xml:space="preserve">nto how the company does. </w:t>
      </w:r>
      <w:proofErr w:type="gramStart"/>
      <w:r>
        <w:rPr>
          <w:color w:val="000000"/>
        </w:rPr>
        <w:t>In order to</w:t>
      </w:r>
      <w:proofErr w:type="gramEnd"/>
      <w:r>
        <w:rPr>
          <w:color w:val="000000"/>
        </w:rPr>
        <w:t xml:space="preserve"> evaluate if the financial statement of the firm is better than competitiveness, it can also be compared to the financial statement of other businesses in the same industry.</w:t>
      </w:r>
    </w:p>
    <w:p w14:paraId="00000027" w14:textId="77777777" w:rsidR="005C2669" w:rsidRDefault="00014887">
      <w:pPr>
        <w:spacing w:line="360" w:lineRule="auto"/>
        <w:rPr>
          <w:color w:val="000000"/>
        </w:rPr>
      </w:pPr>
      <w:r>
        <w:rPr>
          <w:color w:val="000000"/>
        </w:rPr>
        <w:t xml:space="preserve">The statement also benefits management since </w:t>
      </w:r>
      <w:r>
        <w:rPr>
          <w:color w:val="000000"/>
        </w:rPr>
        <w:t xml:space="preserve">it enables them to assess the financial condition of the company and make corrections. The assets of the business are displayed in one part while liabilities and equity of the investors are shown in another. A financial statement should always balance the </w:t>
      </w:r>
      <w:r>
        <w:rPr>
          <w:color w:val="000000"/>
        </w:rPr>
        <w:t>overall assets and liabilities as well as the equity of the owners (</w:t>
      </w:r>
      <w:proofErr w:type="spellStart"/>
      <w:r>
        <w:rPr>
          <w:color w:val="000000"/>
        </w:rPr>
        <w:t>Kieso</w:t>
      </w:r>
      <w:proofErr w:type="spellEnd"/>
      <w:r>
        <w:rPr>
          <w:color w:val="000000"/>
        </w:rPr>
        <w:t>, Warfield and Weygandt, 2020). In the short-term and long-term categories of assets and liabilities, the assets and liabilities are also separated into the kind of liquidity. As disp</w:t>
      </w:r>
      <w:r>
        <w:rPr>
          <w:color w:val="000000"/>
        </w:rPr>
        <w:t>layed on financial records, assets are quantifiable that a company has or will have in the future. Liabilities are debts of a business such as charges, expenditures incurred, payments made in the past and loans (Kimmel, 2018). In the shareholder's equity s</w:t>
      </w:r>
      <w:r>
        <w:rPr>
          <w:color w:val="000000"/>
        </w:rPr>
        <w:t xml:space="preserve">ection, the anticipated revenue and capital provided by shareholders are presented. </w:t>
      </w:r>
      <w:proofErr w:type="gramStart"/>
      <w:r>
        <w:rPr>
          <w:color w:val="000000"/>
        </w:rPr>
        <w:t>In order to</w:t>
      </w:r>
      <w:proofErr w:type="gramEnd"/>
      <w:r>
        <w:rPr>
          <w:color w:val="000000"/>
        </w:rPr>
        <w:t xml:space="preserve"> have a balanced financial report, the total assets must equal the total liabilities and shareholder equity.</w:t>
      </w:r>
    </w:p>
    <w:p w14:paraId="00000028" w14:textId="77777777" w:rsidR="005C2669" w:rsidRDefault="00014887">
      <w:pPr>
        <w:spacing w:line="360" w:lineRule="auto"/>
        <w:rPr>
          <w:color w:val="000000"/>
        </w:rPr>
      </w:pPr>
      <w:r>
        <w:rPr>
          <w:color w:val="000000"/>
        </w:rPr>
        <w:t>The double-entry accounting concept is the main reas</w:t>
      </w:r>
      <w:r>
        <w:rPr>
          <w:color w:val="000000"/>
        </w:rPr>
        <w:t xml:space="preserve">on for the balance of a financial record. According to this accounting approach, all measures are recorded in at least two distinct accounts, which are used as a test for the correctness of the records. A balanced entry is produced for each record </w:t>
      </w:r>
      <w:proofErr w:type="gramStart"/>
      <w:r>
        <w:rPr>
          <w:color w:val="000000"/>
        </w:rPr>
        <w:t>in order</w:t>
      </w:r>
      <w:r>
        <w:rPr>
          <w:color w:val="000000"/>
        </w:rPr>
        <w:t xml:space="preserve"> to</w:t>
      </w:r>
      <w:proofErr w:type="gramEnd"/>
      <w:r>
        <w:rPr>
          <w:color w:val="000000"/>
        </w:rPr>
        <w:t xml:space="preserve"> maintain the accounting system (Kimmel, 2018). This method is based on the notion that assets are assessed for their purchase costs or the amount they are paid for. As a result, the rise in market prices in the financial statement is not represented. O</w:t>
      </w:r>
      <w:r>
        <w:rPr>
          <w:color w:val="000000"/>
        </w:rPr>
        <w:t>nly income or losses affect equity and profit/losses are compensated for via growth or cuts in the assets and liabilities they generate. The balances on both sides of the balance sheet are always equal, regardless of how much the amount of property, obliga</w:t>
      </w:r>
      <w:r>
        <w:rPr>
          <w:color w:val="000000"/>
        </w:rPr>
        <w:t xml:space="preserve">tions, and equity changes </w:t>
      </w:r>
      <w:proofErr w:type="gramStart"/>
      <w:r>
        <w:rPr>
          <w:color w:val="000000"/>
        </w:rPr>
        <w:t>as a consequence of</w:t>
      </w:r>
      <w:proofErr w:type="gramEnd"/>
      <w:r>
        <w:rPr>
          <w:color w:val="000000"/>
        </w:rPr>
        <w:t xml:space="preserve"> operations. This is because every activity that affects </w:t>
      </w:r>
      <w:r>
        <w:rPr>
          <w:color w:val="000000"/>
        </w:rPr>
        <w:lastRenderedPageBreak/>
        <w:t xml:space="preserve">the firm's assets also affects the amount of cash available to the company, as well as its obligations and equity (Warren, </w:t>
      </w:r>
      <w:proofErr w:type="spellStart"/>
      <w:r>
        <w:rPr>
          <w:color w:val="000000"/>
        </w:rPr>
        <w:t>Jonick</w:t>
      </w:r>
      <w:proofErr w:type="spellEnd"/>
      <w:r>
        <w:rPr>
          <w:color w:val="000000"/>
        </w:rPr>
        <w:t xml:space="preserve"> and Schneider, 2014).</w:t>
      </w:r>
    </w:p>
    <w:p w14:paraId="00000029" w14:textId="77777777" w:rsidR="005C2669" w:rsidRDefault="00014887">
      <w:pPr>
        <w:pStyle w:val="Heading1"/>
        <w:rPr>
          <w:color w:val="000000"/>
        </w:rPr>
      </w:pPr>
      <w:bookmarkStart w:id="4" w:name="_2s8eyo1" w:colFirst="0" w:colLast="0"/>
      <w:bookmarkEnd w:id="4"/>
      <w:r>
        <w:rPr>
          <w:color w:val="000000"/>
        </w:rPr>
        <w:t>Qu</w:t>
      </w:r>
      <w:r>
        <w:rPr>
          <w:color w:val="000000"/>
        </w:rPr>
        <w:t>estion 2</w:t>
      </w:r>
    </w:p>
    <w:p w14:paraId="0000002A" w14:textId="77777777" w:rsidR="005C2669" w:rsidRDefault="00014887">
      <w:pPr>
        <w:pStyle w:val="Heading2"/>
        <w:rPr>
          <w:color w:val="000000"/>
        </w:rPr>
      </w:pPr>
      <w:bookmarkStart w:id="5" w:name="_17dp8vu" w:colFirst="0" w:colLast="0"/>
      <w:bookmarkEnd w:id="5"/>
      <w:r>
        <w:rPr>
          <w:color w:val="000000"/>
        </w:rPr>
        <w:t>The calculations of ratios for including the formulas and workings</w:t>
      </w:r>
    </w:p>
    <w:p w14:paraId="0000002B" w14:textId="77777777" w:rsidR="005C2669" w:rsidRDefault="00014887">
      <w:pPr>
        <w:spacing w:line="360" w:lineRule="auto"/>
        <w:rPr>
          <w:color w:val="000000"/>
        </w:rPr>
      </w:pPr>
      <w:r>
        <w:rPr>
          <w:color w:val="000000"/>
        </w:rPr>
        <w:t>Account elements of a financial relationship are displayed and linked to accounts such as income statement, profit and loss account and cash flow statement. It is a helpful means o</w:t>
      </w:r>
      <w:r>
        <w:rPr>
          <w:color w:val="000000"/>
        </w:rPr>
        <w:t xml:space="preserve">f appraising the profitability, long-term </w:t>
      </w:r>
      <w:proofErr w:type="gramStart"/>
      <w:r>
        <w:rPr>
          <w:color w:val="000000"/>
        </w:rPr>
        <w:t>viability</w:t>
      </w:r>
      <w:proofErr w:type="gramEnd"/>
      <w:r>
        <w:rPr>
          <w:color w:val="000000"/>
        </w:rPr>
        <w:t xml:space="preserve"> and financial health of a business for shareholders, loans and other stakeholders. Investors and financial experts utilize ratios to explain and evaluate over time issues and accomplishments (Warren, </w:t>
      </w:r>
      <w:proofErr w:type="spellStart"/>
      <w:r>
        <w:rPr>
          <w:color w:val="000000"/>
        </w:rPr>
        <w:t>Joni</w:t>
      </w:r>
      <w:r>
        <w:rPr>
          <w:color w:val="000000"/>
        </w:rPr>
        <w:t>ck</w:t>
      </w:r>
      <w:proofErr w:type="spellEnd"/>
      <w:r>
        <w:rPr>
          <w:color w:val="000000"/>
        </w:rPr>
        <w:t xml:space="preserve"> and Schneider, 2014). Accounting ratios are often calculated yearly or on a regular basis and in certain industries, some ratios are more important. Analysis of the accounting ratio is an essential component of the financial situation of a business. It </w:t>
      </w:r>
      <w:r>
        <w:rPr>
          <w:color w:val="000000"/>
        </w:rPr>
        <w:t>is common that areas are disclosed which have an adverse impact on the overall health of a business and must thus be addressed. The efficiency of new management initiatives, new products and modifications to operative techniques may be measured by using fi</w:t>
      </w:r>
      <w:r>
        <w:rPr>
          <w:color w:val="000000"/>
        </w:rPr>
        <w:t>nancial ratios.</w:t>
      </w:r>
    </w:p>
    <w:p w14:paraId="0000002C" w14:textId="77777777" w:rsidR="005C2669" w:rsidRDefault="00014887">
      <w:pPr>
        <w:spacing w:line="360" w:lineRule="auto"/>
        <w:rPr>
          <w:b/>
          <w:color w:val="000000"/>
        </w:rPr>
      </w:pPr>
      <w:r>
        <w:rPr>
          <w:b/>
          <w:color w:val="000000"/>
        </w:rPr>
        <w:t>ROCE</w:t>
      </w:r>
    </w:p>
    <w:p w14:paraId="0000002D" w14:textId="77777777" w:rsidR="005C2669" w:rsidRDefault="00014887">
      <w:pPr>
        <w:spacing w:line="360" w:lineRule="auto"/>
        <w:rPr>
          <w:color w:val="000000"/>
        </w:rPr>
      </w:pPr>
      <w:r>
        <w:rPr>
          <w:color w:val="000000"/>
        </w:rPr>
        <w:t xml:space="preserve">ROCE is an evaluation of the profitability of an enterprise in terms of all its capital. The return on utilized capital is </w:t>
      </w:r>
      <w:proofErr w:type="gramStart"/>
      <w:r>
        <w:rPr>
          <w:color w:val="000000"/>
        </w:rPr>
        <w:t>similar to</w:t>
      </w:r>
      <w:proofErr w:type="gramEnd"/>
      <w:r>
        <w:rPr>
          <w:color w:val="000000"/>
        </w:rPr>
        <w:t xml:space="preserve"> that on invested capital (Cordis, 2014). </w:t>
      </w:r>
    </w:p>
    <w:p w14:paraId="0000002E" w14:textId="77777777" w:rsidR="005C2669" w:rsidRDefault="00014887">
      <w:pPr>
        <w:spacing w:line="360" w:lineRule="auto"/>
        <w:rPr>
          <w:color w:val="000000"/>
        </w:rPr>
      </w:pPr>
      <w:r>
        <w:rPr>
          <w:color w:val="000000"/>
        </w:rPr>
        <w:t xml:space="preserve">The formula for calculating ROCE is: </w:t>
      </w:r>
    </w:p>
    <w:p w14:paraId="0000002F" w14:textId="77777777" w:rsidR="005C2669" w:rsidRDefault="00014887">
      <w:pPr>
        <w:spacing w:line="360" w:lineRule="auto"/>
        <w:jc w:val="center"/>
        <w:rPr>
          <w:color w:val="000000"/>
        </w:rPr>
      </w:pPr>
      <w:r>
        <w:rPr>
          <w:color w:val="000000"/>
        </w:rPr>
        <w:t>ROCE = EBIT / Capital</w:t>
      </w:r>
      <w:r>
        <w:rPr>
          <w:color w:val="000000"/>
        </w:rPr>
        <w:t xml:space="preserve"> Employed</w:t>
      </w:r>
    </w:p>
    <w:p w14:paraId="00000030" w14:textId="77777777" w:rsidR="005C2669" w:rsidRDefault="00014887">
      <w:pPr>
        <w:spacing w:line="360" w:lineRule="auto"/>
        <w:rPr>
          <w:color w:val="000000"/>
        </w:rPr>
      </w:pPr>
      <w:r>
        <w:rPr>
          <w:color w:val="000000"/>
        </w:rPr>
        <w:t xml:space="preserve">So, first the amount of capital employed </w:t>
      </w:r>
      <w:proofErr w:type="gramStart"/>
      <w:r>
        <w:rPr>
          <w:color w:val="000000"/>
        </w:rPr>
        <w:t>has to</w:t>
      </w:r>
      <w:proofErr w:type="gramEnd"/>
      <w:r>
        <w:rPr>
          <w:color w:val="000000"/>
        </w:rPr>
        <w:t xml:space="preserve"> calculate. The formula of capital employed = Total Assets – Current Liabilities</w:t>
      </w:r>
    </w:p>
    <w:p w14:paraId="00000031" w14:textId="77777777" w:rsidR="005C2669" w:rsidRDefault="00014887">
      <w:pPr>
        <w:spacing w:line="360" w:lineRule="auto"/>
        <w:rPr>
          <w:color w:val="000000"/>
        </w:rPr>
      </w:pPr>
      <w:bookmarkStart w:id="6" w:name="_3rdcrjn" w:colFirst="0" w:colLast="0"/>
      <w:bookmarkEnd w:id="6"/>
      <w:r>
        <w:rPr>
          <w:color w:val="000000"/>
        </w:rPr>
        <w:t>Capital Employed (2020) = £9,736 - £2,511</w:t>
      </w:r>
    </w:p>
    <w:p w14:paraId="00000032" w14:textId="77777777" w:rsidR="005C2669" w:rsidRDefault="00014887">
      <w:pPr>
        <w:spacing w:line="360" w:lineRule="auto"/>
        <w:ind w:left="1440"/>
        <w:rPr>
          <w:color w:val="000000"/>
        </w:rPr>
      </w:pPr>
      <w:r>
        <w:rPr>
          <w:color w:val="000000"/>
        </w:rPr>
        <w:t xml:space="preserve">                   = £7,225</w:t>
      </w:r>
    </w:p>
    <w:p w14:paraId="00000033" w14:textId="77777777" w:rsidR="005C2669" w:rsidRDefault="00014887">
      <w:pPr>
        <w:spacing w:line="360" w:lineRule="auto"/>
        <w:rPr>
          <w:color w:val="000000"/>
        </w:rPr>
      </w:pPr>
      <w:r>
        <w:rPr>
          <w:color w:val="000000"/>
        </w:rPr>
        <w:t>Capital Employed (2019) = £10,087- £3,046</w:t>
      </w:r>
    </w:p>
    <w:p w14:paraId="00000034" w14:textId="77777777" w:rsidR="005C2669" w:rsidRDefault="00014887">
      <w:pPr>
        <w:spacing w:line="360" w:lineRule="auto"/>
        <w:ind w:left="1440"/>
        <w:rPr>
          <w:color w:val="000000"/>
        </w:rPr>
      </w:pPr>
      <w:r>
        <w:rPr>
          <w:color w:val="000000"/>
        </w:rPr>
        <w:t xml:space="preserve">                  = £7,041</w:t>
      </w:r>
    </w:p>
    <w:p w14:paraId="00000035" w14:textId="77777777" w:rsidR="005C2669" w:rsidRDefault="00014887">
      <w:pPr>
        <w:spacing w:line="360" w:lineRule="auto"/>
        <w:rPr>
          <w:color w:val="000000"/>
        </w:rPr>
      </w:pPr>
      <w:r>
        <w:rPr>
          <w:color w:val="000000"/>
        </w:rPr>
        <w:t xml:space="preserve">The calculation of the ROCE for </w:t>
      </w:r>
      <w:proofErr w:type="spellStart"/>
      <w:r>
        <w:rPr>
          <w:color w:val="000000"/>
        </w:rPr>
        <w:t>Chocco</w:t>
      </w:r>
      <w:proofErr w:type="spellEnd"/>
      <w:r>
        <w:rPr>
          <w:color w:val="000000"/>
        </w:rPr>
        <w:t xml:space="preserve"> plc for 2020 and 2019 is given below:</w:t>
      </w:r>
    </w:p>
    <w:p w14:paraId="00000036" w14:textId="77777777" w:rsidR="005C2669" w:rsidRDefault="00014887">
      <w:pPr>
        <w:spacing w:line="360" w:lineRule="auto"/>
        <w:jc w:val="left"/>
        <w:rPr>
          <w:color w:val="000000"/>
        </w:rPr>
      </w:pPr>
      <w:r>
        <w:rPr>
          <w:color w:val="000000"/>
        </w:rPr>
        <w:t xml:space="preserve">ROCE of </w:t>
      </w:r>
      <w:proofErr w:type="spellStart"/>
      <w:r>
        <w:rPr>
          <w:color w:val="000000"/>
        </w:rPr>
        <w:t>Chocco</w:t>
      </w:r>
      <w:proofErr w:type="spellEnd"/>
      <w:r>
        <w:rPr>
          <w:color w:val="000000"/>
        </w:rPr>
        <w:t xml:space="preserve"> plc for 2020 = EBIT / Capital Employed</w:t>
      </w:r>
    </w:p>
    <w:p w14:paraId="00000037" w14:textId="77777777" w:rsidR="005C2669" w:rsidRDefault="00014887">
      <w:pPr>
        <w:spacing w:line="360" w:lineRule="auto"/>
        <w:jc w:val="left"/>
        <w:rPr>
          <w:color w:val="000000"/>
        </w:rPr>
      </w:pPr>
      <w:r>
        <w:rPr>
          <w:color w:val="000000"/>
        </w:rPr>
        <w:lastRenderedPageBreak/>
        <w:t xml:space="preserve">                       = £620 / £7,225</w:t>
      </w:r>
    </w:p>
    <w:p w14:paraId="00000038" w14:textId="77777777" w:rsidR="005C2669" w:rsidRDefault="00014887">
      <w:pPr>
        <w:spacing w:line="360" w:lineRule="auto"/>
        <w:jc w:val="left"/>
        <w:rPr>
          <w:color w:val="000000"/>
        </w:rPr>
      </w:pPr>
      <w:r>
        <w:rPr>
          <w:color w:val="000000"/>
        </w:rPr>
        <w:t xml:space="preserve">                        = 0.086</w:t>
      </w:r>
    </w:p>
    <w:p w14:paraId="00000039" w14:textId="77777777" w:rsidR="005C2669" w:rsidRDefault="00014887">
      <w:pPr>
        <w:spacing w:line="360" w:lineRule="auto"/>
        <w:jc w:val="left"/>
        <w:rPr>
          <w:color w:val="000000"/>
        </w:rPr>
      </w:pPr>
      <w:r>
        <w:rPr>
          <w:color w:val="000000"/>
        </w:rPr>
        <w:t xml:space="preserve">ROCE of </w:t>
      </w:r>
      <w:proofErr w:type="spellStart"/>
      <w:r>
        <w:rPr>
          <w:color w:val="000000"/>
        </w:rPr>
        <w:t>Chocco</w:t>
      </w:r>
      <w:proofErr w:type="spellEnd"/>
      <w:r>
        <w:rPr>
          <w:color w:val="000000"/>
        </w:rPr>
        <w:t xml:space="preserve"> plc for 2019</w:t>
      </w:r>
      <w:r>
        <w:rPr>
          <w:color w:val="000000"/>
        </w:rPr>
        <w:t xml:space="preserve"> = EBIT / Capital Employed</w:t>
      </w:r>
    </w:p>
    <w:p w14:paraId="0000003A" w14:textId="77777777" w:rsidR="005C2669" w:rsidRDefault="00014887">
      <w:pPr>
        <w:spacing w:line="360" w:lineRule="auto"/>
        <w:jc w:val="left"/>
        <w:rPr>
          <w:color w:val="000000"/>
        </w:rPr>
      </w:pPr>
      <w:r>
        <w:rPr>
          <w:color w:val="000000"/>
        </w:rPr>
        <w:t xml:space="preserve">                       = £539 / £7,041</w:t>
      </w:r>
    </w:p>
    <w:p w14:paraId="0000003B" w14:textId="77777777" w:rsidR="005C2669" w:rsidRDefault="00014887">
      <w:pPr>
        <w:spacing w:line="360" w:lineRule="auto"/>
        <w:jc w:val="left"/>
        <w:rPr>
          <w:color w:val="000000"/>
        </w:rPr>
      </w:pPr>
      <w:r>
        <w:rPr>
          <w:color w:val="000000"/>
        </w:rPr>
        <w:t xml:space="preserve">                        = 0.077</w:t>
      </w:r>
    </w:p>
    <w:p w14:paraId="0000003C" w14:textId="77777777" w:rsidR="005C2669" w:rsidRDefault="00014887">
      <w:pPr>
        <w:spacing w:line="360" w:lineRule="auto"/>
        <w:rPr>
          <w:b/>
          <w:color w:val="000000"/>
        </w:rPr>
      </w:pPr>
      <w:r>
        <w:rPr>
          <w:b/>
          <w:color w:val="000000"/>
        </w:rPr>
        <w:t>ROE</w:t>
      </w:r>
    </w:p>
    <w:p w14:paraId="0000003D" w14:textId="77777777" w:rsidR="005C2669" w:rsidRDefault="00014887">
      <w:pPr>
        <w:spacing w:line="360" w:lineRule="auto"/>
        <w:rPr>
          <w:color w:val="000000"/>
        </w:rPr>
      </w:pPr>
      <w:r>
        <w:rPr>
          <w:color w:val="000000"/>
        </w:rPr>
        <w:t>The return on equity (ROE) is a metric that measures business success by dividing net profit by shareholders' equity (Needles and Powers, 2012). The formu</w:t>
      </w:r>
      <w:r>
        <w:rPr>
          <w:color w:val="000000"/>
        </w:rPr>
        <w:t>la for calculating ROE is:</w:t>
      </w:r>
    </w:p>
    <w:p w14:paraId="0000003E" w14:textId="77777777" w:rsidR="005C2669" w:rsidRDefault="00014887">
      <w:pPr>
        <w:spacing w:line="360" w:lineRule="auto"/>
        <w:rPr>
          <w:color w:val="000000"/>
        </w:rPr>
      </w:pPr>
      <w:r>
        <w:rPr>
          <w:color w:val="000000"/>
        </w:rPr>
        <w:t>Return on Equity = Net Income / Average Stockholder Equity</w:t>
      </w:r>
    </w:p>
    <w:p w14:paraId="0000003F" w14:textId="77777777" w:rsidR="005C2669" w:rsidRDefault="00014887">
      <w:pPr>
        <w:spacing w:line="360" w:lineRule="auto"/>
        <w:jc w:val="left"/>
        <w:rPr>
          <w:color w:val="000000"/>
        </w:rPr>
      </w:pPr>
      <w:r>
        <w:rPr>
          <w:color w:val="000000"/>
        </w:rPr>
        <w:t xml:space="preserve">ROE for </w:t>
      </w:r>
      <w:proofErr w:type="spellStart"/>
      <w:r>
        <w:rPr>
          <w:color w:val="000000"/>
        </w:rPr>
        <w:t>Chocco</w:t>
      </w:r>
      <w:proofErr w:type="spellEnd"/>
      <w:r>
        <w:rPr>
          <w:color w:val="000000"/>
        </w:rPr>
        <w:t xml:space="preserve"> plc for 2020= </w:t>
      </w:r>
      <w:r>
        <w:rPr>
          <w:color w:val="000000"/>
          <w:sz w:val="28"/>
          <w:szCs w:val="28"/>
        </w:rPr>
        <w:t xml:space="preserve">= </w:t>
      </w:r>
      <w:r>
        <w:rPr>
          <w:color w:val="000000"/>
        </w:rPr>
        <w:t>£431 / £300</w:t>
      </w:r>
    </w:p>
    <w:p w14:paraId="00000040" w14:textId="77777777" w:rsidR="005C2669" w:rsidRDefault="00014887">
      <w:pPr>
        <w:spacing w:line="360" w:lineRule="auto"/>
        <w:ind w:left="2160"/>
        <w:jc w:val="left"/>
        <w:rPr>
          <w:color w:val="000000"/>
        </w:rPr>
      </w:pPr>
      <w:r>
        <w:rPr>
          <w:color w:val="000000"/>
        </w:rPr>
        <w:t xml:space="preserve">                = 1.45</w:t>
      </w:r>
    </w:p>
    <w:p w14:paraId="00000041" w14:textId="77777777" w:rsidR="005C2669" w:rsidRDefault="00014887">
      <w:pPr>
        <w:spacing w:line="360" w:lineRule="auto"/>
        <w:jc w:val="left"/>
        <w:rPr>
          <w:color w:val="000000"/>
        </w:rPr>
      </w:pPr>
      <w:r>
        <w:rPr>
          <w:color w:val="000000"/>
        </w:rPr>
        <w:t xml:space="preserve">ROE for </w:t>
      </w:r>
      <w:proofErr w:type="spellStart"/>
      <w:r>
        <w:rPr>
          <w:color w:val="000000"/>
        </w:rPr>
        <w:t>Chocco</w:t>
      </w:r>
      <w:proofErr w:type="spellEnd"/>
      <w:r>
        <w:rPr>
          <w:color w:val="000000"/>
        </w:rPr>
        <w:t xml:space="preserve"> plc for 2021= £366 / £300</w:t>
      </w:r>
    </w:p>
    <w:p w14:paraId="00000042" w14:textId="77777777" w:rsidR="005C2669" w:rsidRDefault="00014887">
      <w:pPr>
        <w:spacing w:line="360" w:lineRule="auto"/>
        <w:ind w:left="2160"/>
        <w:jc w:val="left"/>
        <w:rPr>
          <w:color w:val="000000"/>
        </w:rPr>
      </w:pPr>
      <w:r>
        <w:rPr>
          <w:color w:val="000000"/>
        </w:rPr>
        <w:t xml:space="preserve">              = 1.22</w:t>
      </w:r>
    </w:p>
    <w:p w14:paraId="00000043" w14:textId="77777777" w:rsidR="005C2669" w:rsidRDefault="00014887">
      <w:pPr>
        <w:spacing w:line="360" w:lineRule="auto"/>
        <w:rPr>
          <w:b/>
          <w:color w:val="000000"/>
        </w:rPr>
      </w:pPr>
      <w:r>
        <w:rPr>
          <w:b/>
          <w:color w:val="000000"/>
        </w:rPr>
        <w:t>Earnings per share</w:t>
      </w:r>
    </w:p>
    <w:p w14:paraId="00000044" w14:textId="77777777" w:rsidR="005C2669" w:rsidRDefault="00014887">
      <w:pPr>
        <w:spacing w:line="360" w:lineRule="auto"/>
        <w:rPr>
          <w:color w:val="000000"/>
        </w:rPr>
      </w:pPr>
      <w:r>
        <w:rPr>
          <w:color w:val="000000"/>
        </w:rPr>
        <w:t>The EPS is the currency</w:t>
      </w:r>
      <w:r>
        <w:rPr>
          <w:color w:val="000000"/>
        </w:rPr>
        <w:t xml:space="preserve"> value of income per outstanding share of the company's common stock (Needles and Powers, 2012). The formula for calculating Earnings Per Share is:</w:t>
      </w:r>
    </w:p>
    <w:p w14:paraId="00000045" w14:textId="77777777" w:rsidR="005C2669" w:rsidRDefault="00014887">
      <w:pPr>
        <w:spacing w:line="360" w:lineRule="auto"/>
        <w:rPr>
          <w:color w:val="000000"/>
        </w:rPr>
      </w:pPr>
      <w:r>
        <w:rPr>
          <w:color w:val="000000"/>
        </w:rPr>
        <w:t>Earnings Per Share = Net Income / Number of Common Share Outstanding</w:t>
      </w:r>
    </w:p>
    <w:p w14:paraId="00000046" w14:textId="77777777" w:rsidR="005C2669" w:rsidRDefault="00014887">
      <w:pPr>
        <w:spacing w:line="360" w:lineRule="auto"/>
        <w:jc w:val="left"/>
        <w:rPr>
          <w:color w:val="000000"/>
        </w:rPr>
      </w:pPr>
      <w:r>
        <w:rPr>
          <w:color w:val="000000"/>
        </w:rPr>
        <w:t>Earnings Per Share (2020) = £431 / 600</w:t>
      </w:r>
    </w:p>
    <w:p w14:paraId="00000047" w14:textId="77777777" w:rsidR="005C2669" w:rsidRDefault="00014887">
      <w:pPr>
        <w:spacing w:line="360" w:lineRule="auto"/>
        <w:ind w:left="2160"/>
        <w:rPr>
          <w:color w:val="000000"/>
        </w:rPr>
      </w:pPr>
      <w:r>
        <w:rPr>
          <w:color w:val="000000"/>
        </w:rPr>
        <w:t xml:space="preserve">        = £0.72</w:t>
      </w:r>
    </w:p>
    <w:p w14:paraId="00000048" w14:textId="77777777" w:rsidR="005C2669" w:rsidRDefault="00014887">
      <w:pPr>
        <w:spacing w:line="360" w:lineRule="auto"/>
        <w:jc w:val="left"/>
        <w:rPr>
          <w:color w:val="000000"/>
        </w:rPr>
      </w:pPr>
      <w:r>
        <w:rPr>
          <w:color w:val="000000"/>
        </w:rPr>
        <w:t>Earnings Per Share (2019) = £366 / 600</w:t>
      </w:r>
    </w:p>
    <w:p w14:paraId="00000049" w14:textId="77777777" w:rsidR="005C2669" w:rsidRDefault="00014887">
      <w:pPr>
        <w:spacing w:line="360" w:lineRule="auto"/>
        <w:ind w:left="2160"/>
        <w:rPr>
          <w:color w:val="000000"/>
        </w:rPr>
      </w:pPr>
      <w:r>
        <w:rPr>
          <w:color w:val="000000"/>
        </w:rPr>
        <w:t xml:space="preserve">        = £0.61</w:t>
      </w:r>
    </w:p>
    <w:p w14:paraId="0000004A" w14:textId="77777777" w:rsidR="005C2669" w:rsidRDefault="00014887">
      <w:pPr>
        <w:spacing w:line="360" w:lineRule="auto"/>
        <w:rPr>
          <w:b/>
          <w:color w:val="000000"/>
        </w:rPr>
      </w:pPr>
      <w:r>
        <w:rPr>
          <w:b/>
          <w:color w:val="000000"/>
        </w:rPr>
        <w:t>Net Profit Margin</w:t>
      </w:r>
    </w:p>
    <w:p w14:paraId="0000004B" w14:textId="77777777" w:rsidR="005C2669" w:rsidRDefault="00014887">
      <w:pPr>
        <w:spacing w:line="360" w:lineRule="auto"/>
        <w:rPr>
          <w:color w:val="000000"/>
        </w:rPr>
      </w:pPr>
      <w:r>
        <w:rPr>
          <w:color w:val="000000"/>
        </w:rPr>
        <w:t>Revenues generated by net income/profit margins or net margin show sensitivity. It is the ratio between net profit and sales of a company or business sector (Kimmel, 2</w:t>
      </w:r>
      <w:r>
        <w:rPr>
          <w:color w:val="000000"/>
        </w:rPr>
        <w:t xml:space="preserve">018). The formula for calculating Net profit margin is: </w:t>
      </w:r>
    </w:p>
    <w:p w14:paraId="0000004C" w14:textId="77777777" w:rsidR="005C2669" w:rsidRDefault="00014887">
      <w:pPr>
        <w:spacing w:line="360" w:lineRule="auto"/>
        <w:rPr>
          <w:color w:val="000000"/>
        </w:rPr>
      </w:pPr>
      <w:r>
        <w:rPr>
          <w:color w:val="000000"/>
        </w:rPr>
        <w:lastRenderedPageBreak/>
        <w:t xml:space="preserve">Net Profit Margin = Net Income / Sales </w:t>
      </w:r>
    </w:p>
    <w:p w14:paraId="0000004D" w14:textId="77777777" w:rsidR="005C2669" w:rsidRDefault="00014887">
      <w:pPr>
        <w:spacing w:line="360" w:lineRule="auto"/>
        <w:jc w:val="left"/>
        <w:rPr>
          <w:color w:val="000000"/>
        </w:rPr>
      </w:pPr>
      <w:r>
        <w:rPr>
          <w:color w:val="000000"/>
        </w:rPr>
        <w:t>Net Profit Margin (2020) = £431 / £6,738</w:t>
      </w:r>
    </w:p>
    <w:p w14:paraId="0000004E" w14:textId="77777777" w:rsidR="005C2669" w:rsidRDefault="00014887">
      <w:pPr>
        <w:spacing w:line="360" w:lineRule="auto"/>
        <w:jc w:val="left"/>
        <w:rPr>
          <w:color w:val="000000"/>
        </w:rPr>
      </w:pPr>
      <w:r>
        <w:rPr>
          <w:color w:val="000000"/>
        </w:rPr>
        <w:t xml:space="preserve">                                          = 0.063</w:t>
      </w:r>
    </w:p>
    <w:p w14:paraId="0000004F" w14:textId="77777777" w:rsidR="005C2669" w:rsidRDefault="00014887">
      <w:pPr>
        <w:spacing w:line="360" w:lineRule="auto"/>
        <w:jc w:val="left"/>
        <w:rPr>
          <w:color w:val="000000"/>
        </w:rPr>
      </w:pPr>
      <w:r>
        <w:rPr>
          <w:color w:val="000000"/>
        </w:rPr>
        <w:t>Net Profit Margin (2019) = £366 / £6,441</w:t>
      </w:r>
    </w:p>
    <w:p w14:paraId="00000050" w14:textId="77777777" w:rsidR="005C2669" w:rsidRDefault="00014887">
      <w:pPr>
        <w:spacing w:line="360" w:lineRule="auto"/>
        <w:ind w:left="2160"/>
        <w:jc w:val="left"/>
        <w:rPr>
          <w:color w:val="000000"/>
        </w:rPr>
      </w:pPr>
      <w:r>
        <w:rPr>
          <w:color w:val="000000"/>
        </w:rPr>
        <w:t xml:space="preserve">      = 0.057</w:t>
      </w:r>
    </w:p>
    <w:p w14:paraId="00000051" w14:textId="77777777" w:rsidR="005C2669" w:rsidRDefault="00014887">
      <w:pPr>
        <w:spacing w:line="360" w:lineRule="auto"/>
        <w:rPr>
          <w:b/>
          <w:color w:val="000000"/>
        </w:rPr>
      </w:pPr>
      <w:r>
        <w:rPr>
          <w:b/>
          <w:color w:val="000000"/>
        </w:rPr>
        <w:t>Asset turnover</w:t>
      </w:r>
    </w:p>
    <w:p w14:paraId="00000052" w14:textId="77777777" w:rsidR="005C2669" w:rsidRDefault="00014887">
      <w:pPr>
        <w:spacing w:line="360" w:lineRule="auto"/>
        <w:rPr>
          <w:color w:val="000000"/>
        </w:rPr>
      </w:pPr>
      <w:r>
        <w:rPr>
          <w:color w:val="000000"/>
        </w:rPr>
        <w:t>Asset turnover is the average ratio between total sales or income. This measure enables investors to understand how businesses use their assets to create sales (Britton and Waterston, 20</w:t>
      </w:r>
      <w:r>
        <w:rPr>
          <w:color w:val="000000"/>
        </w:rPr>
        <w:t>13). The formula for calculating Asset turnover is:</w:t>
      </w:r>
    </w:p>
    <w:p w14:paraId="00000053" w14:textId="77777777" w:rsidR="005C2669" w:rsidRDefault="00014887">
      <w:pPr>
        <w:spacing w:line="360" w:lineRule="auto"/>
        <w:rPr>
          <w:color w:val="000000"/>
        </w:rPr>
      </w:pPr>
      <w:r>
        <w:rPr>
          <w:color w:val="000000"/>
        </w:rPr>
        <w:t xml:space="preserve">Assets Turnover Ratio = Sales / Average Total Assets </w:t>
      </w:r>
    </w:p>
    <w:p w14:paraId="00000054" w14:textId="77777777" w:rsidR="005C2669" w:rsidRDefault="00014887">
      <w:pPr>
        <w:spacing w:line="360" w:lineRule="auto"/>
        <w:rPr>
          <w:color w:val="000000"/>
        </w:rPr>
      </w:pPr>
      <w:r>
        <w:rPr>
          <w:color w:val="000000"/>
        </w:rPr>
        <w:t xml:space="preserve">Assets Turnover Ratio for </w:t>
      </w:r>
      <w:proofErr w:type="spellStart"/>
      <w:r>
        <w:rPr>
          <w:color w:val="000000"/>
        </w:rPr>
        <w:t>Chocco</w:t>
      </w:r>
      <w:proofErr w:type="spellEnd"/>
      <w:r>
        <w:rPr>
          <w:color w:val="000000"/>
        </w:rPr>
        <w:t xml:space="preserve"> plc for 2020 = £6,738 / £9,912</w:t>
      </w:r>
    </w:p>
    <w:p w14:paraId="00000055" w14:textId="77777777" w:rsidR="005C2669" w:rsidRDefault="00014887">
      <w:pPr>
        <w:spacing w:line="360" w:lineRule="auto"/>
        <w:ind w:left="2880"/>
        <w:rPr>
          <w:color w:val="000000"/>
        </w:rPr>
      </w:pPr>
      <w:r>
        <w:rPr>
          <w:color w:val="000000"/>
        </w:rPr>
        <w:t xml:space="preserve">                               = 0.68</w:t>
      </w:r>
    </w:p>
    <w:p w14:paraId="00000056" w14:textId="77777777" w:rsidR="005C2669" w:rsidRDefault="00014887">
      <w:pPr>
        <w:spacing w:line="360" w:lineRule="auto"/>
        <w:rPr>
          <w:color w:val="000000"/>
        </w:rPr>
      </w:pPr>
      <w:r>
        <w:rPr>
          <w:color w:val="000000"/>
        </w:rPr>
        <w:t xml:space="preserve">Assets Turnover Ratio for </w:t>
      </w:r>
      <w:proofErr w:type="spellStart"/>
      <w:r>
        <w:rPr>
          <w:color w:val="000000"/>
        </w:rPr>
        <w:t>Chocco</w:t>
      </w:r>
      <w:proofErr w:type="spellEnd"/>
      <w:r>
        <w:rPr>
          <w:color w:val="000000"/>
        </w:rPr>
        <w:t xml:space="preserve"> plc for 2019 = </w:t>
      </w:r>
      <w:r>
        <w:rPr>
          <w:color w:val="000000"/>
        </w:rPr>
        <w:t>£6,441 / £10,087</w:t>
      </w:r>
    </w:p>
    <w:p w14:paraId="00000057" w14:textId="77777777" w:rsidR="005C2669" w:rsidRDefault="00014887">
      <w:pPr>
        <w:spacing w:line="360" w:lineRule="auto"/>
        <w:ind w:left="2880"/>
        <w:rPr>
          <w:color w:val="000000"/>
        </w:rPr>
      </w:pPr>
      <w:r>
        <w:rPr>
          <w:color w:val="000000"/>
        </w:rPr>
        <w:t xml:space="preserve">                              = 0.64</w:t>
      </w:r>
    </w:p>
    <w:p w14:paraId="00000058" w14:textId="77777777" w:rsidR="005C2669" w:rsidRDefault="00014887">
      <w:pPr>
        <w:spacing w:line="360" w:lineRule="auto"/>
        <w:rPr>
          <w:b/>
          <w:color w:val="000000"/>
        </w:rPr>
      </w:pPr>
      <w:r>
        <w:rPr>
          <w:b/>
          <w:color w:val="000000"/>
        </w:rPr>
        <w:t>Stock holding days</w:t>
      </w:r>
    </w:p>
    <w:p w14:paraId="00000059" w14:textId="77777777" w:rsidR="005C2669" w:rsidRDefault="00014887">
      <w:pPr>
        <w:spacing w:line="360" w:lineRule="auto"/>
        <w:rPr>
          <w:color w:val="000000"/>
        </w:rPr>
      </w:pPr>
      <w:r>
        <w:rPr>
          <w:color w:val="000000"/>
        </w:rPr>
        <w:t xml:space="preserve">The holding days in stocks are related to the number of days required for inventories to become sales. The formula for calculating Stock holding days is: </w:t>
      </w:r>
    </w:p>
    <w:p w14:paraId="0000005A" w14:textId="77777777" w:rsidR="005C2669" w:rsidRDefault="00014887">
      <w:pPr>
        <w:spacing w:line="360" w:lineRule="auto"/>
        <w:rPr>
          <w:color w:val="000000"/>
        </w:rPr>
      </w:pPr>
      <w:r>
        <w:rPr>
          <w:color w:val="000000"/>
        </w:rPr>
        <w:t>Stock holding days = Average inventory / Cost of goods sold * 365</w:t>
      </w:r>
    </w:p>
    <w:p w14:paraId="0000005B" w14:textId="77777777" w:rsidR="005C2669" w:rsidRDefault="00014887">
      <w:pPr>
        <w:spacing w:line="360" w:lineRule="auto"/>
        <w:rPr>
          <w:color w:val="000000"/>
        </w:rPr>
      </w:pPr>
      <w:r>
        <w:rPr>
          <w:color w:val="000000"/>
        </w:rPr>
        <w:t xml:space="preserve"> Stock holding days for </w:t>
      </w:r>
      <w:proofErr w:type="spellStart"/>
      <w:r>
        <w:rPr>
          <w:color w:val="000000"/>
        </w:rPr>
        <w:t>Chocco</w:t>
      </w:r>
      <w:proofErr w:type="spellEnd"/>
      <w:r>
        <w:rPr>
          <w:color w:val="000000"/>
        </w:rPr>
        <w:t xml:space="preserve"> plc </w:t>
      </w:r>
      <w:r>
        <w:rPr>
          <w:color w:val="000000"/>
        </w:rPr>
        <w:t>for 2020 = (£684 / £3,235) x 365</w:t>
      </w:r>
    </w:p>
    <w:p w14:paraId="0000005C" w14:textId="77777777" w:rsidR="005C2669" w:rsidRDefault="00014887">
      <w:pPr>
        <w:spacing w:line="360" w:lineRule="auto"/>
        <w:ind w:left="2880"/>
        <w:rPr>
          <w:color w:val="000000"/>
        </w:rPr>
      </w:pPr>
      <w:r>
        <w:rPr>
          <w:color w:val="000000"/>
        </w:rPr>
        <w:t xml:space="preserve">                        = 77.17 days</w:t>
      </w:r>
    </w:p>
    <w:p w14:paraId="0000005D" w14:textId="77777777" w:rsidR="005C2669" w:rsidRDefault="00014887">
      <w:pPr>
        <w:spacing w:line="360" w:lineRule="auto"/>
        <w:rPr>
          <w:color w:val="000000"/>
        </w:rPr>
      </w:pPr>
      <w:r>
        <w:rPr>
          <w:color w:val="000000"/>
        </w:rPr>
        <w:t xml:space="preserve">Stock holding days for </w:t>
      </w:r>
      <w:proofErr w:type="spellStart"/>
      <w:r>
        <w:rPr>
          <w:color w:val="000000"/>
        </w:rPr>
        <w:t>Chocco</w:t>
      </w:r>
      <w:proofErr w:type="spellEnd"/>
      <w:r>
        <w:rPr>
          <w:color w:val="000000"/>
        </w:rPr>
        <w:t xml:space="preserve"> plc for 2019 = (£659 / £3,096) x 365</w:t>
      </w:r>
    </w:p>
    <w:p w14:paraId="0000005E" w14:textId="77777777" w:rsidR="005C2669" w:rsidRDefault="00014887">
      <w:pPr>
        <w:spacing w:line="360" w:lineRule="auto"/>
        <w:rPr>
          <w:color w:val="000000"/>
        </w:rPr>
      </w:pPr>
      <w:r>
        <w:rPr>
          <w:color w:val="000000"/>
        </w:rPr>
        <w:t xml:space="preserve">                                                                      = 77.69 days</w:t>
      </w:r>
    </w:p>
    <w:p w14:paraId="0000005F" w14:textId="77777777" w:rsidR="005C2669" w:rsidRDefault="00014887">
      <w:pPr>
        <w:spacing w:line="360" w:lineRule="auto"/>
        <w:rPr>
          <w:b/>
          <w:color w:val="000000"/>
        </w:rPr>
      </w:pPr>
      <w:r>
        <w:rPr>
          <w:b/>
          <w:color w:val="000000"/>
        </w:rPr>
        <w:t>Debtors’ collection period</w:t>
      </w:r>
    </w:p>
    <w:p w14:paraId="00000060" w14:textId="77777777" w:rsidR="005C2669" w:rsidRDefault="00014887">
      <w:pPr>
        <w:spacing w:line="360" w:lineRule="auto"/>
        <w:rPr>
          <w:color w:val="000000"/>
        </w:rPr>
      </w:pPr>
      <w:r>
        <w:rPr>
          <w:color w:val="000000"/>
        </w:rPr>
        <w:t xml:space="preserve">In terms </w:t>
      </w:r>
      <w:r>
        <w:rPr>
          <w:color w:val="000000"/>
        </w:rPr>
        <w:t>of the debtor collection period, the estimated duration required to recover commercial debts is specified (Britton and Waterston, 2013). A reduction in time is thus an indication of increased efficiency. The formula for calculating debtor collection period</w:t>
      </w:r>
      <w:r>
        <w:rPr>
          <w:color w:val="000000"/>
        </w:rPr>
        <w:t xml:space="preserve"> is: </w:t>
      </w:r>
    </w:p>
    <w:p w14:paraId="00000061" w14:textId="77777777" w:rsidR="005C2669" w:rsidRDefault="00014887">
      <w:pPr>
        <w:spacing w:line="360" w:lineRule="auto"/>
        <w:rPr>
          <w:color w:val="000000"/>
        </w:rPr>
      </w:pPr>
      <w:r>
        <w:rPr>
          <w:color w:val="000000"/>
        </w:rPr>
        <w:lastRenderedPageBreak/>
        <w:t>Debtor collection period = Debtors / Sales Revenue * 365</w:t>
      </w:r>
    </w:p>
    <w:p w14:paraId="00000062" w14:textId="77777777" w:rsidR="005C2669" w:rsidRDefault="00014887">
      <w:pPr>
        <w:spacing w:line="360" w:lineRule="auto"/>
        <w:rPr>
          <w:color w:val="000000"/>
        </w:rPr>
      </w:pPr>
      <w:r>
        <w:rPr>
          <w:color w:val="000000"/>
        </w:rPr>
        <w:t xml:space="preserve">Debtor collection period for </w:t>
      </w:r>
      <w:proofErr w:type="spellStart"/>
      <w:r>
        <w:rPr>
          <w:color w:val="000000"/>
        </w:rPr>
        <w:t>Chocco</w:t>
      </w:r>
      <w:proofErr w:type="spellEnd"/>
      <w:r>
        <w:rPr>
          <w:color w:val="000000"/>
        </w:rPr>
        <w:t xml:space="preserve"> plc for 2020 = (£1,249 / £6,738) x 365</w:t>
      </w:r>
    </w:p>
    <w:p w14:paraId="00000063" w14:textId="77777777" w:rsidR="005C2669" w:rsidRDefault="00014887">
      <w:pPr>
        <w:spacing w:line="360" w:lineRule="auto"/>
        <w:ind w:left="2880"/>
        <w:rPr>
          <w:color w:val="000000"/>
        </w:rPr>
      </w:pPr>
      <w:r>
        <w:rPr>
          <w:color w:val="000000"/>
        </w:rPr>
        <w:t xml:space="preserve">                               = 67.66 days </w:t>
      </w:r>
    </w:p>
    <w:p w14:paraId="00000064" w14:textId="77777777" w:rsidR="005C2669" w:rsidRDefault="00014887">
      <w:pPr>
        <w:spacing w:line="360" w:lineRule="auto"/>
        <w:rPr>
          <w:color w:val="000000"/>
        </w:rPr>
      </w:pPr>
      <w:r>
        <w:rPr>
          <w:color w:val="000000"/>
        </w:rPr>
        <w:t xml:space="preserve">Debtor collection period for </w:t>
      </w:r>
      <w:proofErr w:type="spellStart"/>
      <w:r>
        <w:rPr>
          <w:color w:val="000000"/>
        </w:rPr>
        <w:t>Chocco</w:t>
      </w:r>
      <w:proofErr w:type="spellEnd"/>
      <w:r>
        <w:rPr>
          <w:color w:val="000000"/>
        </w:rPr>
        <w:t xml:space="preserve"> plc for 2019 = (£1,287 / £6,441) x 36</w:t>
      </w:r>
      <w:r>
        <w:rPr>
          <w:color w:val="000000"/>
        </w:rPr>
        <w:t>5</w:t>
      </w:r>
    </w:p>
    <w:p w14:paraId="00000065" w14:textId="77777777" w:rsidR="005C2669" w:rsidRDefault="00014887">
      <w:pPr>
        <w:spacing w:line="360" w:lineRule="auto"/>
        <w:ind w:left="2880"/>
        <w:rPr>
          <w:color w:val="000000"/>
        </w:rPr>
      </w:pPr>
      <w:r>
        <w:rPr>
          <w:color w:val="000000"/>
        </w:rPr>
        <w:t xml:space="preserve">                                = 72.93 days </w:t>
      </w:r>
    </w:p>
    <w:p w14:paraId="00000066" w14:textId="77777777" w:rsidR="005C2669" w:rsidRDefault="00014887">
      <w:pPr>
        <w:spacing w:line="360" w:lineRule="auto"/>
        <w:rPr>
          <w:b/>
          <w:color w:val="000000"/>
        </w:rPr>
      </w:pPr>
      <w:r>
        <w:rPr>
          <w:b/>
          <w:color w:val="000000"/>
        </w:rPr>
        <w:t>Current ratio</w:t>
      </w:r>
    </w:p>
    <w:p w14:paraId="00000067" w14:textId="77777777" w:rsidR="005C2669" w:rsidRDefault="00014887">
      <w:pPr>
        <w:spacing w:line="360" w:lineRule="auto"/>
        <w:rPr>
          <w:color w:val="000000"/>
        </w:rPr>
      </w:pPr>
      <w:r>
        <w:rPr>
          <w:color w:val="000000"/>
        </w:rPr>
        <w:t>The current ratio is a common measure for measuring the short-term liquidity of a business about its assets and outstanding obligations accessible across the industry (Elliott and Elliott, 2019</w:t>
      </w:r>
      <w:proofErr w:type="gramStart"/>
      <w:r>
        <w:rPr>
          <w:color w:val="000000"/>
        </w:rPr>
        <w:t>) .</w:t>
      </w:r>
      <w:proofErr w:type="gramEnd"/>
      <w:r>
        <w:rPr>
          <w:color w:val="000000"/>
        </w:rPr>
        <w:t xml:space="preserve"> The formula for calculating the current ratio is: </w:t>
      </w:r>
    </w:p>
    <w:p w14:paraId="00000068" w14:textId="77777777" w:rsidR="005C2669" w:rsidRDefault="00014887">
      <w:pPr>
        <w:spacing w:line="360" w:lineRule="auto"/>
        <w:rPr>
          <w:color w:val="000000"/>
        </w:rPr>
      </w:pPr>
      <w:r>
        <w:rPr>
          <w:color w:val="000000"/>
        </w:rPr>
        <w:t xml:space="preserve">Current </w:t>
      </w:r>
      <w:r>
        <w:rPr>
          <w:color w:val="000000"/>
        </w:rPr>
        <w:t xml:space="preserve">ratio = Current Assets / Current Liabilities </w:t>
      </w:r>
    </w:p>
    <w:p w14:paraId="00000069" w14:textId="77777777" w:rsidR="005C2669" w:rsidRDefault="00014887">
      <w:pPr>
        <w:spacing w:line="360" w:lineRule="auto"/>
        <w:rPr>
          <w:color w:val="000000"/>
        </w:rPr>
      </w:pPr>
      <w:r>
        <w:rPr>
          <w:color w:val="000000"/>
        </w:rPr>
        <w:t xml:space="preserve">Current ratio for </w:t>
      </w:r>
      <w:proofErr w:type="spellStart"/>
      <w:r>
        <w:rPr>
          <w:color w:val="000000"/>
        </w:rPr>
        <w:t>Chocco</w:t>
      </w:r>
      <w:proofErr w:type="spellEnd"/>
      <w:r>
        <w:rPr>
          <w:color w:val="000000"/>
        </w:rPr>
        <w:t xml:space="preserve"> plc for 2020 =£2,303 / £2,511</w:t>
      </w:r>
    </w:p>
    <w:p w14:paraId="0000006A" w14:textId="77777777" w:rsidR="005C2669" w:rsidRDefault="00014887">
      <w:pPr>
        <w:spacing w:line="360" w:lineRule="auto"/>
        <w:rPr>
          <w:color w:val="000000"/>
        </w:rPr>
      </w:pPr>
      <w:r>
        <w:rPr>
          <w:color w:val="000000"/>
        </w:rPr>
        <w:t xml:space="preserve">                                                             = 0.92</w:t>
      </w:r>
    </w:p>
    <w:p w14:paraId="0000006B" w14:textId="77777777" w:rsidR="005C2669" w:rsidRDefault="00014887">
      <w:pPr>
        <w:spacing w:line="360" w:lineRule="auto"/>
        <w:rPr>
          <w:color w:val="000000"/>
        </w:rPr>
      </w:pPr>
      <w:r>
        <w:rPr>
          <w:color w:val="000000"/>
        </w:rPr>
        <w:t xml:space="preserve">Current ratio for </w:t>
      </w:r>
      <w:proofErr w:type="spellStart"/>
      <w:r>
        <w:rPr>
          <w:color w:val="000000"/>
        </w:rPr>
        <w:t>Chocco</w:t>
      </w:r>
      <w:proofErr w:type="spellEnd"/>
      <w:r>
        <w:rPr>
          <w:color w:val="000000"/>
        </w:rPr>
        <w:t xml:space="preserve"> plc for 2019 =£2,355 / £3,046</w:t>
      </w:r>
    </w:p>
    <w:p w14:paraId="0000006C" w14:textId="77777777" w:rsidR="005C2669" w:rsidRDefault="00014887">
      <w:pPr>
        <w:spacing w:line="360" w:lineRule="auto"/>
        <w:ind w:left="2160"/>
        <w:rPr>
          <w:color w:val="000000"/>
        </w:rPr>
      </w:pPr>
      <w:r>
        <w:rPr>
          <w:color w:val="000000"/>
        </w:rPr>
        <w:t xml:space="preserve">                         = 0.77 </w:t>
      </w:r>
    </w:p>
    <w:p w14:paraId="0000006D" w14:textId="77777777" w:rsidR="005C2669" w:rsidRDefault="00014887">
      <w:pPr>
        <w:spacing w:line="360" w:lineRule="auto"/>
        <w:rPr>
          <w:b/>
          <w:color w:val="000000"/>
        </w:rPr>
      </w:pPr>
      <w:r>
        <w:rPr>
          <w:b/>
          <w:color w:val="000000"/>
        </w:rPr>
        <w:t>Gearing ratio</w:t>
      </w:r>
    </w:p>
    <w:p w14:paraId="0000006E" w14:textId="77777777" w:rsidR="005C2669" w:rsidRDefault="00014887">
      <w:pPr>
        <w:spacing w:line="360" w:lineRule="auto"/>
        <w:rPr>
          <w:color w:val="000000"/>
        </w:rPr>
      </w:pPr>
      <w:r>
        <w:rPr>
          <w:color w:val="000000"/>
        </w:rPr>
        <w:t>Financial ratios that relate a company's equity to its debts or borrowed money are known as gearing ratios. Gearing is a measure of the amount of capital financed by a business against the finances of creditors. The formula for calculating g</w:t>
      </w:r>
      <w:r>
        <w:rPr>
          <w:color w:val="000000"/>
        </w:rPr>
        <w:t xml:space="preserve">earing ratio is: </w:t>
      </w:r>
    </w:p>
    <w:p w14:paraId="0000006F" w14:textId="77777777" w:rsidR="005C2669" w:rsidRDefault="00014887">
      <w:pPr>
        <w:spacing w:line="360" w:lineRule="auto"/>
        <w:rPr>
          <w:color w:val="000000"/>
        </w:rPr>
      </w:pPr>
      <w:r>
        <w:rPr>
          <w:color w:val="000000"/>
        </w:rPr>
        <w:t>Gearing ratio = Total Debt/ Total Equity</w:t>
      </w:r>
    </w:p>
    <w:p w14:paraId="00000070" w14:textId="77777777" w:rsidR="005C2669" w:rsidRDefault="00014887">
      <w:pPr>
        <w:spacing w:line="360" w:lineRule="auto"/>
        <w:rPr>
          <w:color w:val="000000"/>
        </w:rPr>
      </w:pPr>
      <w:r>
        <w:rPr>
          <w:color w:val="000000"/>
        </w:rPr>
        <w:t xml:space="preserve">Gearing ratio for </w:t>
      </w:r>
      <w:proofErr w:type="spellStart"/>
      <w:r>
        <w:rPr>
          <w:color w:val="000000"/>
        </w:rPr>
        <w:t>Chocco</w:t>
      </w:r>
      <w:proofErr w:type="spellEnd"/>
      <w:r>
        <w:rPr>
          <w:color w:val="000000"/>
        </w:rPr>
        <w:t xml:space="preserve"> plc for 2020 = £6,648 / £3,088</w:t>
      </w:r>
    </w:p>
    <w:p w14:paraId="00000071" w14:textId="77777777" w:rsidR="005C2669" w:rsidRDefault="00014887">
      <w:pPr>
        <w:spacing w:line="360" w:lineRule="auto"/>
        <w:ind w:left="2160"/>
        <w:rPr>
          <w:color w:val="000000"/>
        </w:rPr>
      </w:pPr>
      <w:r>
        <w:rPr>
          <w:color w:val="000000"/>
        </w:rPr>
        <w:t xml:space="preserve">                         = 2.15</w:t>
      </w:r>
    </w:p>
    <w:p w14:paraId="00000072" w14:textId="77777777" w:rsidR="005C2669" w:rsidRDefault="00014887">
      <w:pPr>
        <w:spacing w:line="360" w:lineRule="auto"/>
        <w:rPr>
          <w:color w:val="000000"/>
        </w:rPr>
      </w:pPr>
      <w:r>
        <w:rPr>
          <w:color w:val="000000"/>
        </w:rPr>
        <w:t xml:space="preserve">Gearing ratio for </w:t>
      </w:r>
      <w:proofErr w:type="spellStart"/>
      <w:r>
        <w:rPr>
          <w:color w:val="000000"/>
        </w:rPr>
        <w:t>Chocco</w:t>
      </w:r>
      <w:proofErr w:type="spellEnd"/>
      <w:r>
        <w:rPr>
          <w:color w:val="000000"/>
        </w:rPr>
        <w:t xml:space="preserve"> plc for 2019 = £7,175/ £2,912</w:t>
      </w:r>
    </w:p>
    <w:p w14:paraId="00000073" w14:textId="77777777" w:rsidR="005C2669" w:rsidRDefault="00014887">
      <w:pPr>
        <w:spacing w:line="360" w:lineRule="auto"/>
        <w:ind w:left="2160"/>
        <w:rPr>
          <w:color w:val="000000"/>
        </w:rPr>
      </w:pPr>
      <w:r>
        <w:rPr>
          <w:color w:val="000000"/>
        </w:rPr>
        <w:t xml:space="preserve">                         = 2.46</w:t>
      </w:r>
    </w:p>
    <w:p w14:paraId="00000074" w14:textId="77777777" w:rsidR="005C2669" w:rsidRDefault="00014887">
      <w:pPr>
        <w:spacing w:line="360" w:lineRule="auto"/>
        <w:rPr>
          <w:b/>
          <w:color w:val="000000"/>
        </w:rPr>
      </w:pPr>
      <w:bookmarkStart w:id="7" w:name="_26in1rg" w:colFirst="0" w:colLast="0"/>
      <w:bookmarkEnd w:id="7"/>
      <w:r>
        <w:rPr>
          <w:b/>
          <w:color w:val="000000"/>
        </w:rPr>
        <w:t>Invertor cover</w:t>
      </w:r>
    </w:p>
    <w:p w14:paraId="00000075" w14:textId="77777777" w:rsidR="005C2669" w:rsidRDefault="00014887">
      <w:pPr>
        <w:spacing w:line="360" w:lineRule="auto"/>
        <w:rPr>
          <w:color w:val="000000"/>
        </w:rPr>
      </w:pPr>
      <w:r>
        <w:rPr>
          <w:color w:val="000000"/>
        </w:rPr>
        <w:lastRenderedPageBreak/>
        <w:t>The inv</w:t>
      </w:r>
      <w:r>
        <w:rPr>
          <w:color w:val="000000"/>
        </w:rPr>
        <w:t>ertor coverage ratio for inverters is a debt-to-benefit ratio which indicates how easily a company can pay interest on its debt. The formula for calculating the Inventory coverage ratio is:</w:t>
      </w:r>
    </w:p>
    <w:p w14:paraId="00000076" w14:textId="77777777" w:rsidR="005C2669" w:rsidRDefault="00014887">
      <w:pPr>
        <w:spacing w:line="360" w:lineRule="auto"/>
        <w:rPr>
          <w:color w:val="000000"/>
        </w:rPr>
      </w:pPr>
      <w:r>
        <w:rPr>
          <w:color w:val="000000"/>
        </w:rPr>
        <w:t>Invertor cover = EBIT / Interest Expenses</w:t>
      </w:r>
    </w:p>
    <w:p w14:paraId="00000077" w14:textId="77777777" w:rsidR="005C2669" w:rsidRDefault="00014887">
      <w:pPr>
        <w:spacing w:line="360" w:lineRule="auto"/>
        <w:rPr>
          <w:color w:val="000000"/>
        </w:rPr>
      </w:pPr>
      <w:r>
        <w:rPr>
          <w:color w:val="000000"/>
        </w:rPr>
        <w:t xml:space="preserve">Invertor cover for </w:t>
      </w:r>
      <w:proofErr w:type="spellStart"/>
      <w:r>
        <w:rPr>
          <w:color w:val="000000"/>
        </w:rPr>
        <w:t>Chocc</w:t>
      </w:r>
      <w:r>
        <w:rPr>
          <w:color w:val="000000"/>
        </w:rPr>
        <w:t>o</w:t>
      </w:r>
      <w:proofErr w:type="spellEnd"/>
      <w:r>
        <w:rPr>
          <w:color w:val="000000"/>
        </w:rPr>
        <w:t xml:space="preserve"> plc for 2020 = £846 / £226</w:t>
      </w:r>
    </w:p>
    <w:p w14:paraId="00000078" w14:textId="77777777" w:rsidR="005C2669" w:rsidRDefault="00014887">
      <w:pPr>
        <w:spacing w:line="360" w:lineRule="auto"/>
        <w:rPr>
          <w:color w:val="000000"/>
        </w:rPr>
      </w:pPr>
      <w:r>
        <w:rPr>
          <w:color w:val="000000"/>
        </w:rPr>
        <w:t xml:space="preserve">                                                               = 3.74</w:t>
      </w:r>
    </w:p>
    <w:p w14:paraId="00000079" w14:textId="77777777" w:rsidR="005C2669" w:rsidRDefault="00014887">
      <w:pPr>
        <w:spacing w:line="360" w:lineRule="auto"/>
        <w:rPr>
          <w:color w:val="000000"/>
        </w:rPr>
      </w:pPr>
      <w:r>
        <w:rPr>
          <w:color w:val="000000"/>
        </w:rPr>
        <w:t xml:space="preserve">Invertor cover for </w:t>
      </w:r>
      <w:proofErr w:type="spellStart"/>
      <w:r>
        <w:rPr>
          <w:color w:val="000000"/>
        </w:rPr>
        <w:t>Chocco</w:t>
      </w:r>
      <w:proofErr w:type="spellEnd"/>
      <w:r>
        <w:rPr>
          <w:color w:val="000000"/>
        </w:rPr>
        <w:t xml:space="preserve"> plc for 2019 = £730 / £181</w:t>
      </w:r>
    </w:p>
    <w:p w14:paraId="0000007A" w14:textId="77777777" w:rsidR="005C2669" w:rsidRDefault="00014887">
      <w:pPr>
        <w:spacing w:line="360" w:lineRule="auto"/>
        <w:ind w:left="2160"/>
        <w:rPr>
          <w:color w:val="000000"/>
        </w:rPr>
      </w:pPr>
      <w:r>
        <w:rPr>
          <w:color w:val="000000"/>
        </w:rPr>
        <w:t xml:space="preserve">                           = 4.03</w:t>
      </w:r>
    </w:p>
    <w:p w14:paraId="0000007B" w14:textId="77777777" w:rsidR="005C2669" w:rsidRDefault="00014887">
      <w:pPr>
        <w:pStyle w:val="Heading2"/>
        <w:rPr>
          <w:color w:val="000000"/>
        </w:rPr>
      </w:pPr>
      <w:bookmarkStart w:id="8" w:name="_3dy6vkm" w:colFirst="0" w:colLast="0"/>
      <w:bookmarkEnd w:id="8"/>
      <w:proofErr w:type="spellStart"/>
      <w:r>
        <w:rPr>
          <w:color w:val="000000"/>
        </w:rPr>
        <w:t>Chocco</w:t>
      </w:r>
      <w:proofErr w:type="spellEnd"/>
      <w:r>
        <w:rPr>
          <w:color w:val="000000"/>
        </w:rPr>
        <w:t xml:space="preserve"> plc's financial performance and position analysis</w:t>
      </w:r>
    </w:p>
    <w:p w14:paraId="0000007C" w14:textId="77777777" w:rsidR="005C2669" w:rsidRDefault="00014887">
      <w:pPr>
        <w:spacing w:line="360" w:lineRule="auto"/>
        <w:rPr>
          <w:color w:val="000000"/>
        </w:rPr>
      </w:pPr>
      <w:r>
        <w:rPr>
          <w:color w:val="000000"/>
        </w:rPr>
        <w:t>The ROCE rati</w:t>
      </w:r>
      <w:r>
        <w:rPr>
          <w:color w:val="000000"/>
        </w:rPr>
        <w:t xml:space="preserve">o may be used as one of many profitability indicators for a business to assess its investment by financial experts, </w:t>
      </w:r>
      <w:proofErr w:type="gramStart"/>
      <w:r>
        <w:rPr>
          <w:color w:val="000000"/>
        </w:rPr>
        <w:t>stakeholders</w:t>
      </w:r>
      <w:proofErr w:type="gramEnd"/>
      <w:r>
        <w:rPr>
          <w:color w:val="000000"/>
        </w:rPr>
        <w:t xml:space="preserve"> and prospective investors (Elliott and Elliott, 2019). </w:t>
      </w:r>
      <w:proofErr w:type="spellStart"/>
      <w:r>
        <w:rPr>
          <w:color w:val="000000"/>
        </w:rPr>
        <w:t>Chocco</w:t>
      </w:r>
      <w:proofErr w:type="spellEnd"/>
      <w:r>
        <w:rPr>
          <w:color w:val="000000"/>
        </w:rPr>
        <w:t xml:space="preserve"> plc ROCE was increased between 0.077 and 0.086. It refers to a ri</w:t>
      </w:r>
      <w:r>
        <w:rPr>
          <w:color w:val="000000"/>
        </w:rPr>
        <w:t>se in the earnings of the business. The business may now generate more profit with its used capital. In 2019 it reported a return of 1,22 on equities (ROE). ROE is expected to rise to 1.45 by 2020, which would result in £1.45 in revenue for every dollar in</w:t>
      </w:r>
      <w:r>
        <w:rPr>
          <w:color w:val="000000"/>
        </w:rPr>
        <w:t>vested in the business. That implies that for each dollar invested, the business generates more money.</w:t>
      </w:r>
    </w:p>
    <w:p w14:paraId="0000007D" w14:textId="77777777" w:rsidR="005C2669" w:rsidRDefault="00014887">
      <w:pPr>
        <w:spacing w:line="360" w:lineRule="auto"/>
        <w:rPr>
          <w:color w:val="000000"/>
        </w:rPr>
      </w:pPr>
      <w:r>
        <w:rPr>
          <w:color w:val="000000"/>
        </w:rPr>
        <w:t>The company's per share earnings in 2018 and 2019 were 0.61 and 0.72 respectively. The number of remaining shares in both years remained consistent. Cons</w:t>
      </w:r>
      <w:r>
        <w:rPr>
          <w:color w:val="000000"/>
        </w:rPr>
        <w:t xml:space="preserve">equently, the income per share has risen, as had the company's profit. The company's net profit margin indicates how many total sales contributed to the company's net profit. The profit margin of </w:t>
      </w:r>
      <w:proofErr w:type="spellStart"/>
      <w:r>
        <w:rPr>
          <w:color w:val="000000"/>
        </w:rPr>
        <w:t>Chocco</w:t>
      </w:r>
      <w:proofErr w:type="spellEnd"/>
      <w:r>
        <w:rPr>
          <w:color w:val="000000"/>
        </w:rPr>
        <w:t xml:space="preserve"> PLC rose from 0.057 to 0.063 for the year 2020. This </w:t>
      </w:r>
      <w:r>
        <w:rPr>
          <w:color w:val="000000"/>
        </w:rPr>
        <w:t>implies that sales have contributed more to net income. The turnover ratio of assets also increased from 0.64 to 0.68. It demonstrates that the business concentrates on revenue from its current assets.</w:t>
      </w:r>
    </w:p>
    <w:p w14:paraId="0000007E" w14:textId="77777777" w:rsidR="005C2669" w:rsidRDefault="00014887">
      <w:pPr>
        <w:spacing w:line="360" w:lineRule="auto"/>
        <w:rPr>
          <w:color w:val="000000"/>
        </w:rPr>
      </w:pPr>
      <w:r>
        <w:rPr>
          <w:color w:val="000000"/>
        </w:rPr>
        <w:t>The holding period for inventories shows how long a co</w:t>
      </w:r>
      <w:r>
        <w:rPr>
          <w:color w:val="000000"/>
        </w:rPr>
        <w:t xml:space="preserve">mpany maintains its inventory before translation (Elliott and Elliott, 2019). The </w:t>
      </w:r>
      <w:proofErr w:type="spellStart"/>
      <w:r>
        <w:rPr>
          <w:color w:val="000000"/>
        </w:rPr>
        <w:t>Chocco</w:t>
      </w:r>
      <w:proofErr w:type="spellEnd"/>
      <w:r>
        <w:rPr>
          <w:color w:val="000000"/>
        </w:rPr>
        <w:t xml:space="preserve"> PLC shares have decreased from 77.69 to 77.17. It implies that the company can sell more quickly today than before. As a result, inventory maintenance costs were also </w:t>
      </w:r>
      <w:r>
        <w:rPr>
          <w:color w:val="000000"/>
        </w:rPr>
        <w:t xml:space="preserve">lowered. The collection duration of the debtor is a crucial indicator to ensure the cash flow of the company. </w:t>
      </w:r>
      <w:proofErr w:type="spellStart"/>
      <w:r>
        <w:rPr>
          <w:color w:val="000000"/>
        </w:rPr>
        <w:t>Chocco</w:t>
      </w:r>
      <w:proofErr w:type="spellEnd"/>
      <w:r>
        <w:rPr>
          <w:color w:val="000000"/>
        </w:rPr>
        <w:t xml:space="preserve"> PLC debtor collection was 72.93 days in 2019 but declined to 67.66 days in 2020. It shows that the cash collecting </w:t>
      </w:r>
      <w:r>
        <w:rPr>
          <w:color w:val="000000"/>
        </w:rPr>
        <w:lastRenderedPageBreak/>
        <w:t>efficiency of the busine</w:t>
      </w:r>
      <w:r>
        <w:rPr>
          <w:color w:val="000000"/>
        </w:rPr>
        <w:t>ss has decreased. The company's cash inflow has thus been reversed and cannot utilize its money as before.</w:t>
      </w:r>
    </w:p>
    <w:p w14:paraId="0000007F" w14:textId="77777777" w:rsidR="005C2669" w:rsidRDefault="00014887">
      <w:pPr>
        <w:spacing w:line="360" w:lineRule="auto"/>
        <w:rPr>
          <w:color w:val="000000"/>
        </w:rPr>
      </w:pPr>
      <w:r>
        <w:rPr>
          <w:color w:val="000000"/>
        </w:rPr>
        <w:t xml:space="preserve">The current ratio is one indicator that a business uses its existing assets to satisfy its financial short-term obligations. In 2019, the current </w:t>
      </w:r>
      <w:proofErr w:type="spellStart"/>
      <w:r>
        <w:rPr>
          <w:color w:val="000000"/>
        </w:rPr>
        <w:t>Chocco</w:t>
      </w:r>
      <w:proofErr w:type="spellEnd"/>
      <w:r>
        <w:rPr>
          <w:color w:val="000000"/>
        </w:rPr>
        <w:t xml:space="preserve"> PLC ratio was 0.77, up to 0.92 by 2020. It shows that its present obligations are not covered by the ex</w:t>
      </w:r>
      <w:r>
        <w:rPr>
          <w:color w:val="000000"/>
        </w:rPr>
        <w:t>isting assets of the business (</w:t>
      </w:r>
      <w:proofErr w:type="spellStart"/>
      <w:r>
        <w:rPr>
          <w:color w:val="000000"/>
        </w:rPr>
        <w:t>Simini</w:t>
      </w:r>
      <w:proofErr w:type="spellEnd"/>
      <w:r>
        <w:rPr>
          <w:color w:val="000000"/>
        </w:rPr>
        <w:t xml:space="preserve"> and </w:t>
      </w:r>
      <w:proofErr w:type="spellStart"/>
      <w:r>
        <w:rPr>
          <w:color w:val="000000"/>
        </w:rPr>
        <w:t>Hingley</w:t>
      </w:r>
      <w:proofErr w:type="spellEnd"/>
      <w:r>
        <w:rPr>
          <w:color w:val="000000"/>
        </w:rPr>
        <w:t xml:space="preserve">, 2019). Its liquidity has nevertheless been considerably boosted. The gearing ratio shows the share of a shareholder and loan company's capital. The </w:t>
      </w:r>
      <w:proofErr w:type="spellStart"/>
      <w:r>
        <w:rPr>
          <w:color w:val="000000"/>
        </w:rPr>
        <w:t>Chocco</w:t>
      </w:r>
      <w:proofErr w:type="spellEnd"/>
      <w:r>
        <w:rPr>
          <w:color w:val="000000"/>
        </w:rPr>
        <w:t xml:space="preserve"> PLC gearing ratio was cut from 2.46 to 2.15. It sh</w:t>
      </w:r>
      <w:r>
        <w:rPr>
          <w:color w:val="000000"/>
        </w:rPr>
        <w:t>ows that the responsibilities of the business have reduced and that it is now more dependent on shareholder equity to finance.</w:t>
      </w:r>
    </w:p>
    <w:p w14:paraId="00000080" w14:textId="77777777" w:rsidR="005C2669" w:rsidRDefault="00014887">
      <w:pPr>
        <w:spacing w:line="360" w:lineRule="auto"/>
        <w:rPr>
          <w:color w:val="000000"/>
        </w:rPr>
      </w:pPr>
      <w:r>
        <w:rPr>
          <w:color w:val="000000"/>
        </w:rPr>
        <w:t xml:space="preserve">From 4.03 to 3.74 the </w:t>
      </w:r>
      <w:proofErr w:type="spellStart"/>
      <w:r>
        <w:rPr>
          <w:color w:val="000000"/>
        </w:rPr>
        <w:t>Chocco</w:t>
      </w:r>
      <w:proofErr w:type="spellEnd"/>
      <w:r>
        <w:rPr>
          <w:color w:val="000000"/>
        </w:rPr>
        <w:t xml:space="preserve"> PLC inverter cover ratio has been decreased. This implies that the ability of the business to pay it</w:t>
      </w:r>
      <w:r>
        <w:rPr>
          <w:color w:val="000000"/>
        </w:rPr>
        <w:t xml:space="preserve">s profit interest has decreased. Furthermore, the company's interest expenditure represents about 25% of EBIT, indicating that roughly one-quarter of the company's earnings are used to cover its interest costs. The sales of </w:t>
      </w:r>
      <w:proofErr w:type="spellStart"/>
      <w:r>
        <w:rPr>
          <w:color w:val="000000"/>
        </w:rPr>
        <w:t>Chocco</w:t>
      </w:r>
      <w:proofErr w:type="spellEnd"/>
      <w:r>
        <w:rPr>
          <w:color w:val="000000"/>
        </w:rPr>
        <w:t xml:space="preserve"> PLC rose by about 4.6%, i</w:t>
      </w:r>
      <w:r>
        <w:rPr>
          <w:color w:val="000000"/>
        </w:rPr>
        <w:t>ndicating substantial revenue growth. Moreover, the total revenues of the company rose by about 4.7%. On the other side, the net profit increased by 18.57%. It indicates that the company has improved its costs to boost revenues. The overall position and pe</w:t>
      </w:r>
      <w:r>
        <w:rPr>
          <w:color w:val="000000"/>
        </w:rPr>
        <w:t xml:space="preserve">rformance of the enterprise may </w:t>
      </w:r>
      <w:proofErr w:type="gramStart"/>
      <w:r>
        <w:rPr>
          <w:color w:val="000000"/>
        </w:rPr>
        <w:t>be considered to be</w:t>
      </w:r>
      <w:proofErr w:type="gramEnd"/>
      <w:r>
        <w:rPr>
          <w:color w:val="000000"/>
        </w:rPr>
        <w:t xml:space="preserve"> acceptable.</w:t>
      </w:r>
    </w:p>
    <w:p w14:paraId="00000081" w14:textId="77777777" w:rsidR="005C2669" w:rsidRDefault="00014887">
      <w:pPr>
        <w:spacing w:line="360" w:lineRule="auto"/>
        <w:jc w:val="left"/>
        <w:rPr>
          <w:color w:val="000000"/>
        </w:rPr>
      </w:pPr>
      <w:r>
        <w:br w:type="page"/>
      </w:r>
    </w:p>
    <w:p w14:paraId="00000082" w14:textId="77777777" w:rsidR="005C2669" w:rsidRDefault="00014887">
      <w:pPr>
        <w:pStyle w:val="Heading1"/>
        <w:rPr>
          <w:color w:val="000000"/>
        </w:rPr>
      </w:pPr>
      <w:bookmarkStart w:id="9" w:name="_1t3h5sf" w:colFirst="0" w:colLast="0"/>
      <w:bookmarkEnd w:id="9"/>
      <w:r>
        <w:rPr>
          <w:color w:val="000000"/>
        </w:rPr>
        <w:lastRenderedPageBreak/>
        <w:t>References</w:t>
      </w:r>
    </w:p>
    <w:p w14:paraId="00000083" w14:textId="77777777" w:rsidR="005C2669" w:rsidRDefault="00014887">
      <w:pPr>
        <w:spacing w:line="360" w:lineRule="auto"/>
        <w:ind w:left="720" w:hanging="720"/>
        <w:rPr>
          <w:color w:val="000000"/>
          <w:highlight w:val="white"/>
        </w:rPr>
      </w:pPr>
      <w:r>
        <w:rPr>
          <w:color w:val="000000"/>
          <w:highlight w:val="white"/>
        </w:rPr>
        <w:t>Britton, A. and Waterston, C., 2013. </w:t>
      </w:r>
      <w:r>
        <w:rPr>
          <w:i/>
          <w:color w:val="000000"/>
          <w:highlight w:val="white"/>
        </w:rPr>
        <w:t>Financial accounting</w:t>
      </w:r>
      <w:r>
        <w:rPr>
          <w:color w:val="000000"/>
          <w:highlight w:val="white"/>
        </w:rPr>
        <w:t>. Harlow: Financial Times Prentice Hall.</w:t>
      </w:r>
    </w:p>
    <w:p w14:paraId="00000084" w14:textId="77777777" w:rsidR="005C2669" w:rsidRDefault="00014887">
      <w:pPr>
        <w:spacing w:line="360" w:lineRule="auto"/>
        <w:ind w:left="720" w:hanging="720"/>
        <w:rPr>
          <w:color w:val="000000"/>
          <w:highlight w:val="white"/>
        </w:rPr>
      </w:pPr>
      <w:r>
        <w:rPr>
          <w:color w:val="000000"/>
          <w:highlight w:val="white"/>
        </w:rPr>
        <w:t>Cordis, A., 2014. Accounting Ratios and the Cross-section of Expected Stock Returns. </w:t>
      </w:r>
      <w:r>
        <w:rPr>
          <w:i/>
          <w:color w:val="000000"/>
          <w:highlight w:val="white"/>
        </w:rPr>
        <w:t>Journal of Business Finance &amp; Accounting</w:t>
      </w:r>
      <w:r>
        <w:rPr>
          <w:color w:val="000000"/>
          <w:highlight w:val="white"/>
        </w:rPr>
        <w:t>, 41(9-10), pp.1157-1192.</w:t>
      </w:r>
    </w:p>
    <w:p w14:paraId="00000085" w14:textId="77777777" w:rsidR="005C2669" w:rsidRDefault="00014887">
      <w:pPr>
        <w:spacing w:line="360" w:lineRule="auto"/>
        <w:ind w:left="720" w:hanging="720"/>
        <w:rPr>
          <w:color w:val="000000"/>
          <w:highlight w:val="white"/>
        </w:rPr>
      </w:pPr>
      <w:r>
        <w:rPr>
          <w:color w:val="000000"/>
          <w:highlight w:val="white"/>
        </w:rPr>
        <w:t>Elliott, J. and Elliott, M., 2019. </w:t>
      </w:r>
      <w:r>
        <w:rPr>
          <w:i/>
          <w:color w:val="000000"/>
          <w:highlight w:val="white"/>
        </w:rPr>
        <w:t>Financial Accounting and Reporting</w:t>
      </w:r>
      <w:r>
        <w:rPr>
          <w:color w:val="000000"/>
          <w:highlight w:val="white"/>
        </w:rPr>
        <w:t>. Pearson.</w:t>
      </w:r>
    </w:p>
    <w:p w14:paraId="00000086" w14:textId="77777777" w:rsidR="005C2669" w:rsidRDefault="00014887">
      <w:pPr>
        <w:spacing w:line="360" w:lineRule="auto"/>
        <w:ind w:left="720" w:hanging="720"/>
        <w:rPr>
          <w:color w:val="000000"/>
          <w:highlight w:val="white"/>
        </w:rPr>
      </w:pPr>
      <w:r>
        <w:rPr>
          <w:color w:val="000000"/>
          <w:highlight w:val="white"/>
        </w:rPr>
        <w:t>Horngren, C. and Harrison</w:t>
      </w:r>
      <w:r>
        <w:rPr>
          <w:color w:val="000000"/>
          <w:highlight w:val="white"/>
        </w:rPr>
        <w:t>, W., 2015. </w:t>
      </w:r>
      <w:r>
        <w:rPr>
          <w:i/>
          <w:color w:val="000000"/>
          <w:highlight w:val="white"/>
        </w:rPr>
        <w:t>ACCOUNTING</w:t>
      </w:r>
      <w:r>
        <w:rPr>
          <w:color w:val="000000"/>
          <w:highlight w:val="white"/>
        </w:rPr>
        <w:t>. Pearson Australia Pty Ltd.</w:t>
      </w:r>
    </w:p>
    <w:p w14:paraId="00000087" w14:textId="77777777" w:rsidR="005C2669" w:rsidRDefault="00014887">
      <w:pPr>
        <w:spacing w:line="360" w:lineRule="auto"/>
        <w:ind w:left="720" w:hanging="720"/>
        <w:rPr>
          <w:color w:val="000000"/>
          <w:highlight w:val="white"/>
        </w:rPr>
      </w:pPr>
      <w:proofErr w:type="spellStart"/>
      <w:r>
        <w:rPr>
          <w:color w:val="000000"/>
          <w:highlight w:val="white"/>
        </w:rPr>
        <w:t>Kieso</w:t>
      </w:r>
      <w:proofErr w:type="spellEnd"/>
      <w:r>
        <w:rPr>
          <w:color w:val="000000"/>
          <w:highlight w:val="white"/>
        </w:rPr>
        <w:t>, D., Warfield, T. and Weygandt, J., 2020. </w:t>
      </w:r>
      <w:r>
        <w:rPr>
          <w:i/>
          <w:color w:val="000000"/>
          <w:highlight w:val="white"/>
        </w:rPr>
        <w:t>Intermediate accounting</w:t>
      </w:r>
      <w:r>
        <w:rPr>
          <w:color w:val="000000"/>
          <w:highlight w:val="white"/>
        </w:rPr>
        <w:t>.</w:t>
      </w:r>
    </w:p>
    <w:p w14:paraId="00000088" w14:textId="77777777" w:rsidR="005C2669" w:rsidRDefault="00014887">
      <w:pPr>
        <w:spacing w:line="360" w:lineRule="auto"/>
        <w:ind w:left="720" w:hanging="720"/>
        <w:rPr>
          <w:color w:val="000000"/>
          <w:highlight w:val="white"/>
        </w:rPr>
      </w:pPr>
      <w:r>
        <w:rPr>
          <w:color w:val="000000"/>
          <w:highlight w:val="white"/>
        </w:rPr>
        <w:t>Kimmel, P., 2018. </w:t>
      </w:r>
      <w:r>
        <w:rPr>
          <w:i/>
          <w:color w:val="000000"/>
          <w:highlight w:val="white"/>
        </w:rPr>
        <w:t>Accounting</w:t>
      </w:r>
      <w:r>
        <w:rPr>
          <w:color w:val="000000"/>
          <w:highlight w:val="white"/>
        </w:rPr>
        <w:t>. New York: Wiley.</w:t>
      </w:r>
    </w:p>
    <w:p w14:paraId="00000089" w14:textId="77777777" w:rsidR="005C2669" w:rsidRDefault="00014887">
      <w:pPr>
        <w:spacing w:line="360" w:lineRule="auto"/>
        <w:ind w:left="720" w:hanging="720"/>
        <w:rPr>
          <w:color w:val="000000"/>
          <w:highlight w:val="white"/>
        </w:rPr>
      </w:pPr>
      <w:r>
        <w:rPr>
          <w:color w:val="000000"/>
          <w:highlight w:val="white"/>
        </w:rPr>
        <w:t>Needles, B. and Powers, M., 2012. </w:t>
      </w:r>
      <w:r>
        <w:rPr>
          <w:i/>
          <w:color w:val="000000"/>
          <w:highlight w:val="white"/>
        </w:rPr>
        <w:t>Financial accounting</w:t>
      </w:r>
      <w:r>
        <w:rPr>
          <w:color w:val="000000"/>
          <w:highlight w:val="white"/>
        </w:rPr>
        <w:t>. Mason, OH: South-Western Ceng</w:t>
      </w:r>
      <w:r>
        <w:rPr>
          <w:color w:val="000000"/>
          <w:highlight w:val="white"/>
        </w:rPr>
        <w:t>age Learning.</w:t>
      </w:r>
    </w:p>
    <w:p w14:paraId="0000008A" w14:textId="77777777" w:rsidR="005C2669" w:rsidRDefault="00014887">
      <w:pPr>
        <w:spacing w:line="360" w:lineRule="auto"/>
        <w:ind w:left="720" w:hanging="720"/>
        <w:rPr>
          <w:color w:val="000000"/>
          <w:highlight w:val="white"/>
        </w:rPr>
      </w:pPr>
      <w:proofErr w:type="spellStart"/>
      <w:r>
        <w:rPr>
          <w:color w:val="000000"/>
          <w:highlight w:val="white"/>
        </w:rPr>
        <w:t>Simini</w:t>
      </w:r>
      <w:proofErr w:type="spellEnd"/>
      <w:r>
        <w:rPr>
          <w:color w:val="000000"/>
          <w:highlight w:val="white"/>
        </w:rPr>
        <w:t xml:space="preserve">, J. and </w:t>
      </w:r>
      <w:proofErr w:type="spellStart"/>
      <w:r>
        <w:rPr>
          <w:color w:val="000000"/>
          <w:highlight w:val="white"/>
        </w:rPr>
        <w:t>Hingley</w:t>
      </w:r>
      <w:proofErr w:type="spellEnd"/>
      <w:r>
        <w:rPr>
          <w:color w:val="000000"/>
          <w:highlight w:val="white"/>
        </w:rPr>
        <w:t>, W., 2019. </w:t>
      </w:r>
      <w:r>
        <w:rPr>
          <w:i/>
          <w:color w:val="000000"/>
          <w:highlight w:val="white"/>
        </w:rPr>
        <w:t>Accounting</w:t>
      </w:r>
      <w:r>
        <w:rPr>
          <w:color w:val="000000"/>
          <w:highlight w:val="white"/>
        </w:rPr>
        <w:t>. Butterworth-Heinemann.</w:t>
      </w:r>
    </w:p>
    <w:p w14:paraId="0000008B" w14:textId="77777777" w:rsidR="005C2669" w:rsidRDefault="00014887">
      <w:pPr>
        <w:spacing w:line="360" w:lineRule="auto"/>
        <w:ind w:left="720" w:hanging="720"/>
        <w:rPr>
          <w:color w:val="000000"/>
          <w:sz w:val="32"/>
          <w:szCs w:val="32"/>
        </w:rPr>
      </w:pPr>
      <w:r>
        <w:rPr>
          <w:color w:val="000000"/>
          <w:highlight w:val="white"/>
        </w:rPr>
        <w:t xml:space="preserve">Warren, C., </w:t>
      </w:r>
      <w:proofErr w:type="spellStart"/>
      <w:r>
        <w:rPr>
          <w:color w:val="000000"/>
          <w:highlight w:val="white"/>
        </w:rPr>
        <w:t>Jonick</w:t>
      </w:r>
      <w:proofErr w:type="spellEnd"/>
      <w:r>
        <w:rPr>
          <w:color w:val="000000"/>
          <w:highlight w:val="white"/>
        </w:rPr>
        <w:t>, C. and Schneider, J., 2014. </w:t>
      </w:r>
      <w:r>
        <w:rPr>
          <w:i/>
          <w:color w:val="000000"/>
          <w:highlight w:val="white"/>
        </w:rPr>
        <w:t>Accounting</w:t>
      </w:r>
      <w:r>
        <w:rPr>
          <w:color w:val="000000"/>
          <w:highlight w:val="white"/>
        </w:rPr>
        <w:t>.</w:t>
      </w:r>
      <w:r>
        <w:rPr>
          <w:color w:val="000000"/>
          <w:sz w:val="32"/>
          <w:szCs w:val="32"/>
        </w:rPr>
        <w:t xml:space="preserve"> </w:t>
      </w:r>
    </w:p>
    <w:sectPr w:rsidR="005C2669">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669"/>
    <w:rsid w:val="00014887"/>
    <w:rsid w:val="005C2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F0052"/>
  <w15:docId w15:val="{BD47586D-48D9-4A21-98FB-636768A4F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outlineLvl w:val="0"/>
    </w:pPr>
    <w:rPr>
      <w:b/>
      <w:sz w:val="32"/>
      <w:szCs w:val="32"/>
    </w:rPr>
  </w:style>
  <w:style w:type="paragraph" w:styleId="Heading2">
    <w:name w:val="heading 2"/>
    <w:basedOn w:val="Normal"/>
    <w:next w:val="Normal"/>
    <w:uiPriority w:val="9"/>
    <w:unhideWhenUsed/>
    <w:qFormat/>
    <w:pPr>
      <w:keepNext/>
      <w:keepLines/>
      <w:spacing w:before="40" w:after="0" w:line="360" w:lineRule="auto"/>
      <w:outlineLvl w:val="1"/>
    </w:pPr>
    <w:rPr>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2531</Words>
  <Characters>14433</Characters>
  <Application>Microsoft Office Word</Application>
  <DocSecurity>0</DocSecurity>
  <Lines>120</Lines>
  <Paragraphs>33</Paragraphs>
  <ScaleCrop>false</ScaleCrop>
  <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Narcis Gavril</cp:lastModifiedBy>
  <cp:revision>3</cp:revision>
  <dcterms:created xsi:type="dcterms:W3CDTF">2021-07-26T20:18:00Z</dcterms:created>
  <dcterms:modified xsi:type="dcterms:W3CDTF">2021-07-26T20:19:00Z</dcterms:modified>
</cp:coreProperties>
</file>