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99C29" w14:textId="77777777" w:rsidR="00FF25A5" w:rsidRPr="00993314" w:rsidRDefault="00FF25A5" w:rsidP="00FF25A5">
      <w:pPr>
        <w:rPr>
          <w:rFonts w:ascii="Segoe UI" w:hAnsi="Segoe UI" w:cs="Segoe UI"/>
          <w:color w:val="4A4A4A"/>
          <w:sz w:val="23"/>
          <w:szCs w:val="23"/>
          <w:shd w:val="clear" w:color="auto" w:fill="FFFFFF"/>
        </w:rPr>
      </w:pPr>
      <w:r w:rsidRPr="00235A62">
        <w:rPr>
          <w:rFonts w:ascii="Brill" w:eastAsia="Times New Roman" w:hAnsi="Brill" w:cs="Arial"/>
          <w:b/>
          <w:bCs/>
          <w:sz w:val="24"/>
          <w:szCs w:val="24"/>
        </w:rPr>
        <w:t>Essay question: Discuss the impact of Islam during the past forty years in the United Kingdom.</w:t>
      </w:r>
    </w:p>
    <w:p w14:paraId="23189C46" w14:textId="77777777" w:rsidR="00FF25A5" w:rsidRPr="00235A62" w:rsidRDefault="00FF25A5" w:rsidP="00FF25A5">
      <w:pPr>
        <w:shd w:val="clear" w:color="auto" w:fill="FFFFFF"/>
        <w:spacing w:after="0" w:line="240" w:lineRule="auto"/>
        <w:textAlignment w:val="baseline"/>
        <w:rPr>
          <w:rFonts w:ascii="Brill" w:eastAsia="Times New Roman" w:hAnsi="Brill" w:cs="Arial"/>
          <w:b/>
          <w:bCs/>
          <w:sz w:val="24"/>
          <w:szCs w:val="24"/>
        </w:rPr>
      </w:pPr>
    </w:p>
    <w:p w14:paraId="022FF8EF" w14:textId="77777777" w:rsidR="00FF25A5" w:rsidRDefault="00FF25A5" w:rsidP="00FF25A5">
      <w:pPr>
        <w:spacing w:after="0" w:line="240" w:lineRule="auto"/>
        <w:textAlignment w:val="baseline"/>
        <w:rPr>
          <w:rFonts w:ascii="Brill" w:hAnsi="Brill" w:cs="Arial"/>
          <w:sz w:val="24"/>
          <w:szCs w:val="24"/>
        </w:rPr>
      </w:pPr>
      <w:r w:rsidRPr="00235A62">
        <w:rPr>
          <w:rFonts w:ascii="Brill" w:hAnsi="Brill" w:cs="Arial"/>
          <w:sz w:val="24"/>
          <w:szCs w:val="24"/>
        </w:rPr>
        <w:t>Muslim presence in Europe can be traced as early as the 8</w:t>
      </w:r>
      <w:r w:rsidRPr="00235A62">
        <w:rPr>
          <w:rFonts w:ascii="Brill" w:hAnsi="Brill" w:cs="Arial"/>
          <w:sz w:val="24"/>
          <w:szCs w:val="24"/>
          <w:vertAlign w:val="superscript"/>
        </w:rPr>
        <w:t>th</w:t>
      </w:r>
      <w:r w:rsidRPr="00235A62">
        <w:rPr>
          <w:rFonts w:ascii="Brill" w:hAnsi="Brill" w:cs="Arial"/>
          <w:sz w:val="24"/>
          <w:szCs w:val="24"/>
        </w:rPr>
        <w:t xml:space="preserve"> century when envoys and traders travelled to the Byzantine empire, and the first major arrival of Islam came from the conquest of the Iberian Peninsula which started in 711 CE.</w:t>
      </w:r>
      <w:r w:rsidRPr="00235A62">
        <w:rPr>
          <w:rStyle w:val="FootnoteReference"/>
          <w:rFonts w:ascii="Brill" w:hAnsi="Brill" w:cs="Arial"/>
          <w:sz w:val="24"/>
          <w:szCs w:val="24"/>
        </w:rPr>
        <w:footnoteReference w:id="1"/>
      </w:r>
      <w:r w:rsidRPr="00235A62">
        <w:rPr>
          <w:rFonts w:ascii="Brill" w:hAnsi="Brill" w:cs="Arial"/>
          <w:sz w:val="24"/>
          <w:szCs w:val="24"/>
        </w:rPr>
        <w:t xml:space="preserve"> Muslim communities integrated into the indigenous European population through settlement and conversion, and contributed to European development and culture, producing such influential intellectuals as Ibn Rushd (Averroes) and Ibn Khaldun.</w:t>
      </w:r>
      <w:r w:rsidRPr="00235A62">
        <w:rPr>
          <w:rStyle w:val="FootnoteReference"/>
          <w:rFonts w:ascii="Brill" w:hAnsi="Brill" w:cs="Arial"/>
          <w:sz w:val="24"/>
          <w:szCs w:val="24"/>
        </w:rPr>
        <w:footnoteReference w:id="2"/>
      </w:r>
    </w:p>
    <w:p w14:paraId="056D9197" w14:textId="77777777" w:rsidR="00FF25A5" w:rsidRPr="00BC3739" w:rsidRDefault="00FF25A5" w:rsidP="00FF25A5">
      <w:pPr>
        <w:spacing w:after="0" w:line="240" w:lineRule="auto"/>
        <w:textAlignment w:val="baseline"/>
        <w:rPr>
          <w:rFonts w:ascii="Brill" w:hAnsi="Brill" w:cs="Arial"/>
          <w:sz w:val="24"/>
          <w:szCs w:val="24"/>
        </w:rPr>
      </w:pPr>
    </w:p>
    <w:p w14:paraId="5776FA24" w14:textId="77777777" w:rsidR="00FF25A5" w:rsidRPr="00235A62" w:rsidRDefault="00FF25A5" w:rsidP="00FF25A5">
      <w:pPr>
        <w:spacing w:after="0" w:line="240" w:lineRule="auto"/>
        <w:textAlignment w:val="baseline"/>
        <w:rPr>
          <w:rFonts w:ascii="Brill" w:hAnsi="Brill"/>
          <w:sz w:val="24"/>
          <w:szCs w:val="24"/>
        </w:rPr>
      </w:pPr>
      <w:r w:rsidRPr="00235A62">
        <w:rPr>
          <w:rFonts w:ascii="Brill" w:hAnsi="Brill" w:cs="Arial"/>
          <w:sz w:val="24"/>
          <w:szCs w:val="24"/>
        </w:rPr>
        <w:t>The most recent arrival of Muslim communities in Europe, however, ar</w:t>
      </w:r>
      <w:r>
        <w:rPr>
          <w:rFonts w:ascii="Brill" w:hAnsi="Brill" w:cs="Arial"/>
          <w:sz w:val="24"/>
          <w:szCs w:val="24"/>
        </w:rPr>
        <w:t>o</w:t>
      </w:r>
      <w:r w:rsidRPr="00235A62">
        <w:rPr>
          <w:rFonts w:ascii="Brill" w:hAnsi="Brill" w:cs="Arial"/>
          <w:sz w:val="24"/>
          <w:szCs w:val="24"/>
        </w:rPr>
        <w:t>s</w:t>
      </w:r>
      <w:r>
        <w:rPr>
          <w:rFonts w:ascii="Brill" w:hAnsi="Brill" w:cs="Arial"/>
          <w:sz w:val="24"/>
          <w:szCs w:val="24"/>
        </w:rPr>
        <w:t>e</w:t>
      </w:r>
      <w:r w:rsidRPr="00235A62">
        <w:rPr>
          <w:rFonts w:ascii="Brill" w:hAnsi="Brill" w:cs="Arial"/>
          <w:sz w:val="24"/>
          <w:szCs w:val="24"/>
        </w:rPr>
        <w:t xml:space="preserve"> not from Muslim expansion but from European expansion. </w:t>
      </w:r>
      <w:r w:rsidRPr="00235A62">
        <w:rPr>
          <w:rFonts w:ascii="Brill" w:hAnsi="Brill"/>
          <w:sz w:val="24"/>
          <w:szCs w:val="24"/>
        </w:rPr>
        <w:t>Britain’s migration patterns and policies have been shaped by its relationship with the Commonwealth countries</w:t>
      </w:r>
      <w:r w:rsidRPr="00235A62">
        <w:rPr>
          <w:rStyle w:val="FootnoteReference"/>
          <w:rFonts w:ascii="Brill" w:hAnsi="Brill"/>
          <w:sz w:val="24"/>
          <w:szCs w:val="24"/>
        </w:rPr>
        <w:footnoteReference w:id="3"/>
      </w:r>
      <w:r w:rsidRPr="00235A62">
        <w:rPr>
          <w:rFonts w:ascii="Brill" w:hAnsi="Brill"/>
          <w:sz w:val="24"/>
          <w:szCs w:val="24"/>
        </w:rPr>
        <w:t xml:space="preserve">, and </w:t>
      </w:r>
      <w:r w:rsidRPr="00235A62">
        <w:rPr>
          <w:rFonts w:ascii="Brill" w:hAnsi="Brill" w:cs="Arial"/>
          <w:sz w:val="24"/>
          <w:szCs w:val="24"/>
        </w:rPr>
        <w:t>the first major influx of Muslims came as a result of the opening of the Suez Canal in 1869, when British shipping began taking Yemeni and Somali labour from the port city of Aden. After British economy was revived post World War II, Britain looked outside of Europe for its labour needs, and immigration from India in the 1950s, and from Pakistan in the early 60s saw the Muslim community grow widely. In the interim before the Commonwealth Immigration Act of 1962 closed the doors to labour immigration, a sudden influx of men from Pakistan arrive</w:t>
      </w:r>
      <w:r>
        <w:rPr>
          <w:rFonts w:ascii="Brill" w:hAnsi="Brill" w:cs="Arial"/>
          <w:sz w:val="24"/>
          <w:szCs w:val="24"/>
        </w:rPr>
        <w:t>d</w:t>
      </w:r>
      <w:r w:rsidRPr="00235A62">
        <w:rPr>
          <w:rFonts w:ascii="Brill" w:hAnsi="Brill" w:cs="Arial"/>
          <w:sz w:val="24"/>
          <w:szCs w:val="24"/>
        </w:rPr>
        <w:t xml:space="preserve"> in time to beat the ban. The law still allowed family reunion, and the arrival of women and children led to a steep increase in organised Muslim activity and the establishment of mosques and community centres</w:t>
      </w:r>
      <w:r w:rsidRPr="00235A62">
        <w:rPr>
          <w:rStyle w:val="FootnoteReference"/>
          <w:rFonts w:ascii="Brill" w:hAnsi="Brill" w:cs="Arial"/>
          <w:sz w:val="24"/>
          <w:szCs w:val="24"/>
        </w:rPr>
        <w:footnoteReference w:id="4"/>
      </w:r>
      <w:r w:rsidRPr="00235A62">
        <w:rPr>
          <w:rFonts w:ascii="Brill" w:hAnsi="Brill" w:cs="Arial"/>
          <w:sz w:val="24"/>
          <w:szCs w:val="24"/>
        </w:rPr>
        <w:t xml:space="preserve">. </w:t>
      </w:r>
    </w:p>
    <w:p w14:paraId="0A670EF7" w14:textId="77777777" w:rsidR="00FF25A5" w:rsidRPr="00235A62" w:rsidRDefault="00FF25A5" w:rsidP="00FF25A5">
      <w:pPr>
        <w:pStyle w:val="NormalWeb"/>
        <w:rPr>
          <w:rFonts w:ascii="Brill" w:hAnsi="Brill" w:cs="Arial"/>
        </w:rPr>
      </w:pPr>
      <w:r w:rsidRPr="00235A62">
        <w:rPr>
          <w:rFonts w:ascii="Brill" w:hAnsi="Brill" w:cs="Arial"/>
        </w:rPr>
        <w:t xml:space="preserve">The first mosques in the country were established in Liverpool and the London suburb of Woking around 1890. Both these mosques come with a fascinating history and connection to solicitor Henry (Abdullah) Quilliam, who converted to Islam after a trip to Morrocco. Quilliam was said to be instrumental in the conversion of 600 people across the U.K </w:t>
      </w:r>
      <w:r w:rsidRPr="00235A62">
        <w:rPr>
          <w:rStyle w:val="FootnoteReference"/>
          <w:rFonts w:ascii="Brill" w:hAnsi="Brill" w:cs="Arial"/>
        </w:rPr>
        <w:footnoteReference w:id="5"/>
      </w:r>
      <w:r w:rsidRPr="00235A62">
        <w:rPr>
          <w:rFonts w:ascii="Brill" w:hAnsi="Brill" w:cs="Arial"/>
        </w:rPr>
        <w:t>. The mosque at Woking is also connected to Marmaduke (Muhammad) Pickthall, the British convert whose English translation of the Qur’an (1930)</w:t>
      </w:r>
      <w:r w:rsidRPr="00235A62">
        <w:rPr>
          <w:rStyle w:val="FootnoteReference"/>
          <w:rFonts w:ascii="Brill" w:hAnsi="Brill" w:cs="Arial"/>
        </w:rPr>
        <w:footnoteReference w:id="6"/>
      </w:r>
      <w:r w:rsidRPr="00235A62">
        <w:rPr>
          <w:rFonts w:ascii="Brill" w:hAnsi="Brill" w:cs="Arial"/>
        </w:rPr>
        <w:t xml:space="preserve"> became the “touchstone against which all later ventures have usually been measured” for their faithfulness to the original </w:t>
      </w:r>
      <w:r w:rsidRPr="00235A62">
        <w:rPr>
          <w:rFonts w:ascii="Brill" w:hAnsi="Brill" w:cs="Arial"/>
        </w:rPr>
        <w:lastRenderedPageBreak/>
        <w:t>Qur’anic text</w:t>
      </w:r>
      <w:r w:rsidRPr="00235A62">
        <w:rPr>
          <w:rStyle w:val="FootnoteReference"/>
          <w:rFonts w:ascii="Brill" w:hAnsi="Brill" w:cs="Arial"/>
        </w:rPr>
        <w:footnoteReference w:id="7"/>
      </w:r>
      <w:r w:rsidRPr="00235A62">
        <w:rPr>
          <w:rFonts w:ascii="Brill" w:hAnsi="Brill" w:cs="Arial"/>
        </w:rPr>
        <w:t>. During the second world war, King George VI granted a plot of land to build London’s Islamic mosque and center in Regent's Park, which opened in 1977</w:t>
      </w:r>
      <w:r w:rsidRPr="00235A62">
        <w:rPr>
          <w:rStyle w:val="FootnoteReference"/>
          <w:rFonts w:ascii="Brill" w:hAnsi="Brill" w:cs="Arial"/>
        </w:rPr>
        <w:footnoteReference w:id="8"/>
      </w:r>
      <w:r w:rsidRPr="00235A62">
        <w:rPr>
          <w:rFonts w:ascii="Brill" w:hAnsi="Brill" w:cs="Arial"/>
        </w:rPr>
        <w:t>.</w:t>
      </w:r>
    </w:p>
    <w:p w14:paraId="2EB5C065" w14:textId="77777777" w:rsidR="00FF25A5" w:rsidRDefault="00FF25A5" w:rsidP="00FF25A5">
      <w:pPr>
        <w:pStyle w:val="NormalWeb"/>
        <w:rPr>
          <w:rFonts w:ascii="Brill" w:hAnsi="Brill"/>
          <w:shd w:val="clear" w:color="auto" w:fill="FFFFFF"/>
        </w:rPr>
      </w:pPr>
      <w:r w:rsidRPr="00235A62">
        <w:rPr>
          <w:rFonts w:ascii="Brill" w:hAnsi="Brill"/>
          <w:shd w:val="clear" w:color="auto" w:fill="FFFFFF"/>
        </w:rPr>
        <w:t>South Asian immigrants from Post-World War II also placed great emphasis on the religious nurture of their British born children.  This came to be in part because of perceptions of inadequate religious and moral education in mainstream schools, and because of the parents’ concern for the preservation of their linguistic and cultural identity. To this end, there are numerous well-established facilities for after-school religious studies in British Muslim communities</w:t>
      </w:r>
      <w:r w:rsidRPr="00235A62">
        <w:rPr>
          <w:rStyle w:val="FootnoteReference"/>
          <w:rFonts w:ascii="Brill" w:hAnsi="Brill"/>
          <w:shd w:val="clear" w:color="auto" w:fill="FFFFFF"/>
        </w:rPr>
        <w:footnoteReference w:id="9"/>
      </w:r>
    </w:p>
    <w:p w14:paraId="0DA2B20B" w14:textId="77777777" w:rsidR="00FF25A5" w:rsidRPr="00235A62" w:rsidRDefault="00FF25A5" w:rsidP="00FF25A5">
      <w:pPr>
        <w:pStyle w:val="NormalWeb"/>
        <w:textAlignment w:val="baseline"/>
        <w:rPr>
          <w:rFonts w:ascii="Brill" w:hAnsi="Brill" w:cs="Arial"/>
        </w:rPr>
      </w:pPr>
      <w:r w:rsidRPr="00235A62">
        <w:rPr>
          <w:rFonts w:ascii="Brill" w:hAnsi="Brill" w:cs="Arial"/>
        </w:rPr>
        <w:t>In the political sphere, foreign policy appears to be an important factor for British Muslims and seem to determine their votes more than local social or economic issues do. This is partly attributed to the diaspora links that the older generation of British Muslims have with their countries of origin</w:t>
      </w:r>
      <w:r w:rsidRPr="00235A62">
        <w:rPr>
          <w:rStyle w:val="FootnoteReference"/>
          <w:rFonts w:ascii="Brill" w:hAnsi="Brill" w:cs="Arial"/>
        </w:rPr>
        <w:footnoteReference w:id="10"/>
      </w:r>
      <w:r w:rsidRPr="00235A62">
        <w:rPr>
          <w:rFonts w:ascii="Brill" w:hAnsi="Brill" w:cs="Arial"/>
        </w:rPr>
        <w:t xml:space="preserve">. It is also linked to Muslims’ sense of attachment to the larger Islamic </w:t>
      </w:r>
      <w:r w:rsidRPr="00235A62">
        <w:rPr>
          <w:rFonts w:ascii="Brill" w:hAnsi="Brill" w:cs="Arial"/>
          <w:i/>
          <w:iCs/>
        </w:rPr>
        <w:t>ummah</w:t>
      </w:r>
      <w:r w:rsidRPr="00235A62">
        <w:rPr>
          <w:rStyle w:val="FootnoteReference"/>
          <w:rFonts w:ascii="Brill" w:hAnsi="Brill" w:cs="Arial"/>
          <w:i/>
          <w:iCs/>
        </w:rPr>
        <w:footnoteReference w:id="11"/>
      </w:r>
      <w:r w:rsidRPr="00235A62">
        <w:rPr>
          <w:rFonts w:ascii="Brill" w:hAnsi="Brill" w:cs="Arial"/>
          <w:i/>
          <w:iCs/>
        </w:rPr>
        <w:t>.</w:t>
      </w:r>
      <w:r>
        <w:rPr>
          <w:rFonts w:ascii="Brill" w:hAnsi="Brill" w:cs="Arial"/>
          <w:i/>
          <w:iCs/>
        </w:rPr>
        <w:t xml:space="preserve"> </w:t>
      </w:r>
      <w:r w:rsidRPr="00235A62">
        <w:rPr>
          <w:rFonts w:ascii="Brill" w:hAnsi="Brill" w:cs="Arial"/>
        </w:rPr>
        <w:t>Recently, Time magazine featured an article by an Islamic scholar who urged the “2 million eligible Muslim voters in the U.K.” to vote because they had “the ability to swing the result, one way or another”. He goes on to say that research released by the MCB shows that both the Conservative and Labour parties, as well as niche parties could lose or gain seats through the Muslim vote.</w:t>
      </w:r>
      <w:r w:rsidRPr="00235A62">
        <w:rPr>
          <w:rStyle w:val="FootnoteReference"/>
          <w:rFonts w:ascii="Brill" w:hAnsi="Brill" w:cs="Arial"/>
        </w:rPr>
        <w:footnoteReference w:id="12"/>
      </w:r>
    </w:p>
    <w:p w14:paraId="3595112F" w14:textId="77777777" w:rsidR="00FF25A5" w:rsidRPr="00235A62" w:rsidRDefault="00FF25A5" w:rsidP="00FF25A5">
      <w:pPr>
        <w:pStyle w:val="NormalWeb"/>
        <w:textAlignment w:val="baseline"/>
        <w:rPr>
          <w:rFonts w:ascii="Brill" w:hAnsi="Brill" w:cs="Arial"/>
        </w:rPr>
      </w:pPr>
      <w:r w:rsidRPr="00235A62">
        <w:rPr>
          <w:rFonts w:ascii="Brill" w:hAnsi="Brill"/>
        </w:rPr>
        <w:t xml:space="preserve">The extent of influence that the Muslim community exerts in Britain came to light during the </w:t>
      </w:r>
      <w:r w:rsidRPr="00235A62">
        <w:rPr>
          <w:rFonts w:ascii="Brill" w:hAnsi="Brill"/>
          <w:i/>
          <w:iCs/>
        </w:rPr>
        <w:t>Satanic Verses</w:t>
      </w:r>
      <w:r w:rsidRPr="00235A62">
        <w:rPr>
          <w:rFonts w:ascii="Brill" w:hAnsi="Brill"/>
        </w:rPr>
        <w:t xml:space="preserve"> controversy, followed closely by the headscarf controversy in France. In response to continuing political pressures, the French government adopted 3 measures. It formed a High Commission on Integration and a commission to consider Islam in France, and also presented a plan to combat racism.</w:t>
      </w:r>
      <w:r w:rsidRPr="00235A62">
        <w:rPr>
          <w:rStyle w:val="FootnoteReference"/>
          <w:rFonts w:ascii="Brill" w:hAnsi="Brill"/>
        </w:rPr>
        <w:footnoteReference w:id="13"/>
      </w:r>
      <w:r w:rsidRPr="00235A62">
        <w:rPr>
          <w:rFonts w:ascii="Brill" w:hAnsi="Brill"/>
        </w:rPr>
        <w:t xml:space="preserve"> </w:t>
      </w:r>
    </w:p>
    <w:p w14:paraId="32C112F7" w14:textId="77777777" w:rsidR="00FF25A5" w:rsidRPr="00235A62" w:rsidRDefault="00FF25A5" w:rsidP="00FF25A5">
      <w:pPr>
        <w:tabs>
          <w:tab w:val="left" w:pos="432"/>
        </w:tabs>
        <w:spacing w:line="240" w:lineRule="auto"/>
        <w:rPr>
          <w:rFonts w:ascii="Brill" w:hAnsi="Brill"/>
          <w:sz w:val="24"/>
          <w:szCs w:val="24"/>
        </w:rPr>
      </w:pPr>
      <w:r w:rsidRPr="00235A62">
        <w:rPr>
          <w:rFonts w:ascii="Brill" w:hAnsi="Brill"/>
          <w:sz w:val="24"/>
          <w:szCs w:val="24"/>
        </w:rPr>
        <w:lastRenderedPageBreak/>
        <w:t>Since the 1980s, the U.K has also welcomed a steady stream of Muslim refugees from all over the Islamic world; Bosnian Muslims, Iranians escaping the Revolution and Kuwaitis and Iraqis fleeing the Saddam regime, among many others.</w:t>
      </w:r>
      <w:r w:rsidRPr="00235A62">
        <w:rPr>
          <w:rStyle w:val="FootnoteReference"/>
          <w:rFonts w:ascii="Brill" w:hAnsi="Brill"/>
          <w:sz w:val="24"/>
          <w:szCs w:val="24"/>
        </w:rPr>
        <w:footnoteReference w:id="14"/>
      </w:r>
      <w:r w:rsidRPr="00235A62">
        <w:rPr>
          <w:rFonts w:ascii="Brill" w:hAnsi="Brill"/>
          <w:sz w:val="24"/>
          <w:szCs w:val="24"/>
        </w:rPr>
        <w:t xml:space="preserve"> </w:t>
      </w:r>
    </w:p>
    <w:p w14:paraId="34014DDF" w14:textId="77777777" w:rsidR="00FF25A5" w:rsidRPr="00235A62" w:rsidRDefault="00FF25A5" w:rsidP="00FF25A5">
      <w:pPr>
        <w:pStyle w:val="NormalWeb"/>
        <w:textAlignment w:val="baseline"/>
        <w:rPr>
          <w:rFonts w:ascii="Brill" w:hAnsi="Brill" w:cs="Arial"/>
          <w:b/>
          <w:bCs/>
        </w:rPr>
      </w:pPr>
      <w:r w:rsidRPr="00235A62">
        <w:rPr>
          <w:rFonts w:ascii="Brill" w:hAnsi="Brill" w:cs="Arial"/>
          <w:b/>
          <w:bCs/>
        </w:rPr>
        <w:t>Integration vs. assimilation</w:t>
      </w:r>
    </w:p>
    <w:p w14:paraId="31152A12" w14:textId="77777777" w:rsidR="00FF25A5" w:rsidRPr="00C640EB" w:rsidRDefault="00FF25A5" w:rsidP="00FF25A5">
      <w:pPr>
        <w:tabs>
          <w:tab w:val="left" w:pos="432"/>
        </w:tabs>
        <w:spacing w:line="240" w:lineRule="auto"/>
        <w:rPr>
          <w:rFonts w:ascii="Brill" w:hAnsi="Brill"/>
          <w:sz w:val="24"/>
          <w:szCs w:val="24"/>
        </w:rPr>
      </w:pPr>
      <w:r w:rsidRPr="00235A62">
        <w:rPr>
          <w:rFonts w:ascii="Brill" w:hAnsi="Brill" w:cs="Arial"/>
          <w:sz w:val="24"/>
          <w:szCs w:val="24"/>
        </w:rPr>
        <w:t xml:space="preserve">The immigration and consequent settling of Muslims in Britain has brought with it challenges for both the host country and the immigrants. </w:t>
      </w:r>
      <w:r w:rsidRPr="00235A62">
        <w:rPr>
          <w:rFonts w:ascii="Brill" w:hAnsi="Brill"/>
          <w:sz w:val="24"/>
          <w:szCs w:val="24"/>
        </w:rPr>
        <w:t>While the majority of Muslims in the UK have roots in the Indian sub-continent, there is also considerable religious diversity among them</w:t>
      </w:r>
      <w:r w:rsidRPr="00235A62">
        <w:rPr>
          <w:rStyle w:val="FootnoteReference"/>
          <w:rFonts w:ascii="Brill" w:hAnsi="Brill"/>
          <w:sz w:val="24"/>
          <w:szCs w:val="24"/>
        </w:rPr>
        <w:footnoteReference w:id="15"/>
      </w:r>
      <w:r>
        <w:rPr>
          <w:rFonts w:ascii="Brill" w:hAnsi="Brill"/>
          <w:sz w:val="24"/>
          <w:szCs w:val="24"/>
        </w:rPr>
        <w:t>, and i</w:t>
      </w:r>
      <w:r w:rsidRPr="00235A62">
        <w:rPr>
          <w:rFonts w:ascii="Brill" w:hAnsi="Brill" w:cs="Arial"/>
          <w:sz w:val="24"/>
          <w:szCs w:val="24"/>
        </w:rPr>
        <w:t>ssues which relate to individual</w:t>
      </w:r>
      <w:r>
        <w:rPr>
          <w:rFonts w:ascii="Brill" w:hAnsi="Brill" w:cs="Arial"/>
        </w:rPr>
        <w:t xml:space="preserve"> </w:t>
      </w:r>
      <w:r w:rsidRPr="00235A62">
        <w:rPr>
          <w:rFonts w:ascii="Brill" w:hAnsi="Brill" w:cs="Arial"/>
          <w:sz w:val="24"/>
          <w:szCs w:val="24"/>
        </w:rPr>
        <w:t>and collective identities, such as integration and assimilation, came to the fore.</w:t>
      </w:r>
      <w:r w:rsidRPr="00235A62">
        <w:rPr>
          <w:rStyle w:val="FootnoteReference"/>
          <w:rFonts w:ascii="Brill" w:hAnsi="Brill" w:cs="Arial"/>
          <w:sz w:val="24"/>
          <w:szCs w:val="24"/>
        </w:rPr>
        <w:footnoteReference w:id="16"/>
      </w:r>
      <w:r w:rsidRPr="00235A62">
        <w:rPr>
          <w:rFonts w:ascii="Brill" w:hAnsi="Brill" w:cs="Arial"/>
          <w:sz w:val="24"/>
          <w:szCs w:val="24"/>
        </w:rPr>
        <w:t xml:space="preserve"> While historically, Europe had for centuries been multicultural, the perception of Islam not belonging in ‘the West’ has brought out these discussions more vehemently</w:t>
      </w:r>
      <w:r w:rsidRPr="00235A62">
        <w:rPr>
          <w:rStyle w:val="FootnoteReference"/>
          <w:rFonts w:ascii="Brill" w:hAnsi="Brill" w:cs="Arial"/>
          <w:sz w:val="24"/>
          <w:szCs w:val="24"/>
        </w:rPr>
        <w:footnoteReference w:id="17"/>
      </w:r>
      <w:r w:rsidRPr="00235A62">
        <w:rPr>
          <w:rFonts w:ascii="Brill" w:hAnsi="Brill" w:cs="Arial"/>
          <w:sz w:val="24"/>
          <w:szCs w:val="24"/>
        </w:rPr>
        <w:t>. These tensions, caused by religious, ethnic, and racial diversity, were exacerbated by the 9/11 attacks and 7/7 London subway bombings. This in turn led to major changes in social policies which now took on an assimilatory form. These policies received criticism from immigrant groups, political activists, and scholars who maintain that multiculturalism and integration should not be replaced by “cultural conformity and exclusive loyalty to Britain”.</w:t>
      </w:r>
      <w:r w:rsidRPr="00235A62">
        <w:rPr>
          <w:rStyle w:val="FootnoteReference"/>
          <w:rFonts w:ascii="Brill" w:hAnsi="Brill" w:cs="Arial"/>
          <w:sz w:val="24"/>
          <w:szCs w:val="24"/>
        </w:rPr>
        <w:footnoteReference w:id="18"/>
      </w:r>
      <w:r w:rsidRPr="00235A62">
        <w:rPr>
          <w:rFonts w:ascii="Brill" w:hAnsi="Brill" w:cs="Arial"/>
          <w:sz w:val="24"/>
          <w:szCs w:val="24"/>
        </w:rPr>
        <w:t xml:space="preserve">  </w:t>
      </w:r>
    </w:p>
    <w:p w14:paraId="13FBC803" w14:textId="77777777" w:rsidR="00FF25A5" w:rsidRDefault="00FF25A5" w:rsidP="00FF25A5">
      <w:pPr>
        <w:pStyle w:val="NormalWeb"/>
        <w:textAlignment w:val="baseline"/>
        <w:rPr>
          <w:rFonts w:ascii="Brill" w:hAnsi="Brill" w:cs="Arial"/>
          <w:b/>
          <w:bCs/>
        </w:rPr>
      </w:pPr>
      <w:r w:rsidRPr="00235A62">
        <w:rPr>
          <w:rFonts w:ascii="Brill" w:hAnsi="Brill" w:cs="Arial"/>
          <w:b/>
          <w:bCs/>
        </w:rPr>
        <w:t>Research and documentation</w:t>
      </w:r>
    </w:p>
    <w:p w14:paraId="3D34DBE7" w14:textId="77777777" w:rsidR="00FF25A5" w:rsidRPr="00C640EB" w:rsidRDefault="00FF25A5" w:rsidP="00FF25A5">
      <w:pPr>
        <w:pStyle w:val="NormalWeb"/>
        <w:textAlignment w:val="baseline"/>
        <w:rPr>
          <w:rFonts w:ascii="Brill" w:hAnsi="Brill" w:cs="Arial"/>
          <w:b/>
          <w:bCs/>
        </w:rPr>
      </w:pPr>
      <w:r w:rsidRPr="00235A62">
        <w:rPr>
          <w:rFonts w:ascii="Brill" w:hAnsi="Brill" w:cs="Arial"/>
        </w:rPr>
        <w:t>It was not until the mid-1980s that European Church bodies, such as the Brussels-based Churches’ Committee for Migrants in Europe recognized the Islamic dimension of the migrant Muslim community. At about the same time, an increasing number of academic sociologists began to take interest in the religious dimension of Muslim communities. This could be considered the beginning of what later developed into a major growth area in University research sectors</w:t>
      </w:r>
      <w:r w:rsidRPr="00235A62">
        <w:rPr>
          <w:rStyle w:val="FootnoteReference"/>
          <w:rFonts w:ascii="Brill" w:hAnsi="Brill" w:cs="Arial"/>
        </w:rPr>
        <w:footnoteReference w:id="19"/>
      </w:r>
      <w:r w:rsidRPr="00235A62">
        <w:rPr>
          <w:rFonts w:ascii="Brill" w:hAnsi="Brill" w:cs="Arial"/>
        </w:rPr>
        <w:t xml:space="preserve">. This interest was brought about by the perceivable change in Muslim religiosity. Early immigrant men who came to Britain in search of better economic prospects displayed almost no religious expressions. However, when family reunion was allowed and women and children came into the equation, religious expression began to </w:t>
      </w:r>
      <w:r w:rsidRPr="00235A62">
        <w:rPr>
          <w:rFonts w:ascii="Brill" w:hAnsi="Brill" w:cs="Arial"/>
        </w:rPr>
        <w:lastRenderedPageBreak/>
        <w:t>make its mark. The general view was that these communities would quickly evolve, as had the Europeans, if not to being secularized, then to confining their religious life to a private niche.</w:t>
      </w:r>
      <w:r w:rsidRPr="00235A62">
        <w:rPr>
          <w:rStyle w:val="FootnoteReference"/>
          <w:rFonts w:ascii="Brill" w:hAnsi="Brill" w:cs="Arial"/>
        </w:rPr>
        <w:footnoteReference w:id="20"/>
      </w:r>
      <w:r w:rsidRPr="00235A62">
        <w:rPr>
          <w:rFonts w:ascii="Brill" w:hAnsi="Brill" w:cs="Arial"/>
        </w:rPr>
        <w:t xml:space="preserve"> </w:t>
      </w:r>
      <w:r>
        <w:rPr>
          <w:rFonts w:ascii="Brill" w:hAnsi="Brill" w:cs="Arial"/>
        </w:rPr>
        <w:t>Today, many universities across Britain study and teach Islamic studies as a discipline.</w:t>
      </w:r>
    </w:p>
    <w:p w14:paraId="7F3FA4AF" w14:textId="2EF6CC1C" w:rsidR="009D0DFC" w:rsidRDefault="008D2C74" w:rsidP="00A05654">
      <w:pPr>
        <w:spacing w:line="240" w:lineRule="auto"/>
        <w:rPr>
          <w:rFonts w:ascii="Brill" w:hAnsi="Brill"/>
          <w:b/>
          <w:bCs/>
          <w:sz w:val="24"/>
          <w:szCs w:val="24"/>
        </w:rPr>
      </w:pPr>
      <w:r>
        <w:rPr>
          <w:rFonts w:ascii="Brill" w:hAnsi="Brill"/>
          <w:b/>
          <w:bCs/>
          <w:sz w:val="24"/>
          <w:szCs w:val="24"/>
        </w:rPr>
        <w:t>C</w:t>
      </w:r>
      <w:r w:rsidRPr="008D2C74">
        <w:rPr>
          <w:rFonts w:ascii="Brill" w:hAnsi="Brill"/>
          <w:b/>
          <w:bCs/>
          <w:sz w:val="24"/>
          <w:szCs w:val="24"/>
        </w:rPr>
        <w:t>onclusion</w:t>
      </w:r>
      <w:r>
        <w:rPr>
          <w:rFonts w:ascii="Brill" w:hAnsi="Brill"/>
          <w:b/>
          <w:bCs/>
          <w:sz w:val="24"/>
          <w:szCs w:val="24"/>
        </w:rPr>
        <w:t>:</w:t>
      </w:r>
    </w:p>
    <w:p w14:paraId="4D0123F7" w14:textId="4BDF58CD" w:rsidR="008D2C74" w:rsidRPr="008D2C74" w:rsidRDefault="008D2C74" w:rsidP="00A05654">
      <w:pPr>
        <w:spacing w:line="240" w:lineRule="auto"/>
        <w:rPr>
          <w:rFonts w:ascii="Brill" w:hAnsi="Brill"/>
          <w:sz w:val="24"/>
          <w:szCs w:val="24"/>
        </w:rPr>
      </w:pPr>
      <w:r>
        <w:rPr>
          <w:rFonts w:ascii="Brill" w:hAnsi="Brill"/>
          <w:sz w:val="24"/>
          <w:szCs w:val="24"/>
        </w:rPr>
        <w:t xml:space="preserve">In the past 40 years, Islam and Muslims have continued to have an impact on the </w:t>
      </w:r>
      <w:r w:rsidR="00537BAA">
        <w:rPr>
          <w:rFonts w:ascii="Brill" w:hAnsi="Brill"/>
          <w:sz w:val="24"/>
          <w:szCs w:val="24"/>
        </w:rPr>
        <w:t xml:space="preserve">intellectual, social, religious and even political scenes in Britain. </w:t>
      </w:r>
      <w:r w:rsidR="00834F77">
        <w:rPr>
          <w:rFonts w:ascii="Brill" w:hAnsi="Brill"/>
          <w:sz w:val="24"/>
          <w:szCs w:val="24"/>
        </w:rPr>
        <w:t xml:space="preserve">Additionally, </w:t>
      </w:r>
      <w:r w:rsidR="00537BAA">
        <w:rPr>
          <w:rFonts w:ascii="Brill" w:hAnsi="Brill"/>
          <w:sz w:val="24"/>
          <w:szCs w:val="24"/>
        </w:rPr>
        <w:t>Britain</w:t>
      </w:r>
      <w:r w:rsidR="000C6A6E">
        <w:rPr>
          <w:rFonts w:ascii="Brill" w:hAnsi="Brill"/>
          <w:sz w:val="24"/>
          <w:szCs w:val="24"/>
        </w:rPr>
        <w:t xml:space="preserve">’s relationship with its former colonies means Muslims from the Commonwealth countries are best placed in the West </w:t>
      </w:r>
      <w:r w:rsidR="00116AE9">
        <w:rPr>
          <w:rFonts w:ascii="Brill" w:hAnsi="Brill"/>
          <w:sz w:val="24"/>
          <w:szCs w:val="24"/>
        </w:rPr>
        <w:t>in regard to citizenship rights and social integration</w:t>
      </w:r>
      <w:r w:rsidR="00834F77">
        <w:rPr>
          <w:rFonts w:ascii="Brill" w:hAnsi="Brill"/>
          <w:sz w:val="24"/>
          <w:szCs w:val="24"/>
        </w:rPr>
        <w:t xml:space="preserve">. Yet </w:t>
      </w:r>
      <w:r w:rsidR="00116AE9">
        <w:rPr>
          <w:rFonts w:ascii="Brill" w:hAnsi="Brill"/>
          <w:sz w:val="24"/>
          <w:szCs w:val="24"/>
        </w:rPr>
        <w:t>many issues still remain</w:t>
      </w:r>
      <w:r w:rsidR="00834F77">
        <w:rPr>
          <w:rFonts w:ascii="Brill" w:hAnsi="Brill"/>
          <w:sz w:val="24"/>
          <w:szCs w:val="24"/>
        </w:rPr>
        <w:t xml:space="preserve"> to be resolved</w:t>
      </w:r>
      <w:r w:rsidR="00881F59">
        <w:rPr>
          <w:rFonts w:ascii="Brill" w:hAnsi="Brill"/>
          <w:sz w:val="24"/>
          <w:szCs w:val="24"/>
        </w:rPr>
        <w:t xml:space="preserve"> for the Muslim community to be able to </w:t>
      </w:r>
      <w:r w:rsidR="005B1577">
        <w:rPr>
          <w:rFonts w:ascii="Brill" w:hAnsi="Brill"/>
          <w:sz w:val="24"/>
          <w:szCs w:val="24"/>
        </w:rPr>
        <w:t xml:space="preserve">fully </w:t>
      </w:r>
      <w:r w:rsidR="00881F59">
        <w:rPr>
          <w:rFonts w:ascii="Brill" w:hAnsi="Brill"/>
          <w:sz w:val="24"/>
          <w:szCs w:val="24"/>
        </w:rPr>
        <w:t xml:space="preserve">enjoy the rights </w:t>
      </w:r>
      <w:r w:rsidR="005B1577">
        <w:rPr>
          <w:rFonts w:ascii="Brill" w:hAnsi="Brill"/>
          <w:sz w:val="24"/>
          <w:szCs w:val="24"/>
        </w:rPr>
        <w:t xml:space="preserve">accorded to citizens of </w:t>
      </w:r>
      <w:r w:rsidR="001F5F36">
        <w:rPr>
          <w:rFonts w:ascii="Brill" w:hAnsi="Brill"/>
          <w:sz w:val="24"/>
          <w:szCs w:val="24"/>
        </w:rPr>
        <w:t>a First World country that prides itself for its multiculturalism.</w:t>
      </w:r>
    </w:p>
    <w:sectPr w:rsidR="008D2C74" w:rsidRPr="008D2C7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38670F" w14:textId="77777777" w:rsidR="00696B54" w:rsidRDefault="00696B54" w:rsidP="003D3BB4">
      <w:pPr>
        <w:spacing w:after="0" w:line="240" w:lineRule="auto"/>
      </w:pPr>
      <w:r>
        <w:separator/>
      </w:r>
    </w:p>
  </w:endnote>
  <w:endnote w:type="continuationSeparator" w:id="0">
    <w:p w14:paraId="3BBA443E" w14:textId="77777777" w:rsidR="00696B54" w:rsidRDefault="00696B54" w:rsidP="003D3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 w:name="Brill">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01769"/>
      <w:docPartObj>
        <w:docPartGallery w:val="Page Numbers (Bottom of Page)"/>
        <w:docPartUnique/>
      </w:docPartObj>
    </w:sdtPr>
    <w:sdtEndPr/>
    <w:sdtContent>
      <w:p w14:paraId="0EE4EF8D" w14:textId="77777777" w:rsidR="00F26127" w:rsidRDefault="00F2612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FC6A765" w14:textId="77777777" w:rsidR="00F26127" w:rsidRDefault="00F26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ADACF1" w14:textId="77777777" w:rsidR="00696B54" w:rsidRDefault="00696B54" w:rsidP="003D3BB4">
      <w:pPr>
        <w:spacing w:after="0" w:line="240" w:lineRule="auto"/>
      </w:pPr>
      <w:r>
        <w:separator/>
      </w:r>
    </w:p>
  </w:footnote>
  <w:footnote w:type="continuationSeparator" w:id="0">
    <w:p w14:paraId="37B6E2B6" w14:textId="77777777" w:rsidR="00696B54" w:rsidRDefault="00696B54" w:rsidP="003D3BB4">
      <w:pPr>
        <w:spacing w:after="0" w:line="240" w:lineRule="auto"/>
      </w:pPr>
      <w:r>
        <w:continuationSeparator/>
      </w:r>
    </w:p>
  </w:footnote>
  <w:footnote w:id="1">
    <w:p w14:paraId="1C8F739A" w14:textId="77777777" w:rsidR="00FF25A5" w:rsidRPr="009120B3" w:rsidRDefault="00FF25A5" w:rsidP="00FF25A5">
      <w:pPr>
        <w:pStyle w:val="FootnoteText"/>
        <w:rPr>
          <w:sz w:val="16"/>
          <w:szCs w:val="16"/>
        </w:rPr>
      </w:pPr>
      <w:r w:rsidRPr="009120B3">
        <w:rPr>
          <w:rStyle w:val="FootnoteReference"/>
          <w:sz w:val="16"/>
          <w:szCs w:val="16"/>
        </w:rPr>
        <w:footnoteRef/>
      </w:r>
      <w:r w:rsidRPr="009120B3">
        <w:rPr>
          <w:sz w:val="16"/>
          <w:szCs w:val="16"/>
        </w:rPr>
        <w:t xml:space="preserve"> Antes, Peter. “Western Europe, Islam and Other Religions in.” In </w:t>
      </w:r>
      <w:r w:rsidRPr="009120B3">
        <w:rPr>
          <w:i/>
          <w:iCs/>
          <w:sz w:val="16"/>
          <w:szCs w:val="16"/>
        </w:rPr>
        <w:t>Oxford Islamic Studies Online</w:t>
      </w:r>
      <w:r w:rsidRPr="009120B3">
        <w:rPr>
          <w:sz w:val="16"/>
          <w:szCs w:val="16"/>
        </w:rPr>
        <w:t xml:space="preserve">. Oxford Islamic Studies Online, (accessed 29-May-2020). </w:t>
      </w:r>
      <w:hyperlink r:id="rId1" w:history="1">
        <w:r w:rsidRPr="009120B3">
          <w:rPr>
            <w:rStyle w:val="Hyperlink"/>
            <w:sz w:val="16"/>
            <w:szCs w:val="16"/>
          </w:rPr>
          <w:t>http://www.oxfordislamicstudies.com/article/opr/t343/e0139</w:t>
        </w:r>
      </w:hyperlink>
    </w:p>
  </w:footnote>
  <w:footnote w:id="2">
    <w:p w14:paraId="4652AAF8" w14:textId="77777777" w:rsidR="00FF25A5" w:rsidRPr="00C1315D" w:rsidRDefault="00FF25A5" w:rsidP="00FF25A5">
      <w:pPr>
        <w:pStyle w:val="FootnoteText"/>
        <w:rPr>
          <w:lang w:val="en-GB"/>
        </w:rPr>
      </w:pPr>
      <w:r>
        <w:rPr>
          <w:rStyle w:val="FootnoteReference"/>
        </w:rPr>
        <w:footnoteRef/>
      </w:r>
      <w:r>
        <w:t xml:space="preserve"> </w:t>
      </w:r>
      <w:r w:rsidRPr="00F9486E">
        <w:rPr>
          <w:rFonts w:cstheme="minorHAnsi"/>
          <w:color w:val="333333"/>
          <w:sz w:val="16"/>
          <w:szCs w:val="16"/>
          <w:shd w:val="clear" w:color="auto" w:fill="FFFFFF"/>
        </w:rPr>
        <w:t>Nielsen, Jorgen S. "Europe, Islam in." In </w:t>
      </w:r>
      <w:r w:rsidRPr="00F9486E">
        <w:rPr>
          <w:rFonts w:cstheme="minorHAnsi"/>
          <w:i/>
          <w:iCs/>
          <w:color w:val="333333"/>
          <w:sz w:val="16"/>
          <w:szCs w:val="16"/>
          <w:bdr w:val="none" w:sz="0" w:space="0" w:color="auto" w:frame="1"/>
          <w:shd w:val="clear" w:color="auto" w:fill="FFFFFF"/>
        </w:rPr>
        <w:t>Encyclopedia of Islam and the Muslim World</w:t>
      </w:r>
      <w:r w:rsidRPr="00F9486E">
        <w:rPr>
          <w:rFonts w:cstheme="minorHAnsi"/>
          <w:color w:val="333333"/>
          <w:sz w:val="16"/>
          <w:szCs w:val="16"/>
          <w:shd w:val="clear" w:color="auto" w:fill="FFFFFF"/>
        </w:rPr>
        <w:t>, edited by Richard C. Martin, 235-239. Vol. 1. New York, NY: Macmillan Reference USA, 2004. </w:t>
      </w:r>
      <w:r w:rsidRPr="00F9486E">
        <w:rPr>
          <w:rFonts w:cstheme="minorHAnsi"/>
          <w:i/>
          <w:iCs/>
          <w:color w:val="333333"/>
          <w:sz w:val="16"/>
          <w:szCs w:val="16"/>
          <w:bdr w:val="none" w:sz="0" w:space="0" w:color="auto" w:frame="1"/>
          <w:shd w:val="clear" w:color="auto" w:fill="FFFFFF"/>
        </w:rPr>
        <w:t>Gale eBooks</w:t>
      </w:r>
      <w:r w:rsidRPr="00F9486E">
        <w:rPr>
          <w:rFonts w:cstheme="minorHAnsi"/>
          <w:color w:val="333333"/>
          <w:sz w:val="16"/>
          <w:szCs w:val="16"/>
          <w:shd w:val="clear" w:color="auto" w:fill="FFFFFF"/>
        </w:rPr>
        <w:t xml:space="preserve"> (accessed April 8, 2020). </w:t>
      </w:r>
      <w:hyperlink r:id="rId2" w:history="1">
        <w:r w:rsidRPr="00F9486E">
          <w:rPr>
            <w:rStyle w:val="Hyperlink"/>
            <w:rFonts w:cstheme="minorHAnsi"/>
            <w:sz w:val="16"/>
            <w:szCs w:val="16"/>
            <w:shd w:val="clear" w:color="auto" w:fill="FFFFFF"/>
          </w:rPr>
          <w:t>https://link.gale.com/apps/doc/CX3403500149/GVRL?u=walamp&amp;sid=GVRL&amp;xid=ef6f792c</w:t>
        </w:r>
      </w:hyperlink>
    </w:p>
  </w:footnote>
  <w:footnote w:id="3">
    <w:p w14:paraId="6C75C5A1" w14:textId="77777777" w:rsidR="00FF25A5" w:rsidRPr="009120B3" w:rsidRDefault="00FF25A5" w:rsidP="00FF25A5">
      <w:pPr>
        <w:pStyle w:val="NormalWeb"/>
        <w:rPr>
          <w:rFonts w:asciiTheme="minorHAnsi" w:hAnsiTheme="minorHAnsi" w:cstheme="minorHAnsi"/>
          <w:sz w:val="16"/>
          <w:szCs w:val="16"/>
        </w:rPr>
      </w:pPr>
      <w:r w:rsidRPr="000429E2">
        <w:rPr>
          <w:rStyle w:val="FootnoteReference"/>
          <w:rFonts w:asciiTheme="minorHAnsi" w:hAnsiTheme="minorHAnsi" w:cstheme="minorHAnsi"/>
          <w:sz w:val="16"/>
          <w:szCs w:val="16"/>
        </w:rPr>
        <w:footnoteRef/>
      </w:r>
      <w:r w:rsidRPr="000429E2">
        <w:rPr>
          <w:rFonts w:asciiTheme="minorHAnsi" w:hAnsiTheme="minorHAnsi" w:cstheme="minorHAnsi"/>
          <w:sz w:val="16"/>
          <w:szCs w:val="16"/>
        </w:rPr>
        <w:t xml:space="preserve"> Yurdakul, Gökçe, and Anna C Korteweg. “Gender Equality and Immigrant Integration: Honor Killing and Forced Marriage Debates in the Netherlands, Germany, and Britain.” </w:t>
      </w:r>
      <w:r w:rsidRPr="000429E2">
        <w:rPr>
          <w:rFonts w:asciiTheme="minorHAnsi" w:hAnsiTheme="minorHAnsi" w:cstheme="minorHAnsi"/>
          <w:i/>
          <w:iCs/>
          <w:sz w:val="16"/>
          <w:szCs w:val="16"/>
        </w:rPr>
        <w:t xml:space="preserve">Women’s Studies International Forum </w:t>
      </w:r>
      <w:r w:rsidRPr="000429E2">
        <w:rPr>
          <w:rFonts w:asciiTheme="minorHAnsi" w:hAnsiTheme="minorHAnsi" w:cstheme="minorHAnsi"/>
          <w:sz w:val="16"/>
          <w:szCs w:val="16"/>
        </w:rPr>
        <w:t xml:space="preserve">41, 2013. </w:t>
      </w:r>
      <w:hyperlink r:id="rId3" w:history="1">
        <w:r w:rsidRPr="000429E2">
          <w:rPr>
            <w:rStyle w:val="Hyperlink"/>
            <w:rFonts w:asciiTheme="minorHAnsi" w:hAnsiTheme="minorHAnsi" w:cstheme="minorHAnsi"/>
            <w:sz w:val="16"/>
            <w:szCs w:val="16"/>
          </w:rPr>
          <w:t>https://doi.org/10.1016/j.wsif.2013.07.011</w:t>
        </w:r>
      </w:hyperlink>
      <w:r w:rsidRPr="000429E2">
        <w:rPr>
          <w:rFonts w:asciiTheme="minorHAnsi" w:hAnsiTheme="minorHAnsi" w:cstheme="minorHAnsi"/>
          <w:sz w:val="16"/>
          <w:szCs w:val="16"/>
        </w:rPr>
        <w:t>.</w:t>
      </w:r>
    </w:p>
  </w:footnote>
  <w:footnote w:id="4">
    <w:p w14:paraId="7D2BB403" w14:textId="77777777" w:rsidR="00FF25A5" w:rsidRPr="004C4EB2" w:rsidRDefault="00FF25A5" w:rsidP="00FF25A5">
      <w:pPr>
        <w:pStyle w:val="FootnoteText"/>
        <w:rPr>
          <w:sz w:val="16"/>
          <w:szCs w:val="16"/>
          <w:lang w:val="en-GB"/>
        </w:rPr>
      </w:pPr>
      <w:r w:rsidRPr="004C4EB2">
        <w:rPr>
          <w:rStyle w:val="FootnoteReference"/>
          <w:sz w:val="16"/>
          <w:szCs w:val="16"/>
        </w:rPr>
        <w:footnoteRef/>
      </w:r>
      <w:r w:rsidRPr="004C4EB2">
        <w:rPr>
          <w:sz w:val="16"/>
          <w:szCs w:val="16"/>
        </w:rPr>
        <w:t xml:space="preserve"> </w:t>
      </w:r>
      <w:r w:rsidRPr="004C4EB2">
        <w:rPr>
          <w:rFonts w:cstheme="minorHAnsi"/>
          <w:color w:val="333333"/>
          <w:sz w:val="16"/>
          <w:szCs w:val="16"/>
          <w:shd w:val="clear" w:color="auto" w:fill="FFFFFF"/>
        </w:rPr>
        <w:t>Nielsen, Jorgen S. "Europe, Islam in." In </w:t>
      </w:r>
      <w:r w:rsidRPr="004C4EB2">
        <w:rPr>
          <w:rFonts w:cstheme="minorHAnsi"/>
          <w:i/>
          <w:iCs/>
          <w:color w:val="333333"/>
          <w:sz w:val="16"/>
          <w:szCs w:val="16"/>
          <w:bdr w:val="none" w:sz="0" w:space="0" w:color="auto" w:frame="1"/>
          <w:shd w:val="clear" w:color="auto" w:fill="FFFFFF"/>
        </w:rPr>
        <w:t>Encyclopedia of Islam and the Muslim World</w:t>
      </w:r>
      <w:r w:rsidRPr="004C4EB2">
        <w:rPr>
          <w:rFonts w:cstheme="minorHAnsi"/>
          <w:color w:val="333333"/>
          <w:sz w:val="16"/>
          <w:szCs w:val="16"/>
          <w:shd w:val="clear" w:color="auto" w:fill="FFFFFF"/>
        </w:rPr>
        <w:t>, edited by Richard C. Martin, 235-239. Vol. 1. New York, NY: Macmillan Reference USA, 2004. </w:t>
      </w:r>
      <w:r w:rsidRPr="004C4EB2">
        <w:rPr>
          <w:rFonts w:cstheme="minorHAnsi"/>
          <w:i/>
          <w:iCs/>
          <w:color w:val="333333"/>
          <w:sz w:val="16"/>
          <w:szCs w:val="16"/>
          <w:bdr w:val="none" w:sz="0" w:space="0" w:color="auto" w:frame="1"/>
          <w:shd w:val="clear" w:color="auto" w:fill="FFFFFF"/>
        </w:rPr>
        <w:t>Gale eBooks</w:t>
      </w:r>
      <w:r w:rsidRPr="004C4EB2">
        <w:rPr>
          <w:rFonts w:cstheme="minorHAnsi"/>
          <w:color w:val="333333"/>
          <w:sz w:val="16"/>
          <w:szCs w:val="16"/>
          <w:shd w:val="clear" w:color="auto" w:fill="FFFFFF"/>
        </w:rPr>
        <w:t xml:space="preserve"> (accessed April 8, 2020). </w:t>
      </w:r>
      <w:hyperlink r:id="rId4" w:history="1">
        <w:r w:rsidRPr="004C4EB2">
          <w:rPr>
            <w:rStyle w:val="Hyperlink"/>
            <w:rFonts w:cstheme="minorHAnsi"/>
            <w:sz w:val="16"/>
            <w:szCs w:val="16"/>
            <w:shd w:val="clear" w:color="auto" w:fill="FFFFFF"/>
          </w:rPr>
          <w:t>https://link.gale.com/apps/doc/CX3403500149/GVRL?u=walamp&amp;sid=GVRL&amp;xid=ef6f792c</w:t>
        </w:r>
      </w:hyperlink>
    </w:p>
  </w:footnote>
  <w:footnote w:id="5">
    <w:p w14:paraId="10A5C11E" w14:textId="77777777" w:rsidR="00FF25A5" w:rsidRPr="004C4EB2" w:rsidRDefault="00FF25A5" w:rsidP="00FF25A5">
      <w:pPr>
        <w:rPr>
          <w:sz w:val="16"/>
          <w:szCs w:val="16"/>
        </w:rPr>
      </w:pPr>
      <w:r w:rsidRPr="004C4EB2">
        <w:rPr>
          <w:rStyle w:val="FootnoteReference"/>
          <w:sz w:val="16"/>
          <w:szCs w:val="16"/>
        </w:rPr>
        <w:footnoteRef/>
      </w:r>
      <w:r w:rsidRPr="004C4EB2">
        <w:rPr>
          <w:sz w:val="16"/>
          <w:szCs w:val="16"/>
        </w:rPr>
        <w:t xml:space="preserve"> Gilham, Jamie. </w:t>
      </w:r>
      <w:r w:rsidRPr="004C4EB2">
        <w:rPr>
          <w:i/>
          <w:iCs/>
          <w:sz w:val="16"/>
          <w:szCs w:val="16"/>
        </w:rPr>
        <w:t>Victorian Muslim: Abdullah Quilliam and Islam in the West.</w:t>
      </w:r>
      <w:r w:rsidRPr="004C4EB2">
        <w:rPr>
          <w:sz w:val="16"/>
          <w:szCs w:val="16"/>
        </w:rPr>
        <w:t xml:space="preserve"> New York, NY: Oxford University Press, 2017.</w:t>
      </w:r>
    </w:p>
  </w:footnote>
  <w:footnote w:id="6">
    <w:p w14:paraId="41EE5046" w14:textId="77777777" w:rsidR="00FF25A5" w:rsidRPr="004C4EB2" w:rsidRDefault="00FF25A5" w:rsidP="00FF25A5">
      <w:pPr>
        <w:pStyle w:val="FootnoteText"/>
        <w:rPr>
          <w:sz w:val="16"/>
          <w:szCs w:val="16"/>
        </w:rPr>
      </w:pPr>
      <w:r w:rsidRPr="004C4EB2">
        <w:rPr>
          <w:rStyle w:val="FootnoteReference"/>
          <w:sz w:val="16"/>
          <w:szCs w:val="16"/>
        </w:rPr>
        <w:footnoteRef/>
      </w:r>
      <w:r w:rsidRPr="004C4EB2">
        <w:rPr>
          <w:sz w:val="16"/>
          <w:szCs w:val="16"/>
        </w:rPr>
        <w:t xml:space="preserve"> Pickthall, M. </w:t>
      </w:r>
      <w:r w:rsidRPr="004C4EB2">
        <w:rPr>
          <w:i/>
          <w:iCs/>
          <w:sz w:val="16"/>
          <w:szCs w:val="16"/>
        </w:rPr>
        <w:t xml:space="preserve">The Meaning of the Glorious Koran </w:t>
      </w:r>
      <w:r w:rsidRPr="004C4EB2">
        <w:rPr>
          <w:sz w:val="16"/>
          <w:szCs w:val="16"/>
        </w:rPr>
        <w:t>(Hyderabad-Deccan, India: Government Central Press, 1938)</w:t>
      </w:r>
    </w:p>
  </w:footnote>
  <w:footnote w:id="7">
    <w:p w14:paraId="6E8A65FE" w14:textId="77777777" w:rsidR="00FF25A5" w:rsidRPr="004C4EB2" w:rsidRDefault="00FF25A5" w:rsidP="00FF25A5">
      <w:pPr>
        <w:pStyle w:val="FootnoteText"/>
        <w:rPr>
          <w:sz w:val="16"/>
          <w:szCs w:val="16"/>
          <w:lang w:val="en-GB"/>
        </w:rPr>
      </w:pPr>
      <w:r w:rsidRPr="004C4EB2">
        <w:rPr>
          <w:rStyle w:val="FootnoteReference"/>
          <w:sz w:val="16"/>
          <w:szCs w:val="16"/>
        </w:rPr>
        <w:footnoteRef/>
      </w:r>
      <w:r w:rsidRPr="004C4EB2">
        <w:rPr>
          <w:sz w:val="16"/>
          <w:szCs w:val="16"/>
        </w:rPr>
        <w:t xml:space="preserve"> Kidwai, A.R. "Muhammad Marmaduke Pickthall’s English Translation of the Quran (1930): An Assessment." In </w:t>
      </w:r>
      <w:r w:rsidRPr="004C4EB2">
        <w:rPr>
          <w:i/>
          <w:iCs/>
          <w:sz w:val="16"/>
          <w:szCs w:val="16"/>
        </w:rPr>
        <w:t>Marmaduke Pickthall: Islam and the Modern World</w:t>
      </w:r>
      <w:r w:rsidRPr="004C4EB2">
        <w:rPr>
          <w:sz w:val="16"/>
          <w:szCs w:val="16"/>
        </w:rPr>
        <w:t>, edited by Nash Geoffrey P., 231-48. LEIDEN; BOSTON: Brill, 2017. Accessed May 31, 2020. www.jstor.org/stable/10.1163/j.ctt1w76wrn.16.</w:t>
      </w:r>
    </w:p>
  </w:footnote>
  <w:footnote w:id="8">
    <w:p w14:paraId="4E77B5F0" w14:textId="77777777" w:rsidR="00FF25A5" w:rsidRPr="00B0574D" w:rsidRDefault="00FF25A5" w:rsidP="00FF25A5">
      <w:pPr>
        <w:pStyle w:val="FootnoteText"/>
        <w:rPr>
          <w:sz w:val="16"/>
          <w:szCs w:val="16"/>
          <w:lang w:val="en-GB"/>
        </w:rPr>
      </w:pPr>
      <w:r w:rsidRPr="004C4EB2">
        <w:rPr>
          <w:rStyle w:val="FootnoteReference"/>
          <w:sz w:val="16"/>
          <w:szCs w:val="16"/>
        </w:rPr>
        <w:footnoteRef/>
      </w:r>
      <w:r w:rsidRPr="004C4EB2">
        <w:rPr>
          <w:sz w:val="16"/>
          <w:szCs w:val="16"/>
        </w:rPr>
        <w:t xml:space="preserve"> </w:t>
      </w:r>
      <w:r w:rsidRPr="003E6E6F">
        <w:rPr>
          <w:sz w:val="16"/>
          <w:szCs w:val="16"/>
        </w:rPr>
        <w:t xml:space="preserve">Bunt, Gary. “Muslims in </w:t>
      </w:r>
      <w:r>
        <w:rPr>
          <w:sz w:val="16"/>
          <w:szCs w:val="16"/>
        </w:rPr>
        <w:t>Britain”</w:t>
      </w:r>
      <w:r w:rsidRPr="004C4EB2">
        <w:rPr>
          <w:sz w:val="16"/>
          <w:szCs w:val="16"/>
        </w:rPr>
        <w:t xml:space="preserve"> </w:t>
      </w:r>
      <w:r w:rsidRPr="004C4EB2">
        <w:rPr>
          <w:i/>
          <w:iCs/>
          <w:sz w:val="16"/>
          <w:szCs w:val="16"/>
        </w:rPr>
        <w:t xml:space="preserve">Islam Today Module, </w:t>
      </w:r>
      <w:r w:rsidRPr="003E6E6F">
        <w:rPr>
          <w:sz w:val="16"/>
          <w:szCs w:val="16"/>
        </w:rPr>
        <w:t xml:space="preserve">UWTSD Moodle 2019/20. Accessed May 29, 2020. </w:t>
      </w:r>
      <w:hyperlink r:id="rId5" w:history="1">
        <w:r w:rsidRPr="003E6E6F">
          <w:rPr>
            <w:rStyle w:val="Hyperlink"/>
            <w:sz w:val="16"/>
            <w:szCs w:val="16"/>
          </w:rPr>
          <w:t>https://moodle.uwtsd.ac.uk/course/view.php?id=3100</w:t>
        </w:r>
      </w:hyperlink>
    </w:p>
  </w:footnote>
  <w:footnote w:id="9">
    <w:p w14:paraId="618B8AFB" w14:textId="77777777" w:rsidR="00FF25A5" w:rsidRPr="00D67776" w:rsidRDefault="00FF25A5" w:rsidP="00FF25A5">
      <w:pPr>
        <w:pStyle w:val="citationpreview"/>
        <w:shd w:val="clear" w:color="auto" w:fill="FFFFFF"/>
        <w:spacing w:before="225" w:beforeAutospacing="0" w:after="225" w:afterAutospacing="0"/>
      </w:pPr>
      <w:r w:rsidRPr="005F4E4B">
        <w:rPr>
          <w:rStyle w:val="FootnoteReference"/>
          <w:rFonts w:asciiTheme="minorHAnsi" w:hAnsiTheme="minorHAnsi" w:cstheme="minorHAnsi"/>
          <w:sz w:val="16"/>
          <w:szCs w:val="16"/>
        </w:rPr>
        <w:footnoteRef/>
      </w:r>
      <w:r>
        <w:t xml:space="preserve"> </w:t>
      </w:r>
      <w:r w:rsidRPr="00D67776">
        <w:rPr>
          <w:rFonts w:asciiTheme="minorHAnsi" w:hAnsiTheme="minorHAnsi" w:cstheme="minorHAnsi"/>
          <w:color w:val="000000"/>
          <w:sz w:val="16"/>
          <w:szCs w:val="16"/>
        </w:rPr>
        <w:t>Scourfield, Jonathan, Sophie Gilliat-Ray, Asma Khan, and Sameh Otri. "Children in Formal Religious Education." In </w:t>
      </w:r>
      <w:r w:rsidRPr="00D67776">
        <w:rPr>
          <w:rFonts w:asciiTheme="minorHAnsi" w:hAnsiTheme="minorHAnsi" w:cstheme="minorHAnsi"/>
          <w:i/>
          <w:iCs/>
          <w:color w:val="000000"/>
          <w:sz w:val="16"/>
          <w:szCs w:val="16"/>
        </w:rPr>
        <w:t>Muslim Childhood: Religious Nurture in a European Context</w:t>
      </w:r>
      <w:r w:rsidRPr="00D67776">
        <w:rPr>
          <w:rFonts w:asciiTheme="minorHAnsi" w:hAnsiTheme="minorHAnsi" w:cstheme="minorHAnsi"/>
          <w:color w:val="000000"/>
          <w:sz w:val="16"/>
          <w:szCs w:val="16"/>
        </w:rPr>
        <w:t>. Oxford: Oxford University Press, 2013. Oxford Scholarship Online, 2014. doi: 10.1093/acprof:oso/9780199600311.003.0005.</w:t>
      </w:r>
    </w:p>
  </w:footnote>
  <w:footnote w:id="10">
    <w:p w14:paraId="415FB45F" w14:textId="77777777" w:rsidR="00FF25A5" w:rsidRPr="00785FB4" w:rsidRDefault="00FF25A5" w:rsidP="00FF25A5">
      <w:pPr>
        <w:rPr>
          <w:rFonts w:cstheme="minorHAnsi"/>
          <w:color w:val="333333"/>
          <w:sz w:val="16"/>
          <w:szCs w:val="16"/>
          <w:shd w:val="clear" w:color="auto" w:fill="FFFFFF"/>
        </w:rPr>
      </w:pPr>
      <w:r w:rsidRPr="00785FB4">
        <w:rPr>
          <w:rStyle w:val="FootnoteReference"/>
          <w:rFonts w:cstheme="minorHAnsi"/>
          <w:sz w:val="16"/>
          <w:szCs w:val="16"/>
        </w:rPr>
        <w:footnoteRef/>
      </w:r>
      <w:r w:rsidRPr="00785FB4">
        <w:rPr>
          <w:rFonts w:cstheme="minorHAnsi"/>
          <w:sz w:val="16"/>
          <w:szCs w:val="16"/>
        </w:rPr>
        <w:t xml:space="preserve"> </w:t>
      </w:r>
      <w:r w:rsidRPr="00785FB4">
        <w:rPr>
          <w:rFonts w:cstheme="minorHAnsi"/>
          <w:color w:val="333333"/>
          <w:sz w:val="16"/>
          <w:szCs w:val="16"/>
          <w:shd w:val="clear" w:color="auto" w:fill="FFFFFF"/>
        </w:rPr>
        <w:t>Ajala, Imène. "British Muslims and Foreign Policy." In </w:t>
      </w:r>
      <w:r w:rsidRPr="00785FB4">
        <w:rPr>
          <w:rFonts w:cstheme="minorHAnsi"/>
          <w:i/>
          <w:iCs/>
          <w:color w:val="333333"/>
          <w:sz w:val="16"/>
          <w:szCs w:val="16"/>
          <w:shd w:val="clear" w:color="auto" w:fill="FFFFFF"/>
        </w:rPr>
        <w:t>European Muslims and Their Foreign Policy Interests: Identities and Loyalties</w:t>
      </w:r>
      <w:r w:rsidRPr="00785FB4">
        <w:rPr>
          <w:rFonts w:cstheme="minorHAnsi"/>
          <w:color w:val="333333"/>
          <w:sz w:val="16"/>
          <w:szCs w:val="16"/>
          <w:shd w:val="clear" w:color="auto" w:fill="FFFFFF"/>
        </w:rPr>
        <w:t xml:space="preserve">, 57-78. Berlin, Germany: Gerlach Press, 2018. Accessed May 30, 2020. </w:t>
      </w:r>
      <w:hyperlink r:id="rId6" w:history="1">
        <w:r w:rsidRPr="00785FB4">
          <w:rPr>
            <w:rStyle w:val="Hyperlink"/>
            <w:rFonts w:cstheme="minorHAnsi"/>
            <w:sz w:val="16"/>
            <w:szCs w:val="16"/>
            <w:shd w:val="clear" w:color="auto" w:fill="FFFFFF"/>
          </w:rPr>
          <w:t>www.jstor.org/stable/j.ctv4ncp1t.8</w:t>
        </w:r>
      </w:hyperlink>
      <w:r w:rsidRPr="00785FB4">
        <w:rPr>
          <w:rFonts w:cstheme="minorHAnsi"/>
          <w:color w:val="333333"/>
          <w:sz w:val="16"/>
          <w:szCs w:val="16"/>
          <w:shd w:val="clear" w:color="auto" w:fill="FFFFFF"/>
        </w:rPr>
        <w:t>.</w:t>
      </w:r>
    </w:p>
  </w:footnote>
  <w:footnote w:id="11">
    <w:p w14:paraId="0F977DA7" w14:textId="77777777" w:rsidR="00FF25A5" w:rsidRPr="00785FB4" w:rsidRDefault="00FF25A5" w:rsidP="00FF25A5">
      <w:pPr>
        <w:pStyle w:val="FootnoteText"/>
        <w:rPr>
          <w:rFonts w:cstheme="minorHAnsi"/>
          <w:sz w:val="16"/>
          <w:szCs w:val="16"/>
          <w:lang w:val="en-GB"/>
        </w:rPr>
      </w:pPr>
      <w:r w:rsidRPr="00785FB4">
        <w:rPr>
          <w:rStyle w:val="FootnoteReference"/>
          <w:rFonts w:cstheme="minorHAnsi"/>
          <w:sz w:val="16"/>
          <w:szCs w:val="16"/>
        </w:rPr>
        <w:footnoteRef/>
      </w:r>
      <w:r w:rsidRPr="00785FB4">
        <w:rPr>
          <w:rFonts w:cstheme="minorHAnsi"/>
          <w:sz w:val="16"/>
          <w:szCs w:val="16"/>
        </w:rPr>
        <w:t xml:space="preserve"> </w:t>
      </w:r>
    </w:p>
  </w:footnote>
  <w:footnote w:id="12">
    <w:p w14:paraId="41BC1AAD" w14:textId="77777777" w:rsidR="00FF25A5" w:rsidRPr="00785FB4" w:rsidRDefault="00FF25A5" w:rsidP="00FF25A5">
      <w:pPr>
        <w:pStyle w:val="NormalWeb"/>
        <w:rPr>
          <w:rFonts w:asciiTheme="minorHAnsi" w:hAnsiTheme="minorHAnsi" w:cstheme="minorHAnsi"/>
          <w:sz w:val="16"/>
          <w:szCs w:val="16"/>
        </w:rPr>
      </w:pPr>
      <w:r w:rsidRPr="00785FB4">
        <w:rPr>
          <w:rStyle w:val="FootnoteReference"/>
          <w:rFonts w:asciiTheme="minorHAnsi" w:hAnsiTheme="minorHAnsi" w:cstheme="minorHAnsi"/>
          <w:sz w:val="16"/>
          <w:szCs w:val="16"/>
        </w:rPr>
        <w:footnoteRef/>
      </w:r>
      <w:r w:rsidRPr="00785FB4">
        <w:rPr>
          <w:rFonts w:asciiTheme="minorHAnsi" w:hAnsiTheme="minorHAnsi" w:cstheme="minorHAnsi"/>
          <w:sz w:val="16"/>
          <w:szCs w:val="16"/>
        </w:rPr>
        <w:t xml:space="preserve"> Hussain, Musharraf. “British Muslim Voters Can Swing the 2019 UK General Election.” Time. Time, November 18, 2019. </w:t>
      </w:r>
      <w:hyperlink r:id="rId7" w:history="1">
        <w:r w:rsidRPr="00785FB4">
          <w:rPr>
            <w:rStyle w:val="Hyperlink"/>
            <w:rFonts w:asciiTheme="minorHAnsi" w:hAnsiTheme="minorHAnsi" w:cstheme="minorHAnsi"/>
            <w:sz w:val="16"/>
            <w:szCs w:val="16"/>
          </w:rPr>
          <w:t>https://time.com/5731406/british-election-muslim-vote/</w:t>
        </w:r>
      </w:hyperlink>
      <w:r w:rsidRPr="00785FB4">
        <w:rPr>
          <w:rFonts w:asciiTheme="minorHAnsi" w:hAnsiTheme="minorHAnsi" w:cstheme="minorHAnsi"/>
          <w:sz w:val="16"/>
          <w:szCs w:val="16"/>
        </w:rPr>
        <w:t>.</w:t>
      </w:r>
    </w:p>
    <w:p w14:paraId="685842BA" w14:textId="77777777" w:rsidR="00FF25A5" w:rsidRPr="00140184" w:rsidRDefault="00FF25A5" w:rsidP="00FF25A5">
      <w:pPr>
        <w:pStyle w:val="FootnoteText"/>
      </w:pPr>
    </w:p>
  </w:footnote>
  <w:footnote w:id="13">
    <w:p w14:paraId="1D04B848" w14:textId="77777777" w:rsidR="00FF25A5" w:rsidRPr="00785FB4" w:rsidRDefault="00FF25A5" w:rsidP="00FF25A5">
      <w:pPr>
        <w:spacing w:line="240" w:lineRule="auto"/>
        <w:rPr>
          <w:rFonts w:cstheme="minorHAnsi"/>
          <w:color w:val="333333"/>
          <w:sz w:val="16"/>
          <w:szCs w:val="16"/>
          <w:shd w:val="clear" w:color="auto" w:fill="FFFFFF"/>
        </w:rPr>
      </w:pPr>
      <w:r w:rsidRPr="00785FB4">
        <w:rPr>
          <w:rStyle w:val="FootnoteReference"/>
          <w:rFonts w:cstheme="minorHAnsi"/>
          <w:sz w:val="16"/>
          <w:szCs w:val="16"/>
        </w:rPr>
        <w:footnoteRef/>
      </w:r>
      <w:r w:rsidRPr="00785FB4">
        <w:rPr>
          <w:rFonts w:cstheme="minorHAnsi"/>
          <w:sz w:val="16"/>
          <w:szCs w:val="16"/>
        </w:rPr>
        <w:t xml:space="preserve"> </w:t>
      </w:r>
      <w:r w:rsidRPr="00785FB4">
        <w:rPr>
          <w:rFonts w:cstheme="minorHAnsi"/>
          <w:color w:val="333333"/>
          <w:sz w:val="16"/>
          <w:szCs w:val="16"/>
          <w:shd w:val="clear" w:color="auto" w:fill="FFFFFF"/>
        </w:rPr>
        <w:t>Nielsen, Jørgen S., and Jonas Otterbeck. "European Muslims in a New Europe?" In </w:t>
      </w:r>
      <w:r w:rsidRPr="00785FB4">
        <w:rPr>
          <w:rFonts w:cstheme="minorHAnsi"/>
          <w:i/>
          <w:iCs/>
          <w:color w:val="333333"/>
          <w:sz w:val="16"/>
          <w:szCs w:val="16"/>
          <w:shd w:val="clear" w:color="auto" w:fill="FFFFFF"/>
        </w:rPr>
        <w:t>Muslims in Western Europe</w:t>
      </w:r>
      <w:r w:rsidRPr="00785FB4">
        <w:rPr>
          <w:rFonts w:cstheme="minorHAnsi"/>
          <w:color w:val="333333"/>
          <w:sz w:val="16"/>
          <w:szCs w:val="16"/>
          <w:shd w:val="clear" w:color="auto" w:fill="FFFFFF"/>
        </w:rPr>
        <w:t xml:space="preserve">, 169-93. Edinburgh: Edinburgh University Press, 2016. Accessed May 30, 2020. </w:t>
      </w:r>
      <w:hyperlink r:id="rId8" w:history="1">
        <w:r w:rsidRPr="00785FB4">
          <w:rPr>
            <w:rStyle w:val="Hyperlink"/>
            <w:rFonts w:cstheme="minorHAnsi"/>
            <w:sz w:val="16"/>
            <w:szCs w:val="16"/>
            <w:shd w:val="clear" w:color="auto" w:fill="FFFFFF"/>
          </w:rPr>
          <w:t>www.jstor.org/stable/10.3366/j.ctt1bgzc17.13</w:t>
        </w:r>
      </w:hyperlink>
      <w:r w:rsidRPr="00785FB4">
        <w:rPr>
          <w:rFonts w:cstheme="minorHAnsi"/>
          <w:color w:val="333333"/>
          <w:sz w:val="16"/>
          <w:szCs w:val="16"/>
          <w:shd w:val="clear" w:color="auto" w:fill="FFFFFF"/>
        </w:rPr>
        <w:t>.</w:t>
      </w:r>
    </w:p>
  </w:footnote>
  <w:footnote w:id="14">
    <w:p w14:paraId="591E6C69" w14:textId="77777777" w:rsidR="00FF25A5" w:rsidRPr="00785FB4" w:rsidRDefault="00FF25A5" w:rsidP="00FF25A5">
      <w:pPr>
        <w:spacing w:after="0" w:line="240" w:lineRule="auto"/>
        <w:textAlignment w:val="baseline"/>
        <w:rPr>
          <w:rFonts w:cstheme="minorHAnsi"/>
          <w:color w:val="333333"/>
          <w:sz w:val="16"/>
          <w:szCs w:val="16"/>
          <w:shd w:val="clear" w:color="auto" w:fill="FFFFFF"/>
        </w:rPr>
      </w:pPr>
      <w:r w:rsidRPr="00785FB4">
        <w:rPr>
          <w:rStyle w:val="FootnoteReference"/>
          <w:rFonts w:cstheme="minorHAnsi"/>
          <w:sz w:val="16"/>
          <w:szCs w:val="16"/>
        </w:rPr>
        <w:footnoteRef/>
      </w:r>
      <w:r w:rsidRPr="00785FB4">
        <w:rPr>
          <w:rFonts w:cstheme="minorHAnsi"/>
          <w:sz w:val="16"/>
          <w:szCs w:val="16"/>
        </w:rPr>
        <w:t xml:space="preserve"> </w:t>
      </w:r>
      <w:r w:rsidRPr="00785FB4">
        <w:rPr>
          <w:rFonts w:cstheme="minorHAnsi"/>
          <w:color w:val="333333"/>
          <w:sz w:val="16"/>
          <w:szCs w:val="16"/>
          <w:shd w:val="clear" w:color="auto" w:fill="FFFFFF"/>
        </w:rPr>
        <w:t xml:space="preserve">Bunt, Gary. “Muslims in Europe.”  </w:t>
      </w:r>
      <w:r w:rsidRPr="00785FB4">
        <w:rPr>
          <w:rFonts w:cstheme="minorHAnsi"/>
          <w:i/>
          <w:iCs/>
          <w:color w:val="333333"/>
          <w:sz w:val="16"/>
          <w:szCs w:val="16"/>
          <w:shd w:val="clear" w:color="auto" w:fill="FFFFFF"/>
        </w:rPr>
        <w:t xml:space="preserve">Islam Today Module, </w:t>
      </w:r>
      <w:r w:rsidRPr="00785FB4">
        <w:rPr>
          <w:rFonts w:cstheme="minorHAnsi"/>
          <w:color w:val="333333"/>
          <w:sz w:val="16"/>
          <w:szCs w:val="16"/>
          <w:shd w:val="clear" w:color="auto" w:fill="FFFFFF"/>
        </w:rPr>
        <w:t>UWTSD Moodle 2019/20. Accessed May 29, 2020.</w:t>
      </w:r>
      <w:r>
        <w:rPr>
          <w:rFonts w:cstheme="minorHAnsi"/>
          <w:color w:val="333333"/>
          <w:sz w:val="16"/>
          <w:szCs w:val="16"/>
          <w:shd w:val="clear" w:color="auto" w:fill="FFFFFF"/>
        </w:rPr>
        <w:t xml:space="preserve"> </w:t>
      </w:r>
      <w:hyperlink r:id="rId9" w:history="1">
        <w:r w:rsidRPr="00F70C82">
          <w:rPr>
            <w:rStyle w:val="Hyperlink"/>
            <w:rFonts w:cstheme="minorHAnsi"/>
            <w:sz w:val="16"/>
            <w:szCs w:val="16"/>
            <w:shd w:val="clear" w:color="auto" w:fill="FFFFFF"/>
          </w:rPr>
          <w:t>https://moodle.uwtsd.ac.uk/course/view.php?id=3100</w:t>
        </w:r>
      </w:hyperlink>
      <w:r w:rsidRPr="00785FB4">
        <w:rPr>
          <w:rFonts w:cstheme="minorHAnsi"/>
          <w:color w:val="333333"/>
          <w:sz w:val="16"/>
          <w:szCs w:val="16"/>
          <w:shd w:val="clear" w:color="auto" w:fill="FFFFFF"/>
        </w:rPr>
        <w:t>.</w:t>
      </w:r>
    </w:p>
    <w:p w14:paraId="7F31D234" w14:textId="77777777" w:rsidR="00FF25A5" w:rsidRPr="00785FB4" w:rsidRDefault="00FF25A5" w:rsidP="00FF25A5">
      <w:pPr>
        <w:pStyle w:val="FootnoteText"/>
        <w:rPr>
          <w:rFonts w:cstheme="minorHAnsi"/>
          <w:sz w:val="16"/>
          <w:szCs w:val="16"/>
        </w:rPr>
      </w:pPr>
      <w:r w:rsidRPr="00785FB4">
        <w:rPr>
          <w:rFonts w:cstheme="minorHAnsi"/>
          <w:sz w:val="16"/>
          <w:szCs w:val="16"/>
        </w:rPr>
        <w:t>Others who have sought asylum in Britain are Afghans, Bangladeshis, Kurds, Kashmiris Pakistanis and West Africans.</w:t>
      </w:r>
    </w:p>
  </w:footnote>
  <w:footnote w:id="15">
    <w:p w14:paraId="355A21D5" w14:textId="77777777" w:rsidR="00FF25A5" w:rsidRPr="00785FB4" w:rsidRDefault="00FF25A5" w:rsidP="00FF25A5">
      <w:pPr>
        <w:spacing w:after="0" w:line="240" w:lineRule="auto"/>
        <w:textAlignment w:val="baseline"/>
        <w:rPr>
          <w:rFonts w:cstheme="minorHAnsi"/>
          <w:color w:val="333333"/>
          <w:sz w:val="16"/>
          <w:szCs w:val="16"/>
          <w:shd w:val="clear" w:color="auto" w:fill="FFFFFF"/>
        </w:rPr>
      </w:pPr>
      <w:r w:rsidRPr="00785FB4">
        <w:rPr>
          <w:rStyle w:val="FootnoteReference"/>
          <w:rFonts w:cstheme="minorHAnsi"/>
          <w:sz w:val="16"/>
          <w:szCs w:val="16"/>
        </w:rPr>
        <w:footnoteRef/>
      </w:r>
      <w:r w:rsidRPr="00785FB4">
        <w:rPr>
          <w:rFonts w:cstheme="minorHAnsi"/>
          <w:sz w:val="16"/>
          <w:szCs w:val="16"/>
        </w:rPr>
        <w:t xml:space="preserve"> </w:t>
      </w:r>
      <w:r w:rsidRPr="00785FB4">
        <w:rPr>
          <w:rFonts w:cstheme="minorHAnsi"/>
          <w:color w:val="333333"/>
          <w:sz w:val="16"/>
          <w:szCs w:val="16"/>
          <w:shd w:val="clear" w:color="auto" w:fill="FFFFFF"/>
        </w:rPr>
        <w:t xml:space="preserve">Bunt, Gary. “Muslims in Europe.”  </w:t>
      </w:r>
      <w:r w:rsidRPr="00785FB4">
        <w:rPr>
          <w:rFonts w:cstheme="minorHAnsi"/>
          <w:i/>
          <w:iCs/>
          <w:color w:val="333333"/>
          <w:sz w:val="16"/>
          <w:szCs w:val="16"/>
          <w:shd w:val="clear" w:color="auto" w:fill="FFFFFF"/>
        </w:rPr>
        <w:t xml:space="preserve">Islam Today Module, </w:t>
      </w:r>
      <w:r w:rsidRPr="00785FB4">
        <w:rPr>
          <w:rFonts w:cstheme="minorHAnsi"/>
          <w:color w:val="333333"/>
          <w:sz w:val="16"/>
          <w:szCs w:val="16"/>
          <w:shd w:val="clear" w:color="auto" w:fill="FFFFFF"/>
        </w:rPr>
        <w:t>UWTSD Moodle 2019/20. Accessed May 29, 2020.</w:t>
      </w:r>
    </w:p>
    <w:p w14:paraId="5DD0B57B" w14:textId="77777777" w:rsidR="00FF25A5" w:rsidRPr="00785FB4" w:rsidRDefault="00FF25A5" w:rsidP="00FF25A5">
      <w:pPr>
        <w:spacing w:after="0" w:line="240" w:lineRule="auto"/>
        <w:textAlignment w:val="baseline"/>
        <w:rPr>
          <w:rFonts w:cstheme="minorHAnsi"/>
          <w:color w:val="333333"/>
          <w:sz w:val="16"/>
          <w:szCs w:val="16"/>
          <w:shd w:val="clear" w:color="auto" w:fill="FFFFFF"/>
        </w:rPr>
      </w:pPr>
      <w:hyperlink r:id="rId10" w:history="1">
        <w:r w:rsidRPr="00785FB4">
          <w:rPr>
            <w:rStyle w:val="Hyperlink"/>
            <w:rFonts w:cstheme="minorHAnsi"/>
            <w:sz w:val="16"/>
            <w:szCs w:val="16"/>
            <w:shd w:val="clear" w:color="auto" w:fill="FFFFFF"/>
          </w:rPr>
          <w:t>https://moodle.uwtsd.ac.uk/course/view.php?id=3100</w:t>
        </w:r>
      </w:hyperlink>
      <w:r w:rsidRPr="00785FB4">
        <w:rPr>
          <w:rFonts w:cstheme="minorHAnsi"/>
          <w:color w:val="333333"/>
          <w:sz w:val="16"/>
          <w:szCs w:val="16"/>
          <w:shd w:val="clear" w:color="auto" w:fill="FFFFFF"/>
        </w:rPr>
        <w:t>.</w:t>
      </w:r>
    </w:p>
    <w:p w14:paraId="2ACF0601" w14:textId="77777777" w:rsidR="00FF25A5" w:rsidRPr="00785FB4" w:rsidRDefault="00FF25A5" w:rsidP="00FF25A5">
      <w:pPr>
        <w:pStyle w:val="FootnoteText"/>
        <w:rPr>
          <w:rFonts w:cstheme="minorHAnsi"/>
          <w:sz w:val="16"/>
          <w:szCs w:val="16"/>
        </w:rPr>
      </w:pPr>
    </w:p>
  </w:footnote>
  <w:footnote w:id="16">
    <w:p w14:paraId="6326116E" w14:textId="77777777" w:rsidR="00FF25A5" w:rsidRPr="00540287" w:rsidRDefault="00FF25A5" w:rsidP="00FF25A5">
      <w:pPr>
        <w:rPr>
          <w:rFonts w:cstheme="minorHAnsi"/>
          <w:color w:val="333333"/>
          <w:sz w:val="16"/>
          <w:szCs w:val="16"/>
          <w:shd w:val="clear" w:color="auto" w:fill="FFFFFF"/>
        </w:rPr>
      </w:pPr>
      <w:r w:rsidRPr="00540287">
        <w:rPr>
          <w:rStyle w:val="FootnoteReference"/>
          <w:rFonts w:cstheme="minorHAnsi"/>
          <w:sz w:val="16"/>
          <w:szCs w:val="16"/>
        </w:rPr>
        <w:footnoteRef/>
      </w:r>
      <w:r w:rsidRPr="00540287">
        <w:rPr>
          <w:rFonts w:cstheme="minorHAnsi"/>
          <w:sz w:val="16"/>
          <w:szCs w:val="16"/>
        </w:rPr>
        <w:t xml:space="preserve"> </w:t>
      </w:r>
      <w:r w:rsidRPr="00540287">
        <w:rPr>
          <w:rFonts w:cstheme="minorHAnsi"/>
          <w:color w:val="333333"/>
          <w:sz w:val="16"/>
          <w:szCs w:val="16"/>
          <w:shd w:val="clear" w:color="auto" w:fill="FFFFFF"/>
        </w:rPr>
        <w:t>Nielsen, Jørgen S., and Jonas Otterbeck. "European Muslims in a New Europe?" In </w:t>
      </w:r>
      <w:r w:rsidRPr="00540287">
        <w:rPr>
          <w:rFonts w:cstheme="minorHAnsi"/>
          <w:i/>
          <w:iCs/>
          <w:color w:val="333333"/>
          <w:sz w:val="16"/>
          <w:szCs w:val="16"/>
          <w:shd w:val="clear" w:color="auto" w:fill="FFFFFF"/>
        </w:rPr>
        <w:t>Muslims in Western Europe</w:t>
      </w:r>
      <w:r w:rsidRPr="00540287">
        <w:rPr>
          <w:rFonts w:cstheme="minorHAnsi"/>
          <w:color w:val="333333"/>
          <w:sz w:val="16"/>
          <w:szCs w:val="16"/>
          <w:shd w:val="clear" w:color="auto" w:fill="FFFFFF"/>
        </w:rPr>
        <w:t xml:space="preserve">, 169-93. Edinburgh: Edinburgh University Press, 2016. Accessed May 30, 2020. </w:t>
      </w:r>
      <w:hyperlink r:id="rId11" w:history="1">
        <w:r w:rsidRPr="00540287">
          <w:rPr>
            <w:rStyle w:val="Hyperlink"/>
            <w:rFonts w:cstheme="minorHAnsi"/>
            <w:sz w:val="16"/>
            <w:szCs w:val="16"/>
            <w:shd w:val="clear" w:color="auto" w:fill="FFFFFF"/>
          </w:rPr>
          <w:t>www.jstor.org/stable/10.3366/j.ctt1bgzc17.13</w:t>
        </w:r>
      </w:hyperlink>
      <w:r w:rsidRPr="00540287">
        <w:rPr>
          <w:rFonts w:cstheme="minorHAnsi"/>
          <w:color w:val="333333"/>
          <w:sz w:val="16"/>
          <w:szCs w:val="16"/>
          <w:shd w:val="clear" w:color="auto" w:fill="FFFFFF"/>
        </w:rPr>
        <w:t>.</w:t>
      </w:r>
    </w:p>
  </w:footnote>
  <w:footnote w:id="17">
    <w:p w14:paraId="46778439" w14:textId="77777777" w:rsidR="00FF25A5" w:rsidRPr="00540287" w:rsidRDefault="00FF25A5" w:rsidP="00FF25A5">
      <w:pPr>
        <w:pStyle w:val="FootnoteText"/>
        <w:rPr>
          <w:rFonts w:cstheme="minorHAnsi"/>
          <w:sz w:val="16"/>
          <w:szCs w:val="16"/>
          <w:lang w:val="en-GB"/>
        </w:rPr>
      </w:pPr>
      <w:r w:rsidRPr="00540287">
        <w:rPr>
          <w:rStyle w:val="FootnoteReference"/>
          <w:rFonts w:cstheme="minorHAnsi"/>
          <w:sz w:val="16"/>
          <w:szCs w:val="16"/>
        </w:rPr>
        <w:footnoteRef/>
      </w:r>
      <w:r w:rsidRPr="00540287">
        <w:rPr>
          <w:rFonts w:cstheme="minorHAnsi"/>
          <w:sz w:val="16"/>
          <w:szCs w:val="16"/>
        </w:rPr>
        <w:t xml:space="preserve"> </w:t>
      </w:r>
      <w:r w:rsidRPr="00540287">
        <w:rPr>
          <w:rFonts w:cstheme="minorHAnsi"/>
          <w:color w:val="333333"/>
          <w:sz w:val="16"/>
          <w:szCs w:val="16"/>
          <w:shd w:val="clear" w:color="auto" w:fill="FFFFFF"/>
        </w:rPr>
        <w:t xml:space="preserve">Bunt, Gary. “Muslims in Europe.”  </w:t>
      </w:r>
      <w:r w:rsidRPr="00540287">
        <w:rPr>
          <w:rFonts w:cstheme="minorHAnsi"/>
          <w:i/>
          <w:iCs/>
          <w:color w:val="333333"/>
          <w:sz w:val="16"/>
          <w:szCs w:val="16"/>
          <w:shd w:val="clear" w:color="auto" w:fill="FFFFFF"/>
        </w:rPr>
        <w:t xml:space="preserve">Islam Today Module, </w:t>
      </w:r>
      <w:r w:rsidRPr="00540287">
        <w:rPr>
          <w:rFonts w:cstheme="minorHAnsi"/>
          <w:color w:val="333333"/>
          <w:sz w:val="16"/>
          <w:szCs w:val="16"/>
          <w:shd w:val="clear" w:color="auto" w:fill="FFFFFF"/>
        </w:rPr>
        <w:t xml:space="preserve">UWTSD Moodle 2019/20. Accessed May 29, 2020. </w:t>
      </w:r>
      <w:hyperlink r:id="rId12" w:history="1">
        <w:r w:rsidRPr="00540287">
          <w:rPr>
            <w:rStyle w:val="Hyperlink"/>
            <w:rFonts w:cstheme="minorHAnsi"/>
            <w:sz w:val="16"/>
            <w:szCs w:val="16"/>
            <w:shd w:val="clear" w:color="auto" w:fill="FFFFFF"/>
          </w:rPr>
          <w:t>https://moodle.uwtsd.ac.uk/course/view.php?id=3100</w:t>
        </w:r>
      </w:hyperlink>
    </w:p>
  </w:footnote>
  <w:footnote w:id="18">
    <w:p w14:paraId="721861AF" w14:textId="77777777" w:rsidR="00FF25A5" w:rsidRPr="00B34486" w:rsidRDefault="00FF25A5" w:rsidP="00FF25A5">
      <w:pPr>
        <w:pStyle w:val="NormalWeb"/>
        <w:rPr>
          <w:rFonts w:asciiTheme="minorHAnsi" w:hAnsiTheme="minorHAnsi" w:cstheme="minorHAnsi"/>
          <w:sz w:val="16"/>
          <w:szCs w:val="16"/>
        </w:rPr>
      </w:pPr>
      <w:r w:rsidRPr="0055648D">
        <w:rPr>
          <w:rStyle w:val="FootnoteReference"/>
          <w:rFonts w:asciiTheme="minorHAnsi" w:hAnsiTheme="minorHAnsi" w:cstheme="minorHAnsi"/>
          <w:sz w:val="16"/>
          <w:szCs w:val="16"/>
        </w:rPr>
        <w:footnoteRef/>
      </w:r>
      <w:r>
        <w:t xml:space="preserve"> </w:t>
      </w:r>
      <w:r w:rsidRPr="00B34486">
        <w:rPr>
          <w:rFonts w:asciiTheme="minorHAnsi" w:hAnsiTheme="minorHAnsi" w:cstheme="minorHAnsi"/>
          <w:sz w:val="16"/>
          <w:szCs w:val="16"/>
        </w:rPr>
        <w:t xml:space="preserve">Yurdakul, Gökçe, and Anna C Korteweg. “Gender Equality and Immigrant Integration: Honor Killing and Forced Marriage Debates in the Netherlands, Germany, and Britain.” </w:t>
      </w:r>
      <w:r w:rsidRPr="00B34486">
        <w:rPr>
          <w:rFonts w:asciiTheme="minorHAnsi" w:hAnsiTheme="minorHAnsi" w:cstheme="minorHAnsi"/>
          <w:i/>
          <w:iCs/>
          <w:sz w:val="16"/>
          <w:szCs w:val="16"/>
        </w:rPr>
        <w:t xml:space="preserve">Women’s Studies International Forum </w:t>
      </w:r>
      <w:r w:rsidRPr="00B34486">
        <w:rPr>
          <w:rFonts w:asciiTheme="minorHAnsi" w:hAnsiTheme="minorHAnsi" w:cstheme="minorHAnsi"/>
          <w:sz w:val="16"/>
          <w:szCs w:val="16"/>
        </w:rPr>
        <w:t xml:space="preserve">41, 2013. </w:t>
      </w:r>
      <w:hyperlink r:id="rId13" w:history="1">
        <w:r w:rsidRPr="00B34486">
          <w:rPr>
            <w:rStyle w:val="Hyperlink"/>
            <w:rFonts w:asciiTheme="minorHAnsi" w:hAnsiTheme="minorHAnsi" w:cstheme="minorHAnsi"/>
            <w:sz w:val="16"/>
            <w:szCs w:val="16"/>
          </w:rPr>
          <w:t>https://doi.org/10.1016/j.wsif.2013.07.011</w:t>
        </w:r>
      </w:hyperlink>
      <w:r w:rsidRPr="00B34486">
        <w:rPr>
          <w:rFonts w:asciiTheme="minorHAnsi" w:hAnsiTheme="minorHAnsi" w:cstheme="minorHAnsi"/>
          <w:sz w:val="16"/>
          <w:szCs w:val="16"/>
        </w:rPr>
        <w:t>.</w:t>
      </w:r>
    </w:p>
    <w:p w14:paraId="2C6874C1" w14:textId="77777777" w:rsidR="00FF25A5" w:rsidRPr="00B34486" w:rsidRDefault="00FF25A5" w:rsidP="00FF25A5">
      <w:pPr>
        <w:pStyle w:val="FootnoteText"/>
      </w:pPr>
    </w:p>
  </w:footnote>
  <w:footnote w:id="19">
    <w:p w14:paraId="3E53E575" w14:textId="77777777" w:rsidR="00FF25A5" w:rsidRPr="00540287" w:rsidRDefault="00FF25A5" w:rsidP="00FF25A5">
      <w:pPr>
        <w:rPr>
          <w:rFonts w:cstheme="minorHAnsi"/>
          <w:color w:val="333333"/>
          <w:sz w:val="16"/>
          <w:szCs w:val="16"/>
          <w:shd w:val="clear" w:color="auto" w:fill="FFFFFF"/>
        </w:rPr>
      </w:pPr>
      <w:r w:rsidRPr="00540287">
        <w:rPr>
          <w:rStyle w:val="FootnoteReference"/>
          <w:rFonts w:cstheme="minorHAnsi"/>
          <w:sz w:val="16"/>
          <w:szCs w:val="16"/>
        </w:rPr>
        <w:footnoteRef/>
      </w:r>
      <w:r w:rsidRPr="00540287">
        <w:rPr>
          <w:rFonts w:cstheme="minorHAnsi"/>
          <w:sz w:val="16"/>
          <w:szCs w:val="16"/>
        </w:rPr>
        <w:t xml:space="preserve"> </w:t>
      </w:r>
      <w:r w:rsidRPr="00540287">
        <w:rPr>
          <w:rFonts w:cstheme="minorHAnsi"/>
          <w:color w:val="333333"/>
          <w:sz w:val="16"/>
          <w:szCs w:val="16"/>
          <w:shd w:val="clear" w:color="auto" w:fill="FFFFFF"/>
        </w:rPr>
        <w:t>Nielsen, Jørgen S., and Jonas Otterbeck. "European Muslims in a New Europe?" In </w:t>
      </w:r>
      <w:r w:rsidRPr="00540287">
        <w:rPr>
          <w:rFonts w:cstheme="minorHAnsi"/>
          <w:i/>
          <w:iCs/>
          <w:color w:val="333333"/>
          <w:sz w:val="16"/>
          <w:szCs w:val="16"/>
          <w:shd w:val="clear" w:color="auto" w:fill="FFFFFF"/>
        </w:rPr>
        <w:t>Muslims in Western Europe</w:t>
      </w:r>
      <w:r w:rsidRPr="00540287">
        <w:rPr>
          <w:rFonts w:cstheme="minorHAnsi"/>
          <w:color w:val="333333"/>
          <w:sz w:val="16"/>
          <w:szCs w:val="16"/>
          <w:shd w:val="clear" w:color="auto" w:fill="FFFFFF"/>
        </w:rPr>
        <w:t xml:space="preserve">, 169-93. Edinburgh: Edinburgh University Press, 2016. Accessed May 30, 2020. </w:t>
      </w:r>
      <w:hyperlink r:id="rId14" w:history="1">
        <w:r w:rsidRPr="00540287">
          <w:rPr>
            <w:rStyle w:val="Hyperlink"/>
            <w:rFonts w:cstheme="minorHAnsi"/>
            <w:sz w:val="16"/>
            <w:szCs w:val="16"/>
            <w:shd w:val="clear" w:color="auto" w:fill="FFFFFF"/>
          </w:rPr>
          <w:t>www.jstor.org/stable/10.3366/j.ctt1bgzc17.13</w:t>
        </w:r>
      </w:hyperlink>
      <w:r w:rsidRPr="00540287">
        <w:rPr>
          <w:rFonts w:cstheme="minorHAnsi"/>
          <w:color w:val="333333"/>
          <w:sz w:val="16"/>
          <w:szCs w:val="16"/>
          <w:shd w:val="clear" w:color="auto" w:fill="FFFFFF"/>
        </w:rPr>
        <w:t>.</w:t>
      </w:r>
    </w:p>
    <w:p w14:paraId="33968F13" w14:textId="77777777" w:rsidR="00FF25A5" w:rsidRPr="00540287" w:rsidRDefault="00FF25A5" w:rsidP="00FF25A5">
      <w:pPr>
        <w:pStyle w:val="FootnoteText"/>
        <w:rPr>
          <w:rFonts w:cstheme="minorHAnsi"/>
          <w:sz w:val="16"/>
          <w:szCs w:val="16"/>
          <w:lang w:val="en-GB"/>
        </w:rPr>
      </w:pPr>
    </w:p>
  </w:footnote>
  <w:footnote w:id="20">
    <w:p w14:paraId="31FB9003" w14:textId="77777777" w:rsidR="00FF25A5" w:rsidRPr="007C27DF" w:rsidRDefault="00FF25A5" w:rsidP="00FF25A5">
      <w:pPr>
        <w:pStyle w:val="FootnoteText"/>
        <w:rPr>
          <w:b/>
          <w:bCs/>
          <w:lang w:val="en-GB"/>
        </w:rPr>
      </w:pPr>
      <w:r w:rsidRPr="00540287">
        <w:rPr>
          <w:rStyle w:val="FootnoteReference"/>
          <w:rFonts w:cstheme="minorHAnsi"/>
          <w:sz w:val="16"/>
          <w:szCs w:val="16"/>
        </w:rPr>
        <w:footnoteRef/>
      </w:r>
      <w:r w:rsidRPr="00540287">
        <w:rPr>
          <w:rFonts w:cstheme="minorHAnsi"/>
          <w:sz w:val="16"/>
          <w:szCs w:val="16"/>
        </w:rPr>
        <w:t xml:space="preserve"> </w:t>
      </w:r>
      <w:r w:rsidRPr="00540287">
        <w:rPr>
          <w:rFonts w:cstheme="minorHAnsi"/>
          <w:color w:val="333333"/>
          <w:sz w:val="16"/>
          <w:szCs w:val="16"/>
          <w:shd w:val="clear" w:color="auto" w:fill="FFFFFF"/>
        </w:rPr>
        <w:t>Nielsen, Jørgen S., and Jonas Otterbeck. "European Muslims in a New Europe?" In </w:t>
      </w:r>
      <w:r w:rsidRPr="00540287">
        <w:rPr>
          <w:rFonts w:cstheme="minorHAnsi"/>
          <w:i/>
          <w:iCs/>
          <w:color w:val="333333"/>
          <w:sz w:val="16"/>
          <w:szCs w:val="16"/>
          <w:shd w:val="clear" w:color="auto" w:fill="FFFFFF"/>
        </w:rPr>
        <w:t>Muslims in Western Europe</w:t>
      </w:r>
      <w:r w:rsidRPr="00540287">
        <w:rPr>
          <w:rFonts w:cstheme="minorHAnsi"/>
          <w:color w:val="333333"/>
          <w:sz w:val="16"/>
          <w:szCs w:val="16"/>
          <w:shd w:val="clear" w:color="auto" w:fill="FFFFFF"/>
        </w:rPr>
        <w:t xml:space="preserve">, 169-93. Edinburgh: Edinburgh University Press, 2016. Accessed May 30, 2020. </w:t>
      </w:r>
      <w:hyperlink r:id="rId15" w:history="1">
        <w:r w:rsidRPr="00540287">
          <w:rPr>
            <w:rStyle w:val="Hyperlink"/>
            <w:rFonts w:cstheme="minorHAnsi"/>
            <w:sz w:val="16"/>
            <w:szCs w:val="16"/>
            <w:shd w:val="clear" w:color="auto" w:fill="FFFFFF"/>
          </w:rPr>
          <w:t>www.jstor.org/stable/10.3366/j.ctt1bgzc17.13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F16665"/>
    <w:multiLevelType w:val="hybridMultilevel"/>
    <w:tmpl w:val="E1DA2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480E52"/>
    <w:multiLevelType w:val="multilevel"/>
    <w:tmpl w:val="4406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C75DB5"/>
    <w:multiLevelType w:val="hybridMultilevel"/>
    <w:tmpl w:val="54F47386"/>
    <w:lvl w:ilvl="0" w:tplc="6436E014">
      <w:start w:val="1"/>
      <w:numFmt w:val="bullet"/>
      <w:lvlText w:val=""/>
      <w:lvlJc w:val="left"/>
      <w:pPr>
        <w:tabs>
          <w:tab w:val="num" w:pos="360"/>
        </w:tabs>
        <w:ind w:left="360" w:hanging="360"/>
      </w:pPr>
      <w:rPr>
        <w:rFonts w:ascii="Symbol" w:hAnsi="Symbol" w:hint="default"/>
        <w:lang w:val="en-US"/>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856744A"/>
    <w:multiLevelType w:val="multilevel"/>
    <w:tmpl w:val="3D1A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DFC"/>
    <w:rsid w:val="000030C6"/>
    <w:rsid w:val="00003155"/>
    <w:rsid w:val="00004677"/>
    <w:rsid w:val="000110F8"/>
    <w:rsid w:val="0001595A"/>
    <w:rsid w:val="00017572"/>
    <w:rsid w:val="00033ECE"/>
    <w:rsid w:val="000429E2"/>
    <w:rsid w:val="00045222"/>
    <w:rsid w:val="00056D45"/>
    <w:rsid w:val="000951A6"/>
    <w:rsid w:val="0009699D"/>
    <w:rsid w:val="00097706"/>
    <w:rsid w:val="000B34DC"/>
    <w:rsid w:val="000B4ADF"/>
    <w:rsid w:val="000C5F42"/>
    <w:rsid w:val="000C6A6E"/>
    <w:rsid w:val="000D1755"/>
    <w:rsid w:val="000D3B91"/>
    <w:rsid w:val="000F5FA2"/>
    <w:rsid w:val="00101BDB"/>
    <w:rsid w:val="00106050"/>
    <w:rsid w:val="00116AE9"/>
    <w:rsid w:val="001220DB"/>
    <w:rsid w:val="00126F51"/>
    <w:rsid w:val="001276D1"/>
    <w:rsid w:val="00130073"/>
    <w:rsid w:val="00130FDA"/>
    <w:rsid w:val="0013352A"/>
    <w:rsid w:val="0013506D"/>
    <w:rsid w:val="00140184"/>
    <w:rsid w:val="00141144"/>
    <w:rsid w:val="00147FF7"/>
    <w:rsid w:val="00157296"/>
    <w:rsid w:val="00162BAF"/>
    <w:rsid w:val="0017598A"/>
    <w:rsid w:val="00181188"/>
    <w:rsid w:val="001878B0"/>
    <w:rsid w:val="001917A6"/>
    <w:rsid w:val="00196323"/>
    <w:rsid w:val="001B0F1F"/>
    <w:rsid w:val="001B2A8F"/>
    <w:rsid w:val="001C0A74"/>
    <w:rsid w:val="001D16C9"/>
    <w:rsid w:val="001D2B74"/>
    <w:rsid w:val="001D6DA0"/>
    <w:rsid w:val="001E077C"/>
    <w:rsid w:val="001E0B47"/>
    <w:rsid w:val="001E1261"/>
    <w:rsid w:val="001E2899"/>
    <w:rsid w:val="001E2E63"/>
    <w:rsid w:val="001F19D0"/>
    <w:rsid w:val="001F44C1"/>
    <w:rsid w:val="001F5F36"/>
    <w:rsid w:val="0021126A"/>
    <w:rsid w:val="002151A2"/>
    <w:rsid w:val="00224C0D"/>
    <w:rsid w:val="00231329"/>
    <w:rsid w:val="00235A62"/>
    <w:rsid w:val="002443EF"/>
    <w:rsid w:val="002471BA"/>
    <w:rsid w:val="002720BF"/>
    <w:rsid w:val="00273CE6"/>
    <w:rsid w:val="00284903"/>
    <w:rsid w:val="00284C52"/>
    <w:rsid w:val="002874FB"/>
    <w:rsid w:val="002A71FF"/>
    <w:rsid w:val="002B1022"/>
    <w:rsid w:val="002C18BF"/>
    <w:rsid w:val="002C4193"/>
    <w:rsid w:val="002C4FBF"/>
    <w:rsid w:val="002E5CC8"/>
    <w:rsid w:val="002E614B"/>
    <w:rsid w:val="00324761"/>
    <w:rsid w:val="003256C2"/>
    <w:rsid w:val="00337523"/>
    <w:rsid w:val="00356D92"/>
    <w:rsid w:val="00374F6B"/>
    <w:rsid w:val="00380219"/>
    <w:rsid w:val="00381282"/>
    <w:rsid w:val="00386252"/>
    <w:rsid w:val="00390915"/>
    <w:rsid w:val="003960B5"/>
    <w:rsid w:val="003A512F"/>
    <w:rsid w:val="003A7165"/>
    <w:rsid w:val="003B01F4"/>
    <w:rsid w:val="003C2C2E"/>
    <w:rsid w:val="003C3290"/>
    <w:rsid w:val="003C589B"/>
    <w:rsid w:val="003C6636"/>
    <w:rsid w:val="003D1533"/>
    <w:rsid w:val="003D3BB4"/>
    <w:rsid w:val="003D5E4A"/>
    <w:rsid w:val="003E6E6F"/>
    <w:rsid w:val="003F4C20"/>
    <w:rsid w:val="0041703D"/>
    <w:rsid w:val="00444507"/>
    <w:rsid w:val="00450382"/>
    <w:rsid w:val="004543AA"/>
    <w:rsid w:val="00466F27"/>
    <w:rsid w:val="004673A6"/>
    <w:rsid w:val="0047379D"/>
    <w:rsid w:val="004742EB"/>
    <w:rsid w:val="0047518B"/>
    <w:rsid w:val="00485396"/>
    <w:rsid w:val="00485641"/>
    <w:rsid w:val="00497D7A"/>
    <w:rsid w:val="004C2B67"/>
    <w:rsid w:val="004C4EB2"/>
    <w:rsid w:val="004C58BD"/>
    <w:rsid w:val="004D1FD4"/>
    <w:rsid w:val="004F29B6"/>
    <w:rsid w:val="005003F7"/>
    <w:rsid w:val="00501575"/>
    <w:rsid w:val="00507F85"/>
    <w:rsid w:val="005217B2"/>
    <w:rsid w:val="00523740"/>
    <w:rsid w:val="00526281"/>
    <w:rsid w:val="00526F55"/>
    <w:rsid w:val="005272FA"/>
    <w:rsid w:val="0053419C"/>
    <w:rsid w:val="005349AF"/>
    <w:rsid w:val="00537BAA"/>
    <w:rsid w:val="00540287"/>
    <w:rsid w:val="00556384"/>
    <w:rsid w:val="0055648D"/>
    <w:rsid w:val="005614FF"/>
    <w:rsid w:val="00563024"/>
    <w:rsid w:val="005631F3"/>
    <w:rsid w:val="005B1577"/>
    <w:rsid w:val="005C0CB9"/>
    <w:rsid w:val="005C226B"/>
    <w:rsid w:val="005D0845"/>
    <w:rsid w:val="005D55DC"/>
    <w:rsid w:val="005D6C8E"/>
    <w:rsid w:val="005F4E4B"/>
    <w:rsid w:val="006006B3"/>
    <w:rsid w:val="00604B33"/>
    <w:rsid w:val="00611D43"/>
    <w:rsid w:val="006177C4"/>
    <w:rsid w:val="00621875"/>
    <w:rsid w:val="00633CAC"/>
    <w:rsid w:val="00647535"/>
    <w:rsid w:val="00661AD8"/>
    <w:rsid w:val="006666ED"/>
    <w:rsid w:val="00685E85"/>
    <w:rsid w:val="00686E3F"/>
    <w:rsid w:val="0069026F"/>
    <w:rsid w:val="00696B54"/>
    <w:rsid w:val="006A13E2"/>
    <w:rsid w:val="006A312C"/>
    <w:rsid w:val="006B7CEF"/>
    <w:rsid w:val="006C0D13"/>
    <w:rsid w:val="006C6B3C"/>
    <w:rsid w:val="006D51B7"/>
    <w:rsid w:val="006E5AEA"/>
    <w:rsid w:val="00702AA6"/>
    <w:rsid w:val="00702E25"/>
    <w:rsid w:val="00712B3B"/>
    <w:rsid w:val="007156A9"/>
    <w:rsid w:val="00720D2D"/>
    <w:rsid w:val="00721091"/>
    <w:rsid w:val="00731CD6"/>
    <w:rsid w:val="00736787"/>
    <w:rsid w:val="00746852"/>
    <w:rsid w:val="00746AE8"/>
    <w:rsid w:val="00772A00"/>
    <w:rsid w:val="0077356D"/>
    <w:rsid w:val="00774CD2"/>
    <w:rsid w:val="00785FB4"/>
    <w:rsid w:val="00796F57"/>
    <w:rsid w:val="007A4D7F"/>
    <w:rsid w:val="007A5B74"/>
    <w:rsid w:val="007C27DF"/>
    <w:rsid w:val="007C7707"/>
    <w:rsid w:val="007D71E9"/>
    <w:rsid w:val="007E142A"/>
    <w:rsid w:val="007F4F8B"/>
    <w:rsid w:val="00801CAD"/>
    <w:rsid w:val="00813CE6"/>
    <w:rsid w:val="00815B12"/>
    <w:rsid w:val="008219A8"/>
    <w:rsid w:val="00822E6A"/>
    <w:rsid w:val="00834F77"/>
    <w:rsid w:val="008465BE"/>
    <w:rsid w:val="00861F37"/>
    <w:rsid w:val="00875B25"/>
    <w:rsid w:val="00876EDB"/>
    <w:rsid w:val="00877E53"/>
    <w:rsid w:val="00881F59"/>
    <w:rsid w:val="00881FC5"/>
    <w:rsid w:val="0088263C"/>
    <w:rsid w:val="00883045"/>
    <w:rsid w:val="00884777"/>
    <w:rsid w:val="008A1534"/>
    <w:rsid w:val="008A3350"/>
    <w:rsid w:val="008A459D"/>
    <w:rsid w:val="008B4710"/>
    <w:rsid w:val="008C1885"/>
    <w:rsid w:val="008C70F7"/>
    <w:rsid w:val="008D10E7"/>
    <w:rsid w:val="008D2C74"/>
    <w:rsid w:val="008D39C9"/>
    <w:rsid w:val="008D3FA6"/>
    <w:rsid w:val="008D54F1"/>
    <w:rsid w:val="008E0CF1"/>
    <w:rsid w:val="008E1296"/>
    <w:rsid w:val="008E1F17"/>
    <w:rsid w:val="008E5157"/>
    <w:rsid w:val="008E62C9"/>
    <w:rsid w:val="008F18FC"/>
    <w:rsid w:val="008F5D2D"/>
    <w:rsid w:val="009120B3"/>
    <w:rsid w:val="00917419"/>
    <w:rsid w:val="00935553"/>
    <w:rsid w:val="009400E7"/>
    <w:rsid w:val="009415EC"/>
    <w:rsid w:val="00953EE2"/>
    <w:rsid w:val="00962D46"/>
    <w:rsid w:val="00967F37"/>
    <w:rsid w:val="00970A41"/>
    <w:rsid w:val="00981324"/>
    <w:rsid w:val="00991862"/>
    <w:rsid w:val="009932CA"/>
    <w:rsid w:val="009A18BE"/>
    <w:rsid w:val="009A277B"/>
    <w:rsid w:val="009B02AA"/>
    <w:rsid w:val="009C2212"/>
    <w:rsid w:val="009C6E41"/>
    <w:rsid w:val="009D01D5"/>
    <w:rsid w:val="009D0DFC"/>
    <w:rsid w:val="009D474B"/>
    <w:rsid w:val="009E31A2"/>
    <w:rsid w:val="009F0E60"/>
    <w:rsid w:val="00A034A4"/>
    <w:rsid w:val="00A05654"/>
    <w:rsid w:val="00A1554B"/>
    <w:rsid w:val="00A36C21"/>
    <w:rsid w:val="00A42D2E"/>
    <w:rsid w:val="00A47D08"/>
    <w:rsid w:val="00A50C4A"/>
    <w:rsid w:val="00A52A8C"/>
    <w:rsid w:val="00A557E3"/>
    <w:rsid w:val="00A56376"/>
    <w:rsid w:val="00A66EBA"/>
    <w:rsid w:val="00A72642"/>
    <w:rsid w:val="00A924E1"/>
    <w:rsid w:val="00A96BA2"/>
    <w:rsid w:val="00AA05C3"/>
    <w:rsid w:val="00AA293E"/>
    <w:rsid w:val="00AA4882"/>
    <w:rsid w:val="00AA5BE5"/>
    <w:rsid w:val="00AA6F66"/>
    <w:rsid w:val="00AB3637"/>
    <w:rsid w:val="00AB5109"/>
    <w:rsid w:val="00AB7E8E"/>
    <w:rsid w:val="00AC128A"/>
    <w:rsid w:val="00AC1F38"/>
    <w:rsid w:val="00AC5DAE"/>
    <w:rsid w:val="00AD5118"/>
    <w:rsid w:val="00AE2720"/>
    <w:rsid w:val="00AF6E61"/>
    <w:rsid w:val="00B0574D"/>
    <w:rsid w:val="00B05D21"/>
    <w:rsid w:val="00B23A45"/>
    <w:rsid w:val="00B24BE8"/>
    <w:rsid w:val="00B31AAB"/>
    <w:rsid w:val="00B34486"/>
    <w:rsid w:val="00B569C9"/>
    <w:rsid w:val="00B66645"/>
    <w:rsid w:val="00B83324"/>
    <w:rsid w:val="00BA5E3F"/>
    <w:rsid w:val="00BB08EF"/>
    <w:rsid w:val="00BC3739"/>
    <w:rsid w:val="00BC5D35"/>
    <w:rsid w:val="00BD261C"/>
    <w:rsid w:val="00BE6611"/>
    <w:rsid w:val="00C00E26"/>
    <w:rsid w:val="00C1315D"/>
    <w:rsid w:val="00C26590"/>
    <w:rsid w:val="00C32064"/>
    <w:rsid w:val="00C35F2B"/>
    <w:rsid w:val="00C5105D"/>
    <w:rsid w:val="00C57E4E"/>
    <w:rsid w:val="00C602C8"/>
    <w:rsid w:val="00C610D2"/>
    <w:rsid w:val="00C65F55"/>
    <w:rsid w:val="00C71227"/>
    <w:rsid w:val="00C751CF"/>
    <w:rsid w:val="00C82D54"/>
    <w:rsid w:val="00C96EA7"/>
    <w:rsid w:val="00C979DA"/>
    <w:rsid w:val="00CA2D0A"/>
    <w:rsid w:val="00CD3CD2"/>
    <w:rsid w:val="00CE2858"/>
    <w:rsid w:val="00CF3721"/>
    <w:rsid w:val="00CF50C4"/>
    <w:rsid w:val="00D00EF8"/>
    <w:rsid w:val="00D0583C"/>
    <w:rsid w:val="00D32532"/>
    <w:rsid w:val="00D3404F"/>
    <w:rsid w:val="00D661F6"/>
    <w:rsid w:val="00D67776"/>
    <w:rsid w:val="00D70BE6"/>
    <w:rsid w:val="00D810EC"/>
    <w:rsid w:val="00D86846"/>
    <w:rsid w:val="00D95CB2"/>
    <w:rsid w:val="00DA40DF"/>
    <w:rsid w:val="00DA7CE3"/>
    <w:rsid w:val="00DB1CDA"/>
    <w:rsid w:val="00DB221A"/>
    <w:rsid w:val="00DB24CD"/>
    <w:rsid w:val="00DC2C9E"/>
    <w:rsid w:val="00DD5C28"/>
    <w:rsid w:val="00DD6526"/>
    <w:rsid w:val="00E0787D"/>
    <w:rsid w:val="00E21F16"/>
    <w:rsid w:val="00E31714"/>
    <w:rsid w:val="00E44748"/>
    <w:rsid w:val="00E44E02"/>
    <w:rsid w:val="00E46BB0"/>
    <w:rsid w:val="00E543EA"/>
    <w:rsid w:val="00E552AE"/>
    <w:rsid w:val="00E60BC3"/>
    <w:rsid w:val="00E62268"/>
    <w:rsid w:val="00E62B59"/>
    <w:rsid w:val="00E74BA8"/>
    <w:rsid w:val="00E8136B"/>
    <w:rsid w:val="00E8498F"/>
    <w:rsid w:val="00E858F4"/>
    <w:rsid w:val="00E97806"/>
    <w:rsid w:val="00EA1848"/>
    <w:rsid w:val="00EA44E5"/>
    <w:rsid w:val="00EB0F04"/>
    <w:rsid w:val="00EB3C60"/>
    <w:rsid w:val="00EC51D4"/>
    <w:rsid w:val="00ED0F64"/>
    <w:rsid w:val="00ED4FA8"/>
    <w:rsid w:val="00ED51B8"/>
    <w:rsid w:val="00EE5B7E"/>
    <w:rsid w:val="00EE64D0"/>
    <w:rsid w:val="00EE6BB0"/>
    <w:rsid w:val="00EF42FA"/>
    <w:rsid w:val="00F00653"/>
    <w:rsid w:val="00F150E7"/>
    <w:rsid w:val="00F15725"/>
    <w:rsid w:val="00F20336"/>
    <w:rsid w:val="00F22516"/>
    <w:rsid w:val="00F22638"/>
    <w:rsid w:val="00F26127"/>
    <w:rsid w:val="00F30515"/>
    <w:rsid w:val="00F30EC2"/>
    <w:rsid w:val="00F33508"/>
    <w:rsid w:val="00F41E96"/>
    <w:rsid w:val="00F55AEB"/>
    <w:rsid w:val="00F60548"/>
    <w:rsid w:val="00F646E9"/>
    <w:rsid w:val="00F87EE0"/>
    <w:rsid w:val="00F9486E"/>
    <w:rsid w:val="00FC10C7"/>
    <w:rsid w:val="00FC4D12"/>
    <w:rsid w:val="00FC79E0"/>
    <w:rsid w:val="00FD1A9C"/>
    <w:rsid w:val="00FD3CC4"/>
    <w:rsid w:val="00FD6A43"/>
    <w:rsid w:val="00FE2A16"/>
    <w:rsid w:val="00FF0F61"/>
    <w:rsid w:val="00FF25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3002"/>
  <w15:chartTrackingRefBased/>
  <w15:docId w15:val="{31FD63D4-F6BF-4904-B1CA-A4DBBFBD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5A5"/>
  </w:style>
  <w:style w:type="paragraph" w:styleId="Heading1">
    <w:name w:val="heading 1"/>
    <w:basedOn w:val="Normal"/>
    <w:next w:val="Normal"/>
    <w:link w:val="Heading1Char"/>
    <w:qFormat/>
    <w:rsid w:val="00F26127"/>
    <w:pPr>
      <w:keepNext/>
      <w:spacing w:after="0" w:line="480" w:lineRule="auto"/>
      <w:outlineLvl w:val="0"/>
    </w:pPr>
    <w:rPr>
      <w:rFonts w:ascii="Georgia" w:eastAsia="Times New Roman" w:hAnsi="Georgia" w:cs="Times New Roman"/>
      <w:b/>
      <w:bCs/>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01F4"/>
    <w:rPr>
      <w:color w:val="0000FF"/>
      <w:u w:val="single"/>
    </w:rPr>
  </w:style>
  <w:style w:type="character" w:styleId="EndnoteReference">
    <w:name w:val="endnote reference"/>
    <w:basedOn w:val="DefaultParagraphFont"/>
    <w:semiHidden/>
    <w:rsid w:val="003D3BB4"/>
    <w:rPr>
      <w:vertAlign w:val="superscript"/>
    </w:rPr>
  </w:style>
  <w:style w:type="character" w:styleId="UnresolvedMention">
    <w:name w:val="Unresolved Mention"/>
    <w:basedOn w:val="DefaultParagraphFont"/>
    <w:uiPriority w:val="99"/>
    <w:semiHidden/>
    <w:unhideWhenUsed/>
    <w:rsid w:val="00284903"/>
    <w:rPr>
      <w:color w:val="605E5C"/>
      <w:shd w:val="clear" w:color="auto" w:fill="E1DFDD"/>
    </w:rPr>
  </w:style>
  <w:style w:type="paragraph" w:styleId="EndnoteText">
    <w:name w:val="endnote text"/>
    <w:basedOn w:val="Normal"/>
    <w:link w:val="EndnoteTextChar"/>
    <w:semiHidden/>
    <w:rsid w:val="00C57E4E"/>
    <w:pPr>
      <w:widowControl w:val="0"/>
      <w:autoSpaceDE w:val="0"/>
      <w:autoSpaceDN w:val="0"/>
      <w:adjustRightInd w:val="0"/>
      <w:spacing w:after="0" w:line="240" w:lineRule="auto"/>
    </w:pPr>
    <w:rPr>
      <w:rFonts w:ascii="Courier New" w:eastAsia="Times New Roman" w:hAnsi="Courier New" w:cs="Times New Roman"/>
      <w:sz w:val="20"/>
      <w:szCs w:val="24"/>
      <w:lang w:val="en-GB"/>
    </w:rPr>
  </w:style>
  <w:style w:type="character" w:customStyle="1" w:styleId="EndnoteTextChar">
    <w:name w:val="Endnote Text Char"/>
    <w:basedOn w:val="DefaultParagraphFont"/>
    <w:link w:val="EndnoteText"/>
    <w:semiHidden/>
    <w:rsid w:val="00C57E4E"/>
    <w:rPr>
      <w:rFonts w:ascii="Courier New" w:eastAsia="Times New Roman" w:hAnsi="Courier New" w:cs="Times New Roman"/>
      <w:sz w:val="20"/>
      <w:szCs w:val="24"/>
      <w:lang w:val="en-GB"/>
    </w:rPr>
  </w:style>
  <w:style w:type="paragraph" w:customStyle="1" w:styleId="citationpreview">
    <w:name w:val="citationpreview"/>
    <w:basedOn w:val="Normal"/>
    <w:rsid w:val="004D1FD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2C18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18BF"/>
    <w:rPr>
      <w:i/>
      <w:iCs/>
    </w:rPr>
  </w:style>
  <w:style w:type="character" w:customStyle="1" w:styleId="pagebreak">
    <w:name w:val="pagebreak"/>
    <w:basedOn w:val="DefaultParagraphFont"/>
    <w:rsid w:val="00003155"/>
  </w:style>
  <w:style w:type="character" w:customStyle="1" w:styleId="topofpagenav">
    <w:name w:val="topofpagenav"/>
    <w:basedOn w:val="DefaultParagraphFont"/>
    <w:rsid w:val="00003155"/>
  </w:style>
  <w:style w:type="character" w:customStyle="1" w:styleId="Heading1Char">
    <w:name w:val="Heading 1 Char"/>
    <w:basedOn w:val="DefaultParagraphFont"/>
    <w:link w:val="Heading1"/>
    <w:rsid w:val="00F26127"/>
    <w:rPr>
      <w:rFonts w:ascii="Georgia" w:eastAsia="Times New Roman" w:hAnsi="Georgia" w:cs="Times New Roman"/>
      <w:b/>
      <w:bCs/>
      <w:sz w:val="24"/>
      <w:szCs w:val="20"/>
      <w:lang w:val="en-GB"/>
    </w:rPr>
  </w:style>
  <w:style w:type="paragraph" w:customStyle="1" w:styleId="a">
    <w:name w:val="_"/>
    <w:basedOn w:val="Normal"/>
    <w:rsid w:val="00F26127"/>
    <w:pPr>
      <w:widowControl w:val="0"/>
      <w:spacing w:after="0" w:line="240" w:lineRule="auto"/>
      <w:ind w:left="720" w:hanging="720"/>
    </w:pPr>
    <w:rPr>
      <w:rFonts w:ascii="Courier" w:eastAsia="Times New Roman" w:hAnsi="Courier" w:cs="Times New Roman"/>
      <w:snapToGrid w:val="0"/>
      <w:sz w:val="24"/>
      <w:szCs w:val="20"/>
    </w:rPr>
  </w:style>
  <w:style w:type="paragraph" w:styleId="Footer">
    <w:name w:val="footer"/>
    <w:basedOn w:val="Normal"/>
    <w:link w:val="FooterChar"/>
    <w:uiPriority w:val="99"/>
    <w:rsid w:val="00F26127"/>
    <w:pPr>
      <w:tabs>
        <w:tab w:val="center" w:pos="4153"/>
        <w:tab w:val="right" w:pos="8306"/>
      </w:tabs>
      <w:spacing w:after="0" w:line="240" w:lineRule="auto"/>
    </w:pPr>
    <w:rPr>
      <w:rFonts w:ascii="Georgia" w:eastAsia="Times New Roman" w:hAnsi="Georgia" w:cs="Times New Roman"/>
      <w:sz w:val="24"/>
      <w:szCs w:val="20"/>
      <w:lang w:val="en-GB"/>
    </w:rPr>
  </w:style>
  <w:style w:type="character" w:customStyle="1" w:styleId="FooterChar">
    <w:name w:val="Footer Char"/>
    <w:basedOn w:val="DefaultParagraphFont"/>
    <w:link w:val="Footer"/>
    <w:uiPriority w:val="99"/>
    <w:rsid w:val="00F26127"/>
    <w:rPr>
      <w:rFonts w:ascii="Georgia" w:eastAsia="Times New Roman" w:hAnsi="Georgia" w:cs="Times New Roman"/>
      <w:sz w:val="24"/>
      <w:szCs w:val="20"/>
      <w:lang w:val="en-GB"/>
    </w:rPr>
  </w:style>
  <w:style w:type="paragraph" w:styleId="Header">
    <w:name w:val="header"/>
    <w:basedOn w:val="Normal"/>
    <w:link w:val="HeaderChar"/>
    <w:uiPriority w:val="99"/>
    <w:rsid w:val="00F26127"/>
    <w:pPr>
      <w:tabs>
        <w:tab w:val="center" w:pos="4153"/>
        <w:tab w:val="right" w:pos="8306"/>
      </w:tabs>
      <w:spacing w:after="0" w:line="240" w:lineRule="auto"/>
    </w:pPr>
    <w:rPr>
      <w:rFonts w:ascii="Georgia" w:eastAsia="Times New Roman" w:hAnsi="Georgia" w:cs="Times New Roman"/>
      <w:sz w:val="24"/>
      <w:szCs w:val="20"/>
      <w:lang w:val="en-GB"/>
    </w:rPr>
  </w:style>
  <w:style w:type="character" w:customStyle="1" w:styleId="HeaderChar">
    <w:name w:val="Header Char"/>
    <w:basedOn w:val="DefaultParagraphFont"/>
    <w:link w:val="Header"/>
    <w:uiPriority w:val="99"/>
    <w:rsid w:val="00F26127"/>
    <w:rPr>
      <w:rFonts w:ascii="Georgia" w:eastAsia="Times New Roman" w:hAnsi="Georgia" w:cs="Times New Roman"/>
      <w:sz w:val="24"/>
      <w:szCs w:val="20"/>
      <w:lang w:val="en-GB"/>
    </w:rPr>
  </w:style>
  <w:style w:type="paragraph" w:styleId="ListParagraph">
    <w:name w:val="List Paragraph"/>
    <w:basedOn w:val="Normal"/>
    <w:uiPriority w:val="34"/>
    <w:qFormat/>
    <w:rsid w:val="00A42D2E"/>
    <w:pPr>
      <w:ind w:left="720"/>
      <w:contextualSpacing/>
    </w:pPr>
  </w:style>
  <w:style w:type="paragraph" w:styleId="FootnoteText">
    <w:name w:val="footnote text"/>
    <w:basedOn w:val="Normal"/>
    <w:link w:val="FootnoteTextChar"/>
    <w:uiPriority w:val="99"/>
    <w:semiHidden/>
    <w:unhideWhenUsed/>
    <w:rsid w:val="00F948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86E"/>
    <w:rPr>
      <w:sz w:val="20"/>
      <w:szCs w:val="20"/>
    </w:rPr>
  </w:style>
  <w:style w:type="character" w:styleId="FootnoteReference">
    <w:name w:val="footnote reference"/>
    <w:basedOn w:val="DefaultParagraphFont"/>
    <w:uiPriority w:val="99"/>
    <w:semiHidden/>
    <w:unhideWhenUsed/>
    <w:rsid w:val="00F9486E"/>
    <w:rPr>
      <w:vertAlign w:val="superscript"/>
    </w:rPr>
  </w:style>
  <w:style w:type="character" w:styleId="FollowedHyperlink">
    <w:name w:val="FollowedHyperlink"/>
    <w:basedOn w:val="DefaultParagraphFont"/>
    <w:uiPriority w:val="99"/>
    <w:semiHidden/>
    <w:unhideWhenUsed/>
    <w:rsid w:val="00B23A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10.3366/j.ctt1bgzc17.13" TargetMode="External"/><Relationship Id="rId13" Type="http://schemas.openxmlformats.org/officeDocument/2006/relationships/hyperlink" Target="https://doi.org/10.1016/j.wsif.2013.07.011" TargetMode="External"/><Relationship Id="rId3" Type="http://schemas.openxmlformats.org/officeDocument/2006/relationships/hyperlink" Target="https://doi.org/10.1016/j.wsif.2013.07.011" TargetMode="External"/><Relationship Id="rId7" Type="http://schemas.openxmlformats.org/officeDocument/2006/relationships/hyperlink" Target="https://time.com/5731406/british-election-muslim-vote/" TargetMode="External"/><Relationship Id="rId12" Type="http://schemas.openxmlformats.org/officeDocument/2006/relationships/hyperlink" Target="https://moodle.uwtsd.ac.uk/course/view.php?id=3100" TargetMode="External"/><Relationship Id="rId2" Type="http://schemas.openxmlformats.org/officeDocument/2006/relationships/hyperlink" Target="https://link.gale.com/apps/doc/CX3403500149/GVRL?u=walamp&amp;sid=GVRL&amp;xid=ef6f792c" TargetMode="External"/><Relationship Id="rId1" Type="http://schemas.openxmlformats.org/officeDocument/2006/relationships/hyperlink" Target="http://www.oxfordislamicstudies.com/article/opr/t343/e0139" TargetMode="External"/><Relationship Id="rId6" Type="http://schemas.openxmlformats.org/officeDocument/2006/relationships/hyperlink" Target="http://www.jstor.org/stable/j.ctv4ncp1t.8" TargetMode="External"/><Relationship Id="rId11" Type="http://schemas.openxmlformats.org/officeDocument/2006/relationships/hyperlink" Target="http://www.jstor.org/stable/10.3366/j.ctt1bgzc17.13" TargetMode="External"/><Relationship Id="rId5" Type="http://schemas.openxmlformats.org/officeDocument/2006/relationships/hyperlink" Target="https://moodle.uwtsd.ac.uk/course/view.php?id=3100" TargetMode="External"/><Relationship Id="rId15" Type="http://schemas.openxmlformats.org/officeDocument/2006/relationships/hyperlink" Target="http://www.jstor.org/stable/10.3366/j.ctt1bgzc17.13" TargetMode="External"/><Relationship Id="rId10" Type="http://schemas.openxmlformats.org/officeDocument/2006/relationships/hyperlink" Target="https://moodle.uwtsd.ac.uk/course/view.php?id=3100" TargetMode="External"/><Relationship Id="rId4" Type="http://schemas.openxmlformats.org/officeDocument/2006/relationships/hyperlink" Target="https://link.gale.com/apps/doc/CX3403500149/GVRL?u=walamp&amp;sid=GVRL&amp;xid=ef6f792c" TargetMode="External"/><Relationship Id="rId9" Type="http://schemas.openxmlformats.org/officeDocument/2006/relationships/hyperlink" Target="https://moodle.uwtsd.ac.uk/course/view.php?id=3100" TargetMode="External"/><Relationship Id="rId14" Type="http://schemas.openxmlformats.org/officeDocument/2006/relationships/hyperlink" Target="http://www.jstor.org/stable/10.3366/j.ctt1bgzc17.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EEBFC-8EA8-495E-9986-2BB30EB43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4</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359</cp:revision>
  <dcterms:created xsi:type="dcterms:W3CDTF">2020-05-29T05:29:00Z</dcterms:created>
  <dcterms:modified xsi:type="dcterms:W3CDTF">2020-06-01T19:17:00Z</dcterms:modified>
</cp:coreProperties>
</file>