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168BD"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B293F75" wp14:editId="28744A9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1874EF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404B6E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B293F75"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1874EFE"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404B6E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05E49AA" wp14:editId="0C3CCB3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39B704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D2FDF36"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05E49A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39B704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D2FDF36"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79C0E45"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34BAE68" wp14:editId="596E8793">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24E4BF0" w14:textId="77777777" w:rsidR="00530E16" w:rsidRDefault="004468F8">
                            <w:pPr>
                              <w:spacing w:after="0" w:line="240" w:lineRule="auto"/>
                              <w:textDirection w:val="btLr"/>
                            </w:pPr>
                            <w:r>
                              <w:rPr>
                                <w:rFonts w:ascii="Play" w:eastAsia="Play" w:hAnsi="Play" w:cs="Play"/>
                                <w:color w:val="262626"/>
                                <w:sz w:val="72"/>
                              </w:rPr>
                              <w:t>Individual Report</w:t>
                            </w:r>
                          </w:p>
                          <w:p w14:paraId="40C43052" w14:textId="77777777" w:rsidR="00530E16" w:rsidRDefault="004468F8">
                            <w:pPr>
                              <w:spacing w:before="120" w:line="277" w:lineRule="auto"/>
                              <w:textDirection w:val="btLr"/>
                            </w:pPr>
                            <w:r>
                              <w:rPr>
                                <w:color w:val="404040"/>
                                <w:sz w:val="36"/>
                              </w:rPr>
                              <w:t>Module Name: Digital Skills and Research Methods</w:t>
                            </w:r>
                          </w:p>
                          <w:p w14:paraId="417E96A0" w14:textId="77777777" w:rsidR="00530E16" w:rsidRPr="00544802" w:rsidRDefault="004468F8">
                            <w:pPr>
                              <w:spacing w:before="120" w:line="277" w:lineRule="auto"/>
                              <w:textDirection w:val="btLr"/>
                              <w:rPr>
                                <w:lang w:val="fr-FR"/>
                              </w:rPr>
                            </w:pPr>
                            <w:r w:rsidRPr="00544802">
                              <w:rPr>
                                <w:color w:val="404040"/>
                                <w:sz w:val="36"/>
                                <w:lang w:val="fr-FR"/>
                              </w:rPr>
                              <w:t>Module Code: LCHS 4007</w:t>
                            </w:r>
                          </w:p>
                          <w:p w14:paraId="306553FD" w14:textId="21ECF42C" w:rsidR="00530E16" w:rsidRPr="00544802" w:rsidRDefault="004468F8">
                            <w:pPr>
                              <w:spacing w:before="120" w:line="277" w:lineRule="auto"/>
                              <w:textDirection w:val="btLr"/>
                              <w:rPr>
                                <w:lang w:val="fr-FR"/>
                              </w:rPr>
                            </w:pPr>
                            <w:r w:rsidRPr="00544802">
                              <w:rPr>
                                <w:color w:val="404040"/>
                                <w:sz w:val="36"/>
                                <w:lang w:val="fr-FR"/>
                              </w:rPr>
                              <w:t xml:space="preserve">Student name: </w:t>
                            </w:r>
                            <w:r w:rsidR="007C3CD9" w:rsidRPr="00544802">
                              <w:rPr>
                                <w:color w:val="404040"/>
                                <w:sz w:val="36"/>
                                <w:lang w:val="fr-FR"/>
                              </w:rPr>
                              <w:t>Jeannette Q Capitly</w:t>
                            </w:r>
                          </w:p>
                          <w:p w14:paraId="3A53DEE9" w14:textId="380A743F" w:rsidR="00530E16" w:rsidRDefault="004468F8">
                            <w:pPr>
                              <w:spacing w:before="120" w:line="277" w:lineRule="auto"/>
                              <w:textDirection w:val="btLr"/>
                            </w:pPr>
                            <w:r>
                              <w:rPr>
                                <w:color w:val="404040"/>
                                <w:sz w:val="36"/>
                              </w:rPr>
                              <w:t>Student ID:</w:t>
                            </w:r>
                            <w:r w:rsidR="007C3CD9">
                              <w:rPr>
                                <w:color w:val="404040"/>
                                <w:sz w:val="36"/>
                              </w:rPr>
                              <w:t xml:space="preserve"> </w:t>
                            </w:r>
                            <w:r w:rsidR="007C3CD9" w:rsidRPr="007C3CD9">
                              <w:rPr>
                                <w:color w:val="404040"/>
                                <w:sz w:val="36"/>
                                <w:lang w:val="en-US"/>
                              </w:rPr>
                              <w:t>2528624</w:t>
                            </w:r>
                          </w:p>
                          <w:p w14:paraId="3E9B6DDB" w14:textId="2CD3DB8F" w:rsidR="00530E16" w:rsidRDefault="004468F8">
                            <w:pPr>
                              <w:spacing w:before="120" w:line="277" w:lineRule="auto"/>
                              <w:textDirection w:val="btLr"/>
                            </w:pPr>
                            <w:r>
                              <w:rPr>
                                <w:color w:val="404040"/>
                                <w:sz w:val="36"/>
                              </w:rPr>
                              <w:t xml:space="preserve">Lecturer’s Name: </w:t>
                            </w:r>
                            <w:r w:rsidR="007C3CD9" w:rsidRPr="007C3CD9">
                              <w:rPr>
                                <w:color w:val="404040"/>
                                <w:sz w:val="36"/>
                                <w:lang w:val="en-US"/>
                              </w:rPr>
                              <w:t>Brian Mashumba</w:t>
                            </w:r>
                          </w:p>
                        </w:txbxContent>
                      </wps:txbx>
                      <wps:bodyPr spcFirstLastPara="1" wrap="square" lIns="0" tIns="0" rIns="0" bIns="0" anchor="t" anchorCtr="0">
                        <a:noAutofit/>
                      </wps:bodyPr>
                    </wps:wsp>
                  </a:graphicData>
                </a:graphic>
              </wp:anchor>
            </w:drawing>
          </mc:Choice>
          <mc:Fallback>
            <w:pict>
              <v:rect w14:anchorId="134BAE68"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24E4BF0" w14:textId="77777777" w:rsidR="00530E16" w:rsidRDefault="004468F8">
                      <w:pPr>
                        <w:spacing w:after="0" w:line="240" w:lineRule="auto"/>
                        <w:textDirection w:val="btLr"/>
                      </w:pPr>
                      <w:r>
                        <w:rPr>
                          <w:rFonts w:ascii="Play" w:eastAsia="Play" w:hAnsi="Play" w:cs="Play"/>
                          <w:color w:val="262626"/>
                          <w:sz w:val="72"/>
                        </w:rPr>
                        <w:t>Individual Report</w:t>
                      </w:r>
                    </w:p>
                    <w:p w14:paraId="40C43052" w14:textId="77777777" w:rsidR="00530E16" w:rsidRDefault="004468F8">
                      <w:pPr>
                        <w:spacing w:before="120" w:line="277" w:lineRule="auto"/>
                        <w:textDirection w:val="btLr"/>
                      </w:pPr>
                      <w:r>
                        <w:rPr>
                          <w:color w:val="404040"/>
                          <w:sz w:val="36"/>
                        </w:rPr>
                        <w:t>Module Name: Digital Skills and Research Methods</w:t>
                      </w:r>
                    </w:p>
                    <w:p w14:paraId="417E96A0" w14:textId="77777777" w:rsidR="00530E16" w:rsidRPr="00544802" w:rsidRDefault="004468F8">
                      <w:pPr>
                        <w:spacing w:before="120" w:line="277" w:lineRule="auto"/>
                        <w:textDirection w:val="btLr"/>
                        <w:rPr>
                          <w:lang w:val="fr-FR"/>
                        </w:rPr>
                      </w:pPr>
                      <w:r w:rsidRPr="00544802">
                        <w:rPr>
                          <w:color w:val="404040"/>
                          <w:sz w:val="36"/>
                          <w:lang w:val="fr-FR"/>
                        </w:rPr>
                        <w:t>Module Code: LCHS 4007</w:t>
                      </w:r>
                    </w:p>
                    <w:p w14:paraId="306553FD" w14:textId="21ECF42C" w:rsidR="00530E16" w:rsidRPr="00544802" w:rsidRDefault="004468F8">
                      <w:pPr>
                        <w:spacing w:before="120" w:line="277" w:lineRule="auto"/>
                        <w:textDirection w:val="btLr"/>
                        <w:rPr>
                          <w:lang w:val="fr-FR"/>
                        </w:rPr>
                      </w:pPr>
                      <w:r w:rsidRPr="00544802">
                        <w:rPr>
                          <w:color w:val="404040"/>
                          <w:sz w:val="36"/>
                          <w:lang w:val="fr-FR"/>
                        </w:rPr>
                        <w:t xml:space="preserve">Student name: </w:t>
                      </w:r>
                      <w:r w:rsidR="007C3CD9" w:rsidRPr="00544802">
                        <w:rPr>
                          <w:color w:val="404040"/>
                          <w:sz w:val="36"/>
                          <w:lang w:val="fr-FR"/>
                        </w:rPr>
                        <w:t>Jeannette Q Capitly</w:t>
                      </w:r>
                    </w:p>
                    <w:p w14:paraId="3A53DEE9" w14:textId="380A743F" w:rsidR="00530E16" w:rsidRDefault="004468F8">
                      <w:pPr>
                        <w:spacing w:before="120" w:line="277" w:lineRule="auto"/>
                        <w:textDirection w:val="btLr"/>
                      </w:pPr>
                      <w:r>
                        <w:rPr>
                          <w:color w:val="404040"/>
                          <w:sz w:val="36"/>
                        </w:rPr>
                        <w:t>Student ID:</w:t>
                      </w:r>
                      <w:r w:rsidR="007C3CD9">
                        <w:rPr>
                          <w:color w:val="404040"/>
                          <w:sz w:val="36"/>
                        </w:rPr>
                        <w:t xml:space="preserve"> </w:t>
                      </w:r>
                      <w:r w:rsidR="007C3CD9" w:rsidRPr="007C3CD9">
                        <w:rPr>
                          <w:color w:val="404040"/>
                          <w:sz w:val="36"/>
                          <w:lang w:val="en-US"/>
                        </w:rPr>
                        <w:t>2528624</w:t>
                      </w:r>
                    </w:p>
                    <w:p w14:paraId="3E9B6DDB" w14:textId="2CD3DB8F" w:rsidR="00530E16" w:rsidRDefault="004468F8">
                      <w:pPr>
                        <w:spacing w:before="120" w:line="277" w:lineRule="auto"/>
                        <w:textDirection w:val="btLr"/>
                      </w:pPr>
                      <w:r>
                        <w:rPr>
                          <w:color w:val="404040"/>
                          <w:sz w:val="36"/>
                        </w:rPr>
                        <w:t xml:space="preserve">Lecturer’s Name: </w:t>
                      </w:r>
                      <w:r w:rsidR="007C3CD9" w:rsidRPr="007C3CD9">
                        <w:rPr>
                          <w:color w:val="404040"/>
                          <w:sz w:val="36"/>
                          <w:lang w:val="en-US"/>
                        </w:rPr>
                        <w:t>Brian Mashumba</w:t>
                      </w:r>
                    </w:p>
                  </w:txbxContent>
                </v:textbox>
                <w10:wrap anchorx="page" anchory="page"/>
              </v:rect>
            </w:pict>
          </mc:Fallback>
        </mc:AlternateContent>
      </w:r>
      <w:r>
        <w:br w:type="page"/>
      </w:r>
    </w:p>
    <w:p w14:paraId="38DC77AF" w14:textId="77777777" w:rsidR="00530E16" w:rsidRDefault="00530E16">
      <w:pPr>
        <w:rPr>
          <w:rFonts w:ascii="Arial" w:eastAsia="Arial" w:hAnsi="Arial" w:cs="Arial"/>
        </w:rPr>
      </w:pPr>
    </w:p>
    <w:p w14:paraId="7CE84FE9"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295F4263" w14:textId="762E0E1C" w:rsidR="003A051E"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7499666" w:history="1">
            <w:r w:rsidR="003A051E" w:rsidRPr="00032B11">
              <w:rPr>
                <w:rStyle w:val="Hyperlink"/>
                <w:rFonts w:eastAsia="Arial"/>
                <w:noProof/>
              </w:rPr>
              <w:t>Introduction</w:t>
            </w:r>
            <w:r w:rsidR="003A051E">
              <w:rPr>
                <w:noProof/>
                <w:webHidden/>
              </w:rPr>
              <w:tab/>
            </w:r>
            <w:r w:rsidR="003A051E">
              <w:rPr>
                <w:noProof/>
                <w:webHidden/>
              </w:rPr>
              <w:fldChar w:fldCharType="begin"/>
            </w:r>
            <w:r w:rsidR="003A051E">
              <w:rPr>
                <w:noProof/>
                <w:webHidden/>
              </w:rPr>
              <w:instrText xml:space="preserve"> PAGEREF _Toc227499666 \h </w:instrText>
            </w:r>
            <w:r w:rsidR="003A051E">
              <w:rPr>
                <w:noProof/>
                <w:webHidden/>
              </w:rPr>
            </w:r>
            <w:r w:rsidR="003A051E">
              <w:rPr>
                <w:noProof/>
                <w:webHidden/>
              </w:rPr>
              <w:fldChar w:fldCharType="separate"/>
            </w:r>
            <w:r w:rsidR="003A051E">
              <w:rPr>
                <w:noProof/>
                <w:webHidden/>
              </w:rPr>
              <w:t>2</w:t>
            </w:r>
            <w:r w:rsidR="003A051E">
              <w:rPr>
                <w:noProof/>
                <w:webHidden/>
              </w:rPr>
              <w:fldChar w:fldCharType="end"/>
            </w:r>
          </w:hyperlink>
        </w:p>
        <w:p w14:paraId="468296EC" w14:textId="37937BA9" w:rsidR="003A051E" w:rsidRDefault="003A051E">
          <w:pPr>
            <w:pStyle w:val="TOC1"/>
            <w:tabs>
              <w:tab w:val="right" w:leader="dot" w:pos="9016"/>
            </w:tabs>
            <w:rPr>
              <w:rFonts w:asciiTheme="minorHAnsi" w:eastAsiaTheme="minorEastAsia" w:hAnsiTheme="minorHAnsi" w:cstheme="minorBidi"/>
              <w:noProof/>
              <w:kern w:val="2"/>
              <w14:ligatures w14:val="standardContextual"/>
            </w:rPr>
          </w:pPr>
          <w:hyperlink w:anchor="_Toc227499667" w:history="1">
            <w:r w:rsidRPr="00032B11">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_Toc227499667 \h </w:instrText>
            </w:r>
            <w:r>
              <w:rPr>
                <w:noProof/>
                <w:webHidden/>
              </w:rPr>
            </w:r>
            <w:r>
              <w:rPr>
                <w:noProof/>
                <w:webHidden/>
              </w:rPr>
              <w:fldChar w:fldCharType="separate"/>
            </w:r>
            <w:r>
              <w:rPr>
                <w:noProof/>
                <w:webHidden/>
              </w:rPr>
              <w:t>2</w:t>
            </w:r>
            <w:r>
              <w:rPr>
                <w:noProof/>
                <w:webHidden/>
              </w:rPr>
              <w:fldChar w:fldCharType="end"/>
            </w:r>
          </w:hyperlink>
        </w:p>
        <w:p w14:paraId="1AE4B61A" w14:textId="6BF4DEB3"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68" w:history="1">
            <w:r w:rsidRPr="00032B11">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_Toc227499668 \h </w:instrText>
            </w:r>
            <w:r>
              <w:rPr>
                <w:noProof/>
                <w:webHidden/>
              </w:rPr>
            </w:r>
            <w:r>
              <w:rPr>
                <w:noProof/>
                <w:webHidden/>
              </w:rPr>
              <w:fldChar w:fldCharType="separate"/>
            </w:r>
            <w:r>
              <w:rPr>
                <w:noProof/>
                <w:webHidden/>
              </w:rPr>
              <w:t>2</w:t>
            </w:r>
            <w:r>
              <w:rPr>
                <w:noProof/>
                <w:webHidden/>
              </w:rPr>
              <w:fldChar w:fldCharType="end"/>
            </w:r>
          </w:hyperlink>
        </w:p>
        <w:p w14:paraId="532AB92B" w14:textId="0D2793B5"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69" w:history="1">
            <w:r w:rsidRPr="00032B11">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_Toc227499669 \h </w:instrText>
            </w:r>
            <w:r>
              <w:rPr>
                <w:noProof/>
                <w:webHidden/>
              </w:rPr>
            </w:r>
            <w:r>
              <w:rPr>
                <w:noProof/>
                <w:webHidden/>
              </w:rPr>
              <w:fldChar w:fldCharType="separate"/>
            </w:r>
            <w:r>
              <w:rPr>
                <w:noProof/>
                <w:webHidden/>
              </w:rPr>
              <w:t>3</w:t>
            </w:r>
            <w:r>
              <w:rPr>
                <w:noProof/>
                <w:webHidden/>
              </w:rPr>
              <w:fldChar w:fldCharType="end"/>
            </w:r>
          </w:hyperlink>
        </w:p>
        <w:p w14:paraId="290E8987" w14:textId="1A0E5FE5" w:rsidR="003A051E" w:rsidRDefault="003A051E">
          <w:pPr>
            <w:pStyle w:val="TOC1"/>
            <w:tabs>
              <w:tab w:val="right" w:leader="dot" w:pos="9016"/>
            </w:tabs>
            <w:rPr>
              <w:rFonts w:asciiTheme="minorHAnsi" w:eastAsiaTheme="minorEastAsia" w:hAnsiTheme="minorHAnsi" w:cstheme="minorBidi"/>
              <w:noProof/>
              <w:kern w:val="2"/>
              <w14:ligatures w14:val="standardContextual"/>
            </w:rPr>
          </w:pPr>
          <w:hyperlink w:anchor="_Toc227499670" w:history="1">
            <w:r w:rsidRPr="00032B11">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_Toc227499670 \h </w:instrText>
            </w:r>
            <w:r>
              <w:rPr>
                <w:noProof/>
                <w:webHidden/>
              </w:rPr>
            </w:r>
            <w:r>
              <w:rPr>
                <w:noProof/>
                <w:webHidden/>
              </w:rPr>
              <w:fldChar w:fldCharType="separate"/>
            </w:r>
            <w:r>
              <w:rPr>
                <w:noProof/>
                <w:webHidden/>
              </w:rPr>
              <w:t>3</w:t>
            </w:r>
            <w:r>
              <w:rPr>
                <w:noProof/>
                <w:webHidden/>
              </w:rPr>
              <w:fldChar w:fldCharType="end"/>
            </w:r>
          </w:hyperlink>
        </w:p>
        <w:p w14:paraId="2DBED0E4" w14:textId="6807DF3F"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71" w:history="1">
            <w:r w:rsidRPr="00032B11">
              <w:rPr>
                <w:rStyle w:val="Hyperlink"/>
                <w:rFonts w:eastAsia="Arial"/>
                <w:noProof/>
              </w:rPr>
              <w:t>2.1 Source 1</w:t>
            </w:r>
            <w:r>
              <w:rPr>
                <w:noProof/>
                <w:webHidden/>
              </w:rPr>
              <w:tab/>
            </w:r>
            <w:r>
              <w:rPr>
                <w:noProof/>
                <w:webHidden/>
              </w:rPr>
              <w:fldChar w:fldCharType="begin"/>
            </w:r>
            <w:r>
              <w:rPr>
                <w:noProof/>
                <w:webHidden/>
              </w:rPr>
              <w:instrText xml:space="preserve"> PAGEREF _Toc227499671 \h </w:instrText>
            </w:r>
            <w:r>
              <w:rPr>
                <w:noProof/>
                <w:webHidden/>
              </w:rPr>
            </w:r>
            <w:r>
              <w:rPr>
                <w:noProof/>
                <w:webHidden/>
              </w:rPr>
              <w:fldChar w:fldCharType="separate"/>
            </w:r>
            <w:r>
              <w:rPr>
                <w:noProof/>
                <w:webHidden/>
              </w:rPr>
              <w:t>3</w:t>
            </w:r>
            <w:r>
              <w:rPr>
                <w:noProof/>
                <w:webHidden/>
              </w:rPr>
              <w:fldChar w:fldCharType="end"/>
            </w:r>
          </w:hyperlink>
        </w:p>
        <w:p w14:paraId="0C60944C" w14:textId="25F98617"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72" w:history="1">
            <w:r w:rsidRPr="00032B11">
              <w:rPr>
                <w:rStyle w:val="Hyperlink"/>
                <w:rFonts w:eastAsia="Arial"/>
                <w:noProof/>
              </w:rPr>
              <w:t>2.2 Source 2</w:t>
            </w:r>
            <w:r>
              <w:rPr>
                <w:noProof/>
                <w:webHidden/>
              </w:rPr>
              <w:tab/>
            </w:r>
            <w:r>
              <w:rPr>
                <w:noProof/>
                <w:webHidden/>
              </w:rPr>
              <w:fldChar w:fldCharType="begin"/>
            </w:r>
            <w:r>
              <w:rPr>
                <w:noProof/>
                <w:webHidden/>
              </w:rPr>
              <w:instrText xml:space="preserve"> PAGEREF _Toc227499672 \h </w:instrText>
            </w:r>
            <w:r>
              <w:rPr>
                <w:noProof/>
                <w:webHidden/>
              </w:rPr>
            </w:r>
            <w:r>
              <w:rPr>
                <w:noProof/>
                <w:webHidden/>
              </w:rPr>
              <w:fldChar w:fldCharType="separate"/>
            </w:r>
            <w:r>
              <w:rPr>
                <w:noProof/>
                <w:webHidden/>
              </w:rPr>
              <w:t>4</w:t>
            </w:r>
            <w:r>
              <w:rPr>
                <w:noProof/>
                <w:webHidden/>
              </w:rPr>
              <w:fldChar w:fldCharType="end"/>
            </w:r>
          </w:hyperlink>
        </w:p>
        <w:p w14:paraId="7025D670" w14:textId="5A8B2B17"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73" w:history="1">
            <w:r w:rsidRPr="00032B11">
              <w:rPr>
                <w:rStyle w:val="Hyperlink"/>
                <w:rFonts w:eastAsia="Arial"/>
                <w:noProof/>
              </w:rPr>
              <w:t>2.3 Source 3</w:t>
            </w:r>
            <w:r>
              <w:rPr>
                <w:noProof/>
                <w:webHidden/>
              </w:rPr>
              <w:tab/>
            </w:r>
            <w:r>
              <w:rPr>
                <w:noProof/>
                <w:webHidden/>
              </w:rPr>
              <w:fldChar w:fldCharType="begin"/>
            </w:r>
            <w:r>
              <w:rPr>
                <w:noProof/>
                <w:webHidden/>
              </w:rPr>
              <w:instrText xml:space="preserve"> PAGEREF _Toc227499673 \h </w:instrText>
            </w:r>
            <w:r>
              <w:rPr>
                <w:noProof/>
                <w:webHidden/>
              </w:rPr>
            </w:r>
            <w:r>
              <w:rPr>
                <w:noProof/>
                <w:webHidden/>
              </w:rPr>
              <w:fldChar w:fldCharType="separate"/>
            </w:r>
            <w:r>
              <w:rPr>
                <w:noProof/>
                <w:webHidden/>
              </w:rPr>
              <w:t>5</w:t>
            </w:r>
            <w:r>
              <w:rPr>
                <w:noProof/>
                <w:webHidden/>
              </w:rPr>
              <w:fldChar w:fldCharType="end"/>
            </w:r>
          </w:hyperlink>
        </w:p>
        <w:p w14:paraId="76A074AE" w14:textId="47C71DC4"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74" w:history="1">
            <w:r w:rsidRPr="00032B11">
              <w:rPr>
                <w:rStyle w:val="Hyperlink"/>
                <w:rFonts w:eastAsia="Arial"/>
                <w:noProof/>
              </w:rPr>
              <w:t>2.4 Gaps in Current Research</w:t>
            </w:r>
            <w:r>
              <w:rPr>
                <w:noProof/>
                <w:webHidden/>
              </w:rPr>
              <w:tab/>
            </w:r>
            <w:r>
              <w:rPr>
                <w:noProof/>
                <w:webHidden/>
              </w:rPr>
              <w:fldChar w:fldCharType="begin"/>
            </w:r>
            <w:r>
              <w:rPr>
                <w:noProof/>
                <w:webHidden/>
              </w:rPr>
              <w:instrText xml:space="preserve"> PAGEREF _Toc227499674 \h </w:instrText>
            </w:r>
            <w:r>
              <w:rPr>
                <w:noProof/>
                <w:webHidden/>
              </w:rPr>
            </w:r>
            <w:r>
              <w:rPr>
                <w:noProof/>
                <w:webHidden/>
              </w:rPr>
              <w:fldChar w:fldCharType="separate"/>
            </w:r>
            <w:r>
              <w:rPr>
                <w:noProof/>
                <w:webHidden/>
              </w:rPr>
              <w:t>5</w:t>
            </w:r>
            <w:r>
              <w:rPr>
                <w:noProof/>
                <w:webHidden/>
              </w:rPr>
              <w:fldChar w:fldCharType="end"/>
            </w:r>
          </w:hyperlink>
        </w:p>
        <w:p w14:paraId="04A929EE" w14:textId="3B803E58" w:rsidR="003A051E" w:rsidRDefault="003A051E">
          <w:pPr>
            <w:pStyle w:val="TOC1"/>
            <w:tabs>
              <w:tab w:val="right" w:leader="dot" w:pos="9016"/>
            </w:tabs>
            <w:rPr>
              <w:rFonts w:asciiTheme="minorHAnsi" w:eastAsiaTheme="minorEastAsia" w:hAnsiTheme="minorHAnsi" w:cstheme="minorBidi"/>
              <w:noProof/>
              <w:kern w:val="2"/>
              <w14:ligatures w14:val="standardContextual"/>
            </w:rPr>
          </w:pPr>
          <w:hyperlink w:anchor="_Toc227499675" w:history="1">
            <w:r w:rsidRPr="00032B11">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_Toc227499675 \h </w:instrText>
            </w:r>
            <w:r>
              <w:rPr>
                <w:noProof/>
                <w:webHidden/>
              </w:rPr>
            </w:r>
            <w:r>
              <w:rPr>
                <w:noProof/>
                <w:webHidden/>
              </w:rPr>
              <w:fldChar w:fldCharType="separate"/>
            </w:r>
            <w:r>
              <w:rPr>
                <w:noProof/>
                <w:webHidden/>
              </w:rPr>
              <w:t>6</w:t>
            </w:r>
            <w:r>
              <w:rPr>
                <w:noProof/>
                <w:webHidden/>
              </w:rPr>
              <w:fldChar w:fldCharType="end"/>
            </w:r>
          </w:hyperlink>
        </w:p>
        <w:p w14:paraId="68BA4688" w14:textId="75A4E9F1"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76" w:history="1">
            <w:r w:rsidRPr="00032B11">
              <w:rPr>
                <w:rStyle w:val="Hyperlink"/>
                <w:rFonts w:eastAsia="Arial"/>
                <w:noProof/>
              </w:rPr>
              <w:t>3.1 Definitions and Examples</w:t>
            </w:r>
            <w:r>
              <w:rPr>
                <w:noProof/>
                <w:webHidden/>
              </w:rPr>
              <w:tab/>
            </w:r>
            <w:r>
              <w:rPr>
                <w:noProof/>
                <w:webHidden/>
              </w:rPr>
              <w:fldChar w:fldCharType="begin"/>
            </w:r>
            <w:r>
              <w:rPr>
                <w:noProof/>
                <w:webHidden/>
              </w:rPr>
              <w:instrText xml:space="preserve"> PAGEREF _Toc227499676 \h </w:instrText>
            </w:r>
            <w:r>
              <w:rPr>
                <w:noProof/>
                <w:webHidden/>
              </w:rPr>
            </w:r>
            <w:r>
              <w:rPr>
                <w:noProof/>
                <w:webHidden/>
              </w:rPr>
              <w:fldChar w:fldCharType="separate"/>
            </w:r>
            <w:r>
              <w:rPr>
                <w:noProof/>
                <w:webHidden/>
              </w:rPr>
              <w:t>6</w:t>
            </w:r>
            <w:r>
              <w:rPr>
                <w:noProof/>
                <w:webHidden/>
              </w:rPr>
              <w:fldChar w:fldCharType="end"/>
            </w:r>
          </w:hyperlink>
        </w:p>
        <w:p w14:paraId="4D30BCA7" w14:textId="39AD106F"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77" w:history="1">
            <w:r w:rsidRPr="00032B11">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_Toc227499677 \h </w:instrText>
            </w:r>
            <w:r>
              <w:rPr>
                <w:noProof/>
                <w:webHidden/>
              </w:rPr>
            </w:r>
            <w:r>
              <w:rPr>
                <w:noProof/>
                <w:webHidden/>
              </w:rPr>
              <w:fldChar w:fldCharType="separate"/>
            </w:r>
            <w:r>
              <w:rPr>
                <w:noProof/>
                <w:webHidden/>
              </w:rPr>
              <w:t>6</w:t>
            </w:r>
            <w:r>
              <w:rPr>
                <w:noProof/>
                <w:webHidden/>
              </w:rPr>
              <w:fldChar w:fldCharType="end"/>
            </w:r>
          </w:hyperlink>
        </w:p>
        <w:p w14:paraId="61C22610" w14:textId="5078B4BC" w:rsidR="003A051E" w:rsidRDefault="003A051E">
          <w:pPr>
            <w:pStyle w:val="TOC1"/>
            <w:tabs>
              <w:tab w:val="right" w:leader="dot" w:pos="9016"/>
            </w:tabs>
            <w:rPr>
              <w:rFonts w:asciiTheme="minorHAnsi" w:eastAsiaTheme="minorEastAsia" w:hAnsiTheme="minorHAnsi" w:cstheme="minorBidi"/>
              <w:noProof/>
              <w:kern w:val="2"/>
              <w14:ligatures w14:val="standardContextual"/>
            </w:rPr>
          </w:pPr>
          <w:hyperlink w:anchor="_Toc227499678" w:history="1">
            <w:r w:rsidRPr="00032B11">
              <w:rPr>
                <w:rStyle w:val="Hyperlink"/>
                <w:rFonts w:eastAsia="Arial"/>
                <w:noProof/>
              </w:rPr>
              <w:t>Task 4 – Data Collection</w:t>
            </w:r>
            <w:r>
              <w:rPr>
                <w:noProof/>
                <w:webHidden/>
              </w:rPr>
              <w:tab/>
            </w:r>
            <w:r>
              <w:rPr>
                <w:noProof/>
                <w:webHidden/>
              </w:rPr>
              <w:fldChar w:fldCharType="begin"/>
            </w:r>
            <w:r>
              <w:rPr>
                <w:noProof/>
                <w:webHidden/>
              </w:rPr>
              <w:instrText xml:space="preserve"> PAGEREF _Toc227499678 \h </w:instrText>
            </w:r>
            <w:r>
              <w:rPr>
                <w:noProof/>
                <w:webHidden/>
              </w:rPr>
            </w:r>
            <w:r>
              <w:rPr>
                <w:noProof/>
                <w:webHidden/>
              </w:rPr>
              <w:fldChar w:fldCharType="separate"/>
            </w:r>
            <w:r>
              <w:rPr>
                <w:noProof/>
                <w:webHidden/>
              </w:rPr>
              <w:t>7</w:t>
            </w:r>
            <w:r>
              <w:rPr>
                <w:noProof/>
                <w:webHidden/>
              </w:rPr>
              <w:fldChar w:fldCharType="end"/>
            </w:r>
          </w:hyperlink>
        </w:p>
        <w:p w14:paraId="703B1405" w14:textId="28022CD4"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79" w:history="1">
            <w:r w:rsidRPr="00032B11">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_Toc227499679 \h </w:instrText>
            </w:r>
            <w:r>
              <w:rPr>
                <w:noProof/>
                <w:webHidden/>
              </w:rPr>
            </w:r>
            <w:r>
              <w:rPr>
                <w:noProof/>
                <w:webHidden/>
              </w:rPr>
              <w:fldChar w:fldCharType="separate"/>
            </w:r>
            <w:r>
              <w:rPr>
                <w:noProof/>
                <w:webHidden/>
              </w:rPr>
              <w:t>7</w:t>
            </w:r>
            <w:r>
              <w:rPr>
                <w:noProof/>
                <w:webHidden/>
              </w:rPr>
              <w:fldChar w:fldCharType="end"/>
            </w:r>
          </w:hyperlink>
        </w:p>
        <w:p w14:paraId="257BE659" w14:textId="6E671F00"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80" w:history="1">
            <w:r w:rsidRPr="00032B11">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_Toc227499680 \h </w:instrText>
            </w:r>
            <w:r>
              <w:rPr>
                <w:noProof/>
                <w:webHidden/>
              </w:rPr>
            </w:r>
            <w:r>
              <w:rPr>
                <w:noProof/>
                <w:webHidden/>
              </w:rPr>
              <w:fldChar w:fldCharType="separate"/>
            </w:r>
            <w:r>
              <w:rPr>
                <w:noProof/>
                <w:webHidden/>
              </w:rPr>
              <w:t>7</w:t>
            </w:r>
            <w:r>
              <w:rPr>
                <w:noProof/>
                <w:webHidden/>
              </w:rPr>
              <w:fldChar w:fldCharType="end"/>
            </w:r>
          </w:hyperlink>
        </w:p>
        <w:p w14:paraId="1D40B8C7" w14:textId="4CDC0854" w:rsidR="003A051E" w:rsidRDefault="003A051E">
          <w:pPr>
            <w:pStyle w:val="TOC2"/>
            <w:tabs>
              <w:tab w:val="right" w:leader="dot" w:pos="9016"/>
            </w:tabs>
            <w:rPr>
              <w:rFonts w:asciiTheme="minorHAnsi" w:eastAsiaTheme="minorEastAsia" w:hAnsiTheme="minorHAnsi" w:cstheme="minorBidi"/>
              <w:noProof/>
              <w:kern w:val="2"/>
              <w14:ligatures w14:val="standardContextual"/>
            </w:rPr>
          </w:pPr>
          <w:hyperlink w:anchor="_Toc227499681" w:history="1">
            <w:r w:rsidRPr="00032B11">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_Toc227499681 \h </w:instrText>
            </w:r>
            <w:r>
              <w:rPr>
                <w:noProof/>
                <w:webHidden/>
              </w:rPr>
            </w:r>
            <w:r>
              <w:rPr>
                <w:noProof/>
                <w:webHidden/>
              </w:rPr>
              <w:fldChar w:fldCharType="separate"/>
            </w:r>
            <w:r>
              <w:rPr>
                <w:noProof/>
                <w:webHidden/>
              </w:rPr>
              <w:t>8</w:t>
            </w:r>
            <w:r>
              <w:rPr>
                <w:noProof/>
                <w:webHidden/>
              </w:rPr>
              <w:fldChar w:fldCharType="end"/>
            </w:r>
          </w:hyperlink>
        </w:p>
        <w:p w14:paraId="56FD78F7" w14:textId="7EB0750F" w:rsidR="003A051E" w:rsidRDefault="003A051E">
          <w:pPr>
            <w:pStyle w:val="TOC1"/>
            <w:tabs>
              <w:tab w:val="right" w:leader="dot" w:pos="9016"/>
            </w:tabs>
            <w:rPr>
              <w:rFonts w:asciiTheme="minorHAnsi" w:eastAsiaTheme="minorEastAsia" w:hAnsiTheme="minorHAnsi" w:cstheme="minorBidi"/>
              <w:noProof/>
              <w:kern w:val="2"/>
              <w14:ligatures w14:val="standardContextual"/>
            </w:rPr>
          </w:pPr>
          <w:hyperlink w:anchor="_Toc227499682" w:history="1">
            <w:r w:rsidRPr="00032B11">
              <w:rPr>
                <w:rStyle w:val="Hyperlink"/>
                <w:rFonts w:eastAsia="Arial"/>
                <w:noProof/>
              </w:rPr>
              <w:t>Conclusion</w:t>
            </w:r>
            <w:r>
              <w:rPr>
                <w:noProof/>
                <w:webHidden/>
              </w:rPr>
              <w:tab/>
            </w:r>
            <w:r>
              <w:rPr>
                <w:noProof/>
                <w:webHidden/>
              </w:rPr>
              <w:fldChar w:fldCharType="begin"/>
            </w:r>
            <w:r>
              <w:rPr>
                <w:noProof/>
                <w:webHidden/>
              </w:rPr>
              <w:instrText xml:space="preserve"> PAGEREF _Toc227499682 \h </w:instrText>
            </w:r>
            <w:r>
              <w:rPr>
                <w:noProof/>
                <w:webHidden/>
              </w:rPr>
            </w:r>
            <w:r>
              <w:rPr>
                <w:noProof/>
                <w:webHidden/>
              </w:rPr>
              <w:fldChar w:fldCharType="separate"/>
            </w:r>
            <w:r>
              <w:rPr>
                <w:noProof/>
                <w:webHidden/>
              </w:rPr>
              <w:t>9</w:t>
            </w:r>
            <w:r>
              <w:rPr>
                <w:noProof/>
                <w:webHidden/>
              </w:rPr>
              <w:fldChar w:fldCharType="end"/>
            </w:r>
          </w:hyperlink>
        </w:p>
        <w:p w14:paraId="5516914B" w14:textId="3EDC627C" w:rsidR="003A051E" w:rsidRDefault="003A051E">
          <w:pPr>
            <w:pStyle w:val="TOC1"/>
            <w:tabs>
              <w:tab w:val="right" w:leader="dot" w:pos="9016"/>
            </w:tabs>
            <w:rPr>
              <w:rFonts w:asciiTheme="minorHAnsi" w:eastAsiaTheme="minorEastAsia" w:hAnsiTheme="minorHAnsi" w:cstheme="minorBidi"/>
              <w:noProof/>
              <w:kern w:val="2"/>
              <w14:ligatures w14:val="standardContextual"/>
            </w:rPr>
          </w:pPr>
          <w:hyperlink w:anchor="_Toc227499683" w:history="1">
            <w:r w:rsidRPr="00032B11">
              <w:rPr>
                <w:rStyle w:val="Hyperlink"/>
                <w:rFonts w:eastAsia="Arial"/>
                <w:noProof/>
              </w:rPr>
              <w:t>Reference List</w:t>
            </w:r>
            <w:r>
              <w:rPr>
                <w:noProof/>
                <w:webHidden/>
              </w:rPr>
              <w:tab/>
            </w:r>
            <w:r>
              <w:rPr>
                <w:noProof/>
                <w:webHidden/>
              </w:rPr>
              <w:fldChar w:fldCharType="begin"/>
            </w:r>
            <w:r>
              <w:rPr>
                <w:noProof/>
                <w:webHidden/>
              </w:rPr>
              <w:instrText xml:space="preserve"> PAGEREF _Toc227499683 \h </w:instrText>
            </w:r>
            <w:r>
              <w:rPr>
                <w:noProof/>
                <w:webHidden/>
              </w:rPr>
            </w:r>
            <w:r>
              <w:rPr>
                <w:noProof/>
                <w:webHidden/>
              </w:rPr>
              <w:fldChar w:fldCharType="separate"/>
            </w:r>
            <w:r>
              <w:rPr>
                <w:noProof/>
                <w:webHidden/>
              </w:rPr>
              <w:t>9</w:t>
            </w:r>
            <w:r>
              <w:rPr>
                <w:noProof/>
                <w:webHidden/>
              </w:rPr>
              <w:fldChar w:fldCharType="end"/>
            </w:r>
          </w:hyperlink>
        </w:p>
        <w:p w14:paraId="4794208F" w14:textId="5DD0C3DC" w:rsidR="00530E16" w:rsidRPr="00CF650B" w:rsidRDefault="004468F8">
          <w:r>
            <w:fldChar w:fldCharType="end"/>
          </w:r>
        </w:p>
      </w:sdtContent>
    </w:sdt>
    <w:p w14:paraId="18B1F74D" w14:textId="77777777" w:rsidR="00530E16" w:rsidRDefault="00530E16">
      <w:pPr>
        <w:rPr>
          <w:rFonts w:ascii="Arial" w:eastAsia="Arial" w:hAnsi="Arial" w:cs="Arial"/>
        </w:rPr>
      </w:pPr>
    </w:p>
    <w:p w14:paraId="7E690748" w14:textId="77777777" w:rsidR="00530E16" w:rsidRDefault="00530E16">
      <w:pPr>
        <w:rPr>
          <w:rFonts w:ascii="Arial" w:eastAsia="Arial" w:hAnsi="Arial" w:cs="Arial"/>
        </w:rPr>
      </w:pPr>
    </w:p>
    <w:p w14:paraId="1E494BD8" w14:textId="77777777" w:rsidR="00530E16" w:rsidRDefault="00530E16">
      <w:pPr>
        <w:rPr>
          <w:rFonts w:ascii="Arial" w:eastAsia="Arial" w:hAnsi="Arial" w:cs="Arial"/>
        </w:rPr>
      </w:pPr>
    </w:p>
    <w:p w14:paraId="7CEF6C84" w14:textId="77777777" w:rsidR="00530E16" w:rsidRDefault="00530E16">
      <w:pPr>
        <w:rPr>
          <w:rFonts w:ascii="Arial" w:eastAsia="Arial" w:hAnsi="Arial" w:cs="Arial"/>
        </w:rPr>
      </w:pPr>
    </w:p>
    <w:p w14:paraId="0822F5FF" w14:textId="77777777" w:rsidR="00530E16" w:rsidRDefault="00530E16">
      <w:pPr>
        <w:rPr>
          <w:rFonts w:ascii="Arial" w:eastAsia="Arial" w:hAnsi="Arial" w:cs="Arial"/>
        </w:rPr>
      </w:pPr>
    </w:p>
    <w:p w14:paraId="4043FCCC" w14:textId="77777777" w:rsidR="00530E16" w:rsidRDefault="00530E16">
      <w:pPr>
        <w:rPr>
          <w:rFonts w:ascii="Arial" w:eastAsia="Arial" w:hAnsi="Arial" w:cs="Arial"/>
        </w:rPr>
      </w:pPr>
    </w:p>
    <w:p w14:paraId="0B45EAB1" w14:textId="77777777" w:rsidR="00530E16" w:rsidRDefault="00530E16">
      <w:pPr>
        <w:rPr>
          <w:rFonts w:ascii="Arial" w:eastAsia="Arial" w:hAnsi="Arial" w:cs="Arial"/>
        </w:rPr>
      </w:pPr>
    </w:p>
    <w:p w14:paraId="14492DD8" w14:textId="77777777" w:rsidR="00530E16" w:rsidRDefault="00530E16">
      <w:pPr>
        <w:rPr>
          <w:rFonts w:ascii="Arial" w:eastAsia="Arial" w:hAnsi="Arial" w:cs="Arial"/>
        </w:rPr>
      </w:pPr>
    </w:p>
    <w:p w14:paraId="56706B05" w14:textId="77777777" w:rsidR="00530E16" w:rsidRDefault="00530E16">
      <w:pPr>
        <w:rPr>
          <w:rFonts w:ascii="Arial" w:eastAsia="Arial" w:hAnsi="Arial" w:cs="Arial"/>
        </w:rPr>
      </w:pPr>
    </w:p>
    <w:p w14:paraId="31C67775"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5E198C6" w14:textId="77777777" w:rsidR="00530E16" w:rsidRDefault="00530E16">
      <w:pPr>
        <w:rPr>
          <w:rFonts w:ascii="Arial" w:eastAsia="Arial" w:hAnsi="Arial" w:cs="Arial"/>
        </w:rPr>
      </w:pPr>
    </w:p>
    <w:p w14:paraId="5AAEB287" w14:textId="77777777" w:rsidR="00575E73" w:rsidRPr="00575E73" w:rsidRDefault="00575E73" w:rsidP="00575E73">
      <w:pPr>
        <w:pStyle w:val="Heading1"/>
        <w:rPr>
          <w:rFonts w:eastAsia="Arial"/>
        </w:rPr>
      </w:pPr>
      <w:bookmarkStart w:id="0" w:name="_Toc227499666"/>
      <w:r w:rsidRPr="00575E73">
        <w:rPr>
          <w:rFonts w:eastAsia="Arial"/>
        </w:rPr>
        <w:lastRenderedPageBreak/>
        <w:t>Introduction</w:t>
      </w:r>
      <w:bookmarkEnd w:id="0"/>
      <w:r w:rsidRPr="00575E73">
        <w:rPr>
          <w:rFonts w:eastAsia="Arial"/>
        </w:rPr>
        <w:t xml:space="preserve">  </w:t>
      </w:r>
    </w:p>
    <w:p w14:paraId="5680DA1B" w14:textId="08088CB6" w:rsidR="00575E73" w:rsidRPr="00575E73" w:rsidRDefault="007C3CD9" w:rsidP="00575E73">
      <w:pPr>
        <w:rPr>
          <w:rFonts w:ascii="Arial" w:eastAsia="Arial" w:hAnsi="Arial" w:cs="Arial"/>
          <w:sz w:val="22"/>
          <w:szCs w:val="22"/>
        </w:rPr>
      </w:pPr>
      <w:r w:rsidRPr="007C3CD9">
        <w:rPr>
          <w:rFonts w:ascii="Arial" w:eastAsia="Arial" w:hAnsi="Arial" w:cs="Arial"/>
          <w:sz w:val="22"/>
          <w:szCs w:val="22"/>
          <w:lang w:val="en-US"/>
        </w:rPr>
        <w:t>A Mental Health disorder is significant disturbance in an individual’s behavior that causes distress in daily functioning. These conditions go beyond everyday stress and can affect a person to function at home, school, and work. Mostly, what causes mental disorder are family history, your life experiences, such as abuse, especially in childhood trauma, teenagers, and married life. Mental disorders are common. Many people will be diagnosed with a mental disorder at some point in their life, especially in America.</w:t>
      </w:r>
      <w:r w:rsidRPr="007C3CD9">
        <w:rPr>
          <w:rFonts w:ascii="Arial" w:eastAsia="Arial" w:hAnsi="Arial" w:cs="Arial"/>
          <w:sz w:val="22"/>
          <w:szCs w:val="22"/>
        </w:rPr>
        <w:t> </w:t>
      </w:r>
    </w:p>
    <w:p w14:paraId="283C2E0E" w14:textId="77777777" w:rsidR="00575E73" w:rsidRPr="00575E73" w:rsidRDefault="00575E73" w:rsidP="00575E73">
      <w:pPr>
        <w:pStyle w:val="Heading1"/>
        <w:rPr>
          <w:rFonts w:eastAsia="Arial"/>
        </w:rPr>
      </w:pPr>
      <w:bookmarkStart w:id="1" w:name="_Toc227499667"/>
      <w:r w:rsidRPr="00575E73">
        <w:rPr>
          <w:rFonts w:eastAsia="Arial"/>
        </w:rPr>
        <w:t>Task 1 – Selection of a Research Topic</w:t>
      </w:r>
      <w:bookmarkEnd w:id="1"/>
      <w:r w:rsidRPr="00575E73">
        <w:rPr>
          <w:rFonts w:eastAsia="Arial"/>
        </w:rPr>
        <w:t xml:space="preserve"> </w:t>
      </w:r>
    </w:p>
    <w:p w14:paraId="27BF864F" w14:textId="77777777" w:rsidR="00575E73" w:rsidRPr="00575E73" w:rsidRDefault="00575E73" w:rsidP="00575E73">
      <w:pPr>
        <w:pStyle w:val="Heading2"/>
        <w:rPr>
          <w:rFonts w:eastAsia="Arial"/>
        </w:rPr>
      </w:pPr>
      <w:bookmarkStart w:id="2" w:name="_Toc227499668"/>
      <w:r w:rsidRPr="00575E73">
        <w:rPr>
          <w:rFonts w:eastAsia="Arial"/>
        </w:rPr>
        <w:t>1.1 The Issue and Why It Matters</w:t>
      </w:r>
      <w:bookmarkEnd w:id="2"/>
    </w:p>
    <w:p w14:paraId="4BB2DBEB" w14:textId="6B5E2F90" w:rsidR="007C3CD9" w:rsidRPr="007C3CD9" w:rsidRDefault="004821A7" w:rsidP="007C3CD9">
      <w:pPr>
        <w:rPr>
          <w:rFonts w:ascii="Arial" w:eastAsia="Arial" w:hAnsi="Arial" w:cs="Arial"/>
          <w:sz w:val="22"/>
          <w:szCs w:val="22"/>
        </w:rPr>
      </w:pPr>
      <w:r w:rsidRPr="004821A7">
        <w:rPr>
          <w:rFonts w:ascii="Arial" w:eastAsia="Arial" w:hAnsi="Arial" w:cs="Arial"/>
          <w:sz w:val="22"/>
          <w:szCs w:val="22"/>
          <w:u w:val="single"/>
          <w:lang w:val="en-US"/>
        </w:rPr>
        <w:t>Purpose</w:t>
      </w:r>
      <w:r>
        <w:rPr>
          <w:rFonts w:ascii="Arial" w:eastAsia="Arial" w:hAnsi="Arial" w:cs="Arial"/>
          <w:sz w:val="22"/>
          <w:szCs w:val="22"/>
          <w:lang w:val="en-US"/>
        </w:rPr>
        <w:t xml:space="preserve">: </w:t>
      </w:r>
      <w:r w:rsidR="007C3CD9" w:rsidRPr="007C3CD9">
        <w:rPr>
          <w:rFonts w:ascii="Arial" w:eastAsia="Arial" w:hAnsi="Arial" w:cs="Arial"/>
          <w:sz w:val="22"/>
          <w:szCs w:val="22"/>
          <w:lang w:val="en-US"/>
        </w:rPr>
        <w:t>A Critical current issue in health and social care that combines mental health stigma, and patient safety is diagnostic overshadowing. A physical symptom is misattributed to their pre-existing mental health condition, leading to missed diagnoses and delayed treatment. </w:t>
      </w:r>
      <w:r w:rsidR="007C3CD9" w:rsidRPr="007C3CD9">
        <w:rPr>
          <w:rFonts w:ascii="Arial" w:eastAsia="Arial" w:hAnsi="Arial" w:cs="Arial"/>
          <w:sz w:val="22"/>
          <w:szCs w:val="22"/>
        </w:rPr>
        <w:t> </w:t>
      </w:r>
    </w:p>
    <w:p w14:paraId="5368565C" w14:textId="22989912" w:rsidR="005B2CAF" w:rsidRDefault="007C3CD9" w:rsidP="007C3CD9">
      <w:pPr>
        <w:rPr>
          <w:rFonts w:ascii="Arial" w:eastAsia="Arial" w:hAnsi="Arial" w:cs="Arial"/>
          <w:sz w:val="22"/>
          <w:szCs w:val="22"/>
          <w:lang w:val="en-US"/>
        </w:rPr>
      </w:pPr>
      <w:r w:rsidRPr="007C3CD9">
        <w:rPr>
          <w:rFonts w:ascii="Arial" w:eastAsia="Arial" w:hAnsi="Arial" w:cs="Arial"/>
          <w:sz w:val="22"/>
          <w:szCs w:val="22"/>
          <w:lang w:val="en-US"/>
        </w:rPr>
        <w:t>In September 2023. NHS England published inclusive Digital Healthcare: A framework for NHS action on digital inclusion: This was launched by NHSE Health Inequalities Improvement team, with input from good Things Foundation, VCSE Health and Well</w:t>
      </w:r>
      <w:r w:rsidR="009C15F4">
        <w:rPr>
          <w:rFonts w:ascii="Arial" w:eastAsia="Arial" w:hAnsi="Arial" w:cs="Arial"/>
          <w:sz w:val="22"/>
          <w:szCs w:val="22"/>
          <w:lang w:val="en-US"/>
        </w:rPr>
        <w:t>-</w:t>
      </w:r>
      <w:r w:rsidRPr="007C3CD9">
        <w:rPr>
          <w:rFonts w:ascii="Arial" w:eastAsia="Arial" w:hAnsi="Arial" w:cs="Arial"/>
          <w:sz w:val="22"/>
          <w:szCs w:val="22"/>
          <w:lang w:val="en-US"/>
        </w:rPr>
        <w:t>being Alliance members and others.</w:t>
      </w:r>
    </w:p>
    <w:p w14:paraId="27ABA5FB" w14:textId="2212387D" w:rsidR="007C3CD9" w:rsidRDefault="005B2CAF" w:rsidP="007C3CD9">
      <w:pPr>
        <w:rPr>
          <w:rFonts w:ascii="Arial" w:eastAsia="Arial" w:hAnsi="Arial" w:cs="Arial"/>
          <w:sz w:val="22"/>
          <w:szCs w:val="22"/>
          <w:lang w:val="en-US"/>
        </w:rPr>
      </w:pPr>
      <w:r>
        <w:rPr>
          <w:rFonts w:ascii="Arial" w:eastAsia="Arial" w:hAnsi="Arial" w:cs="Arial"/>
          <w:sz w:val="22"/>
          <w:szCs w:val="22"/>
          <w:lang w:val="en-US"/>
        </w:rPr>
        <w:t>Mental Health is a state of mental well</w:t>
      </w:r>
      <w:r w:rsidR="009C15F4">
        <w:rPr>
          <w:rFonts w:ascii="Arial" w:eastAsia="Arial" w:hAnsi="Arial" w:cs="Arial"/>
          <w:sz w:val="22"/>
          <w:szCs w:val="22"/>
          <w:lang w:val="en-US"/>
        </w:rPr>
        <w:t>-</w:t>
      </w:r>
      <w:r>
        <w:rPr>
          <w:rFonts w:ascii="Arial" w:eastAsia="Arial" w:hAnsi="Arial" w:cs="Arial"/>
          <w:sz w:val="22"/>
          <w:szCs w:val="22"/>
          <w:lang w:val="en-US"/>
        </w:rPr>
        <w:t xml:space="preserve">being that enables people to cope with the stresses of life, realize their abilities, learn and work well, and contribute to their community. It has </w:t>
      </w:r>
      <w:r>
        <w:rPr>
          <w:rFonts w:ascii="Arial" w:eastAsia="Arial" w:hAnsi="Arial" w:cs="Arial"/>
          <w:sz w:val="22"/>
          <w:szCs w:val="22"/>
        </w:rPr>
        <w:t>i</w:t>
      </w:r>
      <w:r w:rsidRPr="005B2CAF">
        <w:rPr>
          <w:rFonts w:ascii="Arial" w:eastAsia="Arial" w:hAnsi="Arial" w:cs="Arial"/>
          <w:sz w:val="22"/>
          <w:szCs w:val="22"/>
        </w:rPr>
        <w:t>ntrinsic</w:t>
      </w:r>
      <w:r>
        <w:rPr>
          <w:rFonts w:ascii="Arial" w:eastAsia="Arial" w:hAnsi="Arial" w:cs="Arial"/>
          <w:sz w:val="22"/>
          <w:szCs w:val="22"/>
        </w:rPr>
        <w:t xml:space="preserve"> and instrumental value and is a basic human right. Mental health exists on a complex continuum</w:t>
      </w:r>
      <w:r>
        <w:rPr>
          <w:rFonts w:ascii="Arial" w:eastAsia="Arial" w:hAnsi="Arial" w:cs="Arial"/>
          <w:sz w:val="22"/>
          <w:szCs w:val="22"/>
          <w:lang w:val="en-US"/>
        </w:rPr>
        <w:t>, which is experienced differently from one person to the next. At any one time, a diverse set of individual, family, community and structured factors many combine to protest or undermine mental health.</w:t>
      </w:r>
      <w:r w:rsidR="004821A7">
        <w:rPr>
          <w:rFonts w:ascii="Arial" w:eastAsia="Arial" w:hAnsi="Arial" w:cs="Arial"/>
          <w:sz w:val="22"/>
          <w:szCs w:val="22"/>
          <w:lang w:val="en-US"/>
        </w:rPr>
        <w:t xml:space="preserve"> Although most people are resilient, people who are exposed to adverse circumstances are at higher risk of developing a mental condition. </w:t>
      </w:r>
      <w:r w:rsidR="00BA0D30">
        <w:rPr>
          <w:rFonts w:ascii="Arial" w:eastAsia="Arial" w:hAnsi="Arial" w:cs="Arial"/>
          <w:sz w:val="22"/>
          <w:szCs w:val="22"/>
          <w:lang w:val="en-US"/>
        </w:rPr>
        <w:t>(</w:t>
      </w:r>
      <w:r w:rsidR="004821A7">
        <w:rPr>
          <w:rFonts w:ascii="Arial" w:eastAsia="Arial" w:hAnsi="Arial" w:cs="Arial"/>
          <w:sz w:val="22"/>
          <w:szCs w:val="22"/>
          <w:lang w:val="en-US"/>
        </w:rPr>
        <w:t>World Health Organization</w:t>
      </w:r>
      <w:r w:rsidR="00BA0D30">
        <w:rPr>
          <w:rFonts w:ascii="Arial" w:eastAsia="Arial" w:hAnsi="Arial" w:cs="Arial"/>
          <w:sz w:val="22"/>
          <w:szCs w:val="22"/>
          <w:lang w:val="en-US"/>
        </w:rPr>
        <w:t>/</w:t>
      </w:r>
      <w:r w:rsidR="004821A7">
        <w:rPr>
          <w:rFonts w:ascii="Arial" w:eastAsia="Arial" w:hAnsi="Arial" w:cs="Arial"/>
          <w:sz w:val="22"/>
          <w:szCs w:val="22"/>
          <w:lang w:val="en-US"/>
        </w:rPr>
        <w:t>WHO</w:t>
      </w:r>
      <w:r w:rsidR="00BA0D30">
        <w:rPr>
          <w:rFonts w:ascii="Arial" w:eastAsia="Arial" w:hAnsi="Arial" w:cs="Arial"/>
          <w:sz w:val="22"/>
          <w:szCs w:val="22"/>
          <w:lang w:val="en-US"/>
        </w:rPr>
        <w:t>)</w:t>
      </w:r>
    </w:p>
    <w:p w14:paraId="3C82F2A0" w14:textId="300DD679" w:rsidR="00575E73" w:rsidRDefault="004821A7" w:rsidP="00575E73">
      <w:pPr>
        <w:rPr>
          <w:rFonts w:ascii="Arial" w:eastAsia="Arial" w:hAnsi="Arial" w:cs="Arial"/>
          <w:sz w:val="22"/>
          <w:szCs w:val="22"/>
        </w:rPr>
      </w:pPr>
      <w:r w:rsidRPr="004821A7">
        <w:rPr>
          <w:rFonts w:ascii="Arial" w:eastAsia="Arial" w:hAnsi="Arial" w:cs="Arial"/>
          <w:sz w:val="22"/>
          <w:szCs w:val="22"/>
          <w:u w:val="single"/>
        </w:rPr>
        <w:t>Scope</w:t>
      </w:r>
      <w:r w:rsidRPr="004821A7">
        <w:rPr>
          <w:rFonts w:ascii="Arial" w:eastAsia="Arial" w:hAnsi="Arial" w:cs="Arial"/>
          <w:sz w:val="22"/>
          <w:szCs w:val="22"/>
        </w:rPr>
        <w:t>: Mental disorders cause substantial health</w:t>
      </w:r>
      <w:r>
        <w:rPr>
          <w:rFonts w:ascii="Arial" w:eastAsia="Arial" w:hAnsi="Arial" w:cs="Arial"/>
          <w:sz w:val="22"/>
          <w:szCs w:val="22"/>
        </w:rPr>
        <w:t xml:space="preserve"> related burden world</w:t>
      </w:r>
      <w:r w:rsidR="009C15F4">
        <w:rPr>
          <w:rFonts w:ascii="Arial" w:eastAsia="Arial" w:hAnsi="Arial" w:cs="Arial"/>
          <w:sz w:val="22"/>
          <w:szCs w:val="22"/>
        </w:rPr>
        <w:t>-wide, mobile health interventions are increasingly being used to promote mental health and well-being, as they would improve access to treatment and reduce associated costs. Behaviour change an important feature of interventions aimed at improving mental health and well-being</w:t>
      </w:r>
      <w:r w:rsidR="00BA0D30">
        <w:rPr>
          <w:rFonts w:ascii="Arial" w:eastAsia="Arial" w:hAnsi="Arial" w:cs="Arial"/>
          <w:sz w:val="22"/>
          <w:szCs w:val="22"/>
        </w:rPr>
        <w:t>. There is a need to discern the active components that can promote behaviour change in such interventions and ultimately improve users mental health. (National library of Medicine)</w:t>
      </w:r>
    </w:p>
    <w:p w14:paraId="280E555D" w14:textId="1A775716" w:rsidR="00BA0D30" w:rsidRDefault="00BA0D30" w:rsidP="00575E73">
      <w:pPr>
        <w:rPr>
          <w:rFonts w:ascii="Arial" w:eastAsia="Arial" w:hAnsi="Arial" w:cs="Arial"/>
          <w:sz w:val="22"/>
          <w:szCs w:val="22"/>
        </w:rPr>
      </w:pPr>
      <w:r w:rsidRPr="00BA0D30">
        <w:rPr>
          <w:rFonts w:ascii="Arial" w:eastAsia="Arial" w:hAnsi="Arial" w:cs="Arial"/>
          <w:sz w:val="22"/>
          <w:szCs w:val="22"/>
          <w:u w:val="single"/>
        </w:rPr>
        <w:t>Methodology</w:t>
      </w:r>
      <w:r>
        <w:rPr>
          <w:rFonts w:ascii="Arial" w:eastAsia="Arial" w:hAnsi="Arial" w:cs="Arial"/>
          <w:sz w:val="22"/>
          <w:szCs w:val="22"/>
        </w:rPr>
        <w:t xml:space="preserve">: This book (APA PsycNet) develops a new framework for mental health research. It’s concerned with how to choose the appropriate mental health research method, not to address a specific question, but to maximise the potential impact on shaping mental health care. The authors of the book focuses attention on the types of audience that the research is seeking influence, the types of evidence each audience accept as valid and the relative strengths and limitations of each type of methodology. A range of research methodologies are described </w:t>
      </w:r>
      <w:r w:rsidR="008F02BB">
        <w:rPr>
          <w:rFonts w:ascii="Arial" w:eastAsia="Arial" w:hAnsi="Arial" w:cs="Arial"/>
          <w:sz w:val="22"/>
          <w:szCs w:val="22"/>
        </w:rPr>
        <w:t>and critically appraised with the use of evidence by different groups is discussed.</w:t>
      </w:r>
    </w:p>
    <w:p w14:paraId="1F17F857" w14:textId="63A05028" w:rsidR="008F02BB" w:rsidRDefault="008F02BB" w:rsidP="00575E73">
      <w:pPr>
        <w:rPr>
          <w:rFonts w:ascii="Arial" w:eastAsia="Arial" w:hAnsi="Arial" w:cs="Arial"/>
          <w:sz w:val="22"/>
          <w:szCs w:val="22"/>
        </w:rPr>
      </w:pPr>
      <w:r>
        <w:rPr>
          <w:rFonts w:ascii="Arial" w:eastAsia="Arial" w:hAnsi="Arial" w:cs="Arial"/>
          <w:sz w:val="22"/>
          <w:szCs w:val="22"/>
        </w:rPr>
        <w:lastRenderedPageBreak/>
        <w:t>This produces some important findings about interplay between research production and consumption and highlights directions for the future of mental health research theory and practice (</w:t>
      </w:r>
      <w:proofErr w:type="spellStart"/>
      <w:r>
        <w:rPr>
          <w:rFonts w:ascii="Arial" w:eastAsia="Arial" w:hAnsi="Arial" w:cs="Arial"/>
          <w:sz w:val="22"/>
          <w:szCs w:val="22"/>
        </w:rPr>
        <w:t>PsyInfo</w:t>
      </w:r>
      <w:proofErr w:type="spellEnd"/>
      <w:r>
        <w:rPr>
          <w:rFonts w:ascii="Arial" w:eastAsia="Arial" w:hAnsi="Arial" w:cs="Arial"/>
          <w:sz w:val="22"/>
          <w:szCs w:val="22"/>
        </w:rPr>
        <w:t xml:space="preserve"> Database Record © 2025APA, all rights reserved)</w:t>
      </w:r>
    </w:p>
    <w:p w14:paraId="03CF6C36" w14:textId="7822304B" w:rsidR="008F02BB" w:rsidRPr="008F02BB" w:rsidRDefault="008F02BB" w:rsidP="00575E73">
      <w:pPr>
        <w:rPr>
          <w:rFonts w:ascii="Arial" w:eastAsia="Arial" w:hAnsi="Arial" w:cs="Arial"/>
          <w:sz w:val="22"/>
          <w:szCs w:val="22"/>
        </w:rPr>
      </w:pPr>
      <w:r w:rsidRPr="003A051E">
        <w:rPr>
          <w:rFonts w:ascii="Arial" w:eastAsia="Arial" w:hAnsi="Arial" w:cs="Arial"/>
          <w:sz w:val="22"/>
          <w:szCs w:val="22"/>
        </w:rPr>
        <w:t xml:space="preserve">- Slade, M. Priebe, S. (Eds.) </w:t>
      </w:r>
      <w:r w:rsidRPr="008F02BB">
        <w:rPr>
          <w:rFonts w:ascii="Arial" w:eastAsia="Arial" w:hAnsi="Arial" w:cs="Arial"/>
          <w:sz w:val="22"/>
          <w:szCs w:val="22"/>
        </w:rPr>
        <w:t>(200) Choosing methods in mental he</w:t>
      </w:r>
      <w:r>
        <w:rPr>
          <w:rFonts w:ascii="Arial" w:eastAsia="Arial" w:hAnsi="Arial" w:cs="Arial"/>
          <w:sz w:val="22"/>
          <w:szCs w:val="22"/>
        </w:rPr>
        <w:t>alth research. Mental health research from theory to practice. Routledge/Taylor and Francis Group.</w:t>
      </w:r>
    </w:p>
    <w:p w14:paraId="06A2C696" w14:textId="77777777" w:rsidR="00575E73" w:rsidRPr="00575E73" w:rsidRDefault="00575E73" w:rsidP="00575E73">
      <w:pPr>
        <w:pStyle w:val="Heading2"/>
        <w:rPr>
          <w:rFonts w:eastAsia="Arial"/>
        </w:rPr>
      </w:pPr>
      <w:bookmarkStart w:id="3" w:name="_Toc227499669"/>
      <w:r w:rsidRPr="00575E73">
        <w:rPr>
          <w:rFonts w:eastAsia="Arial"/>
        </w:rPr>
        <w:t>1.2 Personal Reflection – Why I Chose This Topic</w:t>
      </w:r>
      <w:bookmarkEnd w:id="3"/>
    </w:p>
    <w:p w14:paraId="2218BF22" w14:textId="45BC44CB" w:rsidR="007C3CD9" w:rsidRPr="007C3CD9" w:rsidRDefault="007C3CD9" w:rsidP="004318C1">
      <w:pPr>
        <w:rPr>
          <w:rFonts w:ascii="Arial" w:eastAsia="Arial" w:hAnsi="Arial" w:cs="Arial"/>
          <w:sz w:val="22"/>
          <w:szCs w:val="22"/>
          <w:lang w:val="en-US"/>
        </w:rPr>
      </w:pPr>
      <w:r w:rsidRPr="007C3CD9">
        <w:rPr>
          <w:rFonts w:ascii="Arial" w:eastAsia="Arial" w:hAnsi="Arial" w:cs="Arial"/>
          <w:sz w:val="22"/>
          <w:szCs w:val="22"/>
          <w:lang w:val="en-US"/>
        </w:rPr>
        <w:t xml:space="preserve">The reason why I chose Mental Health as my topic, I believe it reflects myself as a Student in this University. I am feeling </w:t>
      </w:r>
      <w:r w:rsidR="004318C1" w:rsidRPr="007C3CD9">
        <w:rPr>
          <w:rFonts w:ascii="Arial" w:eastAsia="Arial" w:hAnsi="Arial" w:cs="Arial"/>
          <w:sz w:val="22"/>
          <w:szCs w:val="22"/>
          <w:lang w:val="en-US"/>
        </w:rPr>
        <w:t>anx</w:t>
      </w:r>
      <w:r w:rsidR="004318C1">
        <w:rPr>
          <w:rFonts w:ascii="Arial" w:eastAsia="Arial" w:hAnsi="Arial" w:cs="Arial"/>
          <w:sz w:val="22"/>
          <w:szCs w:val="22"/>
          <w:lang w:val="en-US"/>
        </w:rPr>
        <w:t>iety</w:t>
      </w:r>
      <w:r w:rsidRPr="007C3CD9">
        <w:rPr>
          <w:rFonts w:ascii="Arial" w:eastAsia="Arial" w:hAnsi="Arial" w:cs="Arial"/>
          <w:sz w:val="22"/>
          <w:szCs w:val="22"/>
          <w:lang w:val="en-US"/>
        </w:rPr>
        <w:t xml:space="preserve"> and frustration of not knowing if I am right in what I am doing.</w:t>
      </w:r>
    </w:p>
    <w:p w14:paraId="2A69393E" w14:textId="62A80619" w:rsidR="007C3CD9" w:rsidRPr="007C3CD9" w:rsidRDefault="007C3CD9" w:rsidP="004318C1">
      <w:pPr>
        <w:rPr>
          <w:rFonts w:ascii="Arial" w:eastAsia="Arial" w:hAnsi="Arial" w:cs="Arial"/>
          <w:sz w:val="22"/>
          <w:szCs w:val="22"/>
          <w:lang w:val="en-US"/>
        </w:rPr>
      </w:pPr>
      <w:r w:rsidRPr="007C3CD9">
        <w:rPr>
          <w:rFonts w:ascii="Arial" w:eastAsia="Arial" w:hAnsi="Arial" w:cs="Arial"/>
          <w:sz w:val="22"/>
          <w:szCs w:val="22"/>
          <w:lang w:val="en-US"/>
        </w:rPr>
        <w:t>In my own </w:t>
      </w:r>
      <w:r w:rsidR="004318C1" w:rsidRPr="007C3CD9">
        <w:rPr>
          <w:rFonts w:ascii="Arial" w:eastAsia="Arial" w:hAnsi="Arial" w:cs="Arial"/>
          <w:sz w:val="22"/>
          <w:szCs w:val="22"/>
          <w:lang w:val="en-US"/>
        </w:rPr>
        <w:t>opinion</w:t>
      </w:r>
      <w:r w:rsidRPr="007C3CD9">
        <w:rPr>
          <w:rFonts w:ascii="Arial" w:eastAsia="Arial" w:hAnsi="Arial" w:cs="Arial"/>
          <w:sz w:val="22"/>
          <w:szCs w:val="22"/>
          <w:lang w:val="en-US"/>
        </w:rPr>
        <w:t>, I am happy to be accepted and to be part of the student cohort and excited to come for my lessons although my mind is set to sadness if I fail. I understand that this is a fault of my own and an issue with my own mental health that contributes to why I feel this way. It might be due to my own high standards that I set myself.</w:t>
      </w:r>
    </w:p>
    <w:p w14:paraId="63DC9D64" w14:textId="77777777" w:rsidR="004318C1" w:rsidRDefault="007C3CD9" w:rsidP="004318C1">
      <w:pPr>
        <w:rPr>
          <w:rFonts w:ascii="Arial" w:eastAsia="Arial" w:hAnsi="Arial" w:cs="Arial"/>
          <w:sz w:val="22"/>
          <w:szCs w:val="22"/>
          <w:lang w:val="en-US"/>
        </w:rPr>
      </w:pPr>
      <w:r w:rsidRPr="007C3CD9">
        <w:rPr>
          <w:rFonts w:ascii="Arial" w:eastAsia="Arial" w:hAnsi="Arial" w:cs="Arial"/>
          <w:sz w:val="22"/>
          <w:szCs w:val="22"/>
          <w:lang w:val="en-US"/>
        </w:rPr>
        <w:t>Growing up in the 70’s and 80’s, mental health was a topic that was not talked about or taught in classes. Little did I know how much of an effect it would have on my own mental health when growing up in this type of environment. </w:t>
      </w:r>
    </w:p>
    <w:p w14:paraId="21C5DAB7" w14:textId="63D45563" w:rsidR="007C3CD9" w:rsidRPr="007C3CD9" w:rsidRDefault="007C3CD9" w:rsidP="004318C1">
      <w:pPr>
        <w:rPr>
          <w:rFonts w:ascii="Arial" w:eastAsia="Arial" w:hAnsi="Arial" w:cs="Arial"/>
          <w:sz w:val="22"/>
          <w:szCs w:val="22"/>
          <w:lang w:val="en-US"/>
        </w:rPr>
      </w:pPr>
      <w:r w:rsidRPr="007C3CD9">
        <w:rPr>
          <w:rFonts w:ascii="Arial" w:eastAsia="Arial" w:hAnsi="Arial" w:cs="Arial"/>
          <w:sz w:val="22"/>
          <w:szCs w:val="22"/>
          <w:lang w:val="en-US"/>
        </w:rPr>
        <w:t>I’m glad that in today’s world, that isn’t the case anymore and mental health is ver</w:t>
      </w:r>
      <w:r w:rsidR="004318C1">
        <w:rPr>
          <w:rFonts w:ascii="Arial" w:eastAsia="Arial" w:hAnsi="Arial" w:cs="Arial"/>
          <w:sz w:val="22"/>
          <w:szCs w:val="22"/>
          <w:lang w:val="en-US"/>
        </w:rPr>
        <w:t xml:space="preserve">y </w:t>
      </w:r>
      <w:r w:rsidRPr="007C3CD9">
        <w:rPr>
          <w:rFonts w:ascii="Arial" w:eastAsia="Arial" w:hAnsi="Arial" w:cs="Arial"/>
          <w:sz w:val="22"/>
          <w:szCs w:val="22"/>
          <w:lang w:val="en-US"/>
        </w:rPr>
        <w:t>important and highly recognized which has led to innovation in </w:t>
      </w:r>
      <w:proofErr w:type="spellStart"/>
      <w:r w:rsidRPr="007C3CD9">
        <w:rPr>
          <w:rFonts w:ascii="Arial" w:eastAsia="Arial" w:hAnsi="Arial" w:cs="Arial"/>
          <w:sz w:val="22"/>
          <w:szCs w:val="22"/>
          <w:lang w:val="en-US"/>
        </w:rPr>
        <w:t>workers</w:t>
      </w:r>
      <w:proofErr w:type="spellEnd"/>
      <w:r w:rsidRPr="007C3CD9">
        <w:rPr>
          <w:rFonts w:ascii="Arial" w:eastAsia="Arial" w:hAnsi="Arial" w:cs="Arial"/>
          <w:sz w:val="22"/>
          <w:szCs w:val="22"/>
          <w:lang w:val="en-US"/>
        </w:rPr>
        <w:t> rights and prioritizing the mental health and wellbeing of their workforce. However, unfortunately this isn’t the case in every workplace or sector yet, but in due time this might change in the future.</w:t>
      </w:r>
    </w:p>
    <w:p w14:paraId="3DA0F0BE" w14:textId="77777777" w:rsidR="00575E73" w:rsidRPr="00575E73" w:rsidRDefault="00575E73" w:rsidP="00575E73">
      <w:pPr>
        <w:rPr>
          <w:rFonts w:ascii="Arial" w:eastAsia="Arial" w:hAnsi="Arial" w:cs="Arial"/>
          <w:sz w:val="22"/>
          <w:szCs w:val="22"/>
        </w:rPr>
      </w:pPr>
    </w:p>
    <w:p w14:paraId="624085C8" w14:textId="77777777" w:rsidR="00575E73" w:rsidRPr="00575E73" w:rsidRDefault="00575E73" w:rsidP="00575E73">
      <w:pPr>
        <w:pStyle w:val="Heading1"/>
        <w:rPr>
          <w:rFonts w:eastAsia="Arial"/>
        </w:rPr>
      </w:pPr>
      <w:bookmarkStart w:id="4" w:name="_Toc227499670"/>
      <w:r w:rsidRPr="00575E73">
        <w:rPr>
          <w:rFonts w:eastAsia="Arial"/>
        </w:rPr>
        <w:t>Task 2 – Evaluating Information Sources</w:t>
      </w:r>
      <w:bookmarkEnd w:id="4"/>
      <w:r w:rsidRPr="00575E73">
        <w:rPr>
          <w:rFonts w:eastAsia="Arial"/>
        </w:rPr>
        <w:t xml:space="preserve">  </w:t>
      </w:r>
    </w:p>
    <w:p w14:paraId="605944E9" w14:textId="77777777" w:rsidR="00575E73" w:rsidRPr="00575E73" w:rsidRDefault="00575E73" w:rsidP="00575E73">
      <w:pPr>
        <w:pStyle w:val="Heading2"/>
        <w:rPr>
          <w:rFonts w:eastAsia="Arial"/>
        </w:rPr>
      </w:pPr>
      <w:bookmarkStart w:id="5" w:name="_Toc227499671"/>
      <w:r w:rsidRPr="00575E73">
        <w:rPr>
          <w:rFonts w:eastAsia="Arial"/>
        </w:rPr>
        <w:t>2.1 Source 1</w:t>
      </w:r>
      <w:bookmarkEnd w:id="5"/>
    </w:p>
    <w:p w14:paraId="17256CC0" w14:textId="7CD226B8" w:rsidR="00782B9C" w:rsidRDefault="002B2515" w:rsidP="00575E73">
      <w:pPr>
        <w:rPr>
          <w:rFonts w:ascii="Arial" w:eastAsia="Arial" w:hAnsi="Arial" w:cs="Arial"/>
          <w:sz w:val="22"/>
          <w:szCs w:val="22"/>
        </w:rPr>
      </w:pPr>
      <w:r>
        <w:rPr>
          <w:rFonts w:ascii="Arial" w:eastAsia="Arial" w:hAnsi="Arial" w:cs="Arial"/>
          <w:sz w:val="22"/>
          <w:szCs w:val="22"/>
        </w:rPr>
        <w:t>Diagnostic overshadowing refers to the misattribution of physical symptoms to a person’s mental illness, which can result in delayed or missed diagnoses of coexisting conditions.</w:t>
      </w:r>
    </w:p>
    <w:p w14:paraId="7E362BEA" w14:textId="1A9B1CD9" w:rsidR="002B2515" w:rsidRDefault="002B2515" w:rsidP="00575E73">
      <w:pPr>
        <w:rPr>
          <w:rFonts w:ascii="Arial" w:eastAsia="Arial" w:hAnsi="Arial" w:cs="Arial"/>
          <w:sz w:val="22"/>
          <w:szCs w:val="22"/>
        </w:rPr>
      </w:pPr>
      <w:r>
        <w:rPr>
          <w:rFonts w:ascii="Arial" w:eastAsia="Arial" w:hAnsi="Arial" w:cs="Arial"/>
          <w:sz w:val="22"/>
          <w:szCs w:val="22"/>
        </w:rPr>
        <w:t>Research by Matthew J. Broadbent et al. (2015) highlights that individuals with severe mental illnesses can experience higher mortality rates compared to the general populated. This is party due to underdiagnosed and untreated physical health conditions. The study suggests that clinicians might overlook psychical symptoms, attributing them instead to psychiatric disorders, which reflects diagnostic overshadowing in practice.</w:t>
      </w:r>
    </w:p>
    <w:p w14:paraId="4C3D763B" w14:textId="64179FBD" w:rsidR="002B2515" w:rsidRDefault="002B2515" w:rsidP="00575E73">
      <w:pPr>
        <w:rPr>
          <w:rFonts w:ascii="Arial" w:eastAsia="Arial" w:hAnsi="Arial" w:cs="Arial"/>
          <w:sz w:val="22"/>
          <w:szCs w:val="22"/>
        </w:rPr>
      </w:pPr>
      <w:r>
        <w:rPr>
          <w:rFonts w:ascii="Arial" w:eastAsia="Arial" w:hAnsi="Arial" w:cs="Arial"/>
          <w:sz w:val="22"/>
          <w:szCs w:val="22"/>
        </w:rPr>
        <w:t>On the other hand, work by Alex J.Mitchell et al. (2009) found that the quality of medical care for individuals with mental illness is often poorer than for those without. Their findings indicate that healthcare professionals may fail to identify additional medical conditions when a mental health diagnosis is already present, reinforcing the impact of diagnostic overshadowing.</w:t>
      </w:r>
    </w:p>
    <w:p w14:paraId="3F54DE9C" w14:textId="69F3491C" w:rsidR="002B2515" w:rsidRDefault="002B2515" w:rsidP="00575E73">
      <w:pPr>
        <w:rPr>
          <w:rFonts w:ascii="Arial" w:eastAsia="Arial" w:hAnsi="Arial" w:cs="Arial"/>
          <w:sz w:val="22"/>
          <w:szCs w:val="22"/>
        </w:rPr>
      </w:pPr>
      <w:r>
        <w:rPr>
          <w:rFonts w:ascii="Arial" w:eastAsia="Arial" w:hAnsi="Arial" w:cs="Arial"/>
          <w:sz w:val="22"/>
          <w:szCs w:val="22"/>
        </w:rPr>
        <w:t xml:space="preserve">Overall, diagnostic overshadowing remains a persistent issue in healthcare systems, affecting the accuracy of diagnoses and the quality of treatment received by individuals with </w:t>
      </w:r>
      <w:r>
        <w:rPr>
          <w:rFonts w:ascii="Arial" w:eastAsia="Arial" w:hAnsi="Arial" w:cs="Arial"/>
          <w:sz w:val="22"/>
          <w:szCs w:val="22"/>
        </w:rPr>
        <w:lastRenderedPageBreak/>
        <w:t>mental illness. Addressing this requires improved clinical training, aware and integrated care approaches that consider both mental and physical health needs.</w:t>
      </w:r>
    </w:p>
    <w:p w14:paraId="03FAAF92" w14:textId="77777777" w:rsidR="00782B9C" w:rsidRDefault="00782B9C" w:rsidP="00575E73">
      <w:pPr>
        <w:rPr>
          <w:rFonts w:ascii="Arial" w:eastAsia="Arial" w:hAnsi="Arial" w:cs="Arial"/>
          <w:sz w:val="22"/>
          <w:szCs w:val="22"/>
        </w:rPr>
      </w:pPr>
    </w:p>
    <w:p w14:paraId="086B460E" w14:textId="77777777" w:rsidR="00782B9C" w:rsidRDefault="00782B9C" w:rsidP="00575E73">
      <w:pPr>
        <w:rPr>
          <w:rFonts w:ascii="Arial" w:eastAsia="Arial" w:hAnsi="Arial" w:cs="Arial"/>
          <w:sz w:val="22"/>
          <w:szCs w:val="22"/>
        </w:rPr>
      </w:pPr>
    </w:p>
    <w:p w14:paraId="00FD71FE" w14:textId="77777777" w:rsidR="00782B9C" w:rsidRPr="00575E73" w:rsidRDefault="00782B9C" w:rsidP="00575E73">
      <w:pPr>
        <w:rPr>
          <w:rFonts w:ascii="Arial" w:eastAsia="Arial" w:hAnsi="Arial" w:cs="Arial"/>
          <w:sz w:val="22"/>
          <w:szCs w:val="22"/>
        </w:rPr>
      </w:pPr>
    </w:p>
    <w:p w14:paraId="49F998F4" w14:textId="77777777" w:rsidR="00575E73" w:rsidRPr="00575E73" w:rsidRDefault="00575E73" w:rsidP="00575E73">
      <w:pPr>
        <w:pStyle w:val="Heading2"/>
        <w:rPr>
          <w:rFonts w:eastAsia="Arial"/>
        </w:rPr>
      </w:pPr>
      <w:bookmarkStart w:id="6" w:name="_Toc227499672"/>
      <w:r w:rsidRPr="00575E73">
        <w:rPr>
          <w:rFonts w:eastAsia="Arial"/>
        </w:rPr>
        <w:t>2.2 Source 2</w:t>
      </w:r>
      <w:bookmarkEnd w:id="6"/>
    </w:p>
    <w:p w14:paraId="0F94EBD8" w14:textId="3109511D" w:rsidR="00782B9C" w:rsidRDefault="00782B9C" w:rsidP="00575E73">
      <w:pPr>
        <w:rPr>
          <w:rFonts w:ascii="Arial" w:eastAsia="Arial" w:hAnsi="Arial" w:cs="Arial"/>
          <w:sz w:val="22"/>
          <w:szCs w:val="22"/>
        </w:rPr>
      </w:pPr>
      <w:r>
        <w:rPr>
          <w:rFonts w:ascii="Arial" w:eastAsia="Arial" w:hAnsi="Arial" w:cs="Arial"/>
          <w:sz w:val="22"/>
          <w:szCs w:val="22"/>
        </w:rPr>
        <w:t xml:space="preserve">Evaluating information sources in mental health involves multiple criteria and indicators that consumers use to judge the quality of online health information. Consumers typically assess trust, their own expertise and objectivity. Applying these criteria to indicators related to the source, context and design of the information. For example, site ownership, consensus among sources, authorship and interface design are commonly used indicators. However, consumer evaluation is often subjective contextual and influenced by individual differences which can sometimes </w:t>
      </w:r>
      <w:proofErr w:type="spellStart"/>
      <w:r>
        <w:rPr>
          <w:rFonts w:ascii="Arial" w:eastAsia="Arial" w:hAnsi="Arial" w:cs="Arial"/>
          <w:sz w:val="22"/>
          <w:szCs w:val="22"/>
        </w:rPr>
        <w:t>used</w:t>
      </w:r>
      <w:proofErr w:type="spellEnd"/>
      <w:r>
        <w:rPr>
          <w:rFonts w:ascii="Arial" w:eastAsia="Arial" w:hAnsi="Arial" w:cs="Arial"/>
          <w:sz w:val="22"/>
          <w:szCs w:val="22"/>
        </w:rPr>
        <w:t xml:space="preserve"> to misinformed judgements.</w:t>
      </w:r>
    </w:p>
    <w:p w14:paraId="49B0E7EA" w14:textId="4C67C0C4" w:rsidR="00782B9C" w:rsidRDefault="00782B9C" w:rsidP="00575E73">
      <w:pPr>
        <w:rPr>
          <w:rFonts w:ascii="Arial" w:eastAsia="Arial" w:hAnsi="Arial" w:cs="Arial"/>
          <w:sz w:val="22"/>
          <w:szCs w:val="22"/>
        </w:rPr>
      </w:pPr>
      <w:r>
        <w:rPr>
          <w:rFonts w:ascii="Arial" w:eastAsia="Arial" w:hAnsi="Arial" w:cs="Arial"/>
          <w:sz w:val="22"/>
          <w:szCs w:val="22"/>
        </w:rPr>
        <w:t>Health literacy plays a significant role in the accurate evaluation of mental health information. Objective health literacy, measured by performance based assessments is associated with better recognition of low quality or misleading health information and more beneficial health-related decision-making. In contrast, subjective or self-reported health literacy appears to be separate concept and use of predictive accurate judgement. Thus, enhancing objective health literacy may help users better discern mental health information online.</w:t>
      </w:r>
    </w:p>
    <w:p w14:paraId="1F038B88" w14:textId="1BF63AB6" w:rsidR="00575E73" w:rsidRDefault="00782B9C" w:rsidP="00575E73">
      <w:pPr>
        <w:rPr>
          <w:rFonts w:ascii="Arial" w:eastAsia="Arial" w:hAnsi="Arial" w:cs="Arial"/>
          <w:sz w:val="22"/>
          <w:szCs w:val="22"/>
        </w:rPr>
      </w:pPr>
      <w:r>
        <w:rPr>
          <w:rFonts w:ascii="Arial" w:eastAsia="Arial" w:hAnsi="Arial" w:cs="Arial"/>
          <w:sz w:val="22"/>
          <w:szCs w:val="22"/>
        </w:rPr>
        <w:t>This proliferation of digital mental health care navigation tools in Australia illustrates</w:t>
      </w:r>
      <w:r w:rsidR="00AE26B6">
        <w:rPr>
          <w:rFonts w:ascii="Arial" w:eastAsia="Arial" w:hAnsi="Arial" w:cs="Arial"/>
          <w:sz w:val="22"/>
          <w:szCs w:val="22"/>
        </w:rPr>
        <w:t xml:space="preserve"> challenges in evaluating and selecting appropriate mental health resources these tools vary wildly in format, context quality and functionality, including service direction, referral information, geolocated maps and screening capabilities. The rapidity and lack of standardized, regularly updated information can contribute to consumer confusion. This situation underscores the need for unrealized resources and guidance systems to help users navigate and evaluate mental health information effectively. </w:t>
      </w:r>
    </w:p>
    <w:p w14:paraId="783BE31B" w14:textId="5621DE03" w:rsidR="00D97F4B" w:rsidRDefault="00D97F4B" w:rsidP="00575E73">
      <w:pPr>
        <w:rPr>
          <w:rFonts w:ascii="Arial" w:eastAsia="Arial" w:hAnsi="Arial" w:cs="Arial"/>
          <w:sz w:val="22"/>
          <w:szCs w:val="22"/>
        </w:rPr>
      </w:pPr>
      <w:r>
        <w:rPr>
          <w:rFonts w:ascii="Arial" w:eastAsia="Arial" w:hAnsi="Arial" w:cs="Arial"/>
          <w:sz w:val="22"/>
          <w:szCs w:val="22"/>
        </w:rPr>
        <w:t>In the context of mental health interventions delivered via conversational agents, evaluation relies on diverse outcome measures, many of which are self-reported and lack validation. This diversity points to the need for standardized outcome sets and validated instruments to assess clinical user experience and technical outcomes reliably, Such standardized could improve the evaluation of digital reported health information and tools, supporting better informed consumer decisions.</w:t>
      </w:r>
    </w:p>
    <w:p w14:paraId="2D45D510" w14:textId="1C59DF06" w:rsidR="00D97F4B" w:rsidRDefault="00D97F4B" w:rsidP="00575E73">
      <w:pPr>
        <w:rPr>
          <w:rFonts w:ascii="Arial" w:eastAsia="Arial" w:hAnsi="Arial" w:cs="Arial"/>
          <w:sz w:val="22"/>
          <w:szCs w:val="22"/>
        </w:rPr>
      </w:pPr>
      <w:r>
        <w:rPr>
          <w:rFonts w:ascii="Arial" w:eastAsia="Arial" w:hAnsi="Arial" w:cs="Arial"/>
          <w:sz w:val="22"/>
          <w:szCs w:val="22"/>
        </w:rPr>
        <w:t>Overall, evaluating mental health information sources requires attention to both the quality indicators used by consumers and the role of health literacy, alongside the challenges posed by the diversity and variability of digital mental health resources. (Primo Research Assistant</w:t>
      </w:r>
      <w:r w:rsidR="00F474BD">
        <w:rPr>
          <w:rFonts w:ascii="Arial" w:eastAsia="Arial" w:hAnsi="Arial" w:cs="Arial"/>
          <w:sz w:val="22"/>
          <w:szCs w:val="22"/>
        </w:rPr>
        <w:t xml:space="preserve">, </w:t>
      </w:r>
      <w:r>
        <w:rPr>
          <w:rFonts w:ascii="Arial" w:eastAsia="Arial" w:hAnsi="Arial" w:cs="Arial"/>
          <w:sz w:val="22"/>
          <w:szCs w:val="22"/>
        </w:rPr>
        <w:t>Google Scholar)</w:t>
      </w:r>
    </w:p>
    <w:p w14:paraId="042BB14C" w14:textId="77777777" w:rsidR="007B1DAD" w:rsidRDefault="007B1DAD" w:rsidP="00575E73">
      <w:pPr>
        <w:rPr>
          <w:rFonts w:ascii="Arial" w:eastAsia="Arial" w:hAnsi="Arial" w:cs="Arial"/>
          <w:sz w:val="22"/>
          <w:szCs w:val="22"/>
        </w:rPr>
      </w:pPr>
    </w:p>
    <w:p w14:paraId="1DF60900" w14:textId="77777777" w:rsidR="007B1DAD" w:rsidRPr="00575E73" w:rsidRDefault="007B1DAD" w:rsidP="00575E73">
      <w:pPr>
        <w:rPr>
          <w:rFonts w:ascii="Arial" w:eastAsia="Arial" w:hAnsi="Arial" w:cs="Arial"/>
          <w:sz w:val="22"/>
          <w:szCs w:val="22"/>
        </w:rPr>
      </w:pPr>
    </w:p>
    <w:p w14:paraId="660C9920" w14:textId="77777777" w:rsidR="00575E73" w:rsidRPr="00575E73" w:rsidRDefault="00432D05" w:rsidP="00432D05">
      <w:pPr>
        <w:pStyle w:val="Heading2"/>
        <w:rPr>
          <w:rFonts w:eastAsia="Arial"/>
        </w:rPr>
      </w:pPr>
      <w:bookmarkStart w:id="7" w:name="_Toc227499673"/>
      <w:r w:rsidRPr="00575E73">
        <w:rPr>
          <w:rFonts w:eastAsia="Arial"/>
        </w:rPr>
        <w:lastRenderedPageBreak/>
        <w:t>2.3 Source</w:t>
      </w:r>
      <w:r w:rsidR="00575E73" w:rsidRPr="00575E73">
        <w:rPr>
          <w:rFonts w:eastAsia="Arial"/>
        </w:rPr>
        <w:t xml:space="preserve"> 3</w:t>
      </w:r>
      <w:bookmarkEnd w:id="7"/>
    </w:p>
    <w:p w14:paraId="0C4935FF" w14:textId="77777777" w:rsidR="007B1DAD" w:rsidRPr="007B1DAD" w:rsidRDefault="007B1DAD" w:rsidP="007B1DAD">
      <w:pPr>
        <w:rPr>
          <w:rFonts w:ascii="Arial" w:eastAsia="Arial" w:hAnsi="Arial" w:cs="Arial"/>
          <w:sz w:val="22"/>
          <w:szCs w:val="22"/>
        </w:rPr>
      </w:pPr>
      <w:r w:rsidRPr="007B1DAD">
        <w:rPr>
          <w:rFonts w:ascii="Arial" w:eastAsia="Arial" w:hAnsi="Arial" w:cs="Arial"/>
          <w:sz w:val="22"/>
          <w:szCs w:val="22"/>
        </w:rPr>
        <w:t>Diagnostic overshadowing is a recognised issue within UK healthcare, where physical symptoms are incorrectly attributed to an individual’s mental health condition. This can result in serious illnesses being overlooked, contributing to poorer overall health outcomes for people with mental illness.</w:t>
      </w:r>
    </w:p>
    <w:p w14:paraId="6FA9227E" w14:textId="77777777" w:rsidR="007B1DAD" w:rsidRPr="007B1DAD" w:rsidRDefault="007B1DAD" w:rsidP="007B1DAD">
      <w:pPr>
        <w:rPr>
          <w:rFonts w:ascii="Arial" w:eastAsia="Arial" w:hAnsi="Arial" w:cs="Arial"/>
          <w:sz w:val="22"/>
          <w:szCs w:val="22"/>
        </w:rPr>
      </w:pPr>
      <w:r w:rsidRPr="007B1DAD">
        <w:rPr>
          <w:rFonts w:ascii="Arial" w:eastAsia="Arial" w:hAnsi="Arial" w:cs="Arial"/>
          <w:sz w:val="22"/>
          <w:szCs w:val="22"/>
        </w:rPr>
        <w:t>UK policy documents emphasise the scale of this problem. Public Health England (2018) reports that individuals with severe mental illness are at a significantly higher risk of premature death, largely due to preventable physical conditions such as heart disease and respiratory illness. A key factor identified is the under-recognition of physical symptoms, which can be linked to diagnostic overshadowing in clinical practice.</w:t>
      </w:r>
    </w:p>
    <w:p w14:paraId="469D3814" w14:textId="77777777" w:rsidR="007B1DAD" w:rsidRPr="007B1DAD" w:rsidRDefault="007B1DAD" w:rsidP="007B1DAD">
      <w:pPr>
        <w:rPr>
          <w:rFonts w:ascii="Arial" w:eastAsia="Arial" w:hAnsi="Arial" w:cs="Arial"/>
          <w:sz w:val="22"/>
          <w:szCs w:val="22"/>
        </w:rPr>
      </w:pPr>
      <w:r w:rsidRPr="007B1DAD">
        <w:rPr>
          <w:rFonts w:ascii="Arial" w:eastAsia="Arial" w:hAnsi="Arial" w:cs="Arial"/>
          <w:sz w:val="22"/>
          <w:szCs w:val="22"/>
        </w:rPr>
        <w:t>In addition, NHS England (2016) highlights ongoing gaps in the quality of physical healthcare provided to people with mental health conditions. The report notes that symptoms are not always fully investigated, leading to inequalities in diagnosis and treatment. This reinforces concerns that mental health diagnoses can influence clinical judgement, reducing the likelihood that coexisting physical conditions are properly identified.</w:t>
      </w:r>
    </w:p>
    <w:p w14:paraId="187D3E4B" w14:textId="77777777" w:rsidR="007B1DAD" w:rsidRPr="007B1DAD" w:rsidRDefault="007B1DAD" w:rsidP="007B1DAD">
      <w:pPr>
        <w:rPr>
          <w:rFonts w:ascii="Arial" w:eastAsia="Arial" w:hAnsi="Arial" w:cs="Arial"/>
          <w:sz w:val="22"/>
          <w:szCs w:val="22"/>
        </w:rPr>
      </w:pPr>
      <w:r w:rsidRPr="007B1DAD">
        <w:rPr>
          <w:rFonts w:ascii="Arial" w:eastAsia="Arial" w:hAnsi="Arial" w:cs="Arial"/>
          <w:sz w:val="22"/>
          <w:szCs w:val="22"/>
        </w:rPr>
        <w:t>These findings demonstrate that diagnostic overshadowing is not only a clinical issue but also a systemic one, affecting healthcare delivery at a national level. Efforts to address it include improving routine physical health monitoring, strengthening communication between services, and ensuring healthcare professionals adopt a more holistic approach when assessing patients.</w:t>
      </w:r>
    </w:p>
    <w:p w14:paraId="0A189D36" w14:textId="77777777" w:rsidR="00575E73" w:rsidRPr="00575E73" w:rsidRDefault="00575E73" w:rsidP="00575E73">
      <w:pPr>
        <w:rPr>
          <w:rFonts w:ascii="Arial" w:eastAsia="Arial" w:hAnsi="Arial" w:cs="Arial"/>
          <w:sz w:val="22"/>
          <w:szCs w:val="22"/>
        </w:rPr>
      </w:pPr>
    </w:p>
    <w:p w14:paraId="6D53DC08" w14:textId="77777777" w:rsidR="00575E73" w:rsidRPr="00575E73" w:rsidRDefault="00432D05" w:rsidP="00432D05">
      <w:pPr>
        <w:pStyle w:val="Heading2"/>
        <w:rPr>
          <w:rFonts w:eastAsia="Arial"/>
        </w:rPr>
      </w:pPr>
      <w:bookmarkStart w:id="8" w:name="_Toc227499674"/>
      <w:r>
        <w:rPr>
          <w:rFonts w:eastAsia="Arial"/>
        </w:rPr>
        <w:t xml:space="preserve">2.4 </w:t>
      </w:r>
      <w:r w:rsidR="00575E73" w:rsidRPr="00575E73">
        <w:rPr>
          <w:rFonts w:eastAsia="Arial"/>
        </w:rPr>
        <w:t>Gaps in Current Research</w:t>
      </w:r>
      <w:bookmarkEnd w:id="8"/>
    </w:p>
    <w:p w14:paraId="452D20AF" w14:textId="77777777" w:rsidR="00575E73" w:rsidRPr="007B1DAD" w:rsidRDefault="00575E73" w:rsidP="007B1DAD">
      <w:pPr>
        <w:rPr>
          <w:rFonts w:ascii="Arial" w:hAnsi="Arial" w:cs="Arial"/>
          <w:sz w:val="22"/>
          <w:szCs w:val="22"/>
        </w:rPr>
      </w:pPr>
      <w:r w:rsidRPr="007B1DAD">
        <w:rPr>
          <w:rFonts w:ascii="Arial" w:hAnsi="Arial" w:cs="Arial"/>
          <w:sz w:val="22"/>
          <w:szCs w:val="22"/>
        </w:rPr>
        <w:t>Guidance: What is still unknown or under-researched? Identifying gaps demonstrates critical thinking.</w:t>
      </w:r>
    </w:p>
    <w:p w14:paraId="6B9C0D2B" w14:textId="77777777" w:rsidR="007B1DAD" w:rsidRPr="007B1DAD" w:rsidRDefault="007B1DAD" w:rsidP="007B1DAD">
      <w:pPr>
        <w:rPr>
          <w:rFonts w:ascii="Arial" w:hAnsi="Arial" w:cs="Arial"/>
          <w:sz w:val="22"/>
          <w:szCs w:val="22"/>
        </w:rPr>
      </w:pPr>
      <w:r w:rsidRPr="007B1DAD">
        <w:rPr>
          <w:rFonts w:ascii="Arial" w:hAnsi="Arial" w:cs="Arial"/>
          <w:sz w:val="22"/>
          <w:szCs w:val="22"/>
        </w:rPr>
        <w:t>Several aspects of diagnostic overshadowing remain unknown or under-researched, limiting the effectiveness of current responses.</w:t>
      </w:r>
    </w:p>
    <w:p w14:paraId="5CB21CA9" w14:textId="77777777" w:rsidR="007B1DAD" w:rsidRPr="007B1DAD" w:rsidRDefault="007B1DAD" w:rsidP="007B1DAD">
      <w:pPr>
        <w:rPr>
          <w:rFonts w:ascii="Arial" w:hAnsi="Arial" w:cs="Arial"/>
          <w:sz w:val="22"/>
          <w:szCs w:val="22"/>
        </w:rPr>
      </w:pPr>
      <w:r w:rsidRPr="007B1DAD">
        <w:rPr>
          <w:rFonts w:ascii="Arial" w:hAnsi="Arial" w:cs="Arial"/>
          <w:sz w:val="22"/>
          <w:szCs w:val="22"/>
        </w:rPr>
        <w:t>A key gap is the lack of reliable measurement. Although NHS England acknowledges inequalities in physical healthcare for people with mental illness, there is no standardised method to quantify how often diagnostic overshadowing occurs. This makes it difficult to determine its true scale (NHS England, 2016).</w:t>
      </w:r>
    </w:p>
    <w:p w14:paraId="38026AEB" w14:textId="77777777" w:rsidR="007B1DAD" w:rsidRPr="007B1DAD" w:rsidRDefault="007B1DAD" w:rsidP="007B1DAD">
      <w:pPr>
        <w:rPr>
          <w:rFonts w:ascii="Arial" w:hAnsi="Arial" w:cs="Arial"/>
          <w:sz w:val="22"/>
          <w:szCs w:val="22"/>
        </w:rPr>
      </w:pPr>
      <w:r w:rsidRPr="007B1DAD">
        <w:rPr>
          <w:rFonts w:ascii="Arial" w:hAnsi="Arial" w:cs="Arial"/>
          <w:sz w:val="22"/>
          <w:szCs w:val="22"/>
        </w:rPr>
        <w:t>There is also limited evidence on which groups are most affected. Research has largely focused on individuals with severe mental illness, while less attention has been given to those with common conditions such as anxiety or depression. Similarly, the influence of factors like ethnicity, age, and disability remains underexplored (Public Health England, 2018).</w:t>
      </w:r>
    </w:p>
    <w:p w14:paraId="4FCC85F2" w14:textId="77777777" w:rsidR="007B1DAD" w:rsidRPr="007B1DAD" w:rsidRDefault="007B1DAD" w:rsidP="007B1DAD">
      <w:pPr>
        <w:rPr>
          <w:rFonts w:ascii="Arial" w:hAnsi="Arial" w:cs="Arial"/>
          <w:sz w:val="22"/>
          <w:szCs w:val="22"/>
        </w:rPr>
      </w:pPr>
      <w:r w:rsidRPr="007B1DAD">
        <w:rPr>
          <w:rFonts w:ascii="Arial" w:hAnsi="Arial" w:cs="Arial"/>
          <w:sz w:val="22"/>
          <w:szCs w:val="22"/>
        </w:rPr>
        <w:t>Another under-researched area is clinical decision-making. While diagnostic overshadowing is often linked to bias or lack of training, there is insufficient in-depth research examining how and why healthcare professionals misattribute symptoms in real clinical settings.</w:t>
      </w:r>
    </w:p>
    <w:p w14:paraId="743B872D" w14:textId="77777777" w:rsidR="007B1DAD" w:rsidRPr="007B1DAD" w:rsidRDefault="007B1DAD" w:rsidP="007B1DAD">
      <w:pPr>
        <w:rPr>
          <w:rFonts w:ascii="Arial" w:hAnsi="Arial" w:cs="Arial"/>
          <w:sz w:val="22"/>
          <w:szCs w:val="22"/>
        </w:rPr>
      </w:pPr>
      <w:r w:rsidRPr="007B1DAD">
        <w:rPr>
          <w:rFonts w:ascii="Arial" w:hAnsi="Arial" w:cs="Arial"/>
          <w:sz w:val="22"/>
          <w:szCs w:val="22"/>
        </w:rPr>
        <w:t xml:space="preserve">In addition, there is a lack of strong evidence on effective interventions. Recommendations from Public Health England emphasise improved training and integrated care, but few </w:t>
      </w:r>
      <w:r w:rsidRPr="007B1DAD">
        <w:rPr>
          <w:rFonts w:ascii="Arial" w:hAnsi="Arial" w:cs="Arial"/>
          <w:sz w:val="22"/>
          <w:szCs w:val="22"/>
        </w:rPr>
        <w:lastRenderedPageBreak/>
        <w:t>studies evaluate which strategies actually reduce diagnostic overshadowing in practice (Public Health England, 2018).</w:t>
      </w:r>
    </w:p>
    <w:p w14:paraId="2ABDC9A0" w14:textId="77777777" w:rsidR="007B1DAD" w:rsidRPr="007B1DAD" w:rsidRDefault="007B1DAD" w:rsidP="007B1DAD">
      <w:pPr>
        <w:rPr>
          <w:rFonts w:ascii="Arial" w:hAnsi="Arial" w:cs="Arial"/>
          <w:sz w:val="22"/>
          <w:szCs w:val="22"/>
        </w:rPr>
      </w:pPr>
      <w:r w:rsidRPr="007B1DAD">
        <w:rPr>
          <w:rFonts w:ascii="Arial" w:hAnsi="Arial" w:cs="Arial"/>
          <w:sz w:val="22"/>
          <w:szCs w:val="22"/>
        </w:rPr>
        <w:t>Finally, most research is based on high-income countries, leaving a gap in understanding how diagnostic overshadowing operates globally, particularly in different healthcare systems and cultural contexts.</w:t>
      </w:r>
    </w:p>
    <w:p w14:paraId="43E45590" w14:textId="77777777" w:rsidR="00575E73" w:rsidRPr="00575E73" w:rsidRDefault="00575E73" w:rsidP="00575E73">
      <w:pPr>
        <w:rPr>
          <w:rFonts w:ascii="Arial" w:eastAsia="Arial" w:hAnsi="Arial" w:cs="Arial"/>
          <w:sz w:val="22"/>
          <w:szCs w:val="22"/>
        </w:rPr>
      </w:pPr>
    </w:p>
    <w:p w14:paraId="29B34B8F" w14:textId="77777777" w:rsidR="00575E73" w:rsidRPr="00575E73" w:rsidRDefault="00575E73" w:rsidP="00432D05">
      <w:pPr>
        <w:pStyle w:val="Heading1"/>
        <w:rPr>
          <w:rFonts w:eastAsia="Arial"/>
        </w:rPr>
      </w:pPr>
      <w:bookmarkStart w:id="9" w:name="_Toc227499675"/>
      <w:r w:rsidRPr="00575E73">
        <w:rPr>
          <w:rFonts w:eastAsia="Arial"/>
        </w:rPr>
        <w:t>Task 3 – Research Methodologies</w:t>
      </w:r>
      <w:bookmarkEnd w:id="9"/>
      <w:r w:rsidRPr="00575E73">
        <w:rPr>
          <w:rFonts w:eastAsia="Arial"/>
        </w:rPr>
        <w:t xml:space="preserve">  </w:t>
      </w:r>
    </w:p>
    <w:p w14:paraId="5E66630C" w14:textId="77777777" w:rsidR="00575E73" w:rsidRPr="00575E73" w:rsidRDefault="00432D05" w:rsidP="00432D05">
      <w:pPr>
        <w:pStyle w:val="Heading2"/>
        <w:rPr>
          <w:rFonts w:eastAsia="Arial"/>
        </w:rPr>
      </w:pPr>
      <w:bookmarkStart w:id="10" w:name="_Toc227499676"/>
      <w:r>
        <w:rPr>
          <w:rFonts w:eastAsia="Arial"/>
        </w:rPr>
        <w:t xml:space="preserve">3.1 </w:t>
      </w:r>
      <w:r w:rsidR="00575E73" w:rsidRPr="00575E73">
        <w:rPr>
          <w:rFonts w:eastAsia="Arial"/>
        </w:rPr>
        <w:t>Definitions and Examples</w:t>
      </w:r>
      <w:bookmarkEnd w:id="10"/>
    </w:p>
    <w:p w14:paraId="45784331" w14:textId="6E7C03F2" w:rsidR="007B1DAD" w:rsidRDefault="007B1DAD" w:rsidP="003A051E">
      <w:pPr>
        <w:rPr>
          <w:rFonts w:ascii="Arial" w:hAnsi="Arial" w:cs="Arial"/>
          <w:sz w:val="22"/>
          <w:szCs w:val="22"/>
        </w:rPr>
      </w:pPr>
      <w:r w:rsidRPr="003A051E">
        <w:rPr>
          <w:rFonts w:ascii="Arial" w:hAnsi="Arial" w:cs="Arial"/>
          <w:sz w:val="22"/>
          <w:szCs w:val="22"/>
        </w:rPr>
        <w:t>Quantitative research involves collecting and analysing numerical data to identify patterns, relationships, or trends. It often uses structured methods such as surveys, experiments, or statistical analysis.</w:t>
      </w:r>
      <w:r w:rsidRPr="003A051E">
        <w:rPr>
          <w:rFonts w:ascii="Arial" w:hAnsi="Arial" w:cs="Arial"/>
          <w:sz w:val="22"/>
          <w:szCs w:val="22"/>
        </w:rPr>
        <w:br/>
        <w:t>Example: A study by NHS England measuring how many patients with severe mental illness receive annual physical health checks, using percentages and statistical comparisons across regions.</w:t>
      </w:r>
    </w:p>
    <w:p w14:paraId="53C480C0" w14:textId="77777777" w:rsidR="003A051E" w:rsidRPr="003A051E" w:rsidRDefault="003A051E" w:rsidP="003A051E">
      <w:pPr>
        <w:rPr>
          <w:rFonts w:ascii="Arial" w:hAnsi="Arial" w:cs="Arial"/>
          <w:sz w:val="22"/>
          <w:szCs w:val="22"/>
        </w:rPr>
      </w:pPr>
    </w:p>
    <w:p w14:paraId="31B68D10" w14:textId="6FF03DB4" w:rsidR="007B1DAD" w:rsidRDefault="007B1DAD" w:rsidP="003A051E">
      <w:pPr>
        <w:rPr>
          <w:rFonts w:ascii="Arial" w:hAnsi="Arial" w:cs="Arial"/>
          <w:sz w:val="22"/>
          <w:szCs w:val="22"/>
        </w:rPr>
      </w:pPr>
      <w:r w:rsidRPr="003A051E">
        <w:rPr>
          <w:rFonts w:ascii="Arial" w:hAnsi="Arial" w:cs="Arial"/>
          <w:sz w:val="22"/>
          <w:szCs w:val="22"/>
        </w:rPr>
        <w:t>Qualitative research focuses on understanding experiences, meanings, and perspectives. It typically uses interviews, focus groups, or observations to gather in-depth, non-numerical data.</w:t>
      </w:r>
      <w:r w:rsidRPr="003A051E">
        <w:rPr>
          <w:rFonts w:ascii="Arial" w:hAnsi="Arial" w:cs="Arial"/>
          <w:sz w:val="22"/>
          <w:szCs w:val="22"/>
        </w:rPr>
        <w:br/>
        <w:t>Example: Researchers conducting interviews with patients to explore their personal experiences of diagnostic overshadowing—how they feel their physical symptoms were dismissed due to their mental health condition.</w:t>
      </w:r>
    </w:p>
    <w:p w14:paraId="502CB5EE" w14:textId="77777777" w:rsidR="003A051E" w:rsidRPr="003A051E" w:rsidRDefault="003A051E" w:rsidP="003A051E">
      <w:pPr>
        <w:rPr>
          <w:rFonts w:ascii="Arial" w:hAnsi="Arial" w:cs="Arial"/>
          <w:sz w:val="22"/>
          <w:szCs w:val="22"/>
        </w:rPr>
      </w:pPr>
    </w:p>
    <w:p w14:paraId="434E659F" w14:textId="348C394A" w:rsidR="007B1DAD" w:rsidRPr="003A051E" w:rsidRDefault="007B1DAD" w:rsidP="003A051E">
      <w:pPr>
        <w:rPr>
          <w:rFonts w:ascii="Arial" w:hAnsi="Arial" w:cs="Arial"/>
          <w:sz w:val="22"/>
          <w:szCs w:val="22"/>
        </w:rPr>
      </w:pPr>
      <w:r w:rsidRPr="003A051E">
        <w:rPr>
          <w:rFonts w:ascii="Arial" w:hAnsi="Arial" w:cs="Arial"/>
          <w:sz w:val="22"/>
          <w:szCs w:val="22"/>
        </w:rPr>
        <w:t>Mixed-methods research combines both quantitative and qualitative approaches to provide a more comprehensive understanding of a topic. It uses numerical data alongside detailed personal insights.</w:t>
      </w:r>
      <w:r w:rsidRPr="003A051E">
        <w:rPr>
          <w:rFonts w:ascii="Arial" w:hAnsi="Arial" w:cs="Arial"/>
          <w:sz w:val="22"/>
          <w:szCs w:val="22"/>
        </w:rPr>
        <w:br/>
        <w:t>Example: A health study that collects survey data on how often diagnostic overshadowing occurs (quantitative), while also interviewing patients and healthcare professionals to understand why it happens (qualitative), offering both statistical trends and lived experiences.</w:t>
      </w:r>
    </w:p>
    <w:p w14:paraId="319D5131" w14:textId="77777777" w:rsidR="007B1DAD" w:rsidRPr="003A051E" w:rsidRDefault="007B1DAD" w:rsidP="003A051E">
      <w:pPr>
        <w:rPr>
          <w:rFonts w:ascii="Arial" w:hAnsi="Arial" w:cs="Arial"/>
          <w:sz w:val="22"/>
          <w:szCs w:val="22"/>
        </w:rPr>
      </w:pPr>
      <w:r w:rsidRPr="003A051E">
        <w:rPr>
          <w:rFonts w:ascii="Arial" w:hAnsi="Arial" w:cs="Arial"/>
          <w:sz w:val="22"/>
          <w:szCs w:val="22"/>
        </w:rPr>
        <w:t>These three approaches are often used together in health and social care to balance measurable outcomes with human experiences.</w:t>
      </w:r>
    </w:p>
    <w:p w14:paraId="32C83CD4" w14:textId="77777777" w:rsidR="00575E73" w:rsidRPr="00575E73" w:rsidRDefault="00575E73" w:rsidP="00575E73">
      <w:pPr>
        <w:rPr>
          <w:rFonts w:ascii="Arial" w:eastAsia="Arial" w:hAnsi="Arial" w:cs="Arial"/>
          <w:sz w:val="22"/>
          <w:szCs w:val="22"/>
        </w:rPr>
      </w:pPr>
    </w:p>
    <w:p w14:paraId="46D2549A" w14:textId="77777777" w:rsidR="00575E73" w:rsidRPr="00575E73" w:rsidRDefault="00432D05" w:rsidP="00432D05">
      <w:pPr>
        <w:pStyle w:val="Heading2"/>
        <w:rPr>
          <w:rFonts w:eastAsia="Arial"/>
        </w:rPr>
      </w:pPr>
      <w:bookmarkStart w:id="11" w:name="_Toc227499677"/>
      <w:r>
        <w:rPr>
          <w:rFonts w:eastAsia="Arial"/>
        </w:rPr>
        <w:t xml:space="preserve">3.2 </w:t>
      </w:r>
      <w:r w:rsidR="00575E73" w:rsidRPr="00575E73">
        <w:rPr>
          <w:rFonts w:eastAsia="Arial"/>
        </w:rPr>
        <w:t>Chosen Methodology and Justification</w:t>
      </w:r>
      <w:bookmarkEnd w:id="11"/>
    </w:p>
    <w:p w14:paraId="305F54EE" w14:textId="77777777" w:rsidR="007D1C23" w:rsidRPr="007D1C23" w:rsidRDefault="007D1C23" w:rsidP="007D1C23">
      <w:pPr>
        <w:rPr>
          <w:rFonts w:ascii="Arial" w:eastAsia="Arial" w:hAnsi="Arial" w:cs="Arial"/>
          <w:sz w:val="22"/>
          <w:szCs w:val="22"/>
        </w:rPr>
      </w:pPr>
      <w:r w:rsidRPr="007D1C23">
        <w:rPr>
          <w:rFonts w:ascii="Arial" w:eastAsia="Arial" w:hAnsi="Arial" w:cs="Arial"/>
          <w:sz w:val="22"/>
          <w:szCs w:val="22"/>
        </w:rPr>
        <w:t>For a study on diagnostic overshadowing, a mixed-methods approach would be the most appropriate methodology.</w:t>
      </w:r>
    </w:p>
    <w:p w14:paraId="5449F51E" w14:textId="77777777" w:rsidR="007D1C23" w:rsidRPr="007D1C23" w:rsidRDefault="007D1C23" w:rsidP="007D1C23">
      <w:pPr>
        <w:rPr>
          <w:rFonts w:ascii="Arial" w:eastAsia="Arial" w:hAnsi="Arial" w:cs="Arial"/>
          <w:sz w:val="22"/>
          <w:szCs w:val="22"/>
        </w:rPr>
      </w:pPr>
      <w:r w:rsidRPr="007D1C23">
        <w:rPr>
          <w:rFonts w:ascii="Arial" w:eastAsia="Arial" w:hAnsi="Arial" w:cs="Arial"/>
          <w:sz w:val="22"/>
          <w:szCs w:val="22"/>
        </w:rPr>
        <w:t xml:space="preserve">Diagnostic overshadowing is a complex issue that involves both measurable patterns (e.g. missed diagnoses, rates of physical health checks) and subjective experiences (e.g. how </w:t>
      </w:r>
      <w:r w:rsidRPr="007D1C23">
        <w:rPr>
          <w:rFonts w:ascii="Arial" w:eastAsia="Arial" w:hAnsi="Arial" w:cs="Arial"/>
          <w:sz w:val="22"/>
          <w:szCs w:val="22"/>
        </w:rPr>
        <w:lastRenderedPageBreak/>
        <w:t xml:space="preserve">patients feel their symptoms were interpreted). Using only quantitative data would show </w:t>
      </w:r>
      <w:r w:rsidRPr="007D1C23">
        <w:rPr>
          <w:rFonts w:ascii="Arial" w:eastAsia="Arial" w:hAnsi="Arial" w:cs="Arial"/>
          <w:i/>
          <w:iCs/>
          <w:sz w:val="22"/>
          <w:szCs w:val="22"/>
        </w:rPr>
        <w:t>how often</w:t>
      </w:r>
      <w:r w:rsidRPr="007D1C23">
        <w:rPr>
          <w:rFonts w:ascii="Arial" w:eastAsia="Arial" w:hAnsi="Arial" w:cs="Arial"/>
          <w:sz w:val="22"/>
          <w:szCs w:val="22"/>
        </w:rPr>
        <w:t xml:space="preserve"> the issue occurs, but not </w:t>
      </w:r>
      <w:r w:rsidRPr="007D1C23">
        <w:rPr>
          <w:rFonts w:ascii="Arial" w:eastAsia="Arial" w:hAnsi="Arial" w:cs="Arial"/>
          <w:i/>
          <w:iCs/>
          <w:sz w:val="22"/>
          <w:szCs w:val="22"/>
        </w:rPr>
        <w:t>why</w:t>
      </w:r>
      <w:r w:rsidRPr="007D1C23">
        <w:rPr>
          <w:rFonts w:ascii="Arial" w:eastAsia="Arial" w:hAnsi="Arial" w:cs="Arial"/>
          <w:sz w:val="22"/>
          <w:szCs w:val="22"/>
        </w:rPr>
        <w:t xml:space="preserve"> it happens. Similarly, relying only on qualitative data would provide detailed experiences but lack generalisable evidence.</w:t>
      </w:r>
    </w:p>
    <w:p w14:paraId="344D64C1" w14:textId="77777777" w:rsidR="007D1C23" w:rsidRPr="007D1C23" w:rsidRDefault="007D1C23" w:rsidP="007D1C23">
      <w:pPr>
        <w:rPr>
          <w:rFonts w:ascii="Arial" w:eastAsia="Arial" w:hAnsi="Arial" w:cs="Arial"/>
          <w:sz w:val="22"/>
          <w:szCs w:val="22"/>
        </w:rPr>
      </w:pPr>
      <w:r w:rsidRPr="007D1C23">
        <w:rPr>
          <w:rFonts w:ascii="Arial" w:eastAsia="Arial" w:hAnsi="Arial" w:cs="Arial"/>
          <w:sz w:val="22"/>
          <w:szCs w:val="22"/>
        </w:rPr>
        <w:t>A mixed-methods design allows both aspects to be explored. For example, quantitative data from sources such as NHS England could be used to analyse trends in physical health outcomes among people with mental illness, identifying disparities in diagnosis or treatment rates. This provides measurable evidence of the problem.</w:t>
      </w:r>
    </w:p>
    <w:p w14:paraId="79425931" w14:textId="413B768C" w:rsidR="007D1C23" w:rsidRPr="007D1C23" w:rsidRDefault="007D1C23" w:rsidP="007D1C23">
      <w:pPr>
        <w:rPr>
          <w:rFonts w:ascii="Arial" w:eastAsia="Arial" w:hAnsi="Arial" w:cs="Arial"/>
          <w:sz w:val="22"/>
          <w:szCs w:val="22"/>
        </w:rPr>
      </w:pPr>
      <w:r w:rsidRPr="007D1C23">
        <w:rPr>
          <w:rFonts w:ascii="Arial" w:eastAsia="Arial" w:hAnsi="Arial" w:cs="Arial"/>
          <w:sz w:val="22"/>
          <w:szCs w:val="22"/>
        </w:rPr>
        <w:t>Alongside this, qualitative methods such as interviews or focus groups could explore the experiences of patients and healthcare professionals. This would help explain how diagnostic overshadowing occurs in practice, including factors like clinician bias, communication issues, or system pressures.</w:t>
      </w:r>
      <w:r>
        <w:rPr>
          <w:rFonts w:ascii="Arial" w:eastAsia="Arial" w:hAnsi="Arial" w:cs="Arial"/>
          <w:sz w:val="22"/>
          <w:szCs w:val="22"/>
        </w:rPr>
        <w:t xml:space="preserve"> </w:t>
      </w:r>
      <w:r w:rsidRPr="007D1C23">
        <w:rPr>
          <w:rFonts w:ascii="Arial" w:eastAsia="Arial" w:hAnsi="Arial" w:cs="Arial"/>
          <w:sz w:val="22"/>
          <w:szCs w:val="22"/>
        </w:rPr>
        <w:t>This combination is the best fit because it provides a more complete understanding of diagnostic overshadowing. It not only identifies the scale of the issue but also uncovers the underlying causes, which is essential for developing effective interventions.</w:t>
      </w:r>
    </w:p>
    <w:p w14:paraId="1EBC5DA9" w14:textId="77777777" w:rsidR="00575E73" w:rsidRPr="00575E73" w:rsidRDefault="00575E73" w:rsidP="00575E73">
      <w:pPr>
        <w:rPr>
          <w:rFonts w:ascii="Arial" w:eastAsia="Arial" w:hAnsi="Arial" w:cs="Arial"/>
          <w:sz w:val="22"/>
          <w:szCs w:val="22"/>
        </w:rPr>
      </w:pPr>
    </w:p>
    <w:p w14:paraId="3B61CBE6" w14:textId="77777777" w:rsidR="00575E73" w:rsidRPr="00575E73" w:rsidRDefault="00575E73" w:rsidP="00432D05">
      <w:pPr>
        <w:pStyle w:val="Heading1"/>
        <w:rPr>
          <w:rFonts w:eastAsia="Arial"/>
        </w:rPr>
      </w:pPr>
      <w:bookmarkStart w:id="12" w:name="_Toc227499678"/>
      <w:r w:rsidRPr="00575E73">
        <w:rPr>
          <w:rFonts w:eastAsia="Arial"/>
        </w:rPr>
        <w:t>Task 4 – Data Collection</w:t>
      </w:r>
      <w:bookmarkEnd w:id="12"/>
      <w:r w:rsidRPr="00575E73">
        <w:rPr>
          <w:rFonts w:eastAsia="Arial"/>
        </w:rPr>
        <w:t xml:space="preserve">  </w:t>
      </w:r>
    </w:p>
    <w:p w14:paraId="31D8168A" w14:textId="77777777" w:rsidR="00575E73" w:rsidRPr="00575E73" w:rsidRDefault="00432D05" w:rsidP="00432D05">
      <w:pPr>
        <w:pStyle w:val="Heading2"/>
        <w:rPr>
          <w:rFonts w:eastAsia="Arial"/>
        </w:rPr>
      </w:pPr>
      <w:bookmarkStart w:id="13" w:name="_Toc227499679"/>
      <w:r>
        <w:rPr>
          <w:rFonts w:eastAsia="Arial"/>
        </w:rPr>
        <w:t xml:space="preserve">4.1 </w:t>
      </w:r>
      <w:r w:rsidR="00575E73" w:rsidRPr="00575E73">
        <w:rPr>
          <w:rFonts w:eastAsia="Arial"/>
        </w:rPr>
        <w:t>Primary vs Secondary Data</w:t>
      </w:r>
      <w:bookmarkEnd w:id="13"/>
    </w:p>
    <w:p w14:paraId="26C0B918" w14:textId="77777777" w:rsidR="007D1C23" w:rsidRPr="007D1C23" w:rsidRDefault="007D1C23" w:rsidP="007D1C23">
      <w:pPr>
        <w:rPr>
          <w:rFonts w:ascii="Arial" w:eastAsia="Arial Nova" w:hAnsi="Arial" w:cs="Arial"/>
          <w:sz w:val="22"/>
          <w:szCs w:val="22"/>
        </w:rPr>
      </w:pPr>
      <w:r w:rsidRPr="007D1C23">
        <w:rPr>
          <w:rFonts w:ascii="Arial" w:eastAsia="Arial Nova" w:hAnsi="Arial" w:cs="Arial"/>
          <w:sz w:val="22"/>
          <w:szCs w:val="22"/>
        </w:rPr>
        <w:t>Primary data research involves gathering data that has not been collected before. Methods to collect it can include interviews, surveys, observations, or any type of research that you go out and collect yourself. The primary research will in turn act as a primary course such as an original study, document object or an eyewitness account.</w:t>
      </w:r>
    </w:p>
    <w:p w14:paraId="4A898EAE" w14:textId="77777777" w:rsidR="007D1C23" w:rsidRPr="007D1C23" w:rsidRDefault="007D1C23" w:rsidP="007D1C23">
      <w:pPr>
        <w:jc w:val="both"/>
        <w:rPr>
          <w:rFonts w:ascii="Arial" w:eastAsia="Arial Nova" w:hAnsi="Arial" w:cs="Arial"/>
          <w:sz w:val="22"/>
          <w:szCs w:val="22"/>
        </w:rPr>
      </w:pPr>
      <w:r w:rsidRPr="007D1C23">
        <w:rPr>
          <w:rFonts w:ascii="Arial" w:eastAsia="Arial Nova" w:hAnsi="Arial" w:cs="Arial"/>
          <w:sz w:val="22"/>
          <w:szCs w:val="22"/>
        </w:rPr>
        <w:t>Secondary data research refers to data that is collected by someone other than the primary user. Common sources of secondary data for social science include censuses and information collected by government departments, organizational records and data that was originally collected for other research purposes. Primary data, in contrast, was collected by the investigator's conducting the research.</w:t>
      </w:r>
    </w:p>
    <w:p w14:paraId="69E52633" w14:textId="77777777" w:rsidR="00575E73" w:rsidRPr="00575E73" w:rsidRDefault="00575E73" w:rsidP="00575E73">
      <w:pPr>
        <w:rPr>
          <w:rFonts w:ascii="Arial" w:eastAsia="Arial" w:hAnsi="Arial" w:cs="Arial"/>
          <w:sz w:val="22"/>
          <w:szCs w:val="22"/>
        </w:rPr>
      </w:pPr>
    </w:p>
    <w:p w14:paraId="16F7506A" w14:textId="77777777" w:rsidR="00575E73" w:rsidRPr="00575E73" w:rsidRDefault="00432D05" w:rsidP="00432D05">
      <w:pPr>
        <w:pStyle w:val="Heading2"/>
        <w:rPr>
          <w:rFonts w:eastAsia="Arial"/>
        </w:rPr>
      </w:pPr>
      <w:bookmarkStart w:id="14" w:name="_Toc227499680"/>
      <w:r>
        <w:rPr>
          <w:rFonts w:eastAsia="Arial"/>
        </w:rPr>
        <w:t xml:space="preserve">4.2 </w:t>
      </w:r>
      <w:r w:rsidR="00575E73" w:rsidRPr="00575E73">
        <w:rPr>
          <w:rFonts w:eastAsia="Arial"/>
        </w:rPr>
        <w:t>Chosen Data Type and Justification</w:t>
      </w:r>
      <w:bookmarkEnd w:id="14"/>
    </w:p>
    <w:p w14:paraId="6F3BBF44"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For this study on diagnostic overshadowing, both primary and secondary data would be used as part of a mixed-methods approach.</w:t>
      </w:r>
    </w:p>
    <w:p w14:paraId="622588AA"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Primary data would be collected through qualitative methods such as interviews or focus groups with patients and healthcare professionals. This would allow for an in-depth understanding of personal experiences, perceptions, and behaviours related to diagnostic overshadowing. Since the issue involves clinical judgement and patient experience, primary data is essential for exploring why physical symptoms may be misattributed to mental health conditions.</w:t>
      </w:r>
    </w:p>
    <w:p w14:paraId="54F8D06D"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 xml:space="preserve">Secondary data would also be used, including existing reports and datasets from organisations such as NHS England and Public Health England. This data would provide quantitative evidence on patterns such as rates of physical health checks, diagnosis </w:t>
      </w:r>
      <w:r w:rsidRPr="003A051E">
        <w:rPr>
          <w:rFonts w:ascii="Arial" w:eastAsia="Arial" w:hAnsi="Arial" w:cs="Arial"/>
          <w:sz w:val="22"/>
          <w:szCs w:val="22"/>
        </w:rPr>
        <w:lastRenderedPageBreak/>
        <w:t>outcomes, and health inequalities among individuals with mental illness. Using secondary data helps to establish the scale and impact of diagnostic overshadowing across larger populations.</w:t>
      </w:r>
    </w:p>
    <w:p w14:paraId="6860CA4D"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The combination of both data types is justified because primary data provides detailed, experience-based insights, while secondary data offers broader, generalisable evidence. Together, they support a more comprehensive understanding of the issue, aligning with the mixed-methods approach by integrating both qualitative and quantitative perspectives.</w:t>
      </w:r>
    </w:p>
    <w:p w14:paraId="083E1464" w14:textId="77777777" w:rsidR="00575E73" w:rsidRPr="00575E73" w:rsidRDefault="00575E73" w:rsidP="00575E73">
      <w:pPr>
        <w:rPr>
          <w:rFonts w:ascii="Arial" w:eastAsia="Arial" w:hAnsi="Arial" w:cs="Arial"/>
          <w:sz w:val="22"/>
          <w:szCs w:val="22"/>
        </w:rPr>
      </w:pPr>
    </w:p>
    <w:p w14:paraId="50A0E75D" w14:textId="77777777" w:rsidR="00575E73" w:rsidRPr="00575E73" w:rsidRDefault="00432D05" w:rsidP="00432D05">
      <w:pPr>
        <w:pStyle w:val="Heading2"/>
        <w:rPr>
          <w:rFonts w:eastAsia="Arial"/>
        </w:rPr>
      </w:pPr>
      <w:bookmarkStart w:id="15" w:name="_Toc227499681"/>
      <w:r>
        <w:rPr>
          <w:rFonts w:eastAsia="Arial"/>
        </w:rPr>
        <w:t xml:space="preserve">4.3 </w:t>
      </w:r>
      <w:r w:rsidR="00575E73" w:rsidRPr="00575E73">
        <w:rPr>
          <w:rFonts w:eastAsia="Arial"/>
        </w:rPr>
        <w:t>Advantages and Challenges</w:t>
      </w:r>
      <w:bookmarkEnd w:id="15"/>
    </w:p>
    <w:p w14:paraId="53E74132"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Using both primary and secondary data in research on diagnostic overshadowing offers several advantages, but also presents certain challenges.</w:t>
      </w:r>
    </w:p>
    <w:p w14:paraId="69BD0C9A"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One key advantage of primary data is that it provides rich, in-depth insights into personal experiences. Through interviews or focus groups, patients can describe how their physical symptoms were interpreted, while healthcare professionals can explain their clinical decision-making. This is particularly important for diagnostic overshadowing, as it helps to understand why misattribution occurs in real-life situations. A second advantage is that primary data is highly specific to the research question, allowing the study to focus directly on the issue of diagnostic overshadowing rather than relying on broader or less relevant datasets.</w:t>
      </w:r>
    </w:p>
    <w:p w14:paraId="1499704D"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However, primary data also presents challenges. It can be time-consuming and resource-intensive to collect, especially when recruiting participants and conducting interviews. In addition, the findings may be limited in generalisability due to smaller sample sizes, meaning the results may not represent wider populations.</w:t>
      </w:r>
    </w:p>
    <w:p w14:paraId="5D75F337"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Secondary data also offers important advantages. One benefit is that it provides access to large-scale, existing datasets, such as those from NHS England, which can highlight patterns in physical health outcomes and inequalities among individuals with mental illness. This helps to demonstrate the scale of diagnostic overshadowing. Another advantage is that secondary data is cost-effective and time-efficient, as it has already been collected and analysed.</w:t>
      </w:r>
    </w:p>
    <w:p w14:paraId="11007C7F"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Despite this, there are challenges associated with secondary data. The data may not be specifically focused on diagnostic overshadowing, making it difficult to draw direct conclusions about the issue. Additionally, there may be limitations in how the data was originally collected, including potential biases or gaps, which can affect its reliability and relevance to the current study.</w:t>
      </w:r>
    </w:p>
    <w:p w14:paraId="5AB4BCBF"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Overall, while both primary and secondary data have strengths and limitations, using them together allows for a more balanced and comprehensive understanding of diagnostic overshadowing.</w:t>
      </w:r>
    </w:p>
    <w:p w14:paraId="1F18ECF7" w14:textId="77777777" w:rsidR="00575E73" w:rsidRPr="00575E73" w:rsidRDefault="00575E73" w:rsidP="00575E73">
      <w:pPr>
        <w:rPr>
          <w:rFonts w:ascii="Arial" w:eastAsia="Arial" w:hAnsi="Arial" w:cs="Arial"/>
          <w:sz w:val="22"/>
          <w:szCs w:val="22"/>
        </w:rPr>
      </w:pPr>
    </w:p>
    <w:p w14:paraId="1A4794A0" w14:textId="77777777" w:rsidR="00575E73" w:rsidRPr="00575E73" w:rsidRDefault="00575E73" w:rsidP="00432D05">
      <w:pPr>
        <w:pStyle w:val="Heading1"/>
        <w:rPr>
          <w:rFonts w:eastAsia="Arial"/>
        </w:rPr>
      </w:pPr>
      <w:bookmarkStart w:id="16" w:name="_Toc227499682"/>
      <w:r w:rsidRPr="00575E73">
        <w:rPr>
          <w:rFonts w:eastAsia="Arial"/>
        </w:rPr>
        <w:lastRenderedPageBreak/>
        <w:t>Conclusion</w:t>
      </w:r>
      <w:bookmarkEnd w:id="16"/>
      <w:r w:rsidRPr="00575E73">
        <w:rPr>
          <w:rFonts w:eastAsia="Arial"/>
        </w:rPr>
        <w:t xml:space="preserve">  </w:t>
      </w:r>
    </w:p>
    <w:p w14:paraId="4BE0B140"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In summary, this report has explored diagnostic overshadowing as a significant issue within health and social care, highlighting its impact on both mental health stigma and patient safety. The discussion demonstrated how the misattribution of physical symptoms to mental health conditions can lead to delayed diagnosis, poorer treatment outcomes, and wider health inequalities.</w:t>
      </w:r>
    </w:p>
    <w:p w14:paraId="05FCC6EF"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The evaluation of information sources showed that diagnostic overshadowing is a recognised and ongoing problem within healthcare systems, supported by both research studies and national policy documents. It also identified key gaps in current research, including limited understanding of its full scale and the effectiveness of interventions.</w:t>
      </w:r>
    </w:p>
    <w:p w14:paraId="4D687AC4"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A mixed-methods approach was identified as the most appropriate methodology, combining quantitative data to examine patterns and prevalence with qualitative data to explore patient and clinician experiences. The use of both primary and secondary data was justified, alongside consideration of their respective advantages and challenges.</w:t>
      </w:r>
    </w:p>
    <w:p w14:paraId="3C3A9708" w14:textId="77777777" w:rsidR="003A051E" w:rsidRPr="003A051E" w:rsidRDefault="003A051E" w:rsidP="003A051E">
      <w:pPr>
        <w:rPr>
          <w:rFonts w:ascii="Arial" w:eastAsia="Arial" w:hAnsi="Arial" w:cs="Arial"/>
          <w:sz w:val="22"/>
          <w:szCs w:val="22"/>
        </w:rPr>
      </w:pPr>
      <w:r w:rsidRPr="003A051E">
        <w:rPr>
          <w:rFonts w:ascii="Arial" w:eastAsia="Arial" w:hAnsi="Arial" w:cs="Arial"/>
          <w:sz w:val="22"/>
          <w:szCs w:val="22"/>
        </w:rPr>
        <w:t>Overall, diagnostic overshadowing remains an important issue because it directly affects the quality, safety, and equity of healthcare for individuals with mental health conditions. Addressing this issue is essential to ensure that patients receive accurate diagnoses and appropriate care for both their mental and physical health needs.</w:t>
      </w:r>
    </w:p>
    <w:p w14:paraId="5B369E11" w14:textId="77777777" w:rsidR="00575E73" w:rsidRPr="00575E73" w:rsidRDefault="00575E73" w:rsidP="00575E73">
      <w:pPr>
        <w:rPr>
          <w:rFonts w:ascii="Arial" w:eastAsia="Arial" w:hAnsi="Arial" w:cs="Arial"/>
          <w:sz w:val="22"/>
          <w:szCs w:val="22"/>
        </w:rPr>
      </w:pPr>
    </w:p>
    <w:p w14:paraId="595AE68A" w14:textId="77777777" w:rsidR="00575E73" w:rsidRPr="00575E73" w:rsidRDefault="00575E73" w:rsidP="00432D05">
      <w:pPr>
        <w:pStyle w:val="Heading1"/>
        <w:rPr>
          <w:rFonts w:eastAsia="Arial"/>
        </w:rPr>
      </w:pPr>
      <w:bookmarkStart w:id="17" w:name="_Toc227499683"/>
      <w:r w:rsidRPr="00575E73">
        <w:rPr>
          <w:rFonts w:eastAsia="Arial"/>
        </w:rPr>
        <w:t>Reference List</w:t>
      </w:r>
      <w:bookmarkEnd w:id="17"/>
    </w:p>
    <w:p w14:paraId="3BB8C229" w14:textId="77777777" w:rsidR="003A051E" w:rsidRPr="003A051E" w:rsidRDefault="003A051E" w:rsidP="003A051E">
      <w:pPr>
        <w:rPr>
          <w:rFonts w:ascii="Arial" w:hAnsi="Arial" w:cs="Arial"/>
          <w:sz w:val="22"/>
          <w:szCs w:val="22"/>
        </w:rPr>
      </w:pPr>
      <w:r w:rsidRPr="003A051E">
        <w:rPr>
          <w:rFonts w:ascii="Arial" w:hAnsi="Arial" w:cs="Arial"/>
          <w:sz w:val="22"/>
          <w:szCs w:val="22"/>
        </w:rPr>
        <w:t xml:space="preserve">Broadbent, M.J., Patel, A., Shetty, H., Jackson, R., Stewart, R., Boydell, J., McGuire, P. and </w:t>
      </w:r>
      <w:proofErr w:type="spellStart"/>
      <w:r w:rsidRPr="003A051E">
        <w:rPr>
          <w:rFonts w:ascii="Arial" w:hAnsi="Arial" w:cs="Arial"/>
          <w:sz w:val="22"/>
          <w:szCs w:val="22"/>
        </w:rPr>
        <w:t>Hotopf</w:t>
      </w:r>
      <w:proofErr w:type="spellEnd"/>
      <w:r w:rsidRPr="003A051E">
        <w:rPr>
          <w:rFonts w:ascii="Arial" w:hAnsi="Arial" w:cs="Arial"/>
          <w:sz w:val="22"/>
          <w:szCs w:val="22"/>
        </w:rPr>
        <w:t>, M. (2015) ‘Early mortality in people with serious mental illness: a systematic review’, BMJ Open, 5(9), e008451.</w:t>
      </w:r>
    </w:p>
    <w:p w14:paraId="39FD6BFF" w14:textId="77777777" w:rsidR="003A051E" w:rsidRPr="003A051E" w:rsidRDefault="003A051E" w:rsidP="003A051E">
      <w:pPr>
        <w:rPr>
          <w:rFonts w:ascii="Arial" w:hAnsi="Arial" w:cs="Arial"/>
          <w:sz w:val="22"/>
          <w:szCs w:val="22"/>
        </w:rPr>
      </w:pPr>
      <w:r w:rsidRPr="003A051E">
        <w:rPr>
          <w:rFonts w:ascii="Arial" w:hAnsi="Arial" w:cs="Arial"/>
          <w:sz w:val="22"/>
          <w:szCs w:val="22"/>
        </w:rPr>
        <w:t xml:space="preserve">Mitchell, A.J., Malone, D. and </w:t>
      </w:r>
      <w:proofErr w:type="spellStart"/>
      <w:r w:rsidRPr="003A051E">
        <w:rPr>
          <w:rFonts w:ascii="Arial" w:hAnsi="Arial" w:cs="Arial"/>
          <w:sz w:val="22"/>
          <w:szCs w:val="22"/>
        </w:rPr>
        <w:t>Doebbeling</w:t>
      </w:r>
      <w:proofErr w:type="spellEnd"/>
      <w:r w:rsidRPr="003A051E">
        <w:rPr>
          <w:rFonts w:ascii="Arial" w:hAnsi="Arial" w:cs="Arial"/>
          <w:sz w:val="22"/>
          <w:szCs w:val="22"/>
        </w:rPr>
        <w:t>, C.C. (2009) ‘Quality of medical care for people with and without comorbid mental illness and substance misuse: systematic review of comparative studies’, The British Journal of Psychiatry, 194(6), pp. 491–499.</w:t>
      </w:r>
    </w:p>
    <w:p w14:paraId="4A24EBF4" w14:textId="77777777" w:rsidR="003A051E" w:rsidRPr="003A051E" w:rsidRDefault="003A051E" w:rsidP="003A051E">
      <w:pPr>
        <w:rPr>
          <w:rFonts w:ascii="Arial" w:hAnsi="Arial" w:cs="Arial"/>
          <w:sz w:val="22"/>
          <w:szCs w:val="22"/>
        </w:rPr>
      </w:pPr>
      <w:r w:rsidRPr="003A051E">
        <w:rPr>
          <w:rFonts w:ascii="Arial" w:hAnsi="Arial" w:cs="Arial"/>
          <w:sz w:val="22"/>
          <w:szCs w:val="22"/>
        </w:rPr>
        <w:t>NHS England (2016) Improving physical healthcare for people with severe mental illness (SMI) in primary care. London: NHS England.</w:t>
      </w:r>
    </w:p>
    <w:p w14:paraId="057CD313" w14:textId="77777777" w:rsidR="003A051E" w:rsidRPr="003A051E" w:rsidRDefault="003A051E" w:rsidP="003A051E">
      <w:pPr>
        <w:rPr>
          <w:rFonts w:ascii="Arial" w:hAnsi="Arial" w:cs="Arial"/>
          <w:sz w:val="22"/>
          <w:szCs w:val="22"/>
        </w:rPr>
      </w:pPr>
      <w:r w:rsidRPr="003A051E">
        <w:rPr>
          <w:rFonts w:ascii="Arial" w:hAnsi="Arial" w:cs="Arial"/>
          <w:sz w:val="22"/>
          <w:szCs w:val="22"/>
        </w:rPr>
        <w:t>NHS England (2023) Inclusive digital healthcare: A framework for NHS action on digital inclusion. London: NHS England.</w:t>
      </w:r>
    </w:p>
    <w:p w14:paraId="20BA34CE" w14:textId="77777777" w:rsidR="003A051E" w:rsidRPr="003A051E" w:rsidRDefault="003A051E" w:rsidP="003A051E">
      <w:pPr>
        <w:rPr>
          <w:rFonts w:ascii="Arial" w:hAnsi="Arial" w:cs="Arial"/>
          <w:sz w:val="22"/>
          <w:szCs w:val="22"/>
        </w:rPr>
      </w:pPr>
      <w:r w:rsidRPr="003A051E">
        <w:rPr>
          <w:rFonts w:ascii="Arial" w:hAnsi="Arial" w:cs="Arial"/>
          <w:sz w:val="22"/>
          <w:szCs w:val="22"/>
        </w:rPr>
        <w:t>Public Health England (2018) Severe mental illness (SMI) and physical health inequalities: briefing. London: Public Health England.</w:t>
      </w:r>
    </w:p>
    <w:p w14:paraId="22887F74" w14:textId="77777777" w:rsidR="003A051E" w:rsidRPr="003A051E" w:rsidRDefault="003A051E" w:rsidP="003A051E">
      <w:pPr>
        <w:rPr>
          <w:rFonts w:ascii="Arial" w:hAnsi="Arial" w:cs="Arial"/>
          <w:sz w:val="22"/>
          <w:szCs w:val="22"/>
        </w:rPr>
      </w:pPr>
      <w:r w:rsidRPr="003A051E">
        <w:rPr>
          <w:rFonts w:ascii="Arial" w:hAnsi="Arial" w:cs="Arial"/>
          <w:sz w:val="22"/>
          <w:szCs w:val="22"/>
        </w:rPr>
        <w:t>Slade, M. and Priebe, S. (eds.) (2000) Choosing methods in mental health research: Mental health research from theory to practice. London: Routledge.</w:t>
      </w:r>
    </w:p>
    <w:p w14:paraId="698E5CF4" w14:textId="77777777" w:rsidR="003A051E" w:rsidRPr="003A051E" w:rsidRDefault="003A051E" w:rsidP="003A051E">
      <w:pPr>
        <w:rPr>
          <w:rFonts w:ascii="Arial" w:hAnsi="Arial" w:cs="Arial"/>
          <w:sz w:val="22"/>
          <w:szCs w:val="22"/>
        </w:rPr>
      </w:pPr>
      <w:r w:rsidRPr="003A051E">
        <w:rPr>
          <w:rFonts w:ascii="Arial" w:hAnsi="Arial" w:cs="Arial"/>
          <w:sz w:val="22"/>
          <w:szCs w:val="22"/>
        </w:rPr>
        <w:t xml:space="preserve">World Health Organization (2022) Mental health: strengthening our response. Available at: </w:t>
      </w:r>
      <w:hyperlink r:id="rId10" w:history="1">
        <w:r w:rsidRPr="003A051E">
          <w:rPr>
            <w:rStyle w:val="Hyperlink"/>
            <w:rFonts w:ascii="Arial" w:hAnsi="Arial" w:cs="Arial"/>
            <w:sz w:val="22"/>
            <w:szCs w:val="22"/>
          </w:rPr>
          <w:t>https://www.who.int/news-room/fact-sheets/detail/mental-health-strengthening-our-response</w:t>
        </w:r>
      </w:hyperlink>
      <w:r w:rsidRPr="003A051E">
        <w:rPr>
          <w:rFonts w:ascii="Arial" w:hAnsi="Arial" w:cs="Arial"/>
          <w:sz w:val="22"/>
          <w:szCs w:val="22"/>
        </w:rPr>
        <w:t xml:space="preserve"> (Accessed: 19 April 2026).</w:t>
      </w:r>
    </w:p>
    <w:p w14:paraId="2F6CC443" w14:textId="6DFDC699" w:rsidR="007B1DAD" w:rsidRPr="00575E73" w:rsidRDefault="007B1DAD" w:rsidP="003A051E">
      <w:pPr>
        <w:rPr>
          <w:rFonts w:ascii="Arial" w:eastAsia="Arial" w:hAnsi="Arial" w:cs="Arial"/>
          <w:sz w:val="22"/>
          <w:szCs w:val="22"/>
        </w:rPr>
      </w:pPr>
    </w:p>
    <w:sectPr w:rsidR="007B1DAD" w:rsidRPr="00575E73"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2E04E" w14:textId="77777777" w:rsidR="00863082" w:rsidRDefault="00863082" w:rsidP="002A1842">
      <w:pPr>
        <w:spacing w:after="0" w:line="240" w:lineRule="auto"/>
      </w:pPr>
      <w:r>
        <w:separator/>
      </w:r>
    </w:p>
  </w:endnote>
  <w:endnote w:type="continuationSeparator" w:id="0">
    <w:p w14:paraId="2EE5ACEC" w14:textId="77777777" w:rsidR="00863082" w:rsidRDefault="0086308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80B4DA2"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4AE3DB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DDA5B41"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CEBB5BC"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4385" w14:textId="77777777" w:rsidR="00863082" w:rsidRDefault="00863082" w:rsidP="002A1842">
      <w:pPr>
        <w:spacing w:after="0" w:line="240" w:lineRule="auto"/>
      </w:pPr>
      <w:r>
        <w:separator/>
      </w:r>
    </w:p>
  </w:footnote>
  <w:footnote w:type="continuationSeparator" w:id="0">
    <w:p w14:paraId="117E8D84" w14:textId="77777777" w:rsidR="00863082" w:rsidRDefault="0086308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11413599">
    <w:abstractNumId w:val="5"/>
  </w:num>
  <w:num w:numId="2" w16cid:durableId="1720282675">
    <w:abstractNumId w:val="3"/>
  </w:num>
  <w:num w:numId="3" w16cid:durableId="1321812873">
    <w:abstractNumId w:val="2"/>
  </w:num>
  <w:num w:numId="4" w16cid:durableId="955983022">
    <w:abstractNumId w:val="1"/>
  </w:num>
  <w:num w:numId="5" w16cid:durableId="1738894924">
    <w:abstractNumId w:val="4"/>
  </w:num>
  <w:num w:numId="6" w16cid:durableId="549001367">
    <w:abstractNumId w:val="0"/>
  </w:num>
  <w:num w:numId="7" w16cid:durableId="976489812">
    <w:abstractNumId w:val="7"/>
  </w:num>
  <w:num w:numId="8" w16cid:durableId="11130946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1E0AF6"/>
    <w:rsid w:val="0022582D"/>
    <w:rsid w:val="002A1842"/>
    <w:rsid w:val="002B2515"/>
    <w:rsid w:val="003A051E"/>
    <w:rsid w:val="004318C1"/>
    <w:rsid w:val="00432D05"/>
    <w:rsid w:val="004468F8"/>
    <w:rsid w:val="004821A7"/>
    <w:rsid w:val="00530E16"/>
    <w:rsid w:val="00544802"/>
    <w:rsid w:val="00575E73"/>
    <w:rsid w:val="005B2CAF"/>
    <w:rsid w:val="006F62DB"/>
    <w:rsid w:val="00722EFE"/>
    <w:rsid w:val="007637E9"/>
    <w:rsid w:val="00782B9C"/>
    <w:rsid w:val="007B1DAD"/>
    <w:rsid w:val="007C3CD9"/>
    <w:rsid w:val="007D1C23"/>
    <w:rsid w:val="00863082"/>
    <w:rsid w:val="008E7834"/>
    <w:rsid w:val="008F02BB"/>
    <w:rsid w:val="009C15F4"/>
    <w:rsid w:val="009E2D88"/>
    <w:rsid w:val="009F60D1"/>
    <w:rsid w:val="00A75B15"/>
    <w:rsid w:val="00AE06EA"/>
    <w:rsid w:val="00AE26B6"/>
    <w:rsid w:val="00B65ED6"/>
    <w:rsid w:val="00BA0043"/>
    <w:rsid w:val="00BA0D30"/>
    <w:rsid w:val="00C130A3"/>
    <w:rsid w:val="00CE12C7"/>
    <w:rsid w:val="00CF650B"/>
    <w:rsid w:val="00D62A9C"/>
    <w:rsid w:val="00D97F4B"/>
    <w:rsid w:val="00DB181C"/>
    <w:rsid w:val="00DD5262"/>
    <w:rsid w:val="00DF71ED"/>
    <w:rsid w:val="00EA04EC"/>
    <w:rsid w:val="00F474BD"/>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9BD5B"/>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7B1D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s://www.who.int/news-room/fact-sheets/detail/mental-health-strengthening-our-response" TargetMode="Externa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3519</Words>
  <Characters>20062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Daryll Perez</cp:lastModifiedBy>
  <cp:revision>7</cp:revision>
  <dcterms:created xsi:type="dcterms:W3CDTF">2026-04-16T19:48:00Z</dcterms:created>
  <dcterms:modified xsi:type="dcterms:W3CDTF">2026-04-19T13:01:00Z</dcterms:modified>
</cp:coreProperties>
</file>