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5B6F4AC" wp14:paraId="5E5787A5" wp14:textId="0650D56C">
      <w:pPr>
        <w:rPr>
          <w:rFonts w:ascii="Calibri" w:hAnsi="Calibri" w:eastAsia="Calibri" w:cs="Calibri"/>
          <w:b w:val="1"/>
          <w:bCs w:val="1"/>
          <w:sz w:val="26"/>
          <w:szCs w:val="26"/>
          <w:u w:val="single"/>
        </w:rPr>
      </w:pPr>
      <w:r w:rsidRPr="15B6F4AC" w:rsidR="3AD141A4">
        <w:rPr>
          <w:rFonts w:ascii="Calibri" w:hAnsi="Calibri" w:eastAsia="Calibri" w:cs="Calibri"/>
          <w:b w:val="1"/>
          <w:bCs w:val="1"/>
          <w:sz w:val="26"/>
          <w:szCs w:val="26"/>
          <w:u w:val="single"/>
        </w:rPr>
        <w:t xml:space="preserve">Cassy Rumbelow </w:t>
      </w:r>
    </w:p>
    <w:p w:rsidR="3AD141A4" w:rsidP="15B6F4AC" w:rsidRDefault="3AD141A4" w14:paraId="19B2A99C" w14:textId="14E9245F">
      <w:pPr>
        <w:pStyle w:val="Normal"/>
        <w:rPr>
          <w:rFonts w:ascii="Calibri" w:hAnsi="Calibri" w:eastAsia="Calibri" w:cs="Calibri"/>
          <w:b w:val="1"/>
          <w:bCs w:val="1"/>
          <w:sz w:val="26"/>
          <w:szCs w:val="26"/>
          <w:u w:val="single"/>
        </w:rPr>
      </w:pPr>
      <w:r w:rsidRPr="15B6F4AC" w:rsidR="3AD141A4">
        <w:rPr>
          <w:rFonts w:ascii="Calibri" w:hAnsi="Calibri" w:eastAsia="Calibri" w:cs="Calibri"/>
          <w:b w:val="1"/>
          <w:bCs w:val="1"/>
          <w:sz w:val="26"/>
          <w:szCs w:val="26"/>
          <w:u w:val="single"/>
        </w:rPr>
        <w:t xml:space="preserve">Student </w:t>
      </w:r>
      <w:r w:rsidRPr="15B6F4AC" w:rsidR="3AD141A4">
        <w:rPr>
          <w:rFonts w:ascii="Calibri" w:hAnsi="Calibri" w:eastAsia="Calibri" w:cs="Calibri"/>
          <w:b w:val="1"/>
          <w:bCs w:val="1"/>
          <w:sz w:val="26"/>
          <w:szCs w:val="26"/>
          <w:u w:val="single"/>
        </w:rPr>
        <w:t>number:</w:t>
      </w:r>
      <w:r w:rsidRPr="15B6F4AC" w:rsidR="3AD141A4">
        <w:rPr>
          <w:rFonts w:ascii="Calibri" w:hAnsi="Calibri" w:eastAsia="Calibri" w:cs="Calibri"/>
          <w:b w:val="1"/>
          <w:bCs w:val="1"/>
          <w:sz w:val="26"/>
          <w:szCs w:val="26"/>
          <w:u w:val="none"/>
        </w:rPr>
        <w:t xml:space="preserve"> </w:t>
      </w:r>
      <w:r w:rsidRPr="15B6F4AC" w:rsidR="3AD141A4">
        <w:rPr>
          <w:rFonts w:ascii="Calibri" w:hAnsi="Calibri" w:eastAsia="Calibri" w:cs="Calibri"/>
          <w:b w:val="1"/>
          <w:bCs w:val="1"/>
          <w:sz w:val="26"/>
          <w:szCs w:val="26"/>
          <w:u w:val="none"/>
        </w:rPr>
        <w:t>2221533</w:t>
      </w:r>
    </w:p>
    <w:p w:rsidR="3AD141A4" w:rsidP="648E76AB" w:rsidRDefault="3AD141A4" w14:paraId="0A766B16" w14:textId="101B423A">
      <w:pPr>
        <w:pStyle w:val="Normal"/>
        <w:rPr>
          <w:rFonts w:ascii="Calibri" w:hAnsi="Calibri" w:eastAsia="Calibri" w:cs="Calibri"/>
          <w:b w:val="1"/>
          <w:bCs w:val="1"/>
          <w:sz w:val="26"/>
          <w:szCs w:val="26"/>
          <w:u w:val="none"/>
        </w:rPr>
      </w:pPr>
      <w:r w:rsidRPr="648E76AB" w:rsidR="3AD141A4">
        <w:rPr>
          <w:rFonts w:ascii="Calibri" w:hAnsi="Calibri" w:eastAsia="Calibri" w:cs="Calibri"/>
          <w:b w:val="1"/>
          <w:bCs w:val="1"/>
          <w:sz w:val="26"/>
          <w:szCs w:val="26"/>
          <w:u w:val="none"/>
        </w:rPr>
        <w:t>Terrorism</w:t>
      </w:r>
      <w:r w:rsidRPr="648E76AB" w:rsidR="581925AD">
        <w:rPr>
          <w:rFonts w:ascii="Calibri" w:hAnsi="Calibri" w:eastAsia="Calibri" w:cs="Calibri"/>
          <w:b w:val="1"/>
          <w:bCs w:val="1"/>
          <w:sz w:val="26"/>
          <w:szCs w:val="26"/>
          <w:u w:val="none"/>
        </w:rPr>
        <w:t xml:space="preserve"> –Support paper</w:t>
      </w:r>
    </w:p>
    <w:p w:rsidR="7BED2421" w:rsidP="648E76AB" w:rsidRDefault="7BED2421" w14:paraId="358FB5FD" w14:textId="7F156664">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w:t>
      </w:r>
      <w:r w:rsidRPr="648E76AB" w:rsidR="7BED2421">
        <w:rPr>
          <w:rFonts w:ascii="Calibri" w:hAnsi="Calibri" w:eastAsia="Calibri" w:cs="Calibri"/>
          <w:noProof w:val="0"/>
          <w:color w:val="000000" w:themeColor="text1" w:themeTint="FF" w:themeShade="FF"/>
          <w:sz w:val="26"/>
          <w:szCs w:val="26"/>
          <w:lang w:val="en-GB"/>
        </w:rPr>
        <w:t xml:space="preserve">During this support paper, the evaluation on how community engagement and community policing can support counterterrorism efforts and help prevent terrorism will be addressed. Adding to this, throughout the assignment there will be various points on why it is important for the police to interact with the community as a result to deter terrorism and how the prevent strategies are implemented.  Cooper, (2010) emphasises that one person's terrorist is another person's freedom fighter, most people agree that terrorism has become a terrible issue in many parts of the world and that every effort needs to be taken to put an end to it. Terrorism is characterised as politically motivated violence carried out by individuals, organisations, or agents of the state with the intention of instilling fear and terror in a population to influence decision-making and alter behaviour. </w:t>
      </w:r>
    </w:p>
    <w:p w:rsidR="648E76AB" w:rsidP="648E76AB" w:rsidRDefault="648E76AB" w14:paraId="2010CC9F" w14:textId="00E43E35">
      <w:pPr>
        <w:pStyle w:val="Normal"/>
        <w:spacing w:before="0" w:beforeAutospacing="off" w:after="0" w:afterAutospacing="off"/>
        <w:rPr>
          <w:rFonts w:ascii="Calibri" w:hAnsi="Calibri" w:eastAsia="Calibri" w:cs="Calibri"/>
          <w:noProof w:val="0"/>
          <w:color w:val="000000" w:themeColor="text1" w:themeTint="FF" w:themeShade="FF"/>
          <w:sz w:val="26"/>
          <w:szCs w:val="26"/>
          <w:lang w:val="en-GB"/>
        </w:rPr>
      </w:pPr>
    </w:p>
    <w:p w:rsidR="7BED2421" w:rsidP="648E76AB" w:rsidRDefault="7BED2421" w14:paraId="7557DEC0" w14:textId="24A29A23">
      <w:pPr>
        <w:shd w:val="clear" w:color="auto" w:fill="FFFFFF" w:themeFill="background1"/>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To begin with, the main objective for community policing is collaborating closely with community members to address and minimise crime. Bennett, T.H. &amp; Kemp, C. (1994) states that community policing includes a variety type of actions taken by the police team such as foot patrols, community beat officers, community meetings, contact strategies like police stations, and community crime prevention are the most often used operational strategies in community policing. This is beneficial when conquering terrorism as it intends to prevent people from becoming terrorists and make sure that no one becomes a suspect in or victim of crime again. Building relationships between law enforcement and the community is facilitated by foot patrols. Law enforcement's ability to enforce the law and solve problems is improved by foot patrol. University of Oxford (2024) declares that it is anticipated that "Martyn's Law," also known as the Terrorism Protection of Premises Bill, will be passed into law in 2024. By safeguarding public spaces, it aims to lower the risk of terrorism to the general public while boosting both personal safety and national security. This will generally make the public feel safer by implementing safety protocols for the community to live freely and out of fear.  </w:t>
      </w:r>
    </w:p>
    <w:p w:rsidR="648E76AB" w:rsidP="648E76AB" w:rsidRDefault="648E76AB" w14:paraId="5E60E993" w14:textId="730AB0AC">
      <w:pPr>
        <w:pStyle w:val="Normal"/>
        <w:shd w:val="clear" w:color="auto" w:fill="FFFFFF" w:themeFill="background1"/>
        <w:spacing w:before="0" w:beforeAutospacing="off" w:after="0" w:afterAutospacing="off"/>
        <w:rPr>
          <w:rFonts w:ascii="Calibri" w:hAnsi="Calibri" w:eastAsia="Calibri" w:cs="Calibri"/>
          <w:noProof w:val="0"/>
          <w:color w:val="000000" w:themeColor="text1" w:themeTint="FF" w:themeShade="FF"/>
          <w:sz w:val="26"/>
          <w:szCs w:val="26"/>
          <w:lang w:val="en-GB"/>
        </w:rPr>
      </w:pPr>
    </w:p>
    <w:p w:rsidR="7BED2421" w:rsidP="648E76AB" w:rsidRDefault="7BED2421" w14:paraId="044BE105" w14:textId="0E167B4A">
      <w:pPr>
        <w:shd w:val="clear" w:color="auto" w:fill="FFFFFF" w:themeFill="background1"/>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The prevent strategy plays a crucial role fo</w:t>
      </w:r>
      <w:r w:rsidRPr="648E76AB" w:rsidR="7BED2421">
        <w:rPr>
          <w:rFonts w:ascii="Calibri" w:hAnsi="Calibri" w:eastAsia="Calibri" w:cs="Calibri"/>
          <w:noProof w:val="0"/>
          <w:color w:val="000000" w:themeColor="text1" w:themeTint="FF" w:themeShade="FF"/>
          <w:sz w:val="26"/>
          <w:szCs w:val="26"/>
          <w:lang w:val="en-GB"/>
        </w:rPr>
        <w:t xml:space="preserve">r tackling terrorism at a community officer’s perspective. The aim is to stop vulnerable people from being drawn into radicalism. Counter terrorism policing (2024) expresses that the success of counterterrorism policing, like other policing endeavours, is contingent upon the trust, confidence, and support of all communities, a legacy of UK policing. This shows the prevent programme is important as it aims to avoid people from becoming terrorists. In order to counter radicalizers - including those who sow division and hatred, prevent collaborates with law enforcement organisations, other governmental partners, and local, regional, and national partners. GOV.UK (2024) states that prevent aims to address the ideological roots of terrorism by lessening the impact radicalizers have over vulnerable audiences and by restricting access to and supply of terrorist content. The efforts in academia, civil society, communities, government, and industry are aimed at reducing permissive environments and countering radicalization.   </w:t>
      </w:r>
    </w:p>
    <w:p w:rsidR="648E76AB" w:rsidP="648E76AB" w:rsidRDefault="648E76AB" w14:paraId="307BA356" w14:textId="6C3916CC">
      <w:pPr>
        <w:spacing w:before="0" w:beforeAutospacing="off" w:after="0" w:afterAutospacing="off"/>
        <w:rPr>
          <w:rFonts w:ascii="Calibri" w:hAnsi="Calibri" w:eastAsia="Calibri" w:cs="Calibri"/>
          <w:noProof w:val="0"/>
          <w:color w:val="000000" w:themeColor="text1" w:themeTint="FF" w:themeShade="FF"/>
          <w:sz w:val="26"/>
          <w:szCs w:val="26"/>
          <w:lang w:val="en-GB"/>
        </w:rPr>
      </w:pPr>
    </w:p>
    <w:p w:rsidR="7BED2421" w:rsidP="648E76AB" w:rsidRDefault="7BED2421" w14:paraId="442F9946" w14:textId="4EFBA9B4">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It is important that community policing is applied when attempting to deter terrorism, College of policing (2020) applies that the service delivery is shaped by effective communication to meet the needs of the general public. This demonstrates that improved coordination and communication can help identify suspicious activity or people who might be connected to terrorist activities early on. Law enforcement can more effectively identify and neutralise possible threats when they collaborate with the community, which eventually improves overall security. "The prevention, investigation, detection, or prosecution of criminal offences or the execution of criminal penalties, including the safeguarding against and the prevention of threats to public security" is how section 31 of the DPA 2018 defines the goals of law enforcement.   </w:t>
      </w:r>
    </w:p>
    <w:p w:rsidR="7BED2421" w:rsidP="648E76AB" w:rsidRDefault="7BED2421" w14:paraId="1449AD1B" w14:textId="089960E1">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w:t>
      </w:r>
    </w:p>
    <w:p w:rsidR="7BED2421" w:rsidP="648E76AB" w:rsidRDefault="7BED2421" w14:paraId="1B2541FC" w14:textId="5607C302">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7030A0"/>
          <w:sz w:val="26"/>
          <w:szCs w:val="26"/>
          <w:lang w:val="en-GB"/>
        </w:rPr>
        <w:t xml:space="preserve">       </w:t>
      </w:r>
      <w:r w:rsidRPr="648E76AB" w:rsidR="7BED2421">
        <w:rPr>
          <w:rFonts w:ascii="Calibri" w:hAnsi="Calibri" w:eastAsia="Calibri" w:cs="Calibri"/>
          <w:noProof w:val="0"/>
          <w:color w:val="000000" w:themeColor="text1" w:themeTint="FF" w:themeShade="FF"/>
          <w:sz w:val="26"/>
          <w:szCs w:val="26"/>
          <w:lang w:val="en-GB"/>
        </w:rPr>
        <w:t>(Lloyd &amp; Foster, 2009) state that poorer people who reside in high-crime areas have been reported to participate in society at particularly low rates. This illustrates how certain aspects of social and economic inequality can be exacerbated by community policing rather than reduced. Another reasoning behind this may be that victims living in the hot spot areas of crime perhaps do not have a trusted bond with the police leaving them not wanting to participate with reporting crime such as terrorism threat acts. It could also act upon it being normalized in that area of living that nobody makes reports to the police as it could potentially be a risk for themselves and their families. Coppock, V., &amp; McGovern, M., (2014) apply that even prior to 9/11 Martha Crenshaw (2000:409), asserts that to a prominent researcher in the psychology of terrorism, terrorism usually is not the result of psychopathology of a single personality type and that terrorism is primarily a group activity. This demonstrates that majority of terrorism does not get participated by an individual alone. Borum, R. (</w:t>
      </w:r>
      <w:r w:rsidRPr="648E76AB" w:rsidR="2606846C">
        <w:rPr>
          <w:rFonts w:ascii="Calibri" w:hAnsi="Calibri" w:eastAsia="Calibri" w:cs="Calibri"/>
          <w:noProof w:val="0"/>
          <w:color w:val="000000" w:themeColor="text1" w:themeTint="FF" w:themeShade="FF"/>
          <w:sz w:val="26"/>
          <w:szCs w:val="26"/>
          <w:lang w:val="en-GB"/>
        </w:rPr>
        <w:t>1999</w:t>
      </w:r>
      <w:r w:rsidRPr="648E76AB" w:rsidR="7BED2421">
        <w:rPr>
          <w:rFonts w:ascii="Calibri" w:hAnsi="Calibri" w:eastAsia="Calibri" w:cs="Calibri"/>
          <w:noProof w:val="0"/>
          <w:color w:val="000000" w:themeColor="text1" w:themeTint="FF" w:themeShade="FF"/>
          <w:sz w:val="26"/>
          <w:szCs w:val="26"/>
          <w:lang w:val="en-GB"/>
        </w:rPr>
        <w:t xml:space="preserve">) supports this reputation of group activity as it applies that people turn into terrorists in order to join terrorist groups and carry out acts of terrorism collectively.   </w:t>
      </w:r>
    </w:p>
    <w:p w:rsidR="7BED2421" w:rsidP="648E76AB" w:rsidRDefault="7BED2421" w14:paraId="7B087D62" w14:textId="370A3913">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w:t>
      </w:r>
    </w:p>
    <w:p w:rsidR="7BED2421" w:rsidP="648E76AB" w:rsidRDefault="7BED2421" w14:paraId="210EA83C" w14:textId="73F5DC69">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Following this, another way on how community engagement can support counterterrorism is prevention through educating individuals within the community by raising awareness. By doing this communities can be empowered to resist extremist ideologies. Pantucci R., (2023) declares that education systems provide an environment in which skills like civic values, digital literacy, and critical thinking are taught. These skills can be helpful in preventing violent extremism. This helps prevent terrorism as education can help individuals and communities build resilience, making them less vulnerable to recruitment by terrorist groups. Also, education can promote awareness of human rights associated with terrorism and help individuals advocate for the protection of fundamental rights and liberties.  </w:t>
      </w:r>
    </w:p>
    <w:p w:rsidR="7BED2421" w:rsidP="648E76AB" w:rsidRDefault="7BED2421" w14:paraId="2FB41B63" w14:textId="455D5054">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w:t>
      </w:r>
    </w:p>
    <w:p w:rsidR="7BED2421" w:rsidP="648E76AB" w:rsidRDefault="7BED2421" w14:paraId="4C262F49" w14:textId="57ADD639">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648E76AB" w:rsidR="7BED2421">
        <w:rPr>
          <w:rFonts w:ascii="Calibri" w:hAnsi="Calibri" w:eastAsia="Calibri" w:cs="Calibri"/>
          <w:noProof w:val="0"/>
          <w:color w:val="000000" w:themeColor="text1" w:themeTint="FF" w:themeShade="FF"/>
          <w:sz w:val="26"/>
          <w:szCs w:val="26"/>
          <w:lang w:val="en-GB"/>
        </w:rPr>
        <w:t xml:space="preserve">        To conclude, community policing and engagement are crucial roles in the fight against terrorism, emphasising collaboration, prevention, safeguarding communities and uphold security. Using community engagement strengthens the trust and creates a bond within the police force, to engage fully with one and other and understand vulnerabilities. Using this is very important so that there is an early detection put in place to minimise the risks of terrorism potentially occurring.  </w:t>
      </w:r>
    </w:p>
    <w:p w:rsidR="648E76AB" w:rsidP="648E76AB" w:rsidRDefault="648E76AB" w14:paraId="16ED9DC5" w14:textId="67D5C7E1">
      <w:pPr>
        <w:pStyle w:val="Normal"/>
        <w:spacing w:before="0" w:beforeAutospacing="off" w:after="0" w:afterAutospacing="off"/>
        <w:rPr>
          <w:rFonts w:ascii="Calibri" w:hAnsi="Calibri" w:eastAsia="Calibri" w:cs="Calibri"/>
          <w:noProof w:val="0"/>
          <w:color w:val="000000" w:themeColor="text1" w:themeTint="FF" w:themeShade="FF"/>
          <w:sz w:val="26"/>
          <w:szCs w:val="26"/>
          <w:lang w:val="en-GB"/>
        </w:rPr>
      </w:pPr>
    </w:p>
    <w:p w:rsidR="648E76AB" w:rsidP="648E76AB" w:rsidRDefault="648E76AB" w14:paraId="737F8200" w14:textId="27E007E3">
      <w:pPr>
        <w:pStyle w:val="Normal"/>
        <w:spacing w:before="0" w:beforeAutospacing="off" w:after="0" w:afterAutospacing="off"/>
      </w:pPr>
    </w:p>
    <w:p w:rsidR="648E76AB" w:rsidP="648E76AB" w:rsidRDefault="648E76AB" w14:paraId="0F3C244F" w14:textId="335B5DE2">
      <w:pPr>
        <w:pStyle w:val="Normal"/>
        <w:spacing w:before="0" w:beforeAutospacing="off" w:after="0" w:afterAutospacing="off"/>
      </w:pPr>
    </w:p>
    <w:p w:rsidR="4721BD63" w:rsidP="15B6F4AC" w:rsidRDefault="4721BD63" w14:paraId="293C9554" w14:textId="3AB3BF8E">
      <w:pPr>
        <w:pStyle w:val="Normal"/>
        <w:rPr>
          <w:rFonts w:ascii="Calibri" w:hAnsi="Calibri" w:eastAsia="Calibri" w:cs="Calibri"/>
          <w:b w:val="1"/>
          <w:bCs w:val="1"/>
          <w:sz w:val="26"/>
          <w:szCs w:val="26"/>
          <w:u w:val="single"/>
        </w:rPr>
      </w:pPr>
      <w:r w:rsidRPr="648E76AB" w:rsidR="4721BD63">
        <w:rPr>
          <w:rFonts w:ascii="Calibri" w:hAnsi="Calibri" w:eastAsia="Calibri" w:cs="Calibri"/>
          <w:b w:val="1"/>
          <w:bCs w:val="1"/>
          <w:sz w:val="26"/>
          <w:szCs w:val="26"/>
          <w:u w:val="single"/>
        </w:rPr>
        <w:t>References</w:t>
      </w:r>
    </w:p>
    <w:p w:rsidR="543B909C" w:rsidP="648E76AB" w:rsidRDefault="543B909C" w14:paraId="033EA79B" w14:textId="7E828235">
      <w:pPr>
        <w:pStyle w:val="Normal"/>
        <w:spacing w:before="0" w:beforeAutospacing="off" w:after="0" w:afterAutospacing="off"/>
        <w:rPr>
          <w:rFonts w:ascii="Times" w:hAnsi="Times" w:eastAsia="Times" w:cs="Times"/>
          <w:noProof w:val="0"/>
          <w:color w:val="auto"/>
          <w:sz w:val="26"/>
          <w:szCs w:val="26"/>
          <w:lang w:val="en-GB"/>
        </w:rPr>
      </w:pPr>
      <w:r w:rsidRPr="648E76AB" w:rsidR="543B909C">
        <w:rPr>
          <w:rFonts w:ascii="Calibri" w:hAnsi="Calibri" w:eastAsia="Calibri" w:cs="Calibri"/>
          <w:noProof w:val="0"/>
          <w:color w:val="auto"/>
          <w:sz w:val="26"/>
          <w:szCs w:val="26"/>
          <w:lang w:val="en-GB"/>
        </w:rPr>
        <w:t xml:space="preserve">Bernholz, P. (2004). Supreme values as the basis for terror. </w:t>
      </w:r>
      <w:r w:rsidRPr="648E76AB" w:rsidR="543B909C">
        <w:rPr>
          <w:rFonts w:ascii="Times" w:hAnsi="Times" w:eastAsia="Times" w:cs="Times"/>
          <w:i w:val="1"/>
          <w:iCs w:val="1"/>
          <w:noProof w:val="0"/>
          <w:color w:val="auto"/>
          <w:sz w:val="26"/>
          <w:szCs w:val="26"/>
          <w:lang w:val="en-GB"/>
        </w:rPr>
        <w:t xml:space="preserve">European Journal of Political Economy, 20, </w:t>
      </w:r>
      <w:r w:rsidRPr="648E76AB" w:rsidR="543B909C">
        <w:rPr>
          <w:rFonts w:ascii="Times" w:hAnsi="Times" w:eastAsia="Times" w:cs="Times"/>
          <w:noProof w:val="0"/>
          <w:color w:val="auto"/>
          <w:sz w:val="26"/>
          <w:szCs w:val="26"/>
          <w:lang w:val="en-GB"/>
        </w:rPr>
        <w:t>317–333.</w:t>
      </w:r>
    </w:p>
    <w:p w:rsidR="648E76AB" w:rsidP="648E76AB" w:rsidRDefault="648E76AB" w14:paraId="779993D0" w14:textId="0A15C775">
      <w:pPr>
        <w:pStyle w:val="Normal"/>
        <w:rPr>
          <w:rFonts w:ascii="Calibri" w:hAnsi="Calibri" w:eastAsia="Calibri" w:cs="Calibri"/>
          <w:b w:val="1"/>
          <w:bCs w:val="1"/>
          <w:color w:val="auto"/>
          <w:sz w:val="26"/>
          <w:szCs w:val="26"/>
          <w:u w:val="single"/>
        </w:rPr>
      </w:pPr>
    </w:p>
    <w:p w:rsidR="543B909C" w:rsidP="648E76AB" w:rsidRDefault="543B909C" w14:paraId="332DA723" w14:textId="7326BA6F">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Bennett, T. &amp;. K. C., 1994. Community policing. </w:t>
      </w:r>
      <w:r w:rsidRPr="648E76AB" w:rsidR="543B909C">
        <w:rPr>
          <w:rFonts w:ascii="Calibri" w:hAnsi="Calibri" w:eastAsia="Calibri" w:cs="Calibri"/>
          <w:i w:val="1"/>
          <w:iCs w:val="1"/>
          <w:noProof w:val="0"/>
          <w:color w:val="auto"/>
          <w:sz w:val="24"/>
          <w:szCs w:val="24"/>
          <w:lang w:val="en-GB"/>
        </w:rPr>
        <w:t xml:space="preserve">Crime and justice, </w:t>
      </w:r>
      <w:r w:rsidRPr="648E76AB" w:rsidR="543B909C">
        <w:rPr>
          <w:rFonts w:ascii="Calibri" w:hAnsi="Calibri" w:eastAsia="Calibri" w:cs="Calibri"/>
          <w:noProof w:val="0"/>
          <w:color w:val="auto"/>
          <w:sz w:val="24"/>
          <w:szCs w:val="24"/>
          <w:lang w:val="en-GB"/>
        </w:rPr>
        <w:t>Volume 2, p. 7.</w:t>
      </w:r>
    </w:p>
    <w:p w:rsidR="543B909C" w:rsidP="648E76AB" w:rsidRDefault="543B909C" w14:paraId="7B2128A7" w14:textId="5A4AA75B">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 </w:t>
      </w:r>
    </w:p>
    <w:p w:rsidR="543B909C" w:rsidP="648E76AB" w:rsidRDefault="543B909C" w14:paraId="265395B9" w14:textId="786A3228">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Borum, R., 1999. Person vs. Situation Emphasis in Explaining Behavior. </w:t>
      </w:r>
      <w:r w:rsidRPr="648E76AB" w:rsidR="543B909C">
        <w:rPr>
          <w:rFonts w:ascii="Calibri" w:hAnsi="Calibri" w:eastAsia="Calibri" w:cs="Calibri"/>
          <w:i w:val="1"/>
          <w:iCs w:val="1"/>
          <w:noProof w:val="0"/>
          <w:color w:val="auto"/>
          <w:sz w:val="24"/>
          <w:szCs w:val="24"/>
          <w:lang w:val="en-GB"/>
        </w:rPr>
        <w:t xml:space="preserve">Psychology of Terrorism, </w:t>
      </w:r>
      <w:r w:rsidRPr="648E76AB" w:rsidR="543B909C">
        <w:rPr>
          <w:rFonts w:ascii="Calibri" w:hAnsi="Calibri" w:eastAsia="Calibri" w:cs="Calibri"/>
          <w:noProof w:val="0"/>
          <w:color w:val="auto"/>
          <w:sz w:val="24"/>
          <w:szCs w:val="24"/>
          <w:lang w:val="en-GB"/>
        </w:rPr>
        <w:t>p. 35.</w:t>
      </w:r>
    </w:p>
    <w:p w:rsidR="648E76AB" w:rsidP="648E76AB" w:rsidRDefault="648E76AB" w14:paraId="3BD2095A" w14:textId="04A9ACDD">
      <w:pPr>
        <w:pStyle w:val="Normal"/>
        <w:spacing w:before="0" w:beforeAutospacing="off" w:after="0" w:afterAutospacing="off"/>
        <w:rPr>
          <w:rFonts w:ascii="Calibri" w:hAnsi="Calibri" w:eastAsia="Calibri" w:cs="Calibri"/>
          <w:noProof w:val="0"/>
          <w:color w:val="auto"/>
          <w:sz w:val="24"/>
          <w:szCs w:val="24"/>
          <w:lang w:val="en-GB"/>
        </w:rPr>
      </w:pPr>
    </w:p>
    <w:p w:rsidR="543B909C" w:rsidP="648E76AB" w:rsidRDefault="543B909C" w14:paraId="1AA23795" w14:textId="45DFA88F">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College of policing, 2020. </w:t>
      </w:r>
      <w:r w:rsidRPr="648E76AB" w:rsidR="543B909C">
        <w:rPr>
          <w:rFonts w:ascii="Calibri" w:hAnsi="Calibri" w:eastAsia="Calibri" w:cs="Calibri"/>
          <w:i w:val="1"/>
          <w:iCs w:val="1"/>
          <w:noProof w:val="0"/>
          <w:color w:val="auto"/>
          <w:sz w:val="24"/>
          <w:szCs w:val="24"/>
          <w:lang w:val="en-GB"/>
        </w:rPr>
        <w:t xml:space="preserve">Effective communication in terrorism. </w:t>
      </w:r>
      <w:r>
        <w:br/>
      </w:r>
      <w:r w:rsidRPr="648E76AB" w:rsidR="543B909C">
        <w:rPr>
          <w:rFonts w:ascii="Calibri" w:hAnsi="Calibri" w:eastAsia="Calibri" w:cs="Calibri"/>
          <w:noProof w:val="0"/>
          <w:color w:val="auto"/>
          <w:sz w:val="24"/>
          <w:szCs w:val="24"/>
          <w:lang w:val="en-GB"/>
        </w:rPr>
        <w:t xml:space="preserve">Available at: </w:t>
      </w:r>
      <w:hyperlink r:id="R474d512fb2c14bf2">
        <w:r w:rsidRPr="648E76AB" w:rsidR="543B909C">
          <w:rPr>
            <w:rStyle w:val="Hyperlink"/>
            <w:rFonts w:ascii="Calibri" w:hAnsi="Calibri" w:eastAsia="Calibri" w:cs="Calibri"/>
            <w:noProof w:val="0"/>
            <w:color w:val="auto"/>
            <w:sz w:val="24"/>
            <w:szCs w:val="24"/>
            <w:lang w:val="en-GB"/>
          </w:rPr>
          <w:t>https://www.college.police.uk/app/engagement-and-communication/communication</w:t>
        </w:r>
        <w:r>
          <w:br/>
        </w:r>
      </w:hyperlink>
      <w:r w:rsidRPr="648E76AB" w:rsidR="543B909C">
        <w:rPr>
          <w:rFonts w:ascii="Calibri" w:hAnsi="Calibri" w:eastAsia="Calibri" w:cs="Calibri"/>
          <w:noProof w:val="0"/>
          <w:color w:val="auto"/>
          <w:sz w:val="24"/>
          <w:szCs w:val="24"/>
          <w:lang w:val="en-GB"/>
        </w:rPr>
        <w:t>[Accessed 13 April 2024].</w:t>
      </w:r>
    </w:p>
    <w:p w:rsidR="543B909C" w:rsidP="648E76AB" w:rsidRDefault="543B909C" w14:paraId="27A7CD01" w14:textId="4FBF1164">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 </w:t>
      </w:r>
    </w:p>
    <w:p w:rsidR="543B909C" w:rsidP="648E76AB" w:rsidRDefault="543B909C" w14:paraId="0A93123A" w14:textId="3144BBDD">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Counter terrorism policing, 2024. </w:t>
      </w:r>
      <w:r w:rsidRPr="648E76AB" w:rsidR="543B909C">
        <w:rPr>
          <w:rFonts w:ascii="Calibri" w:hAnsi="Calibri" w:eastAsia="Calibri" w:cs="Calibri"/>
          <w:i w:val="1"/>
          <w:iCs w:val="1"/>
          <w:noProof w:val="0"/>
          <w:color w:val="auto"/>
          <w:sz w:val="24"/>
          <w:szCs w:val="24"/>
          <w:lang w:val="en-GB"/>
        </w:rPr>
        <w:t>Prevent.</w:t>
      </w:r>
      <w:r>
        <w:br/>
      </w:r>
      <w:r w:rsidRPr="648E76AB" w:rsidR="543B909C">
        <w:rPr>
          <w:rFonts w:ascii="Calibri" w:hAnsi="Calibri" w:eastAsia="Calibri" w:cs="Calibri"/>
          <w:noProof w:val="0"/>
          <w:color w:val="auto"/>
          <w:sz w:val="24"/>
          <w:szCs w:val="24"/>
          <w:lang w:val="en-GB"/>
        </w:rPr>
        <w:t xml:space="preserve">Available at: </w:t>
      </w:r>
      <w:hyperlink r:id="R0b0843cb37584719">
        <w:r w:rsidRPr="648E76AB" w:rsidR="543B909C">
          <w:rPr>
            <w:rStyle w:val="Hyperlink"/>
            <w:rFonts w:ascii="Calibri" w:hAnsi="Calibri" w:eastAsia="Calibri" w:cs="Calibri"/>
            <w:noProof w:val="0"/>
            <w:color w:val="auto"/>
            <w:sz w:val="24"/>
            <w:szCs w:val="24"/>
            <w:lang w:val="en-GB"/>
          </w:rPr>
          <w:t>https://www.counterterrorism.police.uk/what-we-do/prevent/</w:t>
        </w:r>
        <w:r>
          <w:br/>
        </w:r>
      </w:hyperlink>
      <w:r w:rsidRPr="648E76AB" w:rsidR="543B909C">
        <w:rPr>
          <w:rFonts w:ascii="Calibri" w:hAnsi="Calibri" w:eastAsia="Calibri" w:cs="Calibri"/>
          <w:noProof w:val="0"/>
          <w:color w:val="auto"/>
          <w:sz w:val="24"/>
          <w:szCs w:val="24"/>
          <w:lang w:val="en-GB"/>
        </w:rPr>
        <w:t>[Accessed 11 April 2024].</w:t>
      </w:r>
    </w:p>
    <w:p w:rsidR="543B909C" w:rsidP="648E76AB" w:rsidRDefault="543B909C" w14:paraId="1B52BFB8" w14:textId="1B2D1D37">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 </w:t>
      </w:r>
    </w:p>
    <w:p w:rsidR="543B909C" w:rsidP="648E76AB" w:rsidRDefault="543B909C" w14:paraId="554A0E79" w14:textId="247E4D5D">
      <w:pPr>
        <w:spacing w:before="0" w:beforeAutospacing="off" w:after="0" w:afterAutospacing="off"/>
        <w:rPr>
          <w:rFonts w:ascii="Calibri" w:hAnsi="Calibri" w:eastAsia="Calibri" w:cs="Calibri"/>
          <w:noProof w:val="0"/>
          <w:color w:val="auto"/>
          <w:sz w:val="24"/>
          <w:szCs w:val="24"/>
          <w:lang w:val="en-US"/>
        </w:rPr>
      </w:pPr>
      <w:r w:rsidRPr="648E76AB" w:rsidR="543B909C">
        <w:rPr>
          <w:rFonts w:ascii="Calibri" w:hAnsi="Calibri" w:eastAsia="Calibri" w:cs="Calibri"/>
          <w:noProof w:val="0"/>
          <w:color w:val="auto"/>
          <w:sz w:val="24"/>
          <w:szCs w:val="24"/>
          <w:lang w:val="en-US"/>
        </w:rPr>
        <w:t xml:space="preserve">Foster, L. &amp;., 2009. Policing Research Partnership. </w:t>
      </w:r>
      <w:r w:rsidRPr="648E76AB" w:rsidR="543B909C">
        <w:rPr>
          <w:rFonts w:ascii="Calibri" w:hAnsi="Calibri" w:eastAsia="Calibri" w:cs="Calibri"/>
          <w:i w:val="1"/>
          <w:iCs w:val="1"/>
          <w:noProof w:val="0"/>
          <w:color w:val="auto"/>
          <w:sz w:val="24"/>
          <w:szCs w:val="24"/>
          <w:lang w:val="en-US"/>
        </w:rPr>
        <w:t xml:space="preserve">Policing research partnership, </w:t>
      </w:r>
      <w:r w:rsidRPr="648E76AB" w:rsidR="543B909C">
        <w:rPr>
          <w:rFonts w:ascii="Calibri" w:hAnsi="Calibri" w:eastAsia="Calibri" w:cs="Calibri"/>
          <w:noProof w:val="0"/>
          <w:color w:val="auto"/>
          <w:sz w:val="24"/>
          <w:szCs w:val="24"/>
          <w:lang w:val="en-US"/>
        </w:rPr>
        <w:t>Volume 3, p. 2.</w:t>
      </w:r>
    </w:p>
    <w:p w:rsidR="543B909C" w:rsidP="648E76AB" w:rsidRDefault="543B909C" w14:paraId="43F6A127" w14:textId="338BF2D5">
      <w:pPr>
        <w:spacing w:before="0" w:beforeAutospacing="off" w:after="0" w:afterAutospacing="off"/>
        <w:rPr>
          <w:rFonts w:ascii="Calibri" w:hAnsi="Calibri" w:eastAsia="Calibri" w:cs="Calibri"/>
          <w:noProof w:val="0"/>
          <w:color w:val="auto"/>
          <w:sz w:val="24"/>
          <w:szCs w:val="24"/>
          <w:lang w:val="en-US"/>
        </w:rPr>
      </w:pPr>
      <w:r w:rsidRPr="648E76AB" w:rsidR="543B909C">
        <w:rPr>
          <w:rFonts w:ascii="Calibri" w:hAnsi="Calibri" w:eastAsia="Calibri" w:cs="Calibri"/>
          <w:noProof w:val="0"/>
          <w:color w:val="auto"/>
          <w:sz w:val="24"/>
          <w:szCs w:val="24"/>
          <w:lang w:val="en-US"/>
        </w:rPr>
        <w:t xml:space="preserve"> </w:t>
      </w:r>
    </w:p>
    <w:p w:rsidR="543B909C" w:rsidP="648E76AB" w:rsidRDefault="543B909C" w14:paraId="567849B1" w14:textId="20AE245B">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GOV.UK, 2024. </w:t>
      </w:r>
      <w:r w:rsidRPr="648E76AB" w:rsidR="543B909C">
        <w:rPr>
          <w:rFonts w:ascii="Calibri" w:hAnsi="Calibri" w:eastAsia="Calibri" w:cs="Calibri"/>
          <w:i w:val="1"/>
          <w:iCs w:val="1"/>
          <w:noProof w:val="0"/>
          <w:color w:val="auto"/>
          <w:sz w:val="24"/>
          <w:szCs w:val="24"/>
          <w:lang w:val="en-GB"/>
        </w:rPr>
        <w:t xml:space="preserve">Prevent duty guidance: for England and Wales. </w:t>
      </w:r>
      <w:r>
        <w:br/>
      </w:r>
      <w:r w:rsidRPr="648E76AB" w:rsidR="543B909C">
        <w:rPr>
          <w:rFonts w:ascii="Calibri" w:hAnsi="Calibri" w:eastAsia="Calibri" w:cs="Calibri"/>
          <w:noProof w:val="0"/>
          <w:color w:val="auto"/>
          <w:sz w:val="24"/>
          <w:szCs w:val="24"/>
          <w:lang w:val="en-GB"/>
        </w:rPr>
        <w:t xml:space="preserve">Available at: </w:t>
      </w:r>
      <w:hyperlink r:id="Ra1d064161ddf4b53">
        <w:r w:rsidRPr="648E76AB" w:rsidR="543B909C">
          <w:rPr>
            <w:rStyle w:val="Hyperlink"/>
            <w:rFonts w:ascii="Calibri" w:hAnsi="Calibri" w:eastAsia="Calibri" w:cs="Calibri"/>
            <w:noProof w:val="0"/>
            <w:color w:val="auto"/>
            <w:sz w:val="24"/>
            <w:szCs w:val="24"/>
            <w:lang w:val="en-GB"/>
          </w:rPr>
          <w:t>https://www.gov.uk/government/publications/prevent-duty-guidance/prevent-duty-guidance-for-england-and-wales-accessible</w:t>
        </w:r>
        <w:r>
          <w:br/>
        </w:r>
      </w:hyperlink>
      <w:r w:rsidRPr="648E76AB" w:rsidR="543B909C">
        <w:rPr>
          <w:rFonts w:ascii="Calibri" w:hAnsi="Calibri" w:eastAsia="Calibri" w:cs="Calibri"/>
          <w:noProof w:val="0"/>
          <w:color w:val="auto"/>
          <w:sz w:val="24"/>
          <w:szCs w:val="24"/>
          <w:lang w:val="en-GB"/>
        </w:rPr>
        <w:t>[Accessed 10 April 2024].</w:t>
      </w:r>
    </w:p>
    <w:p w:rsidR="543B909C" w:rsidP="648E76AB" w:rsidRDefault="543B909C" w14:paraId="4917E799" w14:textId="06E5A8C1">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 </w:t>
      </w:r>
    </w:p>
    <w:p w:rsidR="543B909C" w:rsidP="648E76AB" w:rsidRDefault="543B909C" w14:paraId="2A32A617" w14:textId="7E231E05">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McGovern, V. c. &amp;. M., 2014. Dangerous minds. </w:t>
      </w:r>
      <w:r w:rsidRPr="648E76AB" w:rsidR="543B909C">
        <w:rPr>
          <w:rFonts w:ascii="Calibri" w:hAnsi="Calibri" w:eastAsia="Calibri" w:cs="Calibri"/>
          <w:i w:val="1"/>
          <w:iCs w:val="1"/>
          <w:noProof w:val="0"/>
          <w:color w:val="auto"/>
          <w:sz w:val="24"/>
          <w:szCs w:val="24"/>
          <w:lang w:val="en-GB"/>
        </w:rPr>
        <w:t xml:space="preserve">Children &amp; Society , </w:t>
      </w:r>
      <w:r w:rsidRPr="648E76AB" w:rsidR="543B909C">
        <w:rPr>
          <w:rFonts w:ascii="Calibri" w:hAnsi="Calibri" w:eastAsia="Calibri" w:cs="Calibri"/>
          <w:noProof w:val="0"/>
          <w:color w:val="auto"/>
          <w:sz w:val="24"/>
          <w:szCs w:val="24"/>
          <w:lang w:val="en-GB"/>
        </w:rPr>
        <w:t>28(3), p. 242.</w:t>
      </w:r>
    </w:p>
    <w:p w:rsidR="543B909C" w:rsidP="648E76AB" w:rsidRDefault="543B909C" w14:paraId="234D2B95" w14:textId="25D805D9">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 </w:t>
      </w:r>
    </w:p>
    <w:p w:rsidR="543B909C" w:rsidP="648E76AB" w:rsidRDefault="543B909C" w14:paraId="546E534D" w14:textId="672B5B59">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Oxford University, 2024. </w:t>
      </w:r>
      <w:r w:rsidRPr="648E76AB" w:rsidR="543B909C">
        <w:rPr>
          <w:rFonts w:ascii="Calibri" w:hAnsi="Calibri" w:eastAsia="Calibri" w:cs="Calibri"/>
          <w:i w:val="1"/>
          <w:iCs w:val="1"/>
          <w:noProof w:val="0"/>
          <w:color w:val="auto"/>
          <w:sz w:val="24"/>
          <w:szCs w:val="24"/>
          <w:lang w:val="en-GB"/>
        </w:rPr>
        <w:t xml:space="preserve">Terrorism Protection. </w:t>
      </w:r>
      <w:r>
        <w:br/>
      </w:r>
      <w:r w:rsidRPr="648E76AB" w:rsidR="543B909C">
        <w:rPr>
          <w:rFonts w:ascii="Calibri" w:hAnsi="Calibri" w:eastAsia="Calibri" w:cs="Calibri"/>
          <w:noProof w:val="0"/>
          <w:color w:val="auto"/>
          <w:sz w:val="24"/>
          <w:szCs w:val="24"/>
          <w:lang w:val="en-GB"/>
        </w:rPr>
        <w:t xml:space="preserve">Available at: </w:t>
      </w:r>
      <w:hyperlink r:id="R766729b807d94e32">
        <w:r w:rsidRPr="648E76AB" w:rsidR="543B909C">
          <w:rPr>
            <w:rStyle w:val="Hyperlink"/>
            <w:rFonts w:ascii="Calibri" w:hAnsi="Calibri" w:eastAsia="Calibri" w:cs="Calibri"/>
            <w:noProof w:val="0"/>
            <w:color w:val="auto"/>
            <w:sz w:val="24"/>
            <w:szCs w:val="24"/>
            <w:lang w:val="en-GB"/>
          </w:rPr>
          <w:t>https://www.ox.ac.uk/about</w:t>
        </w:r>
        <w:r>
          <w:br/>
        </w:r>
      </w:hyperlink>
      <w:r w:rsidRPr="648E76AB" w:rsidR="543B909C">
        <w:rPr>
          <w:rFonts w:ascii="Calibri" w:hAnsi="Calibri" w:eastAsia="Calibri" w:cs="Calibri"/>
          <w:noProof w:val="0"/>
          <w:color w:val="auto"/>
          <w:sz w:val="24"/>
          <w:szCs w:val="24"/>
          <w:lang w:val="en-GB"/>
        </w:rPr>
        <w:t>[Accessed 3 May 2024].</w:t>
      </w:r>
    </w:p>
    <w:p w:rsidR="543B909C" w:rsidP="648E76AB" w:rsidRDefault="543B909C" w14:paraId="0AB473CA" w14:textId="790028FB">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 </w:t>
      </w:r>
    </w:p>
    <w:p w:rsidR="543B909C" w:rsidP="648E76AB" w:rsidRDefault="543B909C" w14:paraId="18C14FCE" w14:textId="20B82122">
      <w:pPr>
        <w:spacing w:before="0" w:beforeAutospacing="off" w:after="0" w:afterAutospacing="off"/>
        <w:rPr>
          <w:rFonts w:ascii="Calibri" w:hAnsi="Calibri" w:eastAsia="Calibri" w:cs="Calibri"/>
          <w:noProof w:val="0"/>
          <w:color w:val="auto"/>
          <w:sz w:val="24"/>
          <w:szCs w:val="24"/>
          <w:lang w:val="en-GB"/>
        </w:rPr>
      </w:pPr>
      <w:r w:rsidRPr="648E76AB" w:rsidR="543B909C">
        <w:rPr>
          <w:rFonts w:ascii="Calibri" w:hAnsi="Calibri" w:eastAsia="Calibri" w:cs="Calibri"/>
          <w:noProof w:val="0"/>
          <w:color w:val="auto"/>
          <w:sz w:val="24"/>
          <w:szCs w:val="24"/>
          <w:lang w:val="en-GB"/>
        </w:rPr>
        <w:t xml:space="preserve">Pantucci, R., 2023. The Role of Education and Teachers in Preventing Violent Extremism. </w:t>
      </w:r>
      <w:r w:rsidRPr="648E76AB" w:rsidR="543B909C">
        <w:rPr>
          <w:rFonts w:ascii="Calibri" w:hAnsi="Calibri" w:eastAsia="Calibri" w:cs="Calibri"/>
          <w:i w:val="1"/>
          <w:iCs w:val="1"/>
          <w:noProof w:val="0"/>
          <w:color w:val="auto"/>
          <w:sz w:val="24"/>
          <w:szCs w:val="24"/>
          <w:lang w:val="en-GB"/>
        </w:rPr>
        <w:t xml:space="preserve">Terrorism, </w:t>
      </w:r>
      <w:r w:rsidRPr="648E76AB" w:rsidR="543B909C">
        <w:rPr>
          <w:rFonts w:ascii="Calibri" w:hAnsi="Calibri" w:eastAsia="Calibri" w:cs="Calibri"/>
          <w:noProof w:val="0"/>
          <w:color w:val="auto"/>
          <w:sz w:val="24"/>
          <w:szCs w:val="24"/>
          <w:lang w:val="en-GB"/>
        </w:rPr>
        <w:t>p. 1.</w:t>
      </w:r>
    </w:p>
    <w:p w:rsidR="648E76AB" w:rsidP="648E76AB" w:rsidRDefault="648E76AB" w14:paraId="7D99D17D" w14:textId="0272AC93">
      <w:pPr>
        <w:spacing w:before="0" w:beforeAutospacing="off" w:after="0" w:afterAutospacing="off"/>
        <w:rPr>
          <w:rFonts w:ascii="Calibri" w:hAnsi="Calibri" w:eastAsia="Calibri" w:cs="Calibri"/>
          <w:noProof w:val="0"/>
          <w:color w:val="auto"/>
          <w:sz w:val="24"/>
          <w:szCs w:val="24"/>
          <w:lang w:val="en-GB"/>
        </w:rPr>
      </w:pPr>
    </w:p>
    <w:p w:rsidR="648E76AB" w:rsidP="648E76AB" w:rsidRDefault="648E76AB" w14:paraId="7EB64300" w14:textId="1E428370">
      <w:pPr>
        <w:pStyle w:val="Normal"/>
        <w:rPr>
          <w:rFonts w:ascii="Aptos" w:hAnsi="Aptos" w:eastAsia="Aptos" w:cs="Aptos"/>
          <w:noProof w:val="0"/>
          <w:color w:val="auto"/>
          <w:sz w:val="24"/>
          <w:szCs w:val="24"/>
          <w:lang w:val="en-GB"/>
        </w:rPr>
      </w:pPr>
    </w:p>
    <w:p w:rsidR="2CBF7EEC" w:rsidP="648E76AB" w:rsidRDefault="2CBF7EEC" w14:paraId="32736469" w14:textId="2272442E">
      <w:pPr>
        <w:spacing w:before="240" w:beforeAutospacing="off" w:after="240" w:afterAutospacing="off"/>
        <w:rPr>
          <w:rFonts w:ascii="Times" w:hAnsi="Times" w:eastAsia="Times" w:cs="Times"/>
          <w:noProof w:val="0"/>
          <w:color w:val="000000" w:themeColor="text1" w:themeTint="FF" w:themeShade="FF"/>
          <w:sz w:val="16"/>
          <w:szCs w:val="16"/>
          <w:lang w:val="en-GB"/>
        </w:rPr>
      </w:pPr>
      <w:r>
        <w:br/>
      </w:r>
    </w:p>
    <w:p w:rsidR="648E76AB" w:rsidP="648E76AB" w:rsidRDefault="648E76AB" w14:paraId="501133EE" w14:textId="473D2E7D">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GozoV6VE/6qOMz" int2:id="nd50KTkD">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3C1A52"/>
    <w:rsid w:val="0010699F"/>
    <w:rsid w:val="00A3A0E5"/>
    <w:rsid w:val="00AC0CF9"/>
    <w:rsid w:val="01048107"/>
    <w:rsid w:val="012D49EF"/>
    <w:rsid w:val="012F3D3C"/>
    <w:rsid w:val="0201EA4C"/>
    <w:rsid w:val="02802CF9"/>
    <w:rsid w:val="029A73F0"/>
    <w:rsid w:val="029C40FE"/>
    <w:rsid w:val="02EEF013"/>
    <w:rsid w:val="03E1673F"/>
    <w:rsid w:val="045C5924"/>
    <w:rsid w:val="04B1F3CF"/>
    <w:rsid w:val="05C6A295"/>
    <w:rsid w:val="0693980A"/>
    <w:rsid w:val="06949C1E"/>
    <w:rsid w:val="070C613C"/>
    <w:rsid w:val="07FA97FD"/>
    <w:rsid w:val="08791956"/>
    <w:rsid w:val="08CFC72F"/>
    <w:rsid w:val="0A315ACE"/>
    <w:rsid w:val="0C1FFE10"/>
    <w:rsid w:val="0C65CDC9"/>
    <w:rsid w:val="0C69FF06"/>
    <w:rsid w:val="0E46422E"/>
    <w:rsid w:val="0ED5357C"/>
    <w:rsid w:val="0F2E4DE8"/>
    <w:rsid w:val="0F65D3B3"/>
    <w:rsid w:val="0F94324F"/>
    <w:rsid w:val="0FF58298"/>
    <w:rsid w:val="10F47924"/>
    <w:rsid w:val="1128ACD4"/>
    <w:rsid w:val="11929B77"/>
    <w:rsid w:val="124F13E3"/>
    <w:rsid w:val="13161D70"/>
    <w:rsid w:val="1427542F"/>
    <w:rsid w:val="146455EC"/>
    <w:rsid w:val="154DE96B"/>
    <w:rsid w:val="15740D75"/>
    <w:rsid w:val="159EFBC5"/>
    <w:rsid w:val="15B6F4AC"/>
    <w:rsid w:val="15D6E140"/>
    <w:rsid w:val="167AD48F"/>
    <w:rsid w:val="17395FCD"/>
    <w:rsid w:val="177EC5FB"/>
    <w:rsid w:val="17A25D80"/>
    <w:rsid w:val="17A2CBE9"/>
    <w:rsid w:val="181581D8"/>
    <w:rsid w:val="18D5302E"/>
    <w:rsid w:val="193E9C4A"/>
    <w:rsid w:val="1A11E524"/>
    <w:rsid w:val="1A20B68C"/>
    <w:rsid w:val="1A8DEA93"/>
    <w:rsid w:val="1B2CA3F4"/>
    <w:rsid w:val="1C13D94B"/>
    <w:rsid w:val="1D337C0B"/>
    <w:rsid w:val="1D7F800F"/>
    <w:rsid w:val="1E5C0E25"/>
    <w:rsid w:val="1E5D1E84"/>
    <w:rsid w:val="1E77D49A"/>
    <w:rsid w:val="202CEE1B"/>
    <w:rsid w:val="20BBC839"/>
    <w:rsid w:val="20F480F7"/>
    <w:rsid w:val="20F92755"/>
    <w:rsid w:val="21DC3CB0"/>
    <w:rsid w:val="22BFDA73"/>
    <w:rsid w:val="2408F594"/>
    <w:rsid w:val="2522E5C7"/>
    <w:rsid w:val="25FADFCC"/>
    <w:rsid w:val="2606846C"/>
    <w:rsid w:val="26B79EB6"/>
    <w:rsid w:val="272DEF26"/>
    <w:rsid w:val="2735E7A3"/>
    <w:rsid w:val="27422985"/>
    <w:rsid w:val="27A9BCCD"/>
    <w:rsid w:val="286986C8"/>
    <w:rsid w:val="289D700D"/>
    <w:rsid w:val="28C9BF87"/>
    <w:rsid w:val="28DA3BA8"/>
    <w:rsid w:val="29458D2E"/>
    <w:rsid w:val="2A136617"/>
    <w:rsid w:val="2B19545C"/>
    <w:rsid w:val="2B5E5979"/>
    <w:rsid w:val="2CBF7EEC"/>
    <w:rsid w:val="2CD1C0BE"/>
    <w:rsid w:val="2CD74223"/>
    <w:rsid w:val="2CE6B489"/>
    <w:rsid w:val="2D618807"/>
    <w:rsid w:val="2DD52699"/>
    <w:rsid w:val="2EB7BD1F"/>
    <w:rsid w:val="2F1523BB"/>
    <w:rsid w:val="2F523B3E"/>
    <w:rsid w:val="3126EA7D"/>
    <w:rsid w:val="317D0CF5"/>
    <w:rsid w:val="31EF5DE1"/>
    <w:rsid w:val="3340A8FC"/>
    <w:rsid w:val="335DE393"/>
    <w:rsid w:val="343BA09B"/>
    <w:rsid w:val="3526FEA3"/>
    <w:rsid w:val="3574AC66"/>
    <w:rsid w:val="360D98EF"/>
    <w:rsid w:val="36A62039"/>
    <w:rsid w:val="36AB79F1"/>
    <w:rsid w:val="37497A5D"/>
    <w:rsid w:val="37AC9418"/>
    <w:rsid w:val="3914FF9D"/>
    <w:rsid w:val="3AAB348E"/>
    <w:rsid w:val="3AD141A4"/>
    <w:rsid w:val="3B564E48"/>
    <w:rsid w:val="3C30DE4D"/>
    <w:rsid w:val="3CF21EA9"/>
    <w:rsid w:val="3D0CB69D"/>
    <w:rsid w:val="3DEC4528"/>
    <w:rsid w:val="3E288421"/>
    <w:rsid w:val="3EA0963A"/>
    <w:rsid w:val="3ED08819"/>
    <w:rsid w:val="3F2AC2E1"/>
    <w:rsid w:val="3FDD7369"/>
    <w:rsid w:val="40247A21"/>
    <w:rsid w:val="414F3F5C"/>
    <w:rsid w:val="41AC676F"/>
    <w:rsid w:val="42E56F04"/>
    <w:rsid w:val="43D04852"/>
    <w:rsid w:val="44179C26"/>
    <w:rsid w:val="44813F65"/>
    <w:rsid w:val="4518B6ED"/>
    <w:rsid w:val="455AF360"/>
    <w:rsid w:val="46ABC45B"/>
    <w:rsid w:val="4707E914"/>
    <w:rsid w:val="4721BD63"/>
    <w:rsid w:val="474F3CE8"/>
    <w:rsid w:val="47708F39"/>
    <w:rsid w:val="47B33B43"/>
    <w:rsid w:val="48A526A2"/>
    <w:rsid w:val="493808B2"/>
    <w:rsid w:val="4951310F"/>
    <w:rsid w:val="49767614"/>
    <w:rsid w:val="49A9E62F"/>
    <w:rsid w:val="4A346733"/>
    <w:rsid w:val="4BB66F73"/>
    <w:rsid w:val="4C678A18"/>
    <w:rsid w:val="4D8BFDA0"/>
    <w:rsid w:val="4D959F85"/>
    <w:rsid w:val="4DC0E897"/>
    <w:rsid w:val="4DD6CD31"/>
    <w:rsid w:val="4E5058C5"/>
    <w:rsid w:val="4E8B6250"/>
    <w:rsid w:val="4E9D91A7"/>
    <w:rsid w:val="4F91549A"/>
    <w:rsid w:val="5078719D"/>
    <w:rsid w:val="5299DD15"/>
    <w:rsid w:val="52C746DE"/>
    <w:rsid w:val="53FB3F24"/>
    <w:rsid w:val="543B909C"/>
    <w:rsid w:val="5675FF70"/>
    <w:rsid w:val="56BDAEB8"/>
    <w:rsid w:val="5719B789"/>
    <w:rsid w:val="573553F1"/>
    <w:rsid w:val="581925AD"/>
    <w:rsid w:val="584C6173"/>
    <w:rsid w:val="585923A5"/>
    <w:rsid w:val="5932CFC4"/>
    <w:rsid w:val="594F1861"/>
    <w:rsid w:val="59C26387"/>
    <w:rsid w:val="59E831D4"/>
    <w:rsid w:val="5A51584B"/>
    <w:rsid w:val="5A8C9CDE"/>
    <w:rsid w:val="5A9C27DC"/>
    <w:rsid w:val="5AC90A4A"/>
    <w:rsid w:val="5C2796FE"/>
    <w:rsid w:val="5D2A81A8"/>
    <w:rsid w:val="5DA16866"/>
    <w:rsid w:val="5DF3BB89"/>
    <w:rsid w:val="5E006123"/>
    <w:rsid w:val="5E383C71"/>
    <w:rsid w:val="5E40E038"/>
    <w:rsid w:val="5F5F37C0"/>
    <w:rsid w:val="60A7D595"/>
    <w:rsid w:val="61F4BFD6"/>
    <w:rsid w:val="62F2A64A"/>
    <w:rsid w:val="632DEA46"/>
    <w:rsid w:val="63E7AE58"/>
    <w:rsid w:val="6475A402"/>
    <w:rsid w:val="648E76AB"/>
    <w:rsid w:val="64C4E02C"/>
    <w:rsid w:val="65B97855"/>
    <w:rsid w:val="65C4E77D"/>
    <w:rsid w:val="66562BC9"/>
    <w:rsid w:val="679E07A5"/>
    <w:rsid w:val="67EACFA2"/>
    <w:rsid w:val="685A72F4"/>
    <w:rsid w:val="687DE246"/>
    <w:rsid w:val="6994AFE7"/>
    <w:rsid w:val="6A4CF7ED"/>
    <w:rsid w:val="6B202D14"/>
    <w:rsid w:val="6B508A37"/>
    <w:rsid w:val="6C7B41C2"/>
    <w:rsid w:val="6C83ADD6"/>
    <w:rsid w:val="6C8AB631"/>
    <w:rsid w:val="6D1DE8B1"/>
    <w:rsid w:val="6DD98B29"/>
    <w:rsid w:val="6FD4A856"/>
    <w:rsid w:val="7021CAA9"/>
    <w:rsid w:val="70E3E44C"/>
    <w:rsid w:val="71E1A0F8"/>
    <w:rsid w:val="71EBC681"/>
    <w:rsid w:val="724AE1EC"/>
    <w:rsid w:val="72A11882"/>
    <w:rsid w:val="72EA8346"/>
    <w:rsid w:val="72F9F7B5"/>
    <w:rsid w:val="74E8F8F1"/>
    <w:rsid w:val="7556B41C"/>
    <w:rsid w:val="761D1EF8"/>
    <w:rsid w:val="7643755E"/>
    <w:rsid w:val="7720BBFC"/>
    <w:rsid w:val="77B8EF59"/>
    <w:rsid w:val="77CE4E03"/>
    <w:rsid w:val="77F56BCC"/>
    <w:rsid w:val="781130D7"/>
    <w:rsid w:val="783896FB"/>
    <w:rsid w:val="78A949E9"/>
    <w:rsid w:val="7918C354"/>
    <w:rsid w:val="793C1A52"/>
    <w:rsid w:val="79CE6DE4"/>
    <w:rsid w:val="7AB770A4"/>
    <w:rsid w:val="7ABFFBB7"/>
    <w:rsid w:val="7ADC9E02"/>
    <w:rsid w:val="7B031206"/>
    <w:rsid w:val="7B05EEC5"/>
    <w:rsid w:val="7B185F28"/>
    <w:rsid w:val="7B378563"/>
    <w:rsid w:val="7B92A8C7"/>
    <w:rsid w:val="7BED2421"/>
    <w:rsid w:val="7C96CCF9"/>
    <w:rsid w:val="7D6F4A96"/>
    <w:rsid w:val="7EB18AAE"/>
    <w:rsid w:val="7EBE068D"/>
    <w:rsid w:val="7EE30A6C"/>
    <w:rsid w:val="7FE4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C1A52"/>
  <w15:chartTrackingRefBased/>
  <w15:docId w15:val="{B94B1C1F-315D-4B75-8667-1753E6A8DA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app/engagement-and-communication/communication" TargetMode="External" Id="R474d512fb2c14bf2" /><Relationship Type="http://schemas.openxmlformats.org/officeDocument/2006/relationships/hyperlink" Target="https://www.counterterrorism.police.uk/what-we-do/prevent/" TargetMode="External" Id="R0b0843cb37584719" /><Relationship Type="http://schemas.openxmlformats.org/officeDocument/2006/relationships/hyperlink" Target="https://www.gov.uk/government/publications/prevent-duty-guidance/prevent-duty-guidance-for-england-and-wales-accessible" TargetMode="External" Id="Ra1d064161ddf4b53" /><Relationship Type="http://schemas.openxmlformats.org/officeDocument/2006/relationships/hyperlink" Target="https://www.ox.ac.uk/about" TargetMode="External" Id="R766729b807d94e32" /><Relationship Type="http://schemas.microsoft.com/office/2020/10/relationships/intelligence" Target="/word/intelligence2.xml" Id="Rabd3d60f257f43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3</revision>
  <dcterms:created xsi:type="dcterms:W3CDTF">2024-04-09T13:46:35.9601908Z</dcterms:created>
  <dcterms:modified xsi:type="dcterms:W3CDTF">2024-04-16T11:22:24.8670659Z</dcterms:modified>
</coreProperties>
</file>