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4B6EA" w14:textId="77777777" w:rsidR="004605ED" w:rsidRDefault="004605ED" w:rsidP="004605ED">
      <w:pPr>
        <w:spacing w:line="360" w:lineRule="auto"/>
        <w:jc w:val="center"/>
        <w:rPr>
          <w:rFonts w:ascii="Times New Roman" w:hAnsi="Times New Roman" w:cs="Times New Roman"/>
          <w:b/>
          <w:bCs/>
          <w:sz w:val="32"/>
          <w:szCs w:val="32"/>
        </w:rPr>
      </w:pPr>
    </w:p>
    <w:p w14:paraId="49A1283F" w14:textId="0FBF726C" w:rsidR="00FD6383" w:rsidRPr="00FD6383" w:rsidRDefault="00FD6383" w:rsidP="00FD6383">
      <w:pPr>
        <w:spacing w:line="240" w:lineRule="auto"/>
        <w:jc w:val="center"/>
        <w:rPr>
          <w:rFonts w:ascii="Times New Roman" w:eastAsia="Times New Roman" w:hAnsi="Times New Roman" w:cs="Times New Roman"/>
          <w:sz w:val="24"/>
          <w:szCs w:val="24"/>
          <w:lang w:val="en-GB" w:eastAsia="en-GB"/>
        </w:rPr>
      </w:pPr>
      <w:r w:rsidRPr="00FD6383">
        <w:rPr>
          <w:rFonts w:ascii="Times New Roman" w:eastAsia="Times New Roman" w:hAnsi="Times New Roman" w:cs="Times New Roman"/>
          <w:sz w:val="24"/>
          <w:szCs w:val="24"/>
          <w:lang w:val="en-GB" w:eastAsia="en-GB"/>
        </w:rPr>
        <w:fldChar w:fldCharType="begin"/>
      </w:r>
      <w:r w:rsidRPr="00FD6383">
        <w:rPr>
          <w:rFonts w:ascii="Times New Roman" w:eastAsia="Times New Roman" w:hAnsi="Times New Roman" w:cs="Times New Roman"/>
          <w:sz w:val="24"/>
          <w:szCs w:val="24"/>
          <w:lang w:val="en-GB" w:eastAsia="en-GB"/>
        </w:rPr>
        <w:instrText xml:space="preserve"> INCLUDEPICTURE "/var/folders/n5/64c3yn0n4svdswx9ryn7969m0000gn/T/com.microsoft.Word/WebArchiveCopyPasteTempFiles/page1image53633776" \* MERGEFORMATINET </w:instrText>
      </w:r>
      <w:r w:rsidRPr="00FD6383">
        <w:rPr>
          <w:rFonts w:ascii="Times New Roman" w:eastAsia="Times New Roman" w:hAnsi="Times New Roman" w:cs="Times New Roman"/>
          <w:sz w:val="24"/>
          <w:szCs w:val="24"/>
          <w:lang w:val="en-GB" w:eastAsia="en-GB"/>
        </w:rPr>
        <w:fldChar w:fldCharType="separate"/>
      </w:r>
      <w:r w:rsidRPr="00FD6383">
        <w:rPr>
          <w:rFonts w:ascii="Times New Roman" w:eastAsia="Times New Roman" w:hAnsi="Times New Roman" w:cs="Times New Roman"/>
          <w:noProof/>
          <w:sz w:val="24"/>
          <w:szCs w:val="24"/>
          <w:lang w:val="en-GB" w:eastAsia="en-GB"/>
        </w:rPr>
        <w:drawing>
          <wp:inline distT="0" distB="0" distL="0" distR="0" wp14:anchorId="1174D1CC" wp14:editId="7F02212B">
            <wp:extent cx="1804670" cy="721995"/>
            <wp:effectExtent l="0" t="0" r="0" b="0"/>
            <wp:docPr id="3" name="Picture 3"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rFonts w:ascii="Times New Roman" w:eastAsia="Times New Roman" w:hAnsi="Times New Roman" w:cs="Times New Roman"/>
          <w:sz w:val="24"/>
          <w:szCs w:val="24"/>
          <w:lang w:val="en-GB" w:eastAsia="en-GB"/>
        </w:rPr>
        <w:fldChar w:fldCharType="end"/>
      </w:r>
    </w:p>
    <w:p w14:paraId="3C09F897" w14:textId="77777777" w:rsidR="004605ED" w:rsidRDefault="004605ED" w:rsidP="004605ED">
      <w:pPr>
        <w:spacing w:line="360" w:lineRule="auto"/>
        <w:jc w:val="center"/>
        <w:rPr>
          <w:rFonts w:ascii="Times New Roman" w:hAnsi="Times New Roman" w:cs="Times New Roman"/>
          <w:b/>
          <w:bCs/>
          <w:sz w:val="32"/>
          <w:szCs w:val="32"/>
        </w:rPr>
      </w:pPr>
    </w:p>
    <w:p w14:paraId="65927A91" w14:textId="77777777" w:rsidR="004605ED" w:rsidRDefault="004605ED" w:rsidP="004605ED">
      <w:pPr>
        <w:spacing w:line="360" w:lineRule="auto"/>
        <w:jc w:val="center"/>
        <w:rPr>
          <w:rFonts w:ascii="Times New Roman" w:hAnsi="Times New Roman" w:cs="Times New Roman"/>
          <w:b/>
          <w:bCs/>
          <w:sz w:val="32"/>
          <w:szCs w:val="32"/>
        </w:rPr>
      </w:pPr>
    </w:p>
    <w:p w14:paraId="0EF4CB34" w14:textId="77777777" w:rsidR="004605ED" w:rsidRDefault="004605ED" w:rsidP="00FD6383">
      <w:pPr>
        <w:spacing w:line="360" w:lineRule="auto"/>
        <w:rPr>
          <w:rFonts w:ascii="Times New Roman" w:hAnsi="Times New Roman" w:cs="Times New Roman"/>
          <w:b/>
          <w:bCs/>
          <w:sz w:val="32"/>
          <w:szCs w:val="32"/>
        </w:rPr>
      </w:pPr>
    </w:p>
    <w:p w14:paraId="2F1C2BC0" w14:textId="77777777" w:rsidR="004605ED" w:rsidRDefault="004605ED" w:rsidP="00FD6383">
      <w:pPr>
        <w:spacing w:line="360" w:lineRule="auto"/>
        <w:rPr>
          <w:rFonts w:ascii="Times New Roman" w:hAnsi="Times New Roman" w:cs="Times New Roman"/>
          <w:b/>
          <w:bCs/>
          <w:sz w:val="32"/>
          <w:szCs w:val="32"/>
        </w:rPr>
      </w:pPr>
    </w:p>
    <w:p w14:paraId="66C724A9" w14:textId="1B7964F3" w:rsidR="004605ED" w:rsidRDefault="004605ED" w:rsidP="004605ED">
      <w:pPr>
        <w:spacing w:line="360" w:lineRule="auto"/>
        <w:jc w:val="center"/>
        <w:rPr>
          <w:rFonts w:ascii="Times New Roman" w:hAnsi="Times New Roman" w:cs="Times New Roman"/>
          <w:b/>
          <w:bCs/>
          <w:sz w:val="32"/>
          <w:szCs w:val="32"/>
        </w:rPr>
      </w:pPr>
    </w:p>
    <w:p w14:paraId="1B2277C0" w14:textId="77777777" w:rsidR="00FD6383" w:rsidRDefault="00FD6383" w:rsidP="004605ED">
      <w:pPr>
        <w:spacing w:line="360" w:lineRule="auto"/>
        <w:jc w:val="center"/>
        <w:rPr>
          <w:rFonts w:ascii="Times New Roman" w:hAnsi="Times New Roman" w:cs="Times New Roman"/>
          <w:b/>
          <w:bCs/>
          <w:sz w:val="32"/>
          <w:szCs w:val="32"/>
        </w:rPr>
      </w:pPr>
    </w:p>
    <w:p w14:paraId="66B93B6C" w14:textId="79C415A5" w:rsidR="00362FC3" w:rsidRDefault="004605ED" w:rsidP="004605ED">
      <w:pPr>
        <w:spacing w:line="360" w:lineRule="auto"/>
        <w:jc w:val="center"/>
        <w:rPr>
          <w:rFonts w:ascii="Times New Roman" w:hAnsi="Times New Roman" w:cs="Times New Roman"/>
          <w:b/>
          <w:bCs/>
          <w:sz w:val="32"/>
          <w:szCs w:val="32"/>
        </w:rPr>
      </w:pPr>
      <w:r w:rsidRPr="004605ED">
        <w:rPr>
          <w:rFonts w:ascii="Times New Roman" w:hAnsi="Times New Roman" w:cs="Times New Roman"/>
          <w:b/>
          <w:bCs/>
          <w:sz w:val="32"/>
          <w:szCs w:val="32"/>
        </w:rPr>
        <w:t>INTERNATIONAL BUSINESS COMMUNICATIONS</w:t>
      </w:r>
    </w:p>
    <w:p w14:paraId="727F5F56" w14:textId="77777777" w:rsidR="00FD6383" w:rsidRDefault="00FD6383" w:rsidP="004605ED">
      <w:pPr>
        <w:spacing w:line="360" w:lineRule="auto"/>
        <w:jc w:val="center"/>
        <w:rPr>
          <w:rFonts w:ascii="Times New Roman" w:hAnsi="Times New Roman" w:cs="Times New Roman"/>
          <w:b/>
          <w:bCs/>
          <w:sz w:val="32"/>
          <w:szCs w:val="32"/>
        </w:rPr>
      </w:pPr>
    </w:p>
    <w:p w14:paraId="0398122B" w14:textId="286787D5" w:rsidR="00FD6383" w:rsidRDefault="00FD6383" w:rsidP="004605ED">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Assessment 1</w:t>
      </w:r>
    </w:p>
    <w:p w14:paraId="26D2B94B" w14:textId="7D1B2D96" w:rsidR="00FD6383" w:rsidRDefault="00FD6383" w:rsidP="004605ED">
      <w:pPr>
        <w:spacing w:line="360" w:lineRule="auto"/>
        <w:jc w:val="center"/>
        <w:rPr>
          <w:rFonts w:ascii="Times New Roman" w:hAnsi="Times New Roman" w:cs="Times New Roman"/>
          <w:b/>
          <w:bCs/>
          <w:sz w:val="32"/>
          <w:szCs w:val="32"/>
        </w:rPr>
      </w:pPr>
    </w:p>
    <w:p w14:paraId="16B0CE4D" w14:textId="692B073A" w:rsidR="00FD6383" w:rsidRDefault="00FD6383" w:rsidP="004605ED">
      <w:pPr>
        <w:spacing w:line="360" w:lineRule="auto"/>
        <w:jc w:val="center"/>
        <w:rPr>
          <w:rFonts w:ascii="Times New Roman" w:hAnsi="Times New Roman" w:cs="Times New Roman"/>
          <w:b/>
          <w:bCs/>
          <w:sz w:val="32"/>
          <w:szCs w:val="32"/>
        </w:rPr>
      </w:pPr>
    </w:p>
    <w:p w14:paraId="32C12366" w14:textId="3677C60A" w:rsidR="00FD6383" w:rsidRDefault="00FD6383" w:rsidP="004605ED">
      <w:pPr>
        <w:spacing w:line="360" w:lineRule="auto"/>
        <w:jc w:val="center"/>
        <w:rPr>
          <w:rFonts w:ascii="Times New Roman" w:hAnsi="Times New Roman" w:cs="Times New Roman"/>
          <w:b/>
          <w:bCs/>
          <w:sz w:val="32"/>
          <w:szCs w:val="32"/>
        </w:rPr>
      </w:pPr>
    </w:p>
    <w:p w14:paraId="2BF53A23" w14:textId="77777777" w:rsidR="00FD6383" w:rsidRDefault="00FD6383" w:rsidP="004605ED">
      <w:pPr>
        <w:spacing w:line="360" w:lineRule="auto"/>
        <w:jc w:val="center"/>
        <w:rPr>
          <w:rFonts w:ascii="Times New Roman" w:hAnsi="Times New Roman" w:cs="Times New Roman"/>
          <w:b/>
          <w:bCs/>
          <w:sz w:val="32"/>
          <w:szCs w:val="32"/>
        </w:rPr>
      </w:pPr>
    </w:p>
    <w:p w14:paraId="0BDE1211" w14:textId="13FC0910" w:rsidR="00FD6383" w:rsidRDefault="00FD6383" w:rsidP="00FD6383">
      <w:pPr>
        <w:spacing w:line="360" w:lineRule="auto"/>
        <w:jc w:val="right"/>
        <w:rPr>
          <w:rFonts w:ascii="Times New Roman" w:hAnsi="Times New Roman" w:cs="Times New Roman"/>
          <w:b/>
          <w:bCs/>
          <w:sz w:val="32"/>
          <w:szCs w:val="32"/>
        </w:rPr>
      </w:pPr>
      <w:r>
        <w:rPr>
          <w:rFonts w:ascii="Times New Roman" w:hAnsi="Times New Roman" w:cs="Times New Roman"/>
          <w:b/>
          <w:bCs/>
          <w:sz w:val="32"/>
          <w:szCs w:val="32"/>
        </w:rPr>
        <w:t>Student name: Florin Alin Cretulescu (1911820)</w:t>
      </w:r>
    </w:p>
    <w:p w14:paraId="46F4622F" w14:textId="77777777" w:rsidR="00FD6383" w:rsidRDefault="00FD6383" w:rsidP="004605ED">
      <w:pPr>
        <w:spacing w:line="360" w:lineRule="auto"/>
        <w:jc w:val="center"/>
        <w:rPr>
          <w:rFonts w:ascii="Times New Roman" w:hAnsi="Times New Roman" w:cs="Times New Roman"/>
          <w:b/>
          <w:bCs/>
          <w:sz w:val="32"/>
          <w:szCs w:val="32"/>
        </w:rPr>
      </w:pPr>
    </w:p>
    <w:p w14:paraId="36B89FF9" w14:textId="1B240C11" w:rsidR="00362FC3" w:rsidRDefault="00362FC3">
      <w:pPr>
        <w:rPr>
          <w:rFonts w:ascii="Times New Roman" w:hAnsi="Times New Roman" w:cs="Times New Roman"/>
          <w:b/>
          <w:bCs/>
          <w:sz w:val="28"/>
          <w:szCs w:val="28"/>
        </w:rPr>
      </w:pPr>
    </w:p>
    <w:p w14:paraId="50EFA278" w14:textId="1438BB93" w:rsidR="00FD6383" w:rsidRDefault="00FD6383">
      <w:pPr>
        <w:rPr>
          <w:rFonts w:ascii="Times New Roman" w:hAnsi="Times New Roman" w:cs="Times New Roman"/>
          <w:b/>
          <w:bCs/>
          <w:sz w:val="28"/>
          <w:szCs w:val="28"/>
        </w:rPr>
      </w:pPr>
    </w:p>
    <w:p w14:paraId="5F80B20B" w14:textId="673B4050" w:rsidR="00FD6383" w:rsidRDefault="00FD6383">
      <w:pPr>
        <w:rPr>
          <w:rFonts w:ascii="Times New Roman" w:hAnsi="Times New Roman" w:cs="Times New Roman"/>
          <w:b/>
          <w:bCs/>
          <w:sz w:val="28"/>
          <w:szCs w:val="28"/>
        </w:rPr>
      </w:pPr>
    </w:p>
    <w:p w14:paraId="671F219D" w14:textId="30597B19" w:rsidR="00FD6383" w:rsidRDefault="00FD6383">
      <w:pPr>
        <w:rPr>
          <w:rFonts w:ascii="Times New Roman" w:hAnsi="Times New Roman" w:cs="Times New Roman"/>
          <w:b/>
          <w:bCs/>
          <w:sz w:val="28"/>
          <w:szCs w:val="28"/>
        </w:rPr>
      </w:pPr>
    </w:p>
    <w:p w14:paraId="73D4399B" w14:textId="2FB2F31C" w:rsidR="00FD6383" w:rsidRDefault="00FD6383">
      <w:pPr>
        <w:rPr>
          <w:rFonts w:ascii="Times New Roman" w:hAnsi="Times New Roman" w:cs="Times New Roman"/>
          <w:b/>
          <w:bCs/>
          <w:sz w:val="28"/>
          <w:szCs w:val="28"/>
        </w:rPr>
      </w:pPr>
    </w:p>
    <w:p w14:paraId="7F254020" w14:textId="531A0C5A" w:rsidR="00FD6383" w:rsidRDefault="00FD6383">
      <w:pPr>
        <w:rPr>
          <w:rFonts w:ascii="Times New Roman" w:hAnsi="Times New Roman" w:cs="Times New Roman"/>
          <w:b/>
          <w:bCs/>
          <w:sz w:val="28"/>
          <w:szCs w:val="28"/>
        </w:rPr>
      </w:pPr>
    </w:p>
    <w:p w14:paraId="2BDB71AA" w14:textId="77777777" w:rsidR="00FD6383" w:rsidRDefault="00FD6383">
      <w:pPr>
        <w:rPr>
          <w:rFonts w:ascii="Times New Roman" w:hAnsi="Times New Roman" w:cs="Times New Roman"/>
          <w:b/>
          <w:bCs/>
          <w:sz w:val="28"/>
          <w:szCs w:val="28"/>
        </w:rPr>
      </w:pPr>
    </w:p>
    <w:p w14:paraId="1C7F0E61" w14:textId="51577315" w:rsidR="00FD6383" w:rsidRDefault="00FD6383">
      <w:pPr>
        <w:rPr>
          <w:rFonts w:ascii="Times New Roman" w:hAnsi="Times New Roman" w:cs="Times New Roman"/>
          <w:b/>
          <w:bCs/>
          <w:sz w:val="28"/>
          <w:szCs w:val="28"/>
        </w:rPr>
      </w:pPr>
    </w:p>
    <w:p w14:paraId="22E6D049" w14:textId="0BD14A54" w:rsidR="00FD6383" w:rsidRDefault="00FD6383">
      <w:pPr>
        <w:rPr>
          <w:rFonts w:ascii="Times New Roman" w:hAnsi="Times New Roman" w:cs="Times New Roman"/>
          <w:b/>
          <w:bCs/>
          <w:sz w:val="28"/>
          <w:szCs w:val="28"/>
        </w:rPr>
      </w:pPr>
    </w:p>
    <w:p w14:paraId="771D28C4" w14:textId="1BEC426C" w:rsidR="00FD6383" w:rsidRDefault="00FD6383" w:rsidP="00FD6383">
      <w:pPr>
        <w:jc w:val="center"/>
        <w:rPr>
          <w:rFonts w:ascii="Times New Roman" w:hAnsi="Times New Roman" w:cs="Times New Roman"/>
          <w:b/>
          <w:bCs/>
          <w:sz w:val="28"/>
          <w:szCs w:val="28"/>
        </w:rPr>
      </w:pPr>
      <w:r>
        <w:rPr>
          <w:rFonts w:ascii="Times New Roman" w:hAnsi="Times New Roman" w:cs="Times New Roman"/>
          <w:b/>
          <w:bCs/>
          <w:sz w:val="28"/>
          <w:szCs w:val="28"/>
        </w:rPr>
        <w:t>MAY 2022</w:t>
      </w:r>
    </w:p>
    <w:p w14:paraId="0D228C7E" w14:textId="51BCF6C9" w:rsidR="00FD6383" w:rsidRDefault="00FD6383">
      <w:pPr>
        <w:rPr>
          <w:rFonts w:ascii="Times New Roman" w:hAnsi="Times New Roman" w:cs="Times New Roman"/>
          <w:b/>
          <w:bCs/>
          <w:sz w:val="28"/>
          <w:szCs w:val="28"/>
        </w:rPr>
      </w:pPr>
    </w:p>
    <w:p w14:paraId="595456C8" w14:textId="139227BA" w:rsidR="00FD6383" w:rsidRDefault="00FD6383">
      <w:pPr>
        <w:rPr>
          <w:rFonts w:ascii="Times New Roman" w:hAnsi="Times New Roman" w:cs="Times New Roman"/>
          <w:b/>
          <w:bCs/>
          <w:sz w:val="28"/>
          <w:szCs w:val="28"/>
        </w:rPr>
      </w:pPr>
    </w:p>
    <w:p w14:paraId="690AC1B7" w14:textId="77777777" w:rsidR="00FD6383" w:rsidRPr="00362FC3" w:rsidRDefault="00FD6383">
      <w:pPr>
        <w:rPr>
          <w:rFonts w:ascii="Times New Roman" w:hAnsi="Times New Roman" w:cs="Times New Roman"/>
          <w:b/>
          <w:bCs/>
          <w:sz w:val="28"/>
          <w:szCs w:val="28"/>
        </w:rPr>
      </w:pPr>
    </w:p>
    <w:p w14:paraId="6000E4F0" w14:textId="77777777" w:rsidR="00FD6383" w:rsidRDefault="00FD6383" w:rsidP="004605ED">
      <w:pPr>
        <w:spacing w:line="360" w:lineRule="auto"/>
        <w:jc w:val="center"/>
        <w:rPr>
          <w:rFonts w:ascii="Times New Roman" w:hAnsi="Times New Roman" w:cs="Times New Roman"/>
          <w:b/>
          <w:bCs/>
          <w:sz w:val="28"/>
          <w:szCs w:val="28"/>
        </w:rPr>
      </w:pPr>
    </w:p>
    <w:p w14:paraId="60D98393" w14:textId="77777777" w:rsidR="00FD6383" w:rsidRDefault="00FD6383" w:rsidP="004605ED">
      <w:pPr>
        <w:spacing w:line="360" w:lineRule="auto"/>
        <w:jc w:val="center"/>
        <w:rPr>
          <w:rFonts w:ascii="Times New Roman" w:hAnsi="Times New Roman" w:cs="Times New Roman"/>
          <w:b/>
          <w:bCs/>
          <w:sz w:val="28"/>
          <w:szCs w:val="28"/>
        </w:rPr>
      </w:pPr>
    </w:p>
    <w:p w14:paraId="037E1EFD" w14:textId="77777777" w:rsidR="00FD6383" w:rsidRDefault="00FD6383" w:rsidP="004605ED">
      <w:pPr>
        <w:spacing w:line="360" w:lineRule="auto"/>
        <w:jc w:val="center"/>
        <w:rPr>
          <w:rFonts w:ascii="Times New Roman" w:hAnsi="Times New Roman" w:cs="Times New Roman"/>
          <w:b/>
          <w:bCs/>
          <w:sz w:val="28"/>
          <w:szCs w:val="28"/>
        </w:rPr>
      </w:pPr>
    </w:p>
    <w:p w14:paraId="3E1A6611" w14:textId="77777777" w:rsidR="00FD6383" w:rsidRDefault="00FD6383" w:rsidP="004605ED">
      <w:pPr>
        <w:spacing w:line="360" w:lineRule="auto"/>
        <w:jc w:val="center"/>
        <w:rPr>
          <w:rFonts w:ascii="Times New Roman" w:hAnsi="Times New Roman" w:cs="Times New Roman"/>
          <w:b/>
          <w:bCs/>
          <w:sz w:val="28"/>
          <w:szCs w:val="28"/>
        </w:rPr>
      </w:pPr>
    </w:p>
    <w:p w14:paraId="1064AB10" w14:textId="77777777" w:rsidR="00FD6383" w:rsidRDefault="00FD6383" w:rsidP="004605ED">
      <w:pPr>
        <w:spacing w:line="360" w:lineRule="auto"/>
        <w:jc w:val="center"/>
        <w:rPr>
          <w:rFonts w:ascii="Times New Roman" w:hAnsi="Times New Roman" w:cs="Times New Roman"/>
          <w:b/>
          <w:bCs/>
          <w:sz w:val="28"/>
          <w:szCs w:val="28"/>
        </w:rPr>
      </w:pPr>
    </w:p>
    <w:p w14:paraId="74ACF3E1" w14:textId="77777777" w:rsidR="00FD6383" w:rsidRDefault="00FD6383" w:rsidP="004605ED">
      <w:pPr>
        <w:spacing w:line="360" w:lineRule="auto"/>
        <w:jc w:val="center"/>
        <w:rPr>
          <w:rFonts w:ascii="Times New Roman" w:hAnsi="Times New Roman" w:cs="Times New Roman"/>
          <w:b/>
          <w:bCs/>
          <w:sz w:val="28"/>
          <w:szCs w:val="28"/>
        </w:rPr>
      </w:pPr>
    </w:p>
    <w:p w14:paraId="4FDB0974" w14:textId="2A14EA43" w:rsidR="00362FC3" w:rsidRDefault="00362FC3" w:rsidP="004605ED">
      <w:pPr>
        <w:spacing w:line="360" w:lineRule="auto"/>
        <w:jc w:val="center"/>
        <w:rPr>
          <w:rFonts w:ascii="Times New Roman" w:hAnsi="Times New Roman" w:cs="Times New Roman"/>
          <w:b/>
          <w:bCs/>
          <w:sz w:val="28"/>
          <w:szCs w:val="28"/>
        </w:rPr>
      </w:pPr>
      <w:r w:rsidRPr="00362FC3">
        <w:rPr>
          <w:rFonts w:ascii="Times New Roman" w:hAnsi="Times New Roman" w:cs="Times New Roman"/>
          <w:b/>
          <w:bCs/>
          <w:sz w:val="28"/>
          <w:szCs w:val="28"/>
        </w:rPr>
        <w:t xml:space="preserve">Executive summary </w:t>
      </w:r>
    </w:p>
    <w:p w14:paraId="7F6BE487" w14:textId="77777777" w:rsidR="00FD6383" w:rsidRPr="00362FC3" w:rsidRDefault="00FD6383" w:rsidP="004605ED">
      <w:pPr>
        <w:spacing w:line="360" w:lineRule="auto"/>
        <w:jc w:val="center"/>
        <w:rPr>
          <w:rFonts w:ascii="Times New Roman" w:hAnsi="Times New Roman" w:cs="Times New Roman"/>
          <w:b/>
          <w:bCs/>
          <w:sz w:val="28"/>
          <w:szCs w:val="28"/>
        </w:rPr>
      </w:pPr>
    </w:p>
    <w:p w14:paraId="00D66547" w14:textId="58130D9D" w:rsidR="00B5592C" w:rsidRDefault="00362FC3" w:rsidP="00FD6383">
      <w:pPr>
        <w:spacing w:line="360" w:lineRule="auto"/>
        <w:ind w:firstLine="720"/>
        <w:jc w:val="both"/>
        <w:rPr>
          <w:rFonts w:ascii="Times New Roman" w:eastAsia="Times New Roman" w:hAnsi="Times New Roman" w:cs="Times New Roman"/>
          <w:sz w:val="24"/>
          <w:szCs w:val="24"/>
        </w:rPr>
      </w:pPr>
      <w:r>
        <w:rPr>
          <w:rFonts w:ascii="Times New Roman" w:hAnsi="Times New Roman" w:cs="Times New Roman"/>
          <w:sz w:val="24"/>
          <w:szCs w:val="24"/>
        </w:rPr>
        <w:t>This report has shaded light on international</w:t>
      </w:r>
      <w:r>
        <w:rPr>
          <w:rFonts w:ascii="Times New Roman" w:eastAsia="Times New Roman" w:hAnsi="Times New Roman" w:cs="Times New Roman"/>
          <w:sz w:val="24"/>
          <w:szCs w:val="24"/>
        </w:rPr>
        <w:t xml:space="preserve"> business and communication in order to showcase cultural differences between Malaysia and the UK. Therefore, use of cultural sensitivity has been discussed through examples</w:t>
      </w:r>
      <w:r w:rsidR="00B5592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B5592C">
        <w:rPr>
          <w:rFonts w:ascii="Times New Roman" w:eastAsia="Times New Roman" w:hAnsi="Times New Roman" w:cs="Times New Roman"/>
          <w:sz w:val="24"/>
          <w:szCs w:val="24"/>
        </w:rPr>
        <w:t xml:space="preserve">Thereafter, communication barrier, lack the trust, and also cultural diversity has been highlighted as a main focus area of business while intending to promote business in another developing country. </w:t>
      </w:r>
    </w:p>
    <w:p w14:paraId="784CC584" w14:textId="77777777" w:rsidR="00B5592C" w:rsidRDefault="00B5592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eastAsia="Arial"/>
          <w:color w:val="auto"/>
          <w:sz w:val="24"/>
          <w:szCs w:val="24"/>
          <w:lang w:val="en-IN"/>
        </w:rPr>
        <w:id w:val="-1916162379"/>
        <w:docPartObj>
          <w:docPartGallery w:val="Table of Contents"/>
          <w:docPartUnique/>
        </w:docPartObj>
      </w:sdtPr>
      <w:sdtEndPr>
        <w:rPr>
          <w:rFonts w:ascii="Times New Roman" w:hAnsi="Times New Roman" w:cs="Times New Roman"/>
          <w:b/>
          <w:bCs/>
          <w:noProof/>
        </w:rPr>
      </w:sdtEndPr>
      <w:sdtContent>
        <w:p w14:paraId="3BF80E43" w14:textId="77777777" w:rsidR="006E6038" w:rsidRPr="00D905ED" w:rsidRDefault="006E6038" w:rsidP="00FD6383">
          <w:pPr>
            <w:pStyle w:val="TOCHeading"/>
          </w:pPr>
          <w:r w:rsidRPr="00D905ED">
            <w:t>Table of Contents</w:t>
          </w:r>
        </w:p>
        <w:p w14:paraId="184C5D38" w14:textId="493A8BA7" w:rsidR="00C41700" w:rsidRPr="00C41700" w:rsidRDefault="006E6038"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r w:rsidRPr="00C41700">
            <w:rPr>
              <w:rFonts w:ascii="Times New Roman" w:hAnsi="Times New Roman" w:cs="Times New Roman"/>
              <w:sz w:val="24"/>
              <w:szCs w:val="24"/>
            </w:rPr>
            <w:fldChar w:fldCharType="begin"/>
          </w:r>
          <w:r w:rsidRPr="00C41700">
            <w:rPr>
              <w:rFonts w:ascii="Times New Roman" w:hAnsi="Times New Roman" w:cs="Times New Roman"/>
              <w:sz w:val="24"/>
              <w:szCs w:val="24"/>
            </w:rPr>
            <w:instrText xml:space="preserve"> TOC \o "1-3" \h \z \u </w:instrText>
          </w:r>
          <w:r w:rsidRPr="00C41700">
            <w:rPr>
              <w:rFonts w:ascii="Times New Roman" w:hAnsi="Times New Roman" w:cs="Times New Roman"/>
              <w:sz w:val="24"/>
              <w:szCs w:val="24"/>
            </w:rPr>
            <w:fldChar w:fldCharType="separate"/>
          </w:r>
          <w:hyperlink w:anchor="_Toc101374742" w:history="1">
            <w:r w:rsidR="00C41700" w:rsidRPr="00C41700">
              <w:rPr>
                <w:rStyle w:val="Hyperlink"/>
                <w:rFonts w:ascii="Times New Roman" w:hAnsi="Times New Roman" w:cs="Times New Roman"/>
                <w:noProof/>
                <w:sz w:val="24"/>
                <w:szCs w:val="24"/>
              </w:rPr>
              <w:t>Introduction</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_Toc101374742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3</w:t>
            </w:r>
            <w:r w:rsidR="00C41700" w:rsidRPr="00C41700">
              <w:rPr>
                <w:rFonts w:ascii="Times New Roman" w:hAnsi="Times New Roman" w:cs="Times New Roman"/>
                <w:noProof/>
                <w:webHidden/>
                <w:sz w:val="24"/>
                <w:szCs w:val="24"/>
              </w:rPr>
              <w:fldChar w:fldCharType="end"/>
            </w:r>
          </w:hyperlink>
        </w:p>
        <w:p w14:paraId="44A0FCFE" w14:textId="6F4FCEAA"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3" w:history="1">
            <w:r w:rsidR="00C41700" w:rsidRPr="00C41700">
              <w:rPr>
                <w:rStyle w:val="Hyperlink"/>
                <w:rFonts w:ascii="Times New Roman" w:hAnsi="Times New Roman" w:cs="Times New Roman"/>
                <w:noProof/>
                <w:sz w:val="24"/>
                <w:szCs w:val="24"/>
              </w:rPr>
              <w:t>Introduction to the developing country selected</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_Toc101374743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3</w:t>
            </w:r>
            <w:r w:rsidR="00C41700" w:rsidRPr="00C41700">
              <w:rPr>
                <w:rFonts w:ascii="Times New Roman" w:hAnsi="Times New Roman" w:cs="Times New Roman"/>
                <w:noProof/>
                <w:webHidden/>
                <w:sz w:val="24"/>
                <w:szCs w:val="24"/>
              </w:rPr>
              <w:fldChar w:fldCharType="end"/>
            </w:r>
          </w:hyperlink>
        </w:p>
        <w:p w14:paraId="6F167955" w14:textId="12EEF881"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4" w:history="1">
            <w:r w:rsidR="00C41700" w:rsidRPr="00C41700">
              <w:rPr>
                <w:rStyle w:val="Hyperlink"/>
                <w:rFonts w:ascii="Times New Roman" w:hAnsi="Times New Roman" w:cs="Times New Roman"/>
                <w:noProof/>
                <w:sz w:val="24"/>
                <w:szCs w:val="24"/>
              </w:rPr>
              <w:t>Cultural differences</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_Toc101374744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5</w:t>
            </w:r>
            <w:r w:rsidR="00C41700" w:rsidRPr="00C41700">
              <w:rPr>
                <w:rFonts w:ascii="Times New Roman" w:hAnsi="Times New Roman" w:cs="Times New Roman"/>
                <w:noProof/>
                <w:webHidden/>
                <w:sz w:val="24"/>
                <w:szCs w:val="24"/>
              </w:rPr>
              <w:fldChar w:fldCharType="end"/>
            </w:r>
          </w:hyperlink>
        </w:p>
        <w:p w14:paraId="4C39A2A5" w14:textId="7EC4DF0F"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5" w:history="1">
            <w:r w:rsidR="00C41700" w:rsidRPr="00C41700">
              <w:rPr>
                <w:rStyle w:val="Hyperlink"/>
                <w:rFonts w:ascii="Times New Roman" w:hAnsi="Times New Roman" w:cs="Times New Roman"/>
                <w:noProof/>
                <w:sz w:val="24"/>
                <w:szCs w:val="24"/>
              </w:rPr>
              <w:t>Cultural sensitivity</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_Toc101374745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7</w:t>
            </w:r>
            <w:r w:rsidR="00C41700" w:rsidRPr="00C41700">
              <w:rPr>
                <w:rFonts w:ascii="Times New Roman" w:hAnsi="Times New Roman" w:cs="Times New Roman"/>
                <w:noProof/>
                <w:webHidden/>
                <w:sz w:val="24"/>
                <w:szCs w:val="24"/>
              </w:rPr>
              <w:fldChar w:fldCharType="end"/>
            </w:r>
          </w:hyperlink>
        </w:p>
        <w:p w14:paraId="5A217C04" w14:textId="682C672B"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6" w:history="1">
            <w:r w:rsidR="00C41700" w:rsidRPr="00C41700">
              <w:rPr>
                <w:rStyle w:val="Hyperlink"/>
                <w:rFonts w:ascii="Times New Roman" w:hAnsi="Times New Roman" w:cs="Times New Roman"/>
                <w:noProof/>
                <w:sz w:val="24"/>
                <w:szCs w:val="24"/>
              </w:rPr>
              <w:t>Communication barriers and challenges</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_Toc101374746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8</w:t>
            </w:r>
            <w:r w:rsidR="00C41700" w:rsidRPr="00C41700">
              <w:rPr>
                <w:rFonts w:ascii="Times New Roman" w:hAnsi="Times New Roman" w:cs="Times New Roman"/>
                <w:noProof/>
                <w:webHidden/>
                <w:sz w:val="24"/>
                <w:szCs w:val="24"/>
              </w:rPr>
              <w:fldChar w:fldCharType="end"/>
            </w:r>
          </w:hyperlink>
        </w:p>
        <w:p w14:paraId="519F8AC1" w14:textId="7BAAA39A"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7" w:history="1">
            <w:r w:rsidR="00C41700" w:rsidRPr="00C41700">
              <w:rPr>
                <w:rStyle w:val="Hyperlink"/>
                <w:rFonts w:ascii="Times New Roman" w:hAnsi="Times New Roman" w:cs="Times New Roman"/>
                <w:noProof/>
                <w:sz w:val="24"/>
                <w:szCs w:val="24"/>
              </w:rPr>
              <w:t>Communication strategies and recommendations</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_Toc101374747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8</w:t>
            </w:r>
            <w:r w:rsidR="00C41700" w:rsidRPr="00C41700">
              <w:rPr>
                <w:rFonts w:ascii="Times New Roman" w:hAnsi="Times New Roman" w:cs="Times New Roman"/>
                <w:noProof/>
                <w:webHidden/>
                <w:sz w:val="24"/>
                <w:szCs w:val="24"/>
              </w:rPr>
              <w:fldChar w:fldCharType="end"/>
            </w:r>
          </w:hyperlink>
        </w:p>
        <w:p w14:paraId="709AFE21" w14:textId="4A91ABA0"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8" w:history="1">
            <w:r w:rsidR="00C41700" w:rsidRPr="00C41700">
              <w:rPr>
                <w:rStyle w:val="Hyperlink"/>
                <w:rFonts w:ascii="Times New Roman" w:hAnsi="Times New Roman" w:cs="Times New Roman"/>
                <w:noProof/>
                <w:sz w:val="24"/>
                <w:szCs w:val="24"/>
              </w:rPr>
              <w:t>Conclusion</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_Toc101374748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9</w:t>
            </w:r>
            <w:r w:rsidR="00C41700" w:rsidRPr="00C41700">
              <w:rPr>
                <w:rFonts w:ascii="Times New Roman" w:hAnsi="Times New Roman" w:cs="Times New Roman"/>
                <w:noProof/>
                <w:webHidden/>
                <w:sz w:val="24"/>
                <w:szCs w:val="24"/>
              </w:rPr>
              <w:fldChar w:fldCharType="end"/>
            </w:r>
          </w:hyperlink>
        </w:p>
        <w:p w14:paraId="05142709" w14:textId="772030FA"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49" w:history="1">
            <w:r w:rsidR="00C41700" w:rsidRPr="00C41700">
              <w:rPr>
                <w:rStyle w:val="Hyperlink"/>
                <w:rFonts w:ascii="Times New Roman" w:hAnsi="Times New Roman" w:cs="Times New Roman"/>
                <w:noProof/>
                <w:sz w:val="24"/>
                <w:szCs w:val="24"/>
              </w:rPr>
              <w:t>References</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_Toc101374749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10</w:t>
            </w:r>
            <w:r w:rsidR="00C41700" w:rsidRPr="00C41700">
              <w:rPr>
                <w:rFonts w:ascii="Times New Roman" w:hAnsi="Times New Roman" w:cs="Times New Roman"/>
                <w:noProof/>
                <w:webHidden/>
                <w:sz w:val="24"/>
                <w:szCs w:val="24"/>
              </w:rPr>
              <w:fldChar w:fldCharType="end"/>
            </w:r>
          </w:hyperlink>
        </w:p>
        <w:p w14:paraId="712A3F3C" w14:textId="15B347A5" w:rsidR="00C41700" w:rsidRPr="00C41700" w:rsidRDefault="005B76ED" w:rsidP="00C41700">
          <w:pPr>
            <w:pStyle w:val="TOC1"/>
            <w:tabs>
              <w:tab w:val="right" w:leader="dot" w:pos="9019"/>
            </w:tabs>
            <w:spacing w:line="360" w:lineRule="auto"/>
            <w:jc w:val="both"/>
            <w:rPr>
              <w:rFonts w:ascii="Times New Roman" w:eastAsiaTheme="minorEastAsia" w:hAnsi="Times New Roman" w:cs="Times New Roman"/>
              <w:noProof/>
              <w:sz w:val="24"/>
              <w:szCs w:val="24"/>
              <w:lang w:eastAsia="en-IN"/>
            </w:rPr>
          </w:pPr>
          <w:hyperlink w:anchor="_Toc101374750" w:history="1">
            <w:r w:rsidR="00C41700" w:rsidRPr="00C41700">
              <w:rPr>
                <w:rStyle w:val="Hyperlink"/>
                <w:rFonts w:ascii="Times New Roman" w:hAnsi="Times New Roman" w:cs="Times New Roman"/>
                <w:noProof/>
                <w:sz w:val="24"/>
                <w:szCs w:val="24"/>
              </w:rPr>
              <w:t>Appendix 1: Hofstede cultural dimensions</w:t>
            </w:r>
            <w:r w:rsidR="00C41700" w:rsidRPr="00C41700">
              <w:rPr>
                <w:rFonts w:ascii="Times New Roman" w:hAnsi="Times New Roman" w:cs="Times New Roman"/>
                <w:noProof/>
                <w:webHidden/>
                <w:sz w:val="24"/>
                <w:szCs w:val="24"/>
              </w:rPr>
              <w:tab/>
            </w:r>
            <w:r w:rsidR="00C41700" w:rsidRPr="00C41700">
              <w:rPr>
                <w:rFonts w:ascii="Times New Roman" w:hAnsi="Times New Roman" w:cs="Times New Roman"/>
                <w:noProof/>
                <w:webHidden/>
                <w:sz w:val="24"/>
                <w:szCs w:val="24"/>
              </w:rPr>
              <w:fldChar w:fldCharType="begin"/>
            </w:r>
            <w:r w:rsidR="00C41700" w:rsidRPr="00C41700">
              <w:rPr>
                <w:rFonts w:ascii="Times New Roman" w:hAnsi="Times New Roman" w:cs="Times New Roman"/>
                <w:noProof/>
                <w:webHidden/>
                <w:sz w:val="24"/>
                <w:szCs w:val="24"/>
              </w:rPr>
              <w:instrText xml:space="preserve"> PAGEREF _Toc101374750 \h </w:instrText>
            </w:r>
            <w:r w:rsidR="00C41700" w:rsidRPr="00C41700">
              <w:rPr>
                <w:rFonts w:ascii="Times New Roman" w:hAnsi="Times New Roman" w:cs="Times New Roman"/>
                <w:noProof/>
                <w:webHidden/>
                <w:sz w:val="24"/>
                <w:szCs w:val="24"/>
              </w:rPr>
            </w:r>
            <w:r w:rsidR="00C41700" w:rsidRPr="00C41700">
              <w:rPr>
                <w:rFonts w:ascii="Times New Roman" w:hAnsi="Times New Roman" w:cs="Times New Roman"/>
                <w:noProof/>
                <w:webHidden/>
                <w:sz w:val="24"/>
                <w:szCs w:val="24"/>
              </w:rPr>
              <w:fldChar w:fldCharType="separate"/>
            </w:r>
            <w:r w:rsidR="00C41700" w:rsidRPr="00C41700">
              <w:rPr>
                <w:rFonts w:ascii="Times New Roman" w:hAnsi="Times New Roman" w:cs="Times New Roman"/>
                <w:noProof/>
                <w:webHidden/>
                <w:sz w:val="24"/>
                <w:szCs w:val="24"/>
              </w:rPr>
              <w:t>12</w:t>
            </w:r>
            <w:r w:rsidR="00C41700" w:rsidRPr="00C41700">
              <w:rPr>
                <w:rFonts w:ascii="Times New Roman" w:hAnsi="Times New Roman" w:cs="Times New Roman"/>
                <w:noProof/>
                <w:webHidden/>
                <w:sz w:val="24"/>
                <w:szCs w:val="24"/>
              </w:rPr>
              <w:fldChar w:fldCharType="end"/>
            </w:r>
          </w:hyperlink>
        </w:p>
        <w:p w14:paraId="77622D10" w14:textId="7CC8DF1F" w:rsidR="006E6038" w:rsidRPr="00C41700" w:rsidRDefault="006E6038" w:rsidP="00C41700">
          <w:pPr>
            <w:spacing w:line="360" w:lineRule="auto"/>
            <w:jc w:val="both"/>
            <w:rPr>
              <w:rFonts w:ascii="Times New Roman" w:hAnsi="Times New Roman" w:cs="Times New Roman"/>
              <w:sz w:val="24"/>
              <w:szCs w:val="24"/>
            </w:rPr>
          </w:pPr>
          <w:r w:rsidRPr="00C41700">
            <w:rPr>
              <w:rFonts w:ascii="Times New Roman" w:hAnsi="Times New Roman" w:cs="Times New Roman"/>
              <w:b/>
              <w:bCs/>
              <w:noProof/>
              <w:sz w:val="24"/>
              <w:szCs w:val="24"/>
            </w:rPr>
            <w:fldChar w:fldCharType="end"/>
          </w:r>
        </w:p>
      </w:sdtContent>
    </w:sdt>
    <w:p w14:paraId="0C67B55A" w14:textId="77777777" w:rsidR="006E6038" w:rsidRPr="00C41700" w:rsidRDefault="006E6038" w:rsidP="00C41700">
      <w:pPr>
        <w:spacing w:line="360" w:lineRule="auto"/>
        <w:jc w:val="both"/>
        <w:rPr>
          <w:rFonts w:ascii="Times New Roman" w:hAnsi="Times New Roman" w:cs="Times New Roman"/>
          <w:sz w:val="24"/>
          <w:szCs w:val="24"/>
        </w:rPr>
      </w:pPr>
      <w:r w:rsidRPr="00C41700">
        <w:rPr>
          <w:rFonts w:ascii="Times New Roman" w:hAnsi="Times New Roman" w:cs="Times New Roman"/>
          <w:sz w:val="24"/>
          <w:szCs w:val="24"/>
        </w:rPr>
        <w:br w:type="page"/>
      </w:r>
    </w:p>
    <w:p w14:paraId="31D5DEDD" w14:textId="1CA44C98" w:rsidR="006A0F94" w:rsidRDefault="006858A8" w:rsidP="00FD6383">
      <w:pPr>
        <w:pStyle w:val="Heading1"/>
      </w:pPr>
      <w:bookmarkStart w:id="0" w:name="_Toc101374742"/>
      <w:r>
        <w:lastRenderedPageBreak/>
        <w:t>Introduction</w:t>
      </w:r>
      <w:bookmarkEnd w:id="0"/>
    </w:p>
    <w:p w14:paraId="74D3804D"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business and communication mainly focus on the culture which is mainly done through the analysis of various frameworks. The interpretation of the communication factor has a major part in the international business as the dealings can be done accordingly. A business can easily face a major loss due to problems in communication or the difference in the culture. In this report, a country will be chosen to understand the cultural differences between the country and the UK as international business faces different challenges. An understanding of the challenges will be </w:t>
      </w:r>
      <w:r w:rsidR="005F4916">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here and also cultural sensitivity will be a major focus to evaluate by critical understanding. The barriers to communication between the UK and the other country will be focused on as the business may face some challenges. The economy and the unemployment of the chosen country have to be focused on here to understand the effect of it on the UK company. The highlighting of the report will be done in the part of the conclusion so that the researcher can get an overall analysis of the main topic. </w:t>
      </w:r>
    </w:p>
    <w:p w14:paraId="70EE0244" w14:textId="70448C32" w:rsidR="006A0F94" w:rsidRDefault="006858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problems that have been identified in case of the challenges in the production in the country of Malaysia including the issues of innovation, competition, and </w:t>
      </w:r>
      <w:r w:rsidR="005F4916">
        <w:rPr>
          <w:rFonts w:ascii="Times New Roman" w:eastAsia="Times New Roman" w:hAnsi="Times New Roman" w:cs="Times New Roman"/>
          <w:sz w:val="24"/>
          <w:szCs w:val="24"/>
        </w:rPr>
        <w:t>investment (</w:t>
      </w:r>
      <w:r>
        <w:rPr>
          <w:rFonts w:ascii="Times New Roman" w:eastAsia="Times New Roman" w:hAnsi="Times New Roman" w:cs="Times New Roman"/>
          <w:sz w:val="24"/>
          <w:szCs w:val="24"/>
        </w:rPr>
        <w:t xml:space="preserve">Ing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These are some of the challenges faced by a developing country like Malaysia and also it is relevant in other countries as well. On the other hand, Indonesia faces problems in technology and sales for which the production gets hampered especially during the Covid-19 (Irawan,</w:t>
      </w:r>
      <w:r w:rsidR="00DE63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2020). The strategies and the recommendations for communication will be given for the business to become successful in the other country. The use of various models and theories will be done to make the comparison more relevant for the given discussion to become relevant. </w:t>
      </w:r>
    </w:p>
    <w:p w14:paraId="75D9EFB3" w14:textId="77777777" w:rsidR="006A0F94" w:rsidRDefault="006858A8" w:rsidP="00FD6383">
      <w:pPr>
        <w:pStyle w:val="Heading1"/>
      </w:pPr>
      <w:bookmarkStart w:id="1" w:name="_Toc101374743"/>
      <w:r>
        <w:t>Introduction to the developing country selected</w:t>
      </w:r>
      <w:bookmarkEnd w:id="1"/>
      <w:r>
        <w:t xml:space="preserve"> </w:t>
      </w:r>
    </w:p>
    <w:p w14:paraId="44CD8FC0"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company has decided to enter a developing country to start its process of production and the country chosen here in Malaysia. The further analysis will include the population, culture, technology, and the other aspects which are related to the country of Malaysia. The reason for choosing Malaysia includes the factor of technology, fashion, and also affiliate marketing which enhances the production process in the country and also sustainability for the companies (Low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analysis of the population is essential for the UK company and hence the business can also get a direction to start its operations. As per the reports, the population in Malaysia is 33.78 million in 2022 and it is subjected to an increase in 2026 which is 35.42 (Statista, 2022a). The statistical analysis has been presented in the form of bar diagrams for the country of Malaysia. </w:t>
      </w:r>
    </w:p>
    <w:p w14:paraId="1D109DFB" w14:textId="77777777" w:rsidR="006A0F94" w:rsidRDefault="006858A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35A94C2" wp14:editId="045210AB">
            <wp:extent cx="5296049" cy="3462338"/>
            <wp:effectExtent l="19050" t="19050" r="19050" b="2413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296049" cy="3462338"/>
                    </a:xfrm>
                    <a:prstGeom prst="rect">
                      <a:avLst/>
                    </a:prstGeom>
                    <a:ln>
                      <a:solidFill>
                        <a:schemeClr val="tx1"/>
                      </a:solidFill>
                    </a:ln>
                  </pic:spPr>
                </pic:pic>
              </a:graphicData>
            </a:graphic>
          </wp:inline>
        </w:drawing>
      </w:r>
    </w:p>
    <w:p w14:paraId="218968DF" w14:textId="77777777" w:rsidR="006A0F94" w:rsidRDefault="006858A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Statistical analysis of the population of Malaysia</w:t>
      </w:r>
    </w:p>
    <w:p w14:paraId="2F88FFD1" w14:textId="77777777" w:rsidR="006A0F94" w:rsidRDefault="006858A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2022a)</w:t>
      </w:r>
    </w:p>
    <w:p w14:paraId="35CAAF5F"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gathered from the population suggests that the company in the UK can gain a lot of demand and this will enhance the process of production. The use of PESTLE analysis will be done here to understand the political, economic, technological, legal, social, and environmental factors of a country. This will help the UK company to know about the culture of Malaysia and the other challenges involved in it. </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A0F94" w14:paraId="6557791A" w14:textId="77777777" w:rsidTr="003B0771">
        <w:tc>
          <w:tcPr>
            <w:tcW w:w="4514" w:type="dxa"/>
            <w:shd w:val="clear" w:color="auto" w:fill="9BBB59" w:themeFill="accent3"/>
            <w:tcMar>
              <w:top w:w="100" w:type="dxa"/>
              <w:left w:w="100" w:type="dxa"/>
              <w:bottom w:w="100" w:type="dxa"/>
              <w:right w:w="100" w:type="dxa"/>
            </w:tcMar>
          </w:tcPr>
          <w:p w14:paraId="67B44893"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4515" w:type="dxa"/>
            <w:shd w:val="clear" w:color="auto" w:fill="E5DFEC" w:themeFill="accent4" w:themeFillTint="33"/>
            <w:tcMar>
              <w:top w:w="100" w:type="dxa"/>
              <w:left w:w="100" w:type="dxa"/>
              <w:bottom w:w="100" w:type="dxa"/>
              <w:right w:w="100" w:type="dxa"/>
            </w:tcMar>
          </w:tcPr>
          <w:p w14:paraId="0A512079"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w:t>
            </w:r>
          </w:p>
        </w:tc>
      </w:tr>
      <w:tr w:rsidR="006A0F94" w14:paraId="266B77A8" w14:textId="77777777" w:rsidTr="003B0771">
        <w:trPr>
          <w:trHeight w:val="3311"/>
        </w:trPr>
        <w:tc>
          <w:tcPr>
            <w:tcW w:w="4514" w:type="dxa"/>
            <w:shd w:val="clear" w:color="auto" w:fill="9BBB59" w:themeFill="accent3"/>
            <w:tcMar>
              <w:top w:w="100" w:type="dxa"/>
              <w:left w:w="100" w:type="dxa"/>
              <w:bottom w:w="100" w:type="dxa"/>
              <w:right w:w="100" w:type="dxa"/>
            </w:tcMar>
          </w:tcPr>
          <w:p w14:paraId="67CDCEA8" w14:textId="77777777" w:rsidR="006A0F94" w:rsidRDefault="006858A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corruption rate in Malaysia is 51% in 2020 which acts as a major factor in the instability of the government (Statista, 2020a). </w:t>
            </w:r>
          </w:p>
          <w:p w14:paraId="5D7DF8AB" w14:textId="77777777" w:rsidR="006A0F94" w:rsidRDefault="006858A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Malaysia and China don’t have an effective relationship leading to major problems in business (BBC News, 2021).</w:t>
            </w:r>
          </w:p>
          <w:p w14:paraId="44B998B4" w14:textId="77777777" w:rsidR="006A0F94" w:rsidRDefault="006A0F94">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tc>
        <w:tc>
          <w:tcPr>
            <w:tcW w:w="4515" w:type="dxa"/>
            <w:shd w:val="clear" w:color="auto" w:fill="E5DFEC" w:themeFill="accent4" w:themeFillTint="33"/>
            <w:tcMar>
              <w:top w:w="100" w:type="dxa"/>
              <w:left w:w="100" w:type="dxa"/>
              <w:bottom w:w="100" w:type="dxa"/>
              <w:right w:w="100" w:type="dxa"/>
            </w:tcMar>
          </w:tcPr>
          <w:p w14:paraId="1F241067" w14:textId="24C3C8C5" w:rsidR="006A0F94" w:rsidRDefault="006858A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GDP rate of Malaysia is 415.28</w:t>
            </w:r>
            <w:r w:rsidR="004D075F">
              <w:rPr>
                <w:rFonts w:ascii="Times New Roman" w:eastAsia="Times New Roman" w:hAnsi="Times New Roman" w:cs="Times New Roman"/>
                <w:sz w:val="24"/>
                <w:szCs w:val="24"/>
              </w:rPr>
              <w:t xml:space="preserve"> GBP billion</w:t>
            </w:r>
            <w:r>
              <w:rPr>
                <w:rFonts w:ascii="Times New Roman" w:eastAsia="Times New Roman" w:hAnsi="Times New Roman" w:cs="Times New Roman"/>
                <w:sz w:val="24"/>
                <w:szCs w:val="24"/>
              </w:rPr>
              <w:t xml:space="preserve"> and it has been estimated to be 575.91</w:t>
            </w:r>
            <w:r w:rsidR="004D075F">
              <w:rPr>
                <w:rFonts w:ascii="Times New Roman" w:eastAsia="Times New Roman" w:hAnsi="Times New Roman" w:cs="Times New Roman"/>
                <w:sz w:val="24"/>
                <w:szCs w:val="24"/>
              </w:rPr>
              <w:t xml:space="preserve"> GBP billion</w:t>
            </w:r>
            <w:r>
              <w:rPr>
                <w:rFonts w:ascii="Times New Roman" w:eastAsia="Times New Roman" w:hAnsi="Times New Roman" w:cs="Times New Roman"/>
                <w:sz w:val="24"/>
                <w:szCs w:val="24"/>
              </w:rPr>
              <w:t xml:space="preserve"> in 2026 (Statista, 2022b). </w:t>
            </w:r>
          </w:p>
          <w:p w14:paraId="4595FF2F" w14:textId="77777777" w:rsidR="006A0F94" w:rsidRDefault="006858A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rate of unemployment in Malaysia in 2020 has been the highest which includes a rate at 4.55 % (Statista, 2020b). </w:t>
            </w:r>
          </w:p>
        </w:tc>
      </w:tr>
      <w:tr w:rsidR="006A0F94" w14:paraId="4AA3B72B" w14:textId="77777777" w:rsidTr="003B0771">
        <w:tc>
          <w:tcPr>
            <w:tcW w:w="4514" w:type="dxa"/>
            <w:shd w:val="clear" w:color="auto" w:fill="FABF8F" w:themeFill="accent6" w:themeFillTint="99"/>
            <w:tcMar>
              <w:top w:w="100" w:type="dxa"/>
              <w:left w:w="100" w:type="dxa"/>
              <w:bottom w:w="100" w:type="dxa"/>
              <w:right w:w="100" w:type="dxa"/>
            </w:tcMar>
          </w:tcPr>
          <w:p w14:paraId="03DA29BF"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4515" w:type="dxa"/>
            <w:shd w:val="clear" w:color="auto" w:fill="B6DDE8" w:themeFill="accent5" w:themeFillTint="66"/>
            <w:tcMar>
              <w:top w:w="100" w:type="dxa"/>
              <w:left w:w="100" w:type="dxa"/>
              <w:bottom w:w="100" w:type="dxa"/>
              <w:right w:w="100" w:type="dxa"/>
            </w:tcMar>
          </w:tcPr>
          <w:p w14:paraId="63804353"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w:t>
            </w:r>
          </w:p>
        </w:tc>
      </w:tr>
      <w:tr w:rsidR="006A0F94" w14:paraId="41F3E476" w14:textId="77777777" w:rsidTr="003B0771">
        <w:tc>
          <w:tcPr>
            <w:tcW w:w="4514" w:type="dxa"/>
            <w:shd w:val="clear" w:color="auto" w:fill="FABF8F" w:themeFill="accent6" w:themeFillTint="99"/>
            <w:tcMar>
              <w:top w:w="100" w:type="dxa"/>
              <w:left w:w="100" w:type="dxa"/>
              <w:bottom w:w="100" w:type="dxa"/>
              <w:right w:w="100" w:type="dxa"/>
            </w:tcMar>
          </w:tcPr>
          <w:p w14:paraId="05B6DBAB" w14:textId="77777777" w:rsidR="006A0F94" w:rsidRDefault="006858A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Malaysia has a population of people where diversity is present. </w:t>
            </w:r>
          </w:p>
          <w:p w14:paraId="5315E9F0" w14:textId="77777777" w:rsidR="006A0F94" w:rsidRDefault="006858A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lifestyle of Malaysia has a luxurious lifestyle and hence the affordability is more. </w:t>
            </w:r>
          </w:p>
        </w:tc>
        <w:tc>
          <w:tcPr>
            <w:tcW w:w="4515" w:type="dxa"/>
            <w:shd w:val="clear" w:color="auto" w:fill="B6DDE8" w:themeFill="accent5" w:themeFillTint="66"/>
            <w:tcMar>
              <w:top w:w="100" w:type="dxa"/>
              <w:left w:w="100" w:type="dxa"/>
              <w:bottom w:w="100" w:type="dxa"/>
              <w:right w:w="100" w:type="dxa"/>
            </w:tcMar>
          </w:tcPr>
          <w:p w14:paraId="0ABC8C95" w14:textId="77777777" w:rsidR="006A0F94" w:rsidRDefault="006858A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in Malaysia includes the use of AI and data analytics which is a big advantage for new business. </w:t>
            </w:r>
          </w:p>
          <w:p w14:paraId="7E69F549" w14:textId="77777777" w:rsidR="006A0F94" w:rsidRDefault="006858A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Malaysia's investment in technology adoption has been seen at a higher aspect. </w:t>
            </w:r>
          </w:p>
        </w:tc>
      </w:tr>
      <w:tr w:rsidR="006A0F94" w14:paraId="310DDC1B" w14:textId="77777777" w:rsidTr="003B0771">
        <w:tc>
          <w:tcPr>
            <w:tcW w:w="4514" w:type="dxa"/>
            <w:shd w:val="clear" w:color="auto" w:fill="C6D9F1" w:themeFill="text2" w:themeFillTint="33"/>
            <w:tcMar>
              <w:top w:w="100" w:type="dxa"/>
              <w:left w:w="100" w:type="dxa"/>
              <w:bottom w:w="100" w:type="dxa"/>
              <w:right w:w="100" w:type="dxa"/>
            </w:tcMar>
          </w:tcPr>
          <w:p w14:paraId="44904EEB"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4515" w:type="dxa"/>
            <w:shd w:val="clear" w:color="auto" w:fill="D6E3BC" w:themeFill="accent3" w:themeFillTint="66"/>
            <w:tcMar>
              <w:top w:w="100" w:type="dxa"/>
              <w:left w:w="100" w:type="dxa"/>
              <w:bottom w:w="100" w:type="dxa"/>
              <w:right w:w="100" w:type="dxa"/>
            </w:tcMar>
          </w:tcPr>
          <w:p w14:paraId="6F307538" w14:textId="77777777" w:rsidR="006A0F94" w:rsidRDefault="006858A8">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r>
      <w:tr w:rsidR="006A0F94" w14:paraId="714030C5" w14:textId="77777777" w:rsidTr="003B0771">
        <w:tc>
          <w:tcPr>
            <w:tcW w:w="4514" w:type="dxa"/>
            <w:shd w:val="clear" w:color="auto" w:fill="C6D9F1" w:themeFill="text2" w:themeFillTint="33"/>
            <w:tcMar>
              <w:top w:w="100" w:type="dxa"/>
              <w:left w:w="100" w:type="dxa"/>
              <w:bottom w:w="100" w:type="dxa"/>
              <w:right w:w="100" w:type="dxa"/>
            </w:tcMar>
          </w:tcPr>
          <w:p w14:paraId="7BC1CDE6" w14:textId="77777777" w:rsidR="006A0F94" w:rsidRDefault="006858A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law of Malaysia includes laws for the benefit of people for maintaining diversity. </w:t>
            </w:r>
          </w:p>
          <w:p w14:paraId="5504E571" w14:textId="77777777" w:rsidR="006A0F94" w:rsidRDefault="006858A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Malaysia follows the </w:t>
            </w:r>
            <w:r>
              <w:rPr>
                <w:rFonts w:ascii="Times New Roman" w:eastAsia="Times New Roman" w:hAnsi="Times New Roman" w:cs="Times New Roman"/>
                <w:b/>
                <w:i/>
                <w:sz w:val="24"/>
                <w:szCs w:val="24"/>
              </w:rPr>
              <w:t xml:space="preserve">“Twelfth Malaysia Plan (12MP) (2021 to 2025)” </w:t>
            </w:r>
            <w:r>
              <w:rPr>
                <w:rFonts w:ascii="Times New Roman" w:eastAsia="Times New Roman" w:hAnsi="Times New Roman" w:cs="Times New Roman"/>
                <w:sz w:val="24"/>
                <w:szCs w:val="24"/>
              </w:rPr>
              <w:t xml:space="preserve">to regulate empowerment, sustainability, and social factors (Mahadi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tc>
        <w:tc>
          <w:tcPr>
            <w:tcW w:w="4515" w:type="dxa"/>
            <w:shd w:val="clear" w:color="auto" w:fill="D6E3BC" w:themeFill="accent3" w:themeFillTint="66"/>
            <w:tcMar>
              <w:top w:w="100" w:type="dxa"/>
              <w:left w:w="100" w:type="dxa"/>
              <w:bottom w:w="100" w:type="dxa"/>
              <w:right w:w="100" w:type="dxa"/>
            </w:tcMar>
          </w:tcPr>
          <w:p w14:paraId="37E307AD" w14:textId="77777777" w:rsidR="006A0F94" w:rsidRDefault="006858A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wildlife is getting lower in Malaysia leading to an imbalance in the environment. </w:t>
            </w:r>
          </w:p>
          <w:p w14:paraId="1BAA59B5" w14:textId="77777777" w:rsidR="006A0F94" w:rsidRDefault="006858A8">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warming is another major challenge leading to more harmful gases. </w:t>
            </w:r>
          </w:p>
        </w:tc>
      </w:tr>
    </w:tbl>
    <w:p w14:paraId="469BE25D" w14:textId="77777777" w:rsidR="006A0F94" w:rsidRDefault="006858A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PESTLE Analysis </w:t>
      </w:r>
    </w:p>
    <w:p w14:paraId="6547D9BB" w14:textId="77777777" w:rsidR="006A0F94" w:rsidRDefault="006858A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078D3DF" w14:textId="77777777" w:rsidR="006A0F94" w:rsidRDefault="006858A8" w:rsidP="00FD6383">
      <w:pPr>
        <w:keepLines/>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analysis shows that the UK company in Malaysia can enhance its GDP through the process of production. On the other hand, the government is not stable in Malaysia which can lead to a problem with the UK company as the other country may affect the business due to conflict. The enhancement in the employee ratings in Malaysia can be a major advantage as the technology is strong in the country. The company in the UK by adaptation of the new technology can evaluate the employment factors and help the people to get jobs. Affordability is high in Malaysia and hence the UK company can gain a lot of profit and the law in Malaysia being effective is a good sign. </w:t>
      </w:r>
    </w:p>
    <w:p w14:paraId="0664CBEF" w14:textId="77777777" w:rsidR="006A0F94" w:rsidRDefault="006858A8" w:rsidP="00FD6383">
      <w:pPr>
        <w:pStyle w:val="Heading1"/>
      </w:pPr>
      <w:bookmarkStart w:id="2" w:name="_Toc101374744"/>
      <w:r>
        <w:t>Cultural differences</w:t>
      </w:r>
      <w:bookmarkEnd w:id="2"/>
      <w:r>
        <w:t xml:space="preserve"> </w:t>
      </w:r>
    </w:p>
    <w:p w14:paraId="63F052F5"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difference in the culture between Malaysia and the UK will be evaluated here to understand its impact on the new business. The use of </w:t>
      </w:r>
      <w:r>
        <w:rPr>
          <w:rFonts w:ascii="Times New Roman" w:eastAsia="Times New Roman" w:hAnsi="Times New Roman" w:cs="Times New Roman"/>
          <w:b/>
          <w:i/>
          <w:sz w:val="24"/>
          <w:szCs w:val="24"/>
        </w:rPr>
        <w:t xml:space="preserve">“Hofstede cultural dimensions” </w:t>
      </w:r>
      <w:r>
        <w:rPr>
          <w:rFonts w:ascii="Times New Roman" w:eastAsia="Times New Roman" w:hAnsi="Times New Roman" w:cs="Times New Roman"/>
          <w:sz w:val="24"/>
          <w:szCs w:val="24"/>
        </w:rPr>
        <w:t xml:space="preserve">will be applied here as it helps in understanding the impact of the culture between the countries on a business (Dingil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Communication in the cross-culture is evaluated by the use of the theory and through which the six dimensions can be evaluated. The solutions can be provided </w:t>
      </w:r>
      <w:r>
        <w:rPr>
          <w:rFonts w:ascii="Times New Roman" w:eastAsia="Times New Roman" w:hAnsi="Times New Roman" w:cs="Times New Roman"/>
          <w:sz w:val="24"/>
          <w:szCs w:val="24"/>
        </w:rPr>
        <w:lastRenderedPageBreak/>
        <w:t xml:space="preserve">in accordance with the dimensions and also make the business stronger. The use of journals will be put forward for each of the dimensions to make the study more proper for the topic here </w:t>
      </w:r>
      <w:r>
        <w:rPr>
          <w:rFonts w:ascii="Times New Roman" w:eastAsia="Times New Roman" w:hAnsi="Times New Roman" w:cs="Times New Roman"/>
          <w:b/>
          <w:i/>
          <w:sz w:val="24"/>
          <w:szCs w:val="24"/>
        </w:rPr>
        <w:t>(refer to appendix 1).</w:t>
      </w:r>
    </w:p>
    <w:p w14:paraId="15AB779E"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Power distance</w:t>
      </w:r>
    </w:p>
    <w:p w14:paraId="6E18B07A" w14:textId="111CAF7B"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power distance of Hofstede's cultural dimensions mainly focuses on the views of the culture and also the relationships involved in it between the views of people. The data that has been derived shows that the power distance is more in the case of Malaysia which is 100 </w:t>
      </w:r>
      <w:r w:rsidR="00F72F59">
        <w:rPr>
          <w:rFonts w:ascii="Times New Roman" w:eastAsia="Times New Roman" w:hAnsi="Times New Roman" w:cs="Times New Roman"/>
          <w:sz w:val="24"/>
          <w:szCs w:val="24"/>
        </w:rPr>
        <w:t>and, in the UK,</w:t>
      </w:r>
      <w:r>
        <w:rPr>
          <w:rFonts w:ascii="Times New Roman" w:eastAsia="Times New Roman" w:hAnsi="Times New Roman" w:cs="Times New Roman"/>
          <w:sz w:val="24"/>
          <w:szCs w:val="24"/>
        </w:rPr>
        <w:t xml:space="preserve"> it is 35 (Hofstede Insights, 2022). The rise in power distance here means that in Malaysia the status of the people is more and it means that there is no equality. On the other hand, in the case of the UK, there is less authority and it can be said that equality is more. </w:t>
      </w:r>
    </w:p>
    <w:p w14:paraId="44372E7B"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Individualism</w:t>
      </w:r>
    </w:p>
    <w:p w14:paraId="13FF0FC2"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Individualism means that the factor of rights is more focused and every human being has the freedom to evaluate their views (Fatehi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analysis shows that the rate of individualism is more in the UK and it can be said that the people are given full freedom. On the other side, in Malaysia, it is less, which is only 26 and it can be said that the priority is more given to the groups. </w:t>
      </w:r>
    </w:p>
    <w:p w14:paraId="3B0C4E9B"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Masculinity </w:t>
      </w:r>
    </w:p>
    <w:p w14:paraId="623074EF"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Masculinity mainly focuses on ambition or a powerful impact and the gender is differentiated (Adam‐Troian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As per the analysis, in the UK the aspect of gender is more and it can be said that the power is more followed in the country. In Malaysia, men and women are given equal rights and hence the new company has to apply the method to remove the factor of any problem.</w:t>
      </w:r>
    </w:p>
    <w:p w14:paraId="7802F2DA"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Uncertainty avoidance</w:t>
      </w:r>
    </w:p>
    <w:p w14:paraId="242B82F8" w14:textId="5086994C"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factor is high in the case of Malaysia, is more which concludes that the country tries to minimize the occurrence of any uncertainty. On the other hand, in the case of the UK, the avoidance is less and it can be said that the country has less control over uneven circumstances</w:t>
      </w:r>
      <w:r w:rsidR="00F61E01">
        <w:rPr>
          <w:rFonts w:ascii="Times New Roman" w:eastAsia="Times New Roman" w:hAnsi="Times New Roman" w:cs="Times New Roman"/>
          <w:sz w:val="24"/>
          <w:szCs w:val="24"/>
        </w:rPr>
        <w:t xml:space="preserve"> </w:t>
      </w:r>
      <w:r w:rsidR="00F61E01">
        <w:rPr>
          <w:rFonts w:ascii="Times New Roman" w:eastAsia="Times New Roman" w:hAnsi="Times New Roman" w:cs="Times New Roman"/>
          <w:b/>
          <w:bCs/>
          <w:i/>
          <w:iCs/>
          <w:sz w:val="24"/>
          <w:szCs w:val="24"/>
        </w:rPr>
        <w:t>[Refer to Appendix: 1]</w:t>
      </w:r>
      <w:r>
        <w:rPr>
          <w:rFonts w:ascii="Times New Roman" w:eastAsia="Times New Roman" w:hAnsi="Times New Roman" w:cs="Times New Roman"/>
          <w:sz w:val="24"/>
          <w:szCs w:val="24"/>
        </w:rPr>
        <w:t xml:space="preserve">. </w:t>
      </w:r>
    </w:p>
    <w:p w14:paraId="344C1B9E"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Long-term orientation </w:t>
      </w:r>
    </w:p>
    <w:p w14:paraId="66CC46BA" w14:textId="25DFBC6C"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shows that the UK has more control over the virtues for the long term and in the case of Malaysia it is less. The perseverance is more in the UK and hence the future goals can easily be evaluated by the country. </w:t>
      </w:r>
    </w:p>
    <w:p w14:paraId="134C5168" w14:textId="71DBB1E9" w:rsidR="00FD6383" w:rsidRDefault="00FD6383" w:rsidP="00FD6383">
      <w:pPr>
        <w:spacing w:line="360" w:lineRule="auto"/>
        <w:ind w:firstLine="720"/>
        <w:jc w:val="both"/>
        <w:rPr>
          <w:rFonts w:ascii="Times New Roman" w:eastAsia="Times New Roman" w:hAnsi="Times New Roman" w:cs="Times New Roman"/>
          <w:sz w:val="24"/>
          <w:szCs w:val="24"/>
        </w:rPr>
      </w:pPr>
    </w:p>
    <w:p w14:paraId="14451B27" w14:textId="3A2F6309" w:rsidR="00FD6383" w:rsidRDefault="00FD6383" w:rsidP="00FD6383">
      <w:pPr>
        <w:spacing w:line="360" w:lineRule="auto"/>
        <w:ind w:firstLine="720"/>
        <w:jc w:val="both"/>
        <w:rPr>
          <w:rFonts w:ascii="Times New Roman" w:eastAsia="Times New Roman" w:hAnsi="Times New Roman" w:cs="Times New Roman"/>
          <w:sz w:val="24"/>
          <w:szCs w:val="24"/>
        </w:rPr>
      </w:pPr>
    </w:p>
    <w:p w14:paraId="46F72F21" w14:textId="77777777" w:rsidR="00FD6383" w:rsidRDefault="00FD6383" w:rsidP="00FD6383">
      <w:pPr>
        <w:spacing w:line="360" w:lineRule="auto"/>
        <w:ind w:firstLine="720"/>
        <w:jc w:val="both"/>
        <w:rPr>
          <w:rFonts w:ascii="Times New Roman" w:eastAsia="Times New Roman" w:hAnsi="Times New Roman" w:cs="Times New Roman"/>
          <w:sz w:val="24"/>
          <w:szCs w:val="24"/>
        </w:rPr>
      </w:pPr>
    </w:p>
    <w:p w14:paraId="45C22E9A" w14:textId="77777777" w:rsidR="006A0F94" w:rsidRDefault="006858A8" w:rsidP="00FD6383">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Indulgence </w:t>
      </w:r>
    </w:p>
    <w:p w14:paraId="4582AC67"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UK’s indulgence is more than Malaysia which concludes that the culture of the UK is more focused on the enjoyment of life and in Malaysia it is less. Malaysia is more focused on social factors and hence the people are more focused on the completion of goals. </w:t>
      </w:r>
    </w:p>
    <w:p w14:paraId="411CB8D2" w14:textId="77777777" w:rsidR="006A0F94" w:rsidRDefault="006858A8" w:rsidP="00FD6383">
      <w:pPr>
        <w:pStyle w:val="Heading1"/>
      </w:pPr>
      <w:bookmarkStart w:id="3" w:name="_Toc101374745"/>
      <w:r>
        <w:t>Cultural sensitivity</w:t>
      </w:r>
      <w:bookmarkEnd w:id="3"/>
      <w:r>
        <w:t xml:space="preserve"> </w:t>
      </w:r>
    </w:p>
    <w:p w14:paraId="05EB1C1F"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sensitivity in the culture is focused on the interaction of the people between various cultures and the main thing is the norms (Caputo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It may be positive and negative and hence respect becomes the most important thing. In this case, the UK company can face some major issues in evaluating their business in Malaysia. The culture in the business of Malaysia mainly includes the factor of punctuality and the higher management is given major respect. The example of this cultural situation in Malaysia mainly says that during meetings everyone should be punctual with time and also the higher management needs to be addressed first. This situation may be challenging for the UK as the employees in the UK are given respect to both the higher and other staff. </w:t>
      </w:r>
    </w:p>
    <w:p w14:paraId="27A27DD9"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Malaysia, the ownership is hierarchical, and hence the culture mainly focuses on that hence it is quite different from the UK (Lim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the UK, for example, the best employee is given the ownership, and accordingly, the business is operated. The company of the UK will face the factor of authority here as the cultural sensitivity is present here. It may happen that the opinions between the business may differ leading to a major drop in the collaboration. The business cards are followed in Malaysia and hence this is one of the differences in culture between the UK and Malaysia. </w:t>
      </w:r>
    </w:p>
    <w:p w14:paraId="1FC2A43B"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differences between the culture of Malaysia and the UK include less aggression and hence it is another aspect that needs to be followed by the company of the UK. This can be said that cultural sensitivity plays a major role in a new business to adjust with the other country. The examples of the culture in Malaysia include the less in </w:t>
      </w:r>
      <w:r w:rsidR="00A81D0E">
        <w:rPr>
          <w:rFonts w:ascii="Times New Roman" w:eastAsia="Times New Roman" w:hAnsi="Times New Roman" w:cs="Times New Roman"/>
          <w:sz w:val="24"/>
          <w:szCs w:val="24"/>
        </w:rPr>
        <w:t>favour</w:t>
      </w:r>
      <w:r>
        <w:rPr>
          <w:rFonts w:ascii="Times New Roman" w:eastAsia="Times New Roman" w:hAnsi="Times New Roman" w:cs="Times New Roman"/>
          <w:sz w:val="24"/>
          <w:szCs w:val="24"/>
        </w:rPr>
        <w:t xml:space="preserve">, gender, and also to a belief in spirituality. On the other hand, the culture in the business of the country UK is more inclined toward the factor of completion of the work. These are some of the examples of the culture in Malaysia and hence the analysis has become more detailed. The company of the UK has to follow the steps to evaluate the culture of Malaysia and also adjust to the business culture in Malaysia. </w:t>
      </w:r>
    </w:p>
    <w:p w14:paraId="4292FB24" w14:textId="77777777" w:rsidR="00CD2058" w:rsidRDefault="00CD2058">
      <w:pPr>
        <w:rPr>
          <w:rFonts w:ascii="Times New Roman" w:hAnsi="Times New Roman"/>
          <w:b/>
          <w:sz w:val="28"/>
          <w:szCs w:val="40"/>
        </w:rPr>
      </w:pPr>
      <w:r>
        <w:br w:type="page"/>
      </w:r>
    </w:p>
    <w:p w14:paraId="09234055" w14:textId="6232667F" w:rsidR="006A0F94" w:rsidRDefault="006858A8" w:rsidP="00FD6383">
      <w:pPr>
        <w:pStyle w:val="Heading1"/>
      </w:pPr>
      <w:bookmarkStart w:id="4" w:name="_Toc101374746"/>
      <w:r>
        <w:lastRenderedPageBreak/>
        <w:t>Communication barriers and challenges</w:t>
      </w:r>
      <w:bookmarkEnd w:id="4"/>
      <w:r>
        <w:t xml:space="preserve"> </w:t>
      </w:r>
    </w:p>
    <w:p w14:paraId="2867A8A4"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barriers in communication are relevant for a new company that is entering the market of another country. It is important for a business to adjust to the culture of a business and in this case, the proper evaluation will be done. The UK company will face some major challenges and it will be </w:t>
      </w:r>
      <w:r w:rsidR="00A81D0E">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 a more detailed way. </w:t>
      </w:r>
    </w:p>
    <w:p w14:paraId="2BBD520D"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Communication challenges: </w:t>
      </w:r>
      <w:r>
        <w:rPr>
          <w:rFonts w:ascii="Times New Roman" w:eastAsia="Times New Roman" w:hAnsi="Times New Roman" w:cs="Times New Roman"/>
          <w:sz w:val="24"/>
          <w:szCs w:val="24"/>
        </w:rPr>
        <w:t xml:space="preserve">Communication skills can act as a major challenge for a company that is entering a new market. In this case, there will be a communication problem as in Malaysia the regional language is more prevalent and hence the UK company will face a major drawback. The reason that can be given here is that the understanding of the problems cannot be evaluated in the correct way resulting in a loss for the company. </w:t>
      </w:r>
    </w:p>
    <w:p w14:paraId="19019896" w14:textId="60879DAD"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Lacking trust:</w:t>
      </w:r>
      <w:r>
        <w:rPr>
          <w:rFonts w:ascii="Times New Roman" w:eastAsia="Times New Roman" w:hAnsi="Times New Roman" w:cs="Times New Roman"/>
          <w:sz w:val="24"/>
          <w:szCs w:val="24"/>
        </w:rPr>
        <w:t xml:space="preserve"> There are issues of trust that can act as a major challenge for a company as the factor of </w:t>
      </w:r>
      <w:r w:rsidR="00C94C2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same problem can be faced by the UK company and they may not trust the employees of Malaysia. This can conclude that the company in the UK may face problems due to the lack of communication between the employees and the higher management. </w:t>
      </w:r>
    </w:p>
    <w:p w14:paraId="6D47807D"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Cultural differences:</w:t>
      </w:r>
      <w:r>
        <w:rPr>
          <w:rFonts w:ascii="Times New Roman" w:eastAsia="Times New Roman" w:hAnsi="Times New Roman" w:cs="Times New Roman"/>
          <w:sz w:val="24"/>
          <w:szCs w:val="24"/>
        </w:rPr>
        <w:t xml:space="preserve"> The understanding of the culture of two companies of different countries is necessary. As a result, the adjustment to the culture is required by the foreign company as it may lead to miscommunication and other factors include the factor of ineffective communication. The same problem can be faced by the UK company as the factor of communication is the biggest challenge and hence the work culture can be badly affected. This is one of the biggest challenges that the UK company will face after entering the market of Malaysia and hence the problem needs to be rectified by effective strategies. </w:t>
      </w:r>
    </w:p>
    <w:p w14:paraId="6B193EFB" w14:textId="77777777" w:rsidR="006A0F94" w:rsidRDefault="006858A8" w:rsidP="00FD6383">
      <w:pPr>
        <w:pStyle w:val="Heading1"/>
      </w:pPr>
      <w:bookmarkStart w:id="5" w:name="_Toc101374747"/>
      <w:r>
        <w:t>Communication strategies and recommendations</w:t>
      </w:r>
      <w:bookmarkEnd w:id="5"/>
      <w:r>
        <w:t xml:space="preserve"> </w:t>
      </w:r>
    </w:p>
    <w:p w14:paraId="429221E3"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strategies and recommendations are necessary to be followed by the UK company as the identification problems have been identified. The use of a certain language needs to be implemented and also the factor of the writing of the things can act as a major strategy to rectify the issue of communication. The UK company can evaluate the strategy to remove the issue of any miscommunication and also to understand the right information. An example of this is the use of technology to translate the language or using a code language can also be implemented here. The factor of trust can be done through regular meetings and also getting feedback from the employees. The difference in culture can be evaluated by the steps of understanding the main motive of the employees in the UK company. </w:t>
      </w:r>
    </w:p>
    <w:p w14:paraId="7B2AE14B" w14:textId="77777777" w:rsidR="006A0F94"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use of </w:t>
      </w:r>
      <w:r>
        <w:rPr>
          <w:rFonts w:ascii="Times New Roman" w:eastAsia="Times New Roman" w:hAnsi="Times New Roman" w:cs="Times New Roman"/>
          <w:b/>
          <w:i/>
          <w:sz w:val="24"/>
          <w:szCs w:val="24"/>
        </w:rPr>
        <w:t xml:space="preserve">Aristotle’s Model Linear </w:t>
      </w:r>
      <w:r>
        <w:rPr>
          <w:rFonts w:ascii="Times New Roman" w:eastAsia="Times New Roman" w:hAnsi="Times New Roman" w:cs="Times New Roman"/>
          <w:sz w:val="24"/>
          <w:szCs w:val="24"/>
        </w:rPr>
        <w:t xml:space="preserve">can be used here as the model mainly focuses on the speaker for the communication and the audience will just have to understand (Dias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recommendation for the given issue which is a communication issue includes the model that has been evaluated here. The company of the UK can apply the method in which there will be one speaker or one employee who will communicate with the other employee and they are considered to be the audience. As a result, the miscommunication and the problems in cultural differences can also be evaluated here. </w:t>
      </w:r>
    </w:p>
    <w:p w14:paraId="371206AA" w14:textId="77777777" w:rsidR="006A0F94" w:rsidRDefault="006858A8" w:rsidP="00FD6383">
      <w:pPr>
        <w:pStyle w:val="Heading1"/>
      </w:pPr>
      <w:bookmarkStart w:id="6" w:name="_Toc101374748"/>
      <w:r>
        <w:t>Conclusion</w:t>
      </w:r>
      <w:bookmarkEnd w:id="6"/>
      <w:r>
        <w:t xml:space="preserve"> </w:t>
      </w:r>
    </w:p>
    <w:p w14:paraId="49966A85" w14:textId="77777777" w:rsidR="005168CD" w:rsidRDefault="006858A8" w:rsidP="00FD638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concludes that culture, language, economy, and technology play an important role in the factor of intentional business. The culture is relevant in case of the integration between two companies and in this case the UK company will enter the market of Malaysia. The use of theories has been evaluated here which includes Hofstede's Cultural dimension through which the main aspects have been defined. It has helped in understanding the main differences between the two countries through the use of statistical data. The use of cultural sensitivity has been evaluated through which the use of examples has been </w:t>
      </w:r>
      <w:r w:rsidR="00A81D0E">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 the case of the business in Malaysia. Hence, the UK company can take actions in accordance with it, and also the steps can be taken accordingly. The use of communication barrier, lack the trust, and also cultural diversity has been identified here. The use of the theory has also been done here which can act as a major recommendation for the company. Hence, the report has become more proper, and accordingly, the actions can be taken by the UK company entering the country of Malaysia. </w:t>
      </w:r>
    </w:p>
    <w:p w14:paraId="2A814416" w14:textId="77777777" w:rsidR="005168CD" w:rsidRDefault="005168C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C1DDCAE" w14:textId="77777777" w:rsidR="005168CD" w:rsidRPr="005168CD" w:rsidRDefault="005168CD" w:rsidP="00FD6383">
      <w:pPr>
        <w:pStyle w:val="Heading1"/>
      </w:pPr>
      <w:bookmarkStart w:id="7" w:name="_Toc101374749"/>
      <w:r w:rsidRPr="005168CD">
        <w:lastRenderedPageBreak/>
        <w:t>References</w:t>
      </w:r>
      <w:bookmarkEnd w:id="7"/>
      <w:r w:rsidRPr="005168CD">
        <w:t xml:space="preserve"> </w:t>
      </w:r>
    </w:p>
    <w:p w14:paraId="73841497" w14:textId="77777777" w:rsidR="00F90284" w:rsidRPr="005168CD" w:rsidRDefault="00F90284" w:rsidP="005168CD">
      <w:pPr>
        <w:spacing w:line="360" w:lineRule="auto"/>
        <w:jc w:val="both"/>
        <w:rPr>
          <w:rFonts w:ascii="Times New Roman" w:eastAsia="Times New Roman" w:hAnsi="Times New Roman" w:cs="Times New Roman"/>
          <w:sz w:val="24"/>
          <w:szCs w:val="24"/>
        </w:rPr>
      </w:pPr>
    </w:p>
    <w:p w14:paraId="2D16CB0F"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Adam‐Troian, J., Wagner‐Egger, P., Motyl, M., Arciszewski, T., Imhoff, R., Zimmer, F., Klein, O., Babinska, M., Bangerter, A., Bilewicz, M. and Blanuša, N., 2021</w:t>
      </w:r>
      <w:r w:rsidRPr="00923D2C">
        <w:rPr>
          <w:rFonts w:ascii="Times New Roman" w:eastAsia="Times New Roman" w:hAnsi="Times New Roman" w:cs="Times New Roman"/>
          <w:i/>
          <w:iCs/>
          <w:sz w:val="24"/>
          <w:szCs w:val="24"/>
        </w:rPr>
        <w:t>. Investigating the links between cultural values and belief in conspiracy theories: The key roles of collectivism and masculinity. Political Psychology, 42(4),</w:t>
      </w:r>
      <w:r w:rsidRPr="005168CD">
        <w:rPr>
          <w:rFonts w:ascii="Times New Roman" w:eastAsia="Times New Roman" w:hAnsi="Times New Roman" w:cs="Times New Roman"/>
          <w:sz w:val="24"/>
          <w:szCs w:val="24"/>
        </w:rPr>
        <w:t xml:space="preserve"> pp.597-618.</w:t>
      </w:r>
    </w:p>
    <w:p w14:paraId="5E78CEFF"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BBC News, 2021. </w:t>
      </w:r>
      <w:r w:rsidRPr="00923D2C">
        <w:rPr>
          <w:rFonts w:ascii="Times New Roman" w:eastAsia="Times New Roman" w:hAnsi="Times New Roman" w:cs="Times New Roman"/>
          <w:i/>
          <w:iCs/>
          <w:sz w:val="24"/>
          <w:szCs w:val="24"/>
        </w:rPr>
        <w:t>South China Sea dispute: Malaysia accuses China of breaching airspace. [</w:t>
      </w:r>
      <w:r>
        <w:rPr>
          <w:rFonts w:ascii="Times New Roman" w:eastAsia="Times New Roman" w:hAnsi="Times New Roman" w:cs="Times New Roman"/>
          <w:i/>
          <w:iCs/>
          <w:sz w:val="24"/>
          <w:szCs w:val="24"/>
        </w:rPr>
        <w:t>O</w:t>
      </w:r>
      <w:r w:rsidRPr="00923D2C">
        <w:rPr>
          <w:rFonts w:ascii="Times New Roman" w:eastAsia="Times New Roman" w:hAnsi="Times New Roman" w:cs="Times New Roman"/>
          <w:i/>
          <w:iCs/>
          <w:sz w:val="24"/>
          <w:szCs w:val="24"/>
        </w:rPr>
        <w:t>nline] BBC News.</w:t>
      </w:r>
      <w:r w:rsidRPr="005168CD">
        <w:rPr>
          <w:rFonts w:ascii="Times New Roman" w:eastAsia="Times New Roman" w:hAnsi="Times New Roman" w:cs="Times New Roman"/>
          <w:sz w:val="24"/>
          <w:szCs w:val="24"/>
        </w:rPr>
        <w:t xml:space="preserve"> Available at: &lt;https://www.bbc.com/news/world-asia-57328868&gt; [Accessed 20 April 2022].</w:t>
      </w:r>
    </w:p>
    <w:p w14:paraId="5BA9F097"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Caputo, A., Ayoko, O.B., Amoo, N. and Menke, C., 2019. </w:t>
      </w:r>
      <w:r w:rsidRPr="008029F8">
        <w:rPr>
          <w:rFonts w:ascii="Times New Roman" w:eastAsia="Times New Roman" w:hAnsi="Times New Roman" w:cs="Times New Roman"/>
          <w:i/>
          <w:iCs/>
          <w:sz w:val="24"/>
          <w:szCs w:val="24"/>
        </w:rPr>
        <w:t>The relationship between cultural values, cultural intelligence and negotiation styles. Journal of Business Research, 99</w:t>
      </w:r>
      <w:r w:rsidRPr="005168CD">
        <w:rPr>
          <w:rFonts w:ascii="Times New Roman" w:eastAsia="Times New Roman" w:hAnsi="Times New Roman" w:cs="Times New Roman"/>
          <w:sz w:val="24"/>
          <w:szCs w:val="24"/>
        </w:rPr>
        <w:t>, pp.23-36.</w:t>
      </w:r>
    </w:p>
    <w:p w14:paraId="217FB689"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Dias, J.C., Mineiro, A. and Damen, S., 2020. </w:t>
      </w:r>
      <w:r w:rsidRPr="00CB599E">
        <w:rPr>
          <w:rFonts w:ascii="Times New Roman" w:eastAsia="Times New Roman" w:hAnsi="Times New Roman" w:cs="Times New Roman"/>
          <w:i/>
          <w:iCs/>
          <w:sz w:val="24"/>
          <w:szCs w:val="24"/>
        </w:rPr>
        <w:t>Atypical interpersonal communication: looking for and through a different lens. Philosophy Study</w:t>
      </w:r>
      <w:r w:rsidRPr="005168CD">
        <w:rPr>
          <w:rFonts w:ascii="Times New Roman" w:eastAsia="Times New Roman" w:hAnsi="Times New Roman" w:cs="Times New Roman"/>
          <w:sz w:val="24"/>
          <w:szCs w:val="24"/>
        </w:rPr>
        <w:t>, 10(12), pp.770-794.</w:t>
      </w:r>
    </w:p>
    <w:p w14:paraId="3B8A6BE7"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Dingil, A.E., Rupi, F., Schweizer, J., Stasiskiene, Z. and Aalipour, K., 2019</w:t>
      </w:r>
      <w:r w:rsidRPr="00327C9B">
        <w:rPr>
          <w:rFonts w:ascii="Times New Roman" w:eastAsia="Times New Roman" w:hAnsi="Times New Roman" w:cs="Times New Roman"/>
          <w:i/>
          <w:iCs/>
          <w:sz w:val="24"/>
          <w:szCs w:val="24"/>
        </w:rPr>
        <w:t>. The role of culture in urban travel patterns: Quantitative analyses of urban areas based on Hofstede’s culture dimensions. Social sciences, 8(8</w:t>
      </w:r>
      <w:r w:rsidRPr="005168CD">
        <w:rPr>
          <w:rFonts w:ascii="Times New Roman" w:eastAsia="Times New Roman" w:hAnsi="Times New Roman" w:cs="Times New Roman"/>
          <w:sz w:val="24"/>
          <w:szCs w:val="24"/>
        </w:rPr>
        <w:t>), p.227.</w:t>
      </w:r>
    </w:p>
    <w:p w14:paraId="485A575B"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Fatehi, K., Priestley, J.L. and Taasoobshirazi, G., 2020. </w:t>
      </w:r>
      <w:r w:rsidRPr="00327C9B">
        <w:rPr>
          <w:rFonts w:ascii="Times New Roman" w:eastAsia="Times New Roman" w:hAnsi="Times New Roman" w:cs="Times New Roman"/>
          <w:i/>
          <w:iCs/>
          <w:sz w:val="24"/>
          <w:szCs w:val="24"/>
        </w:rPr>
        <w:t xml:space="preserve">The expanded view of individualism and collectivism: One, two, or four dimensions?. International Journal of Cross Cultural Management, 20(1), </w:t>
      </w:r>
      <w:r w:rsidRPr="005168CD">
        <w:rPr>
          <w:rFonts w:ascii="Times New Roman" w:eastAsia="Times New Roman" w:hAnsi="Times New Roman" w:cs="Times New Roman"/>
          <w:sz w:val="24"/>
          <w:szCs w:val="24"/>
        </w:rPr>
        <w:t>pp.7-24.</w:t>
      </w:r>
    </w:p>
    <w:p w14:paraId="4CD6211D"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Hofstede Insights, 2022. </w:t>
      </w:r>
      <w:r w:rsidRPr="0000452B">
        <w:rPr>
          <w:rFonts w:ascii="Times New Roman" w:eastAsia="Times New Roman" w:hAnsi="Times New Roman" w:cs="Times New Roman"/>
          <w:i/>
          <w:iCs/>
          <w:sz w:val="24"/>
          <w:szCs w:val="24"/>
        </w:rPr>
        <w:t>Country Comparison - Hofstede Insights. [online] Hofstede Insights.</w:t>
      </w:r>
      <w:r w:rsidRPr="005168CD">
        <w:rPr>
          <w:rFonts w:ascii="Times New Roman" w:eastAsia="Times New Roman" w:hAnsi="Times New Roman" w:cs="Times New Roman"/>
          <w:sz w:val="24"/>
          <w:szCs w:val="24"/>
        </w:rPr>
        <w:t xml:space="preserve"> Available at: &lt;https://www.hofstede-insights.com/country-comparison/malaysia,the-uk/&gt; [Accessed 20 April 2022].</w:t>
      </w:r>
    </w:p>
    <w:p w14:paraId="4DC13452"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Ing, T.S., Lee, T.C., Chan, S.W., Alipal, J. and Hamid, N.A., 2019. </w:t>
      </w:r>
      <w:r w:rsidRPr="00050402">
        <w:rPr>
          <w:rFonts w:ascii="Times New Roman" w:eastAsia="Times New Roman" w:hAnsi="Times New Roman" w:cs="Times New Roman"/>
          <w:i/>
          <w:iCs/>
          <w:sz w:val="24"/>
          <w:szCs w:val="24"/>
        </w:rPr>
        <w:t>An overview of the rising challenges in implementing industry 4.0. International Journal of Supply Chain Management, 8(6)</w:t>
      </w:r>
      <w:r w:rsidRPr="005168CD">
        <w:rPr>
          <w:rFonts w:ascii="Times New Roman" w:eastAsia="Times New Roman" w:hAnsi="Times New Roman" w:cs="Times New Roman"/>
          <w:sz w:val="24"/>
          <w:szCs w:val="24"/>
        </w:rPr>
        <w:t>, pp.1181-1188.</w:t>
      </w:r>
    </w:p>
    <w:p w14:paraId="0800FF04"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Irawan, A., 2020. </w:t>
      </w:r>
      <w:r w:rsidRPr="00050402">
        <w:rPr>
          <w:rFonts w:ascii="Times New Roman" w:eastAsia="Times New Roman" w:hAnsi="Times New Roman" w:cs="Times New Roman"/>
          <w:i/>
          <w:iCs/>
          <w:sz w:val="24"/>
          <w:szCs w:val="24"/>
        </w:rPr>
        <w:t>Challenges and Opportunities for Small and Medium Enterprises in Eastern Indonesia in Facing the COVID-19 Pandemic and the New Normal Era. TIJAB (The International Journal of Applied Business), 4(2),</w:t>
      </w:r>
      <w:r w:rsidRPr="005168CD">
        <w:rPr>
          <w:rFonts w:ascii="Times New Roman" w:eastAsia="Times New Roman" w:hAnsi="Times New Roman" w:cs="Times New Roman"/>
          <w:sz w:val="24"/>
          <w:szCs w:val="24"/>
        </w:rPr>
        <w:t xml:space="preserve"> pp.79-89.</w:t>
      </w:r>
    </w:p>
    <w:p w14:paraId="2943EC09"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Lim, C.K., Ahmed, M.F., Mokhtar, M.B., Tan, K.L., Idris, M.Z. and Chan, Y.C., 2021. </w:t>
      </w:r>
      <w:r w:rsidRPr="00050402">
        <w:rPr>
          <w:rFonts w:ascii="Times New Roman" w:eastAsia="Times New Roman" w:hAnsi="Times New Roman" w:cs="Times New Roman"/>
          <w:i/>
          <w:iCs/>
          <w:sz w:val="24"/>
          <w:szCs w:val="24"/>
        </w:rPr>
        <w:t>Understanding intangible culture heritage preservation via analyzing inhabitants’ garments of early 19th century in weld quay, Malaysia. Sustainability, 13(10),</w:t>
      </w:r>
      <w:r w:rsidRPr="005168CD">
        <w:rPr>
          <w:rFonts w:ascii="Times New Roman" w:eastAsia="Times New Roman" w:hAnsi="Times New Roman" w:cs="Times New Roman"/>
          <w:sz w:val="24"/>
          <w:szCs w:val="24"/>
        </w:rPr>
        <w:t xml:space="preserve"> p.5393.</w:t>
      </w:r>
    </w:p>
    <w:p w14:paraId="2DC2D5DC"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lastRenderedPageBreak/>
        <w:t>Low, S., Ullah, F., Shirowzhan, S., Sepasgozar, S.M. and Lin Lee, C., 2020</w:t>
      </w:r>
      <w:r w:rsidRPr="005911E9">
        <w:rPr>
          <w:rFonts w:ascii="Times New Roman" w:eastAsia="Times New Roman" w:hAnsi="Times New Roman" w:cs="Times New Roman"/>
          <w:i/>
          <w:iCs/>
          <w:sz w:val="24"/>
          <w:szCs w:val="24"/>
        </w:rPr>
        <w:t xml:space="preserve">. Smart digital marketing capabilities for sustainable property development: A case of Malaysia. Sustainability, 12(13), </w:t>
      </w:r>
      <w:r w:rsidRPr="005168CD">
        <w:rPr>
          <w:rFonts w:ascii="Times New Roman" w:eastAsia="Times New Roman" w:hAnsi="Times New Roman" w:cs="Times New Roman"/>
          <w:sz w:val="24"/>
          <w:szCs w:val="24"/>
        </w:rPr>
        <w:t>p.5402.</w:t>
      </w:r>
    </w:p>
    <w:p w14:paraId="2693226E"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Mahadi, N.F., Zain, N.R.M. and Othman, A.H.A., 2021. </w:t>
      </w:r>
      <w:r w:rsidRPr="005911E9">
        <w:rPr>
          <w:rFonts w:ascii="Times New Roman" w:eastAsia="Times New Roman" w:hAnsi="Times New Roman" w:cs="Times New Roman"/>
          <w:i/>
          <w:iCs/>
          <w:sz w:val="24"/>
          <w:szCs w:val="24"/>
        </w:rPr>
        <w:t xml:space="preserve">The Role of Zakat in Achieving Economic Empowerment, Environmental Sustainability, and Social Re-Engineering as Promoted in the 12th Malaysia Plan. In Handbook of Research on Islamic Social Finance and Economic Recovery After a Global Health Crisis </w:t>
      </w:r>
      <w:r w:rsidRPr="005168CD">
        <w:rPr>
          <w:rFonts w:ascii="Times New Roman" w:eastAsia="Times New Roman" w:hAnsi="Times New Roman" w:cs="Times New Roman"/>
          <w:sz w:val="24"/>
          <w:szCs w:val="24"/>
        </w:rPr>
        <w:t>(pp. 30-46). IGI Global.</w:t>
      </w:r>
    </w:p>
    <w:p w14:paraId="759C90B4"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Statista, 2020a. </w:t>
      </w:r>
      <w:r w:rsidRPr="005911E9">
        <w:rPr>
          <w:rFonts w:ascii="Times New Roman" w:eastAsia="Times New Roman" w:hAnsi="Times New Roman" w:cs="Times New Roman"/>
          <w:i/>
          <w:iCs/>
          <w:sz w:val="24"/>
          <w:szCs w:val="24"/>
        </w:rPr>
        <w:t>Malaysia: Corruption Perceptions Index 2020 | Statista. [online] Statista</w:t>
      </w:r>
      <w:r w:rsidRPr="005168CD">
        <w:rPr>
          <w:rFonts w:ascii="Times New Roman" w:eastAsia="Times New Roman" w:hAnsi="Times New Roman" w:cs="Times New Roman"/>
          <w:sz w:val="24"/>
          <w:szCs w:val="24"/>
        </w:rPr>
        <w:t>. Available at: &lt;https://www.statista.com/statistics/945441/malaysia-corruptions-perceptions-index/&gt; [Accessed 20 April 2022].</w:t>
      </w:r>
    </w:p>
    <w:p w14:paraId="126832D1"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Statista, 2020b. </w:t>
      </w:r>
      <w:r w:rsidRPr="005911E9">
        <w:rPr>
          <w:rFonts w:ascii="Times New Roman" w:eastAsia="Times New Roman" w:hAnsi="Times New Roman" w:cs="Times New Roman"/>
          <w:i/>
          <w:iCs/>
          <w:sz w:val="24"/>
          <w:szCs w:val="24"/>
        </w:rPr>
        <w:t>Malaysia - unemployment rate 1999-2020 | Statista. [online] Statista</w:t>
      </w:r>
      <w:r w:rsidRPr="005168CD">
        <w:rPr>
          <w:rFonts w:ascii="Times New Roman" w:eastAsia="Times New Roman" w:hAnsi="Times New Roman" w:cs="Times New Roman"/>
          <w:sz w:val="24"/>
          <w:szCs w:val="24"/>
        </w:rPr>
        <w:t>. Available at: &lt;https://www.statista.com/statistics/319019/unemployment-rate-in-malaysia/&gt; [Accessed 20 April 2022].</w:t>
      </w:r>
    </w:p>
    <w:p w14:paraId="42724548"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 xml:space="preserve">Statista, 2022a. </w:t>
      </w:r>
      <w:r w:rsidRPr="005911E9">
        <w:rPr>
          <w:rFonts w:ascii="Times New Roman" w:eastAsia="Times New Roman" w:hAnsi="Times New Roman" w:cs="Times New Roman"/>
          <w:i/>
          <w:iCs/>
          <w:sz w:val="24"/>
          <w:szCs w:val="24"/>
        </w:rPr>
        <w:t>Malaysia - total population 2016-2026 | Statista. [online] Statista</w:t>
      </w:r>
      <w:r w:rsidRPr="005168CD">
        <w:rPr>
          <w:rFonts w:ascii="Times New Roman" w:eastAsia="Times New Roman" w:hAnsi="Times New Roman" w:cs="Times New Roman"/>
          <w:sz w:val="24"/>
          <w:szCs w:val="24"/>
        </w:rPr>
        <w:t>. Available at: &lt;https://www.statista.com/statistics/318725/total-population-of-malaysia/&gt; [Accessed 20 April 2022].</w:t>
      </w:r>
    </w:p>
    <w:p w14:paraId="34D8AE54" w14:textId="77777777" w:rsidR="00F90284" w:rsidRPr="005168CD" w:rsidRDefault="00F90284" w:rsidP="005168CD">
      <w:pPr>
        <w:spacing w:line="360" w:lineRule="auto"/>
        <w:jc w:val="both"/>
        <w:rPr>
          <w:rFonts w:ascii="Times New Roman" w:eastAsia="Times New Roman" w:hAnsi="Times New Roman" w:cs="Times New Roman"/>
          <w:sz w:val="24"/>
          <w:szCs w:val="24"/>
        </w:rPr>
      </w:pPr>
      <w:r w:rsidRPr="005168CD">
        <w:rPr>
          <w:rFonts w:ascii="Times New Roman" w:eastAsia="Times New Roman" w:hAnsi="Times New Roman" w:cs="Times New Roman"/>
          <w:sz w:val="24"/>
          <w:szCs w:val="24"/>
        </w:rPr>
        <w:t>Statista, 2022b</w:t>
      </w:r>
      <w:r w:rsidRPr="005911E9">
        <w:rPr>
          <w:rFonts w:ascii="Times New Roman" w:eastAsia="Times New Roman" w:hAnsi="Times New Roman" w:cs="Times New Roman"/>
          <w:i/>
          <w:iCs/>
          <w:sz w:val="24"/>
          <w:szCs w:val="24"/>
        </w:rPr>
        <w:t>. Malaysia - Gross domestic product (GDP) 2026 | Statista. [online] Statista</w:t>
      </w:r>
      <w:r w:rsidRPr="005168CD">
        <w:rPr>
          <w:rFonts w:ascii="Times New Roman" w:eastAsia="Times New Roman" w:hAnsi="Times New Roman" w:cs="Times New Roman"/>
          <w:sz w:val="24"/>
          <w:szCs w:val="24"/>
        </w:rPr>
        <w:t>. Available at: &lt;https://www.statista.com/statistics/319024/gross-domestic-product-gdp-in-malaysia/&gt; [Accessed 20 April 2022].</w:t>
      </w:r>
    </w:p>
    <w:p w14:paraId="7E98B15C"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42D900F8"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1A070F53"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1BE3A5D7"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075DF5E9"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3AAFA617"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7F838DE7"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74E7D70B"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7D31B236"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768EAD23"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5A950ABA"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22C97AE2"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267BE680"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7A469164" w14:textId="77777777" w:rsidR="005168CD" w:rsidRPr="005168CD" w:rsidRDefault="005168CD" w:rsidP="005168CD">
      <w:pPr>
        <w:spacing w:line="360" w:lineRule="auto"/>
        <w:jc w:val="both"/>
        <w:rPr>
          <w:rFonts w:ascii="Times New Roman" w:eastAsia="Times New Roman" w:hAnsi="Times New Roman" w:cs="Times New Roman"/>
          <w:sz w:val="24"/>
          <w:szCs w:val="24"/>
        </w:rPr>
      </w:pPr>
    </w:p>
    <w:p w14:paraId="0044A1D1" w14:textId="64741EB7" w:rsidR="006A0F94" w:rsidRPr="00F72F59" w:rsidRDefault="006858A8" w:rsidP="00FD6383">
      <w:pPr>
        <w:pStyle w:val="Heading1"/>
      </w:pPr>
      <w:bookmarkStart w:id="8" w:name="_Toc101374750"/>
      <w:r w:rsidRPr="00F72F59">
        <w:lastRenderedPageBreak/>
        <w:t xml:space="preserve">Appendix </w:t>
      </w:r>
      <w:r w:rsidR="00A87563" w:rsidRPr="00F72F59">
        <w:t>1</w:t>
      </w:r>
      <w:r w:rsidR="00F72F59" w:rsidRPr="00F72F59">
        <w:t>: Hofstede cultural dimensions</w:t>
      </w:r>
      <w:bookmarkEnd w:id="8"/>
    </w:p>
    <w:p w14:paraId="64008566" w14:textId="77777777" w:rsidR="006A0F94" w:rsidRDefault="006858A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114300" distB="114300" distL="114300" distR="114300" wp14:anchorId="5F875E8E" wp14:editId="1B73BA7C">
            <wp:extent cx="4518580" cy="2319338"/>
            <wp:effectExtent l="19050" t="19050" r="15875" b="2413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518580" cy="2319338"/>
                    </a:xfrm>
                    <a:prstGeom prst="rect">
                      <a:avLst/>
                    </a:prstGeom>
                    <a:ln>
                      <a:solidFill>
                        <a:schemeClr val="tx1"/>
                      </a:solidFill>
                    </a:ln>
                  </pic:spPr>
                </pic:pic>
              </a:graphicData>
            </a:graphic>
          </wp:inline>
        </w:drawing>
      </w:r>
    </w:p>
    <w:p w14:paraId="030A75EC" w14:textId="5B00F53A" w:rsidR="006A0F94" w:rsidRPr="00C0651F" w:rsidRDefault="00C0651F" w:rsidP="00C0651F">
      <w:pPr>
        <w:spacing w:line="360" w:lineRule="auto"/>
        <w:jc w:val="center"/>
        <w:rPr>
          <w:rFonts w:ascii="Times New Roman" w:eastAsia="Times New Roman" w:hAnsi="Times New Roman" w:cs="Times New Roman"/>
          <w:bCs/>
          <w:sz w:val="24"/>
          <w:szCs w:val="24"/>
        </w:rPr>
      </w:pPr>
      <w:r w:rsidRPr="00C0651F">
        <w:rPr>
          <w:rFonts w:ascii="Times New Roman" w:eastAsia="Times New Roman" w:hAnsi="Times New Roman" w:cs="Times New Roman"/>
          <w:bCs/>
          <w:sz w:val="24"/>
          <w:szCs w:val="24"/>
        </w:rPr>
        <w:t>(Source: Hofstede Insights, 2022)</w:t>
      </w:r>
    </w:p>
    <w:sectPr w:rsidR="006A0F94" w:rsidRPr="00C0651F" w:rsidSect="00B5592C">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08BA0" w14:textId="77777777" w:rsidR="005B76ED" w:rsidRDefault="005B76ED" w:rsidP="00CE119E">
      <w:pPr>
        <w:spacing w:line="240" w:lineRule="auto"/>
      </w:pPr>
      <w:r>
        <w:separator/>
      </w:r>
    </w:p>
  </w:endnote>
  <w:endnote w:type="continuationSeparator" w:id="0">
    <w:p w14:paraId="22101279" w14:textId="77777777" w:rsidR="005B76ED" w:rsidRDefault="005B76ED" w:rsidP="00CE11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21663026"/>
      <w:docPartObj>
        <w:docPartGallery w:val="Page Numbers (Bottom of Page)"/>
        <w:docPartUnique/>
      </w:docPartObj>
    </w:sdtPr>
    <w:sdtEndPr>
      <w:rPr>
        <w:noProof/>
      </w:rPr>
    </w:sdtEndPr>
    <w:sdtContent>
      <w:p w14:paraId="536635EA" w14:textId="77777777" w:rsidR="00CE119E" w:rsidRPr="00B5592C" w:rsidRDefault="00CE119E">
        <w:pPr>
          <w:pStyle w:val="Footer"/>
          <w:jc w:val="right"/>
          <w:rPr>
            <w:rFonts w:ascii="Times New Roman" w:hAnsi="Times New Roman" w:cs="Times New Roman"/>
            <w:sz w:val="20"/>
            <w:szCs w:val="20"/>
          </w:rPr>
        </w:pPr>
        <w:r w:rsidRPr="00B5592C">
          <w:rPr>
            <w:rFonts w:ascii="Times New Roman" w:hAnsi="Times New Roman" w:cs="Times New Roman"/>
            <w:sz w:val="20"/>
            <w:szCs w:val="20"/>
          </w:rPr>
          <w:fldChar w:fldCharType="begin"/>
        </w:r>
        <w:r w:rsidRPr="00B5592C">
          <w:rPr>
            <w:rFonts w:ascii="Times New Roman" w:hAnsi="Times New Roman" w:cs="Times New Roman"/>
            <w:sz w:val="20"/>
            <w:szCs w:val="20"/>
          </w:rPr>
          <w:instrText xml:space="preserve"> PAGE   \* MERGEFORMAT </w:instrText>
        </w:r>
        <w:r w:rsidRPr="00B5592C">
          <w:rPr>
            <w:rFonts w:ascii="Times New Roman" w:hAnsi="Times New Roman" w:cs="Times New Roman"/>
            <w:sz w:val="20"/>
            <w:szCs w:val="20"/>
          </w:rPr>
          <w:fldChar w:fldCharType="separate"/>
        </w:r>
        <w:r w:rsidRPr="00B5592C">
          <w:rPr>
            <w:rFonts w:ascii="Times New Roman" w:hAnsi="Times New Roman" w:cs="Times New Roman"/>
            <w:noProof/>
            <w:sz w:val="20"/>
            <w:szCs w:val="20"/>
          </w:rPr>
          <w:t>2</w:t>
        </w:r>
        <w:r w:rsidRPr="00B5592C">
          <w:rPr>
            <w:rFonts w:ascii="Times New Roman" w:hAnsi="Times New Roman" w:cs="Times New Roman"/>
            <w:noProof/>
            <w:sz w:val="20"/>
            <w:szCs w:val="20"/>
          </w:rPr>
          <w:fldChar w:fldCharType="end"/>
        </w:r>
      </w:p>
    </w:sdtContent>
  </w:sdt>
  <w:p w14:paraId="132F360A" w14:textId="77777777" w:rsidR="00CE119E" w:rsidRDefault="00CE1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5FF0F" w14:textId="77777777" w:rsidR="005B76ED" w:rsidRDefault="005B76ED" w:rsidP="00CE119E">
      <w:pPr>
        <w:spacing w:line="240" w:lineRule="auto"/>
      </w:pPr>
      <w:r>
        <w:separator/>
      </w:r>
    </w:p>
  </w:footnote>
  <w:footnote w:type="continuationSeparator" w:id="0">
    <w:p w14:paraId="1E4E5187" w14:textId="77777777" w:rsidR="005B76ED" w:rsidRDefault="005B76ED" w:rsidP="00CE11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22D47"/>
    <w:multiLevelType w:val="hybridMultilevel"/>
    <w:tmpl w:val="00000000"/>
    <w:lvl w:ilvl="0" w:tplc="4E88355E">
      <w:start w:val="1"/>
      <w:numFmt w:val="bullet"/>
      <w:lvlText w:val="●"/>
      <w:lvlJc w:val="left"/>
      <w:pPr>
        <w:ind w:left="720" w:hanging="360"/>
      </w:pPr>
      <w:rPr>
        <w:u w:val="none"/>
      </w:rPr>
    </w:lvl>
    <w:lvl w:ilvl="1" w:tplc="BAEEEFA0">
      <w:start w:val="1"/>
      <w:numFmt w:val="bullet"/>
      <w:lvlText w:val="○"/>
      <w:lvlJc w:val="left"/>
      <w:pPr>
        <w:ind w:left="1440" w:hanging="360"/>
      </w:pPr>
      <w:rPr>
        <w:u w:val="none"/>
      </w:rPr>
    </w:lvl>
    <w:lvl w:ilvl="2" w:tplc="6568D6BA">
      <w:start w:val="1"/>
      <w:numFmt w:val="bullet"/>
      <w:lvlText w:val="■"/>
      <w:lvlJc w:val="left"/>
      <w:pPr>
        <w:ind w:left="2160" w:hanging="360"/>
      </w:pPr>
      <w:rPr>
        <w:u w:val="none"/>
      </w:rPr>
    </w:lvl>
    <w:lvl w:ilvl="3" w:tplc="2AAEC1BA">
      <w:start w:val="1"/>
      <w:numFmt w:val="bullet"/>
      <w:lvlText w:val="●"/>
      <w:lvlJc w:val="left"/>
      <w:pPr>
        <w:ind w:left="2880" w:hanging="360"/>
      </w:pPr>
      <w:rPr>
        <w:u w:val="none"/>
      </w:rPr>
    </w:lvl>
    <w:lvl w:ilvl="4" w:tplc="ADC25DEA">
      <w:start w:val="1"/>
      <w:numFmt w:val="bullet"/>
      <w:lvlText w:val="○"/>
      <w:lvlJc w:val="left"/>
      <w:pPr>
        <w:ind w:left="3600" w:hanging="360"/>
      </w:pPr>
      <w:rPr>
        <w:u w:val="none"/>
      </w:rPr>
    </w:lvl>
    <w:lvl w:ilvl="5" w:tplc="75B4E762">
      <w:start w:val="1"/>
      <w:numFmt w:val="bullet"/>
      <w:lvlText w:val="■"/>
      <w:lvlJc w:val="left"/>
      <w:pPr>
        <w:ind w:left="4320" w:hanging="360"/>
      </w:pPr>
      <w:rPr>
        <w:u w:val="none"/>
      </w:rPr>
    </w:lvl>
    <w:lvl w:ilvl="6" w:tplc="3CDE6090">
      <w:start w:val="1"/>
      <w:numFmt w:val="bullet"/>
      <w:lvlText w:val="●"/>
      <w:lvlJc w:val="left"/>
      <w:pPr>
        <w:ind w:left="5040" w:hanging="360"/>
      </w:pPr>
      <w:rPr>
        <w:u w:val="none"/>
      </w:rPr>
    </w:lvl>
    <w:lvl w:ilvl="7" w:tplc="0A82677A">
      <w:start w:val="1"/>
      <w:numFmt w:val="bullet"/>
      <w:lvlText w:val="○"/>
      <w:lvlJc w:val="left"/>
      <w:pPr>
        <w:ind w:left="5760" w:hanging="360"/>
      </w:pPr>
      <w:rPr>
        <w:u w:val="none"/>
      </w:rPr>
    </w:lvl>
    <w:lvl w:ilvl="8" w:tplc="1304E372">
      <w:start w:val="1"/>
      <w:numFmt w:val="bullet"/>
      <w:lvlText w:val="■"/>
      <w:lvlJc w:val="left"/>
      <w:pPr>
        <w:ind w:left="6480" w:hanging="360"/>
      </w:pPr>
      <w:rPr>
        <w:u w:val="none"/>
      </w:rPr>
    </w:lvl>
  </w:abstractNum>
  <w:abstractNum w:abstractNumId="1" w15:restartNumberingAfterBreak="0">
    <w:nsid w:val="194AF916"/>
    <w:multiLevelType w:val="hybridMultilevel"/>
    <w:tmpl w:val="00000000"/>
    <w:lvl w:ilvl="0" w:tplc="24844D46">
      <w:start w:val="1"/>
      <w:numFmt w:val="bullet"/>
      <w:lvlText w:val="●"/>
      <w:lvlJc w:val="left"/>
      <w:pPr>
        <w:ind w:left="720" w:hanging="360"/>
      </w:pPr>
      <w:rPr>
        <w:u w:val="none"/>
      </w:rPr>
    </w:lvl>
    <w:lvl w:ilvl="1" w:tplc="CC985A4C">
      <w:start w:val="1"/>
      <w:numFmt w:val="bullet"/>
      <w:lvlText w:val="○"/>
      <w:lvlJc w:val="left"/>
      <w:pPr>
        <w:ind w:left="1440" w:hanging="360"/>
      </w:pPr>
      <w:rPr>
        <w:u w:val="none"/>
      </w:rPr>
    </w:lvl>
    <w:lvl w:ilvl="2" w:tplc="AEC66726">
      <w:start w:val="1"/>
      <w:numFmt w:val="bullet"/>
      <w:lvlText w:val="■"/>
      <w:lvlJc w:val="left"/>
      <w:pPr>
        <w:ind w:left="2160" w:hanging="360"/>
      </w:pPr>
      <w:rPr>
        <w:u w:val="none"/>
      </w:rPr>
    </w:lvl>
    <w:lvl w:ilvl="3" w:tplc="7FF8CBA6">
      <w:start w:val="1"/>
      <w:numFmt w:val="bullet"/>
      <w:lvlText w:val="●"/>
      <w:lvlJc w:val="left"/>
      <w:pPr>
        <w:ind w:left="2880" w:hanging="360"/>
      </w:pPr>
      <w:rPr>
        <w:u w:val="none"/>
      </w:rPr>
    </w:lvl>
    <w:lvl w:ilvl="4" w:tplc="4D9CF1D4">
      <w:start w:val="1"/>
      <w:numFmt w:val="bullet"/>
      <w:lvlText w:val="○"/>
      <w:lvlJc w:val="left"/>
      <w:pPr>
        <w:ind w:left="3600" w:hanging="360"/>
      </w:pPr>
      <w:rPr>
        <w:u w:val="none"/>
      </w:rPr>
    </w:lvl>
    <w:lvl w:ilvl="5" w:tplc="DDE2E0DC">
      <w:start w:val="1"/>
      <w:numFmt w:val="bullet"/>
      <w:lvlText w:val="■"/>
      <w:lvlJc w:val="left"/>
      <w:pPr>
        <w:ind w:left="4320" w:hanging="360"/>
      </w:pPr>
      <w:rPr>
        <w:u w:val="none"/>
      </w:rPr>
    </w:lvl>
    <w:lvl w:ilvl="6" w:tplc="F1C240B4">
      <w:start w:val="1"/>
      <w:numFmt w:val="bullet"/>
      <w:lvlText w:val="●"/>
      <w:lvlJc w:val="left"/>
      <w:pPr>
        <w:ind w:left="5040" w:hanging="360"/>
      </w:pPr>
      <w:rPr>
        <w:u w:val="none"/>
      </w:rPr>
    </w:lvl>
    <w:lvl w:ilvl="7" w:tplc="C77C78CC">
      <w:start w:val="1"/>
      <w:numFmt w:val="bullet"/>
      <w:lvlText w:val="○"/>
      <w:lvlJc w:val="left"/>
      <w:pPr>
        <w:ind w:left="5760" w:hanging="360"/>
      </w:pPr>
      <w:rPr>
        <w:u w:val="none"/>
      </w:rPr>
    </w:lvl>
    <w:lvl w:ilvl="8" w:tplc="8736B620">
      <w:start w:val="1"/>
      <w:numFmt w:val="bullet"/>
      <w:lvlText w:val="■"/>
      <w:lvlJc w:val="left"/>
      <w:pPr>
        <w:ind w:left="6480" w:hanging="360"/>
      </w:pPr>
      <w:rPr>
        <w:u w:val="none"/>
      </w:rPr>
    </w:lvl>
  </w:abstractNum>
  <w:abstractNum w:abstractNumId="2" w15:restartNumberingAfterBreak="0">
    <w:nsid w:val="30CDDC4F"/>
    <w:multiLevelType w:val="hybridMultilevel"/>
    <w:tmpl w:val="00000000"/>
    <w:lvl w:ilvl="0" w:tplc="856CF4CC">
      <w:start w:val="1"/>
      <w:numFmt w:val="bullet"/>
      <w:lvlText w:val="●"/>
      <w:lvlJc w:val="left"/>
      <w:pPr>
        <w:ind w:left="720" w:hanging="360"/>
      </w:pPr>
      <w:rPr>
        <w:u w:val="none"/>
      </w:rPr>
    </w:lvl>
    <w:lvl w:ilvl="1" w:tplc="D6DEAC46">
      <w:start w:val="1"/>
      <w:numFmt w:val="bullet"/>
      <w:lvlText w:val="○"/>
      <w:lvlJc w:val="left"/>
      <w:pPr>
        <w:ind w:left="1440" w:hanging="360"/>
      </w:pPr>
      <w:rPr>
        <w:u w:val="none"/>
      </w:rPr>
    </w:lvl>
    <w:lvl w:ilvl="2" w:tplc="A0C89D36">
      <w:start w:val="1"/>
      <w:numFmt w:val="bullet"/>
      <w:lvlText w:val="■"/>
      <w:lvlJc w:val="left"/>
      <w:pPr>
        <w:ind w:left="2160" w:hanging="360"/>
      </w:pPr>
      <w:rPr>
        <w:u w:val="none"/>
      </w:rPr>
    </w:lvl>
    <w:lvl w:ilvl="3" w:tplc="CF265ADE">
      <w:start w:val="1"/>
      <w:numFmt w:val="bullet"/>
      <w:lvlText w:val="●"/>
      <w:lvlJc w:val="left"/>
      <w:pPr>
        <w:ind w:left="2880" w:hanging="360"/>
      </w:pPr>
      <w:rPr>
        <w:u w:val="none"/>
      </w:rPr>
    </w:lvl>
    <w:lvl w:ilvl="4" w:tplc="4FBEC040">
      <w:start w:val="1"/>
      <w:numFmt w:val="bullet"/>
      <w:lvlText w:val="○"/>
      <w:lvlJc w:val="left"/>
      <w:pPr>
        <w:ind w:left="3600" w:hanging="360"/>
      </w:pPr>
      <w:rPr>
        <w:u w:val="none"/>
      </w:rPr>
    </w:lvl>
    <w:lvl w:ilvl="5" w:tplc="DB04A75E">
      <w:start w:val="1"/>
      <w:numFmt w:val="bullet"/>
      <w:lvlText w:val="■"/>
      <w:lvlJc w:val="left"/>
      <w:pPr>
        <w:ind w:left="4320" w:hanging="360"/>
      </w:pPr>
      <w:rPr>
        <w:u w:val="none"/>
      </w:rPr>
    </w:lvl>
    <w:lvl w:ilvl="6" w:tplc="38E044BE">
      <w:start w:val="1"/>
      <w:numFmt w:val="bullet"/>
      <w:lvlText w:val="●"/>
      <w:lvlJc w:val="left"/>
      <w:pPr>
        <w:ind w:left="5040" w:hanging="360"/>
      </w:pPr>
      <w:rPr>
        <w:u w:val="none"/>
      </w:rPr>
    </w:lvl>
    <w:lvl w:ilvl="7" w:tplc="A93AA566">
      <w:start w:val="1"/>
      <w:numFmt w:val="bullet"/>
      <w:lvlText w:val="○"/>
      <w:lvlJc w:val="left"/>
      <w:pPr>
        <w:ind w:left="5760" w:hanging="360"/>
      </w:pPr>
      <w:rPr>
        <w:u w:val="none"/>
      </w:rPr>
    </w:lvl>
    <w:lvl w:ilvl="8" w:tplc="E3328F90">
      <w:start w:val="1"/>
      <w:numFmt w:val="bullet"/>
      <w:lvlText w:val="■"/>
      <w:lvlJc w:val="left"/>
      <w:pPr>
        <w:ind w:left="6480" w:hanging="360"/>
      </w:pPr>
      <w:rPr>
        <w:u w:val="none"/>
      </w:rPr>
    </w:lvl>
  </w:abstractNum>
  <w:abstractNum w:abstractNumId="3" w15:restartNumberingAfterBreak="0">
    <w:nsid w:val="40DFDB3C"/>
    <w:multiLevelType w:val="hybridMultilevel"/>
    <w:tmpl w:val="00000000"/>
    <w:lvl w:ilvl="0" w:tplc="CD1C69C0">
      <w:start w:val="1"/>
      <w:numFmt w:val="bullet"/>
      <w:lvlText w:val="●"/>
      <w:lvlJc w:val="left"/>
      <w:pPr>
        <w:ind w:left="720" w:hanging="360"/>
      </w:pPr>
      <w:rPr>
        <w:u w:val="none"/>
      </w:rPr>
    </w:lvl>
    <w:lvl w:ilvl="1" w:tplc="4D064B84">
      <w:start w:val="1"/>
      <w:numFmt w:val="bullet"/>
      <w:lvlText w:val="○"/>
      <w:lvlJc w:val="left"/>
      <w:pPr>
        <w:ind w:left="1440" w:hanging="360"/>
      </w:pPr>
      <w:rPr>
        <w:u w:val="none"/>
      </w:rPr>
    </w:lvl>
    <w:lvl w:ilvl="2" w:tplc="75D84D40">
      <w:start w:val="1"/>
      <w:numFmt w:val="bullet"/>
      <w:lvlText w:val="■"/>
      <w:lvlJc w:val="left"/>
      <w:pPr>
        <w:ind w:left="2160" w:hanging="360"/>
      </w:pPr>
      <w:rPr>
        <w:u w:val="none"/>
      </w:rPr>
    </w:lvl>
    <w:lvl w:ilvl="3" w:tplc="112C3578">
      <w:start w:val="1"/>
      <w:numFmt w:val="bullet"/>
      <w:lvlText w:val="●"/>
      <w:lvlJc w:val="left"/>
      <w:pPr>
        <w:ind w:left="2880" w:hanging="360"/>
      </w:pPr>
      <w:rPr>
        <w:u w:val="none"/>
      </w:rPr>
    </w:lvl>
    <w:lvl w:ilvl="4" w:tplc="C492A3F8">
      <w:start w:val="1"/>
      <w:numFmt w:val="bullet"/>
      <w:lvlText w:val="○"/>
      <w:lvlJc w:val="left"/>
      <w:pPr>
        <w:ind w:left="3600" w:hanging="360"/>
      </w:pPr>
      <w:rPr>
        <w:u w:val="none"/>
      </w:rPr>
    </w:lvl>
    <w:lvl w:ilvl="5" w:tplc="0EC4ECFC">
      <w:start w:val="1"/>
      <w:numFmt w:val="bullet"/>
      <w:lvlText w:val="■"/>
      <w:lvlJc w:val="left"/>
      <w:pPr>
        <w:ind w:left="4320" w:hanging="360"/>
      </w:pPr>
      <w:rPr>
        <w:u w:val="none"/>
      </w:rPr>
    </w:lvl>
    <w:lvl w:ilvl="6" w:tplc="478E9FFC">
      <w:start w:val="1"/>
      <w:numFmt w:val="bullet"/>
      <w:lvlText w:val="●"/>
      <w:lvlJc w:val="left"/>
      <w:pPr>
        <w:ind w:left="5040" w:hanging="360"/>
      </w:pPr>
      <w:rPr>
        <w:u w:val="none"/>
      </w:rPr>
    </w:lvl>
    <w:lvl w:ilvl="7" w:tplc="FCBC801E">
      <w:start w:val="1"/>
      <w:numFmt w:val="bullet"/>
      <w:lvlText w:val="○"/>
      <w:lvlJc w:val="left"/>
      <w:pPr>
        <w:ind w:left="5760" w:hanging="360"/>
      </w:pPr>
      <w:rPr>
        <w:u w:val="none"/>
      </w:rPr>
    </w:lvl>
    <w:lvl w:ilvl="8" w:tplc="649406BE">
      <w:start w:val="1"/>
      <w:numFmt w:val="bullet"/>
      <w:lvlText w:val="■"/>
      <w:lvlJc w:val="left"/>
      <w:pPr>
        <w:ind w:left="6480" w:hanging="360"/>
      </w:pPr>
      <w:rPr>
        <w:u w:val="none"/>
      </w:rPr>
    </w:lvl>
  </w:abstractNum>
  <w:abstractNum w:abstractNumId="4" w15:restartNumberingAfterBreak="0">
    <w:nsid w:val="49379831"/>
    <w:multiLevelType w:val="hybridMultilevel"/>
    <w:tmpl w:val="00000000"/>
    <w:lvl w:ilvl="0" w:tplc="CB6EB17E">
      <w:start w:val="1"/>
      <w:numFmt w:val="bullet"/>
      <w:lvlText w:val="●"/>
      <w:lvlJc w:val="left"/>
      <w:pPr>
        <w:ind w:left="720" w:hanging="360"/>
      </w:pPr>
      <w:rPr>
        <w:u w:val="none"/>
      </w:rPr>
    </w:lvl>
    <w:lvl w:ilvl="1" w:tplc="DAC69E4A">
      <w:start w:val="1"/>
      <w:numFmt w:val="bullet"/>
      <w:lvlText w:val="○"/>
      <w:lvlJc w:val="left"/>
      <w:pPr>
        <w:ind w:left="1440" w:hanging="360"/>
      </w:pPr>
      <w:rPr>
        <w:u w:val="none"/>
      </w:rPr>
    </w:lvl>
    <w:lvl w:ilvl="2" w:tplc="ED14ADA2">
      <w:start w:val="1"/>
      <w:numFmt w:val="bullet"/>
      <w:lvlText w:val="■"/>
      <w:lvlJc w:val="left"/>
      <w:pPr>
        <w:ind w:left="2160" w:hanging="360"/>
      </w:pPr>
      <w:rPr>
        <w:u w:val="none"/>
      </w:rPr>
    </w:lvl>
    <w:lvl w:ilvl="3" w:tplc="A04275EA">
      <w:start w:val="1"/>
      <w:numFmt w:val="bullet"/>
      <w:lvlText w:val="●"/>
      <w:lvlJc w:val="left"/>
      <w:pPr>
        <w:ind w:left="2880" w:hanging="360"/>
      </w:pPr>
      <w:rPr>
        <w:u w:val="none"/>
      </w:rPr>
    </w:lvl>
    <w:lvl w:ilvl="4" w:tplc="076C3690">
      <w:start w:val="1"/>
      <w:numFmt w:val="bullet"/>
      <w:lvlText w:val="○"/>
      <w:lvlJc w:val="left"/>
      <w:pPr>
        <w:ind w:left="3600" w:hanging="360"/>
      </w:pPr>
      <w:rPr>
        <w:u w:val="none"/>
      </w:rPr>
    </w:lvl>
    <w:lvl w:ilvl="5" w:tplc="A71681F2">
      <w:start w:val="1"/>
      <w:numFmt w:val="bullet"/>
      <w:lvlText w:val="■"/>
      <w:lvlJc w:val="left"/>
      <w:pPr>
        <w:ind w:left="4320" w:hanging="360"/>
      </w:pPr>
      <w:rPr>
        <w:u w:val="none"/>
      </w:rPr>
    </w:lvl>
    <w:lvl w:ilvl="6" w:tplc="920E9C46">
      <w:start w:val="1"/>
      <w:numFmt w:val="bullet"/>
      <w:lvlText w:val="●"/>
      <w:lvlJc w:val="left"/>
      <w:pPr>
        <w:ind w:left="5040" w:hanging="360"/>
      </w:pPr>
      <w:rPr>
        <w:u w:val="none"/>
      </w:rPr>
    </w:lvl>
    <w:lvl w:ilvl="7" w:tplc="D324A340">
      <w:start w:val="1"/>
      <w:numFmt w:val="bullet"/>
      <w:lvlText w:val="○"/>
      <w:lvlJc w:val="left"/>
      <w:pPr>
        <w:ind w:left="5760" w:hanging="360"/>
      </w:pPr>
      <w:rPr>
        <w:u w:val="none"/>
      </w:rPr>
    </w:lvl>
    <w:lvl w:ilvl="8" w:tplc="3640C18A">
      <w:start w:val="1"/>
      <w:numFmt w:val="bullet"/>
      <w:lvlText w:val="■"/>
      <w:lvlJc w:val="left"/>
      <w:pPr>
        <w:ind w:left="6480" w:hanging="360"/>
      </w:pPr>
      <w:rPr>
        <w:u w:val="none"/>
      </w:rPr>
    </w:lvl>
  </w:abstractNum>
  <w:abstractNum w:abstractNumId="5" w15:restartNumberingAfterBreak="0">
    <w:nsid w:val="54FE5287"/>
    <w:multiLevelType w:val="hybridMultilevel"/>
    <w:tmpl w:val="00000000"/>
    <w:lvl w:ilvl="0" w:tplc="561E4AFA">
      <w:start w:val="1"/>
      <w:numFmt w:val="bullet"/>
      <w:lvlText w:val="●"/>
      <w:lvlJc w:val="left"/>
      <w:pPr>
        <w:ind w:left="720" w:hanging="360"/>
      </w:pPr>
      <w:rPr>
        <w:u w:val="none"/>
      </w:rPr>
    </w:lvl>
    <w:lvl w:ilvl="1" w:tplc="C77C7882">
      <w:start w:val="1"/>
      <w:numFmt w:val="bullet"/>
      <w:lvlText w:val="○"/>
      <w:lvlJc w:val="left"/>
      <w:pPr>
        <w:ind w:left="1440" w:hanging="360"/>
      </w:pPr>
      <w:rPr>
        <w:u w:val="none"/>
      </w:rPr>
    </w:lvl>
    <w:lvl w:ilvl="2" w:tplc="7E923DBA">
      <w:start w:val="1"/>
      <w:numFmt w:val="bullet"/>
      <w:lvlText w:val="■"/>
      <w:lvlJc w:val="left"/>
      <w:pPr>
        <w:ind w:left="2160" w:hanging="360"/>
      </w:pPr>
      <w:rPr>
        <w:u w:val="none"/>
      </w:rPr>
    </w:lvl>
    <w:lvl w:ilvl="3" w:tplc="8DD6DEF6">
      <w:start w:val="1"/>
      <w:numFmt w:val="bullet"/>
      <w:lvlText w:val="●"/>
      <w:lvlJc w:val="left"/>
      <w:pPr>
        <w:ind w:left="2880" w:hanging="360"/>
      </w:pPr>
      <w:rPr>
        <w:u w:val="none"/>
      </w:rPr>
    </w:lvl>
    <w:lvl w:ilvl="4" w:tplc="050AAAF6">
      <w:start w:val="1"/>
      <w:numFmt w:val="bullet"/>
      <w:lvlText w:val="○"/>
      <w:lvlJc w:val="left"/>
      <w:pPr>
        <w:ind w:left="3600" w:hanging="360"/>
      </w:pPr>
      <w:rPr>
        <w:u w:val="none"/>
      </w:rPr>
    </w:lvl>
    <w:lvl w:ilvl="5" w:tplc="21D67AE6">
      <w:start w:val="1"/>
      <w:numFmt w:val="bullet"/>
      <w:lvlText w:val="■"/>
      <w:lvlJc w:val="left"/>
      <w:pPr>
        <w:ind w:left="4320" w:hanging="360"/>
      </w:pPr>
      <w:rPr>
        <w:u w:val="none"/>
      </w:rPr>
    </w:lvl>
    <w:lvl w:ilvl="6" w:tplc="39C4854C">
      <w:start w:val="1"/>
      <w:numFmt w:val="bullet"/>
      <w:lvlText w:val="●"/>
      <w:lvlJc w:val="left"/>
      <w:pPr>
        <w:ind w:left="5040" w:hanging="360"/>
      </w:pPr>
      <w:rPr>
        <w:u w:val="none"/>
      </w:rPr>
    </w:lvl>
    <w:lvl w:ilvl="7" w:tplc="3DC2C830">
      <w:start w:val="1"/>
      <w:numFmt w:val="bullet"/>
      <w:lvlText w:val="○"/>
      <w:lvlJc w:val="left"/>
      <w:pPr>
        <w:ind w:left="5760" w:hanging="360"/>
      </w:pPr>
      <w:rPr>
        <w:u w:val="none"/>
      </w:rPr>
    </w:lvl>
    <w:lvl w:ilvl="8" w:tplc="4F8ADD5A">
      <w:start w:val="1"/>
      <w:numFmt w:val="bullet"/>
      <w:lvlText w:val="■"/>
      <w:lvlJc w:val="left"/>
      <w:pPr>
        <w:ind w:left="6480" w:hanging="360"/>
      </w:pPr>
      <w:rPr>
        <w:u w:val="none"/>
      </w:rPr>
    </w:lvl>
  </w:abstractNum>
  <w:num w:numId="1" w16cid:durableId="343626854">
    <w:abstractNumId w:val="5"/>
  </w:num>
  <w:num w:numId="2" w16cid:durableId="1880629269">
    <w:abstractNumId w:val="3"/>
  </w:num>
  <w:num w:numId="3" w16cid:durableId="1350794143">
    <w:abstractNumId w:val="0"/>
  </w:num>
  <w:num w:numId="4" w16cid:durableId="1661153220">
    <w:abstractNumId w:val="1"/>
  </w:num>
  <w:num w:numId="5" w16cid:durableId="1789156046">
    <w:abstractNumId w:val="4"/>
  </w:num>
  <w:num w:numId="6" w16cid:durableId="6261631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0F94"/>
    <w:rsid w:val="0000452B"/>
    <w:rsid w:val="00050402"/>
    <w:rsid w:val="002D3498"/>
    <w:rsid w:val="00327C9B"/>
    <w:rsid w:val="00362FC3"/>
    <w:rsid w:val="003B0771"/>
    <w:rsid w:val="004605ED"/>
    <w:rsid w:val="004D075F"/>
    <w:rsid w:val="005168CD"/>
    <w:rsid w:val="00521245"/>
    <w:rsid w:val="005911E9"/>
    <w:rsid w:val="005B76ED"/>
    <w:rsid w:val="005F4916"/>
    <w:rsid w:val="006858A8"/>
    <w:rsid w:val="006A0F94"/>
    <w:rsid w:val="006E6038"/>
    <w:rsid w:val="007E795D"/>
    <w:rsid w:val="008029F8"/>
    <w:rsid w:val="0081000D"/>
    <w:rsid w:val="008F0123"/>
    <w:rsid w:val="00923D2C"/>
    <w:rsid w:val="00A81D0E"/>
    <w:rsid w:val="00A87563"/>
    <w:rsid w:val="00B5592C"/>
    <w:rsid w:val="00C0651F"/>
    <w:rsid w:val="00C41700"/>
    <w:rsid w:val="00C94C29"/>
    <w:rsid w:val="00CB599E"/>
    <w:rsid w:val="00CD2058"/>
    <w:rsid w:val="00CE119E"/>
    <w:rsid w:val="00D57C56"/>
    <w:rsid w:val="00D8485A"/>
    <w:rsid w:val="00D905ED"/>
    <w:rsid w:val="00DE634F"/>
    <w:rsid w:val="00E20190"/>
    <w:rsid w:val="00F40CEA"/>
    <w:rsid w:val="00F61E01"/>
    <w:rsid w:val="00F72F59"/>
    <w:rsid w:val="00F90284"/>
    <w:rsid w:val="00FD63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DD40C"/>
  <w15:docId w15:val="{19409C0C-0B07-491E-B8F0-5C46B76F5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FD6383"/>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E603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6038"/>
    <w:pPr>
      <w:spacing w:after="100"/>
    </w:pPr>
  </w:style>
  <w:style w:type="character" w:styleId="Hyperlink">
    <w:name w:val="Hyperlink"/>
    <w:basedOn w:val="DefaultParagraphFont"/>
    <w:uiPriority w:val="99"/>
    <w:unhideWhenUsed/>
    <w:rsid w:val="006E6038"/>
    <w:rPr>
      <w:color w:val="0000FF" w:themeColor="hyperlink"/>
      <w:u w:val="single"/>
    </w:rPr>
  </w:style>
  <w:style w:type="paragraph" w:styleId="Header">
    <w:name w:val="header"/>
    <w:basedOn w:val="Normal"/>
    <w:link w:val="HeaderChar"/>
    <w:uiPriority w:val="99"/>
    <w:unhideWhenUsed/>
    <w:rsid w:val="00CE119E"/>
    <w:pPr>
      <w:tabs>
        <w:tab w:val="center" w:pos="4513"/>
        <w:tab w:val="right" w:pos="9026"/>
      </w:tabs>
      <w:spacing w:line="240" w:lineRule="auto"/>
    </w:pPr>
  </w:style>
  <w:style w:type="character" w:customStyle="1" w:styleId="HeaderChar">
    <w:name w:val="Header Char"/>
    <w:basedOn w:val="DefaultParagraphFont"/>
    <w:link w:val="Header"/>
    <w:uiPriority w:val="99"/>
    <w:rsid w:val="00CE119E"/>
  </w:style>
  <w:style w:type="paragraph" w:styleId="Footer">
    <w:name w:val="footer"/>
    <w:basedOn w:val="Normal"/>
    <w:link w:val="FooterChar"/>
    <w:uiPriority w:val="99"/>
    <w:unhideWhenUsed/>
    <w:rsid w:val="00CE119E"/>
    <w:pPr>
      <w:tabs>
        <w:tab w:val="center" w:pos="4513"/>
        <w:tab w:val="right" w:pos="9026"/>
      </w:tabs>
      <w:spacing w:line="240" w:lineRule="auto"/>
    </w:pPr>
  </w:style>
  <w:style w:type="character" w:customStyle="1" w:styleId="FooterChar">
    <w:name w:val="Footer Char"/>
    <w:basedOn w:val="DefaultParagraphFont"/>
    <w:link w:val="Footer"/>
    <w:uiPriority w:val="99"/>
    <w:rsid w:val="00CE1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042909">
      <w:bodyDiv w:val="1"/>
      <w:marLeft w:val="0"/>
      <w:marRight w:val="0"/>
      <w:marTop w:val="0"/>
      <w:marBottom w:val="0"/>
      <w:divBdr>
        <w:top w:val="none" w:sz="0" w:space="0" w:color="auto"/>
        <w:left w:val="none" w:sz="0" w:space="0" w:color="auto"/>
        <w:bottom w:val="none" w:sz="0" w:space="0" w:color="auto"/>
        <w:right w:val="none" w:sz="0" w:space="0" w:color="auto"/>
      </w:divBdr>
      <w:divsChild>
        <w:div w:id="49801110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69645-015B-44A5-8FD6-8D46D1FEE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2997</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53</cp:revision>
  <dcterms:created xsi:type="dcterms:W3CDTF">2022-04-20T13:00:00Z</dcterms:created>
  <dcterms:modified xsi:type="dcterms:W3CDTF">2022-05-02T17:02:00Z</dcterms:modified>
</cp:coreProperties>
</file>