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B83239F" w14:textId="77777777" w:rsidR="00140F53" w:rsidRDefault="00140F53">
      <w:pPr>
        <w:rPr>
          <w:rFonts w:ascii="Calibri" w:hAnsi="Calibri" w:cs="Calibri"/>
          <w:b/>
          <w:color w:val="5B9BD5" w:themeColor="accent5"/>
          <w:sz w:val="52"/>
          <w:szCs w:val="5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p>
    <w:p w14:paraId="22A16638" w14:textId="14DAF83E" w:rsidR="00140F53" w:rsidRDefault="006F6FF4" w:rsidP="006F6FF4">
      <w:pPr>
        <w:jc w:val="center"/>
        <w:rPr>
          <w:rFonts w:ascii="Calibri" w:hAnsi="Calibri" w:cs="Calibri"/>
          <w:b/>
          <w:color w:val="5B9BD5" w:themeColor="accent5"/>
          <w:sz w:val="52"/>
          <w:szCs w:val="5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Pr>
          <w:noProof/>
          <w:sz w:val="40"/>
          <w:szCs w:val="40"/>
        </w:rPr>
        <w:drawing>
          <wp:inline distT="0" distB="0" distL="0" distR="0" wp14:anchorId="2F722FA0" wp14:editId="4A99E371">
            <wp:extent cx="5023485" cy="1774190"/>
            <wp:effectExtent l="0" t="0" r="5715" b="0"/>
            <wp:docPr id="41688291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023485" cy="1774190"/>
                    </a:xfrm>
                    <a:prstGeom prst="rect">
                      <a:avLst/>
                    </a:prstGeom>
                    <a:noFill/>
                  </pic:spPr>
                </pic:pic>
              </a:graphicData>
            </a:graphic>
          </wp:inline>
        </w:drawing>
      </w:r>
    </w:p>
    <w:p w14:paraId="3F0A9AA1" w14:textId="77777777" w:rsidR="006F6FF4" w:rsidRDefault="006F6FF4" w:rsidP="007F21DC">
      <w:pPr>
        <w:jc w:val="center"/>
        <w:rPr>
          <w:rFonts w:ascii="Calibri" w:hAnsi="Calibri" w:cs="Calibri"/>
          <w:b/>
          <w:color w:val="5B9BD5" w:themeColor="accent5"/>
          <w:sz w:val="52"/>
          <w:szCs w:val="52"/>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pPr>
    </w:p>
    <w:p w14:paraId="0B4E8C87" w14:textId="5017E9AE" w:rsidR="00140F53" w:rsidRPr="00DB1FD0" w:rsidRDefault="00CF0283" w:rsidP="007F21DC">
      <w:pPr>
        <w:jc w:val="center"/>
        <w:rPr>
          <w:rFonts w:ascii="Calibri" w:hAnsi="Calibri" w:cs="Calibri"/>
          <w:b/>
          <w:color w:val="5B9BD5" w:themeColor="accent5"/>
          <w:sz w:val="72"/>
          <w:szCs w:val="72"/>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pPr>
      <w:r w:rsidRPr="00DB1FD0">
        <w:rPr>
          <w:rFonts w:ascii="Calibri" w:hAnsi="Calibri" w:cs="Calibri"/>
          <w:b/>
          <w:color w:val="5B9BD5" w:themeColor="accent5"/>
          <w:sz w:val="72"/>
          <w:szCs w:val="72"/>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t xml:space="preserve">Developing a Strategic </w:t>
      </w:r>
      <w:r w:rsidR="007F21DC" w:rsidRPr="00DB1FD0">
        <w:rPr>
          <w:rFonts w:ascii="Calibri" w:hAnsi="Calibri" w:cs="Calibri"/>
          <w:b/>
          <w:color w:val="5B9BD5" w:themeColor="accent5"/>
          <w:sz w:val="72"/>
          <w:szCs w:val="72"/>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t>Governance Model for the Ethical AI Implementation in the English Public Universities</w:t>
      </w:r>
    </w:p>
    <w:p w14:paraId="1555F961" w14:textId="77777777" w:rsidR="008A7719" w:rsidRDefault="008A7719" w:rsidP="007F21DC">
      <w:pPr>
        <w:jc w:val="center"/>
        <w:rPr>
          <w:rFonts w:ascii="Calibri" w:hAnsi="Calibri" w:cs="Calibri"/>
          <w:color w:val="5B9BD5" w:themeColor="accent5"/>
          <w:sz w:val="36"/>
          <w:szCs w:val="36"/>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Pr>
          <w:rFonts w:ascii="Calibri" w:hAnsi="Calibri" w:cs="Calibri"/>
          <w:color w:val="5B9BD5" w:themeColor="accent5"/>
          <w:sz w:val="36"/>
          <w:szCs w:val="36"/>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 xml:space="preserve">Module: </w:t>
      </w:r>
      <w:r w:rsidR="00264A24" w:rsidRPr="00413687">
        <w:rPr>
          <w:rFonts w:ascii="Calibri" w:hAnsi="Calibri" w:cs="Calibri"/>
          <w:color w:val="5B9BD5" w:themeColor="accent5"/>
          <w:sz w:val="36"/>
          <w:szCs w:val="36"/>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 xml:space="preserve"> LCDB70</w:t>
      </w:r>
      <w:r w:rsidR="007A6F84">
        <w:rPr>
          <w:rFonts w:ascii="Calibri" w:hAnsi="Calibri" w:cs="Calibri"/>
          <w:color w:val="5B9BD5" w:themeColor="accent5"/>
          <w:sz w:val="36"/>
          <w:szCs w:val="36"/>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12</w:t>
      </w:r>
      <w:r w:rsidR="00021DE9">
        <w:rPr>
          <w:rFonts w:ascii="Calibri" w:hAnsi="Calibri" w:cs="Calibri"/>
          <w:color w:val="5B9BD5" w:themeColor="accent5"/>
          <w:sz w:val="36"/>
          <w:szCs w:val="36"/>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_LON</w:t>
      </w:r>
    </w:p>
    <w:p w14:paraId="59282615" w14:textId="30CEA61A" w:rsidR="00DB1FD0" w:rsidRDefault="00264A24" w:rsidP="008A7719">
      <w:pPr>
        <w:jc w:val="center"/>
        <w:rPr>
          <w:rFonts w:ascii="Calibri" w:hAnsi="Calibri" w:cs="Calibri"/>
          <w:color w:val="5B9BD5" w:themeColor="accent5"/>
          <w:sz w:val="36"/>
          <w:szCs w:val="36"/>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sidRPr="00413687">
        <w:rPr>
          <w:rFonts w:ascii="Calibri" w:hAnsi="Calibri" w:cs="Calibri"/>
          <w:color w:val="5B9BD5" w:themeColor="accent5"/>
          <w:sz w:val="36"/>
          <w:szCs w:val="36"/>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 xml:space="preserve"> </w:t>
      </w:r>
      <w:r w:rsidR="00021DE9">
        <w:rPr>
          <w:rFonts w:ascii="Calibri" w:hAnsi="Calibri" w:cs="Calibri"/>
          <w:color w:val="5B9BD5" w:themeColor="accent5"/>
          <w:sz w:val="36"/>
          <w:szCs w:val="36"/>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Advancing to Doctoral Research Stage</w:t>
      </w:r>
    </w:p>
    <w:p w14:paraId="5141DCD8" w14:textId="77777777" w:rsidR="008A7719" w:rsidRDefault="008A7719" w:rsidP="008A7719">
      <w:pPr>
        <w:jc w:val="center"/>
        <w:rPr>
          <w:rFonts w:ascii="Calibri" w:hAnsi="Calibri" w:cs="Calibri"/>
          <w:color w:val="5B9BD5" w:themeColor="accent5"/>
          <w:sz w:val="36"/>
          <w:szCs w:val="36"/>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p>
    <w:p w14:paraId="1D9998ED" w14:textId="77777777" w:rsidR="008A7719" w:rsidRPr="008A7719" w:rsidRDefault="008A7719" w:rsidP="008A7719">
      <w:pPr>
        <w:jc w:val="center"/>
        <w:rPr>
          <w:rFonts w:ascii="Calibri" w:hAnsi="Calibri" w:cs="Calibri"/>
          <w:color w:val="5B9BD5" w:themeColor="accent5"/>
          <w:sz w:val="36"/>
          <w:szCs w:val="36"/>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p>
    <w:p w14:paraId="4EF78ABF" w14:textId="62267B1C" w:rsidR="00DB1FD0" w:rsidRPr="00413687" w:rsidRDefault="00DB1FD0" w:rsidP="00DB1FD0">
      <w:pPr>
        <w:rPr>
          <w:rFonts w:ascii="Calibri" w:hAnsi="Calibri" w:cs="Calibri"/>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413687">
        <w:rPr>
          <w:rFonts w:ascii="Calibri" w:hAnsi="Calibri" w:cs="Calibri"/>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Author: Nikolay Kanchev Kostov, 2530998</w:t>
      </w:r>
    </w:p>
    <w:p w14:paraId="38BE14B9" w14:textId="083AFB5F" w:rsidR="00DB1FD0" w:rsidRDefault="00DB1FD0" w:rsidP="00DB1FD0">
      <w:pPr>
        <w:rPr>
          <w:rFonts w:ascii="Calibri" w:hAnsi="Calibri" w:cs="Calibri"/>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413687">
        <w:rPr>
          <w:rFonts w:ascii="Calibri" w:hAnsi="Calibri" w:cs="Calibri"/>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DBA Candidate, University of Wales Trinity Saint David</w:t>
      </w:r>
    </w:p>
    <w:p w14:paraId="6DF6DD99" w14:textId="1850A1CF" w:rsidR="00413687" w:rsidRDefault="00413687" w:rsidP="00DB1FD0">
      <w:pPr>
        <w:rPr>
          <w:rFonts w:ascii="Calibri" w:hAnsi="Calibri" w:cs="Calibri"/>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Calibri" w:hAnsi="Calibri" w:cs="Calibri"/>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Word Count: 4500</w:t>
      </w:r>
    </w:p>
    <w:p w14:paraId="4011C6B8" w14:textId="77777777" w:rsidR="008A7719" w:rsidRDefault="008A7719" w:rsidP="00DB1FD0">
      <w:pPr>
        <w:rPr>
          <w:rFonts w:ascii="Calibri" w:hAnsi="Calibri" w:cs="Calibri"/>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351F3792" w14:textId="25B82603" w:rsidR="00413687" w:rsidRDefault="00413687" w:rsidP="00413687">
      <w:pPr>
        <w:pStyle w:val="Heading1"/>
        <w:numPr>
          <w:ilvl w:val="0"/>
          <w:numId w:val="0"/>
        </w:numPr>
        <w:ind w:left="432"/>
      </w:pPr>
      <w:r>
        <w:lastRenderedPageBreak/>
        <w:t xml:space="preserve">Abstract </w:t>
      </w:r>
    </w:p>
    <w:p w14:paraId="4EBB2A24" w14:textId="77777777" w:rsidR="00413687" w:rsidRDefault="00413687" w:rsidP="00DB1FD0">
      <w:pPr>
        <w:rPr>
          <w:rFonts w:ascii="Calibri" w:hAnsi="Calibri" w:cs="Calibri"/>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7A035429" w14:textId="77777777" w:rsidR="00413687" w:rsidRDefault="00413687" w:rsidP="00DB1FD0">
      <w:pPr>
        <w:rPr>
          <w:rFonts w:ascii="Calibri" w:hAnsi="Calibri" w:cs="Calibri"/>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377166D4" w14:textId="77777777" w:rsidR="00413687" w:rsidRDefault="00413687" w:rsidP="00DB1FD0">
      <w:pPr>
        <w:rPr>
          <w:rFonts w:ascii="Calibri" w:hAnsi="Calibri" w:cs="Calibri"/>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7284B25E" w14:textId="77777777" w:rsidR="00413687" w:rsidRDefault="00413687" w:rsidP="00DB1FD0">
      <w:pPr>
        <w:rPr>
          <w:rFonts w:ascii="Calibri" w:hAnsi="Calibri" w:cs="Calibri"/>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282855F2" w14:textId="77777777" w:rsidR="00413687" w:rsidRDefault="00413687" w:rsidP="00DB1FD0">
      <w:pPr>
        <w:rPr>
          <w:rFonts w:ascii="Calibri" w:hAnsi="Calibri" w:cs="Calibri"/>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7C488B7C" w14:textId="77777777" w:rsidR="00413687" w:rsidRDefault="00413687" w:rsidP="00DB1FD0">
      <w:pPr>
        <w:rPr>
          <w:rFonts w:ascii="Calibri" w:hAnsi="Calibri" w:cs="Calibri"/>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62E4B0DD" w14:textId="77777777" w:rsidR="00413687" w:rsidRPr="00413687" w:rsidRDefault="00413687" w:rsidP="00DB1FD0">
      <w:pPr>
        <w:rPr>
          <w:rFonts w:ascii="Calibri" w:hAnsi="Calibri" w:cs="Calibri"/>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3D2FDDC2" w14:textId="77777777" w:rsidR="00DB1FD0" w:rsidRPr="00DB1FD0" w:rsidRDefault="00DB1FD0" w:rsidP="00DB1FD0">
      <w:pPr>
        <w:rPr>
          <w:rFonts w:ascii="Calibri" w:hAnsi="Calibri" w:cs="Calibri"/>
          <w:b/>
          <w:color w:val="5B9BD5" w:themeColor="accent5"/>
          <w:sz w:val="36"/>
          <w:szCs w:val="36"/>
          <w14:glow w14:rad="101600">
            <w14:schemeClr w14:val="accent6">
              <w14:alpha w14:val="60000"/>
              <w14:satMod w14:val="175000"/>
            </w14:schemeClr>
          </w14:glow>
          <w14:shadow w14:blurRad="63500" w14:dist="0" w14:dir="0" w14:sx="102000" w14:sy="102000" w14:kx="0" w14:ky="0" w14:algn="ctr">
            <w14:srgbClr w14:val="000000">
              <w14:alpha w14:val="60000"/>
            </w14:srgbClr>
          </w14:shadow>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pPr>
    </w:p>
    <w:p w14:paraId="2CDBE1C2" w14:textId="77777777" w:rsidR="00140F53" w:rsidRDefault="00140F53">
      <w:pPr>
        <w:rPr>
          <w:rFonts w:ascii="Calibri" w:hAnsi="Calibri" w:cs="Calibri"/>
          <w:b/>
          <w:color w:val="5B9BD5" w:themeColor="accent5"/>
          <w:sz w:val="52"/>
          <w:szCs w:val="5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p>
    <w:p w14:paraId="29E772C4" w14:textId="77777777" w:rsidR="00DA5C05" w:rsidRDefault="00DA5C05">
      <w:pPr>
        <w:rPr>
          <w:rFonts w:ascii="Calibri" w:hAnsi="Calibri" w:cs="Calibri"/>
          <w:b/>
          <w:color w:val="5B9BD5" w:themeColor="accent5"/>
          <w:sz w:val="52"/>
          <w:szCs w:val="5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p>
    <w:p w14:paraId="100E8212" w14:textId="77777777" w:rsidR="00DA5C05" w:rsidRDefault="00DA5C05">
      <w:pPr>
        <w:rPr>
          <w:rFonts w:ascii="Calibri" w:hAnsi="Calibri" w:cs="Calibri"/>
          <w:b/>
          <w:color w:val="5B9BD5" w:themeColor="accent5"/>
          <w:sz w:val="52"/>
          <w:szCs w:val="5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p>
    <w:p w14:paraId="08BD0467" w14:textId="77777777" w:rsidR="00DA5C05" w:rsidRDefault="00DA5C05">
      <w:pPr>
        <w:rPr>
          <w:rFonts w:ascii="Calibri" w:hAnsi="Calibri" w:cs="Calibri"/>
          <w:b/>
          <w:color w:val="5B9BD5" w:themeColor="accent5"/>
          <w:sz w:val="52"/>
          <w:szCs w:val="5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p>
    <w:p w14:paraId="081FC63A" w14:textId="77777777" w:rsidR="00DA5C05" w:rsidRDefault="00DA5C05">
      <w:pPr>
        <w:rPr>
          <w:rFonts w:ascii="Calibri" w:hAnsi="Calibri" w:cs="Calibri"/>
          <w:b/>
          <w:color w:val="5B9BD5" w:themeColor="accent5"/>
          <w:sz w:val="52"/>
          <w:szCs w:val="5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p>
    <w:p w14:paraId="2E109FD8" w14:textId="77777777" w:rsidR="00DA5C05" w:rsidRDefault="00DA5C05">
      <w:pPr>
        <w:rPr>
          <w:rFonts w:ascii="Calibri" w:hAnsi="Calibri" w:cs="Calibri"/>
          <w:b/>
          <w:color w:val="5B9BD5" w:themeColor="accent5"/>
          <w:sz w:val="52"/>
          <w:szCs w:val="5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p>
    <w:p w14:paraId="40ADA9BC" w14:textId="77777777" w:rsidR="00DA5C05" w:rsidRDefault="00DA5C05">
      <w:pPr>
        <w:rPr>
          <w:rFonts w:ascii="Calibri" w:hAnsi="Calibri" w:cs="Calibri"/>
          <w:b/>
          <w:color w:val="5B9BD5" w:themeColor="accent5"/>
          <w:sz w:val="52"/>
          <w:szCs w:val="5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p>
    <w:p w14:paraId="26605F5A" w14:textId="77777777" w:rsidR="00DA5C05" w:rsidRDefault="00DA5C05">
      <w:pPr>
        <w:rPr>
          <w:rFonts w:ascii="Calibri" w:hAnsi="Calibri" w:cs="Calibri"/>
          <w:b/>
          <w:color w:val="5B9BD5" w:themeColor="accent5"/>
          <w:sz w:val="52"/>
          <w:szCs w:val="5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p>
    <w:p w14:paraId="238A6D27" w14:textId="77777777" w:rsidR="00413687" w:rsidRDefault="00413687">
      <w:pPr>
        <w:rPr>
          <w:rFonts w:ascii="Calibri" w:hAnsi="Calibri" w:cs="Calibri"/>
          <w:b/>
          <w:color w:val="5B9BD5" w:themeColor="accent5"/>
          <w:sz w:val="52"/>
          <w:szCs w:val="5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p>
    <w:p w14:paraId="21757F8B" w14:textId="12E5F749" w:rsidR="00413687" w:rsidRDefault="00413687">
      <w:pPr>
        <w:rPr>
          <w:rFonts w:ascii="Calibri" w:hAnsi="Calibri" w:cs="Calibri"/>
          <w:b/>
          <w:color w:val="5B9BD5" w:themeColor="accent5"/>
          <w:sz w:val="52"/>
          <w:szCs w:val="5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Pr>
          <w:rFonts w:ascii="Calibri" w:hAnsi="Calibri" w:cs="Calibri"/>
          <w:b/>
          <w:color w:val="5B9BD5" w:themeColor="accent5"/>
          <w:sz w:val="52"/>
          <w:szCs w:val="5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lastRenderedPageBreak/>
        <w:t xml:space="preserve">Table of Contents </w:t>
      </w:r>
    </w:p>
    <w:p w14:paraId="5F99359E" w14:textId="77777777" w:rsidR="001B4EE9" w:rsidRDefault="001B4EE9">
      <w:pPr>
        <w:rPr>
          <w:rFonts w:ascii="Calibri" w:hAnsi="Calibri" w:cs="Calibri"/>
          <w:b/>
          <w:color w:val="5B9BD5" w:themeColor="accent5"/>
          <w:sz w:val="52"/>
          <w:szCs w:val="5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p>
    <w:p w14:paraId="1DA1F1DD" w14:textId="77777777" w:rsidR="001B4EE9" w:rsidRDefault="001B4EE9">
      <w:pPr>
        <w:rPr>
          <w:rFonts w:ascii="Calibri" w:hAnsi="Calibri" w:cs="Calibri"/>
          <w:b/>
          <w:color w:val="5B9BD5" w:themeColor="accent5"/>
          <w:sz w:val="52"/>
          <w:szCs w:val="5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p>
    <w:p w14:paraId="6C9451BB" w14:textId="77777777" w:rsidR="001B4EE9" w:rsidRDefault="001B4EE9">
      <w:pPr>
        <w:rPr>
          <w:rFonts w:ascii="Calibri" w:hAnsi="Calibri" w:cs="Calibri"/>
          <w:b/>
          <w:color w:val="5B9BD5" w:themeColor="accent5"/>
          <w:sz w:val="52"/>
          <w:szCs w:val="5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p>
    <w:p w14:paraId="3BCAFDBE" w14:textId="77777777" w:rsidR="001B4EE9" w:rsidRDefault="001B4EE9">
      <w:pPr>
        <w:rPr>
          <w:rFonts w:ascii="Calibri" w:hAnsi="Calibri" w:cs="Calibri"/>
          <w:b/>
          <w:color w:val="5B9BD5" w:themeColor="accent5"/>
          <w:sz w:val="52"/>
          <w:szCs w:val="5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p>
    <w:p w14:paraId="2D558128" w14:textId="77777777" w:rsidR="001B4EE9" w:rsidRDefault="001B4EE9">
      <w:pPr>
        <w:rPr>
          <w:rFonts w:ascii="Calibri" w:hAnsi="Calibri" w:cs="Calibri"/>
          <w:b/>
          <w:color w:val="5B9BD5" w:themeColor="accent5"/>
          <w:sz w:val="52"/>
          <w:szCs w:val="5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p>
    <w:p w14:paraId="33549B57" w14:textId="77777777" w:rsidR="001B4EE9" w:rsidRDefault="001B4EE9">
      <w:pPr>
        <w:rPr>
          <w:rFonts w:ascii="Calibri" w:hAnsi="Calibri" w:cs="Calibri"/>
          <w:b/>
          <w:color w:val="5B9BD5" w:themeColor="accent5"/>
          <w:sz w:val="52"/>
          <w:szCs w:val="5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p>
    <w:p w14:paraId="34928B66" w14:textId="77777777" w:rsidR="001B4EE9" w:rsidRDefault="001B4EE9">
      <w:pPr>
        <w:rPr>
          <w:rFonts w:ascii="Calibri" w:hAnsi="Calibri" w:cs="Calibri"/>
          <w:b/>
          <w:color w:val="5B9BD5" w:themeColor="accent5"/>
          <w:sz w:val="52"/>
          <w:szCs w:val="5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p>
    <w:p w14:paraId="49E310C0" w14:textId="77777777" w:rsidR="001B4EE9" w:rsidRDefault="001B4EE9">
      <w:pPr>
        <w:rPr>
          <w:rFonts w:ascii="Calibri" w:hAnsi="Calibri" w:cs="Calibri"/>
          <w:b/>
          <w:color w:val="5B9BD5" w:themeColor="accent5"/>
          <w:sz w:val="52"/>
          <w:szCs w:val="5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p>
    <w:p w14:paraId="3A9DE06E" w14:textId="77777777" w:rsidR="001B4EE9" w:rsidRDefault="001B4EE9">
      <w:pPr>
        <w:rPr>
          <w:rFonts w:ascii="Calibri" w:hAnsi="Calibri" w:cs="Calibri"/>
          <w:b/>
          <w:color w:val="5B9BD5" w:themeColor="accent5"/>
          <w:sz w:val="52"/>
          <w:szCs w:val="5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p>
    <w:p w14:paraId="7FEF375F" w14:textId="77777777" w:rsidR="001B4EE9" w:rsidRDefault="001B4EE9">
      <w:pPr>
        <w:rPr>
          <w:rFonts w:ascii="Calibri" w:hAnsi="Calibri" w:cs="Calibri"/>
          <w:b/>
          <w:color w:val="5B9BD5" w:themeColor="accent5"/>
          <w:sz w:val="52"/>
          <w:szCs w:val="5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p>
    <w:p w14:paraId="14CFCB56" w14:textId="77777777" w:rsidR="001B4EE9" w:rsidRDefault="001B4EE9">
      <w:pPr>
        <w:rPr>
          <w:rFonts w:ascii="Calibri" w:hAnsi="Calibri" w:cs="Calibri"/>
          <w:b/>
          <w:color w:val="5B9BD5" w:themeColor="accent5"/>
          <w:sz w:val="52"/>
          <w:szCs w:val="5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p>
    <w:p w14:paraId="75F0D7AD" w14:textId="77777777" w:rsidR="001B4EE9" w:rsidRDefault="001B4EE9">
      <w:pPr>
        <w:rPr>
          <w:rFonts w:ascii="Calibri" w:hAnsi="Calibri" w:cs="Calibri"/>
          <w:b/>
          <w:color w:val="5B9BD5" w:themeColor="accent5"/>
          <w:sz w:val="52"/>
          <w:szCs w:val="5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p>
    <w:p w14:paraId="0E4C44F9" w14:textId="77777777" w:rsidR="001B4EE9" w:rsidRDefault="001B4EE9">
      <w:pPr>
        <w:rPr>
          <w:rFonts w:ascii="Calibri" w:hAnsi="Calibri" w:cs="Calibri"/>
          <w:b/>
          <w:color w:val="5B9BD5" w:themeColor="accent5"/>
          <w:sz w:val="52"/>
          <w:szCs w:val="5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p>
    <w:p w14:paraId="2B7BCDAA" w14:textId="77777777" w:rsidR="001B4EE9" w:rsidRDefault="001B4EE9">
      <w:pPr>
        <w:rPr>
          <w:rFonts w:ascii="Calibri" w:hAnsi="Calibri" w:cs="Calibri"/>
          <w:b/>
          <w:color w:val="5B9BD5" w:themeColor="accent5"/>
          <w:sz w:val="52"/>
          <w:szCs w:val="5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p>
    <w:p w14:paraId="229361ED" w14:textId="77777777" w:rsidR="001B4EE9" w:rsidRDefault="001B4EE9">
      <w:pPr>
        <w:rPr>
          <w:rFonts w:ascii="Calibri" w:hAnsi="Calibri" w:cs="Calibri"/>
          <w:b/>
          <w:color w:val="5B9BD5" w:themeColor="accent5"/>
          <w:sz w:val="52"/>
          <w:szCs w:val="5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p>
    <w:p w14:paraId="77C315F5" w14:textId="06B6A4F7" w:rsidR="001B4EE9" w:rsidRDefault="001B4EE9" w:rsidP="00C35A8F">
      <w:pPr>
        <w:pStyle w:val="Heading1"/>
        <w:numPr>
          <w:ilvl w:val="0"/>
          <w:numId w:val="0"/>
        </w:numPr>
      </w:pPr>
      <w:r>
        <w:lastRenderedPageBreak/>
        <w:t>List of Abbreviations</w:t>
      </w:r>
    </w:p>
    <w:tbl>
      <w:tblPr>
        <w:tblStyle w:val="TableGrid"/>
        <w:tblW w:w="8930" w:type="dxa"/>
        <w:jc w:val="center"/>
        <w:tblLayout w:type="fixed"/>
        <w:tblLook w:val="04A0" w:firstRow="1" w:lastRow="0" w:firstColumn="1" w:lastColumn="0" w:noHBand="0" w:noVBand="1"/>
      </w:tblPr>
      <w:tblGrid>
        <w:gridCol w:w="1955"/>
        <w:gridCol w:w="6975"/>
      </w:tblGrid>
      <w:tr w:rsidR="000C3494" w14:paraId="061EB221" w14:textId="77777777" w:rsidTr="005D4347">
        <w:trPr>
          <w:jc w:val="center"/>
        </w:trPr>
        <w:tc>
          <w:tcPr>
            <w:tcW w:w="1955" w:type="dxa"/>
            <w:tcBorders>
              <w:top w:val="single" w:sz="4" w:space="0" w:color="auto"/>
              <w:left w:val="single" w:sz="4" w:space="0" w:color="auto"/>
              <w:bottom w:val="single" w:sz="4" w:space="0" w:color="auto"/>
              <w:right w:val="single" w:sz="4" w:space="0" w:color="auto"/>
            </w:tcBorders>
            <w:shd w:val="clear" w:color="auto" w:fill="D9EAF7"/>
            <w:vAlign w:val="center"/>
            <w:hideMark/>
          </w:tcPr>
          <w:p w14:paraId="62458479" w14:textId="77777777" w:rsidR="000C3494" w:rsidRPr="005E5E0C" w:rsidRDefault="000C3494" w:rsidP="005D4347">
            <w:pPr>
              <w:jc w:val="center"/>
              <w:rPr>
                <w:sz w:val="28"/>
                <w:szCs w:val="28"/>
              </w:rPr>
            </w:pPr>
            <w:r w:rsidRPr="005E5E0C">
              <w:rPr>
                <w:b/>
                <w:sz w:val="28"/>
                <w:szCs w:val="28"/>
              </w:rPr>
              <w:t>Abbreviation</w:t>
            </w:r>
          </w:p>
        </w:tc>
        <w:tc>
          <w:tcPr>
            <w:tcW w:w="6975" w:type="dxa"/>
            <w:tcBorders>
              <w:top w:val="single" w:sz="4" w:space="0" w:color="auto"/>
              <w:left w:val="single" w:sz="4" w:space="0" w:color="auto"/>
              <w:bottom w:val="single" w:sz="4" w:space="0" w:color="auto"/>
              <w:right w:val="single" w:sz="4" w:space="0" w:color="auto"/>
            </w:tcBorders>
            <w:shd w:val="clear" w:color="auto" w:fill="D9EAF7"/>
            <w:vAlign w:val="center"/>
            <w:hideMark/>
          </w:tcPr>
          <w:p w14:paraId="1FF7F27F" w14:textId="77777777" w:rsidR="000C3494" w:rsidRPr="005E5E0C" w:rsidRDefault="000C3494" w:rsidP="005D4347">
            <w:pPr>
              <w:jc w:val="center"/>
              <w:rPr>
                <w:sz w:val="28"/>
                <w:szCs w:val="28"/>
              </w:rPr>
            </w:pPr>
            <w:r w:rsidRPr="005E5E0C">
              <w:rPr>
                <w:b/>
                <w:sz w:val="28"/>
                <w:szCs w:val="28"/>
              </w:rPr>
              <w:t>Full Term</w:t>
            </w:r>
          </w:p>
        </w:tc>
      </w:tr>
      <w:tr w:rsidR="000C3494" w14:paraId="69587187" w14:textId="77777777" w:rsidTr="005D4347">
        <w:trPr>
          <w:jc w:val="center"/>
        </w:trPr>
        <w:tc>
          <w:tcPr>
            <w:tcW w:w="1955" w:type="dxa"/>
            <w:tcBorders>
              <w:top w:val="single" w:sz="4" w:space="0" w:color="auto"/>
              <w:left w:val="single" w:sz="4" w:space="0" w:color="auto"/>
              <w:bottom w:val="single" w:sz="4" w:space="0" w:color="auto"/>
              <w:right w:val="single" w:sz="4" w:space="0" w:color="auto"/>
            </w:tcBorders>
            <w:vAlign w:val="center"/>
            <w:hideMark/>
          </w:tcPr>
          <w:p w14:paraId="62A4541C" w14:textId="77777777" w:rsidR="000C3494" w:rsidRPr="005E5E0C" w:rsidRDefault="000C3494" w:rsidP="005D4347">
            <w:pPr>
              <w:jc w:val="center"/>
              <w:rPr>
                <w:sz w:val="28"/>
                <w:szCs w:val="28"/>
              </w:rPr>
            </w:pPr>
            <w:r w:rsidRPr="005E5E0C">
              <w:rPr>
                <w:b/>
                <w:sz w:val="28"/>
                <w:szCs w:val="28"/>
              </w:rPr>
              <w:t>AI</w:t>
            </w:r>
          </w:p>
        </w:tc>
        <w:tc>
          <w:tcPr>
            <w:tcW w:w="6975" w:type="dxa"/>
            <w:tcBorders>
              <w:top w:val="single" w:sz="4" w:space="0" w:color="auto"/>
              <w:left w:val="single" w:sz="4" w:space="0" w:color="auto"/>
              <w:bottom w:val="single" w:sz="4" w:space="0" w:color="auto"/>
              <w:right w:val="single" w:sz="4" w:space="0" w:color="auto"/>
            </w:tcBorders>
            <w:vAlign w:val="center"/>
            <w:hideMark/>
          </w:tcPr>
          <w:p w14:paraId="553B91E2" w14:textId="77777777" w:rsidR="000C3494" w:rsidRPr="005E5E0C" w:rsidRDefault="000C3494" w:rsidP="005D4347">
            <w:pPr>
              <w:rPr>
                <w:sz w:val="28"/>
                <w:szCs w:val="28"/>
              </w:rPr>
            </w:pPr>
            <w:r w:rsidRPr="005E5E0C">
              <w:rPr>
                <w:sz w:val="28"/>
                <w:szCs w:val="28"/>
              </w:rPr>
              <w:t>Artificial Intelligence</w:t>
            </w:r>
          </w:p>
        </w:tc>
      </w:tr>
      <w:tr w:rsidR="000C3494" w14:paraId="1C7B1E60" w14:textId="77777777" w:rsidTr="005D4347">
        <w:trPr>
          <w:jc w:val="center"/>
        </w:trPr>
        <w:tc>
          <w:tcPr>
            <w:tcW w:w="1955" w:type="dxa"/>
            <w:tcBorders>
              <w:top w:val="single" w:sz="4" w:space="0" w:color="auto"/>
              <w:left w:val="single" w:sz="4" w:space="0" w:color="auto"/>
              <w:bottom w:val="single" w:sz="4" w:space="0" w:color="auto"/>
              <w:right w:val="single" w:sz="4" w:space="0" w:color="auto"/>
            </w:tcBorders>
            <w:vAlign w:val="center"/>
            <w:hideMark/>
          </w:tcPr>
          <w:p w14:paraId="01082D80" w14:textId="36EED354" w:rsidR="000C3494" w:rsidRPr="005E5E0C" w:rsidRDefault="000C3494" w:rsidP="005D4347">
            <w:pPr>
              <w:jc w:val="center"/>
              <w:rPr>
                <w:sz w:val="28"/>
                <w:szCs w:val="28"/>
              </w:rPr>
            </w:pPr>
          </w:p>
        </w:tc>
        <w:tc>
          <w:tcPr>
            <w:tcW w:w="6975" w:type="dxa"/>
            <w:tcBorders>
              <w:top w:val="single" w:sz="4" w:space="0" w:color="auto"/>
              <w:left w:val="single" w:sz="4" w:space="0" w:color="auto"/>
              <w:bottom w:val="single" w:sz="4" w:space="0" w:color="auto"/>
              <w:right w:val="single" w:sz="4" w:space="0" w:color="auto"/>
            </w:tcBorders>
            <w:vAlign w:val="center"/>
            <w:hideMark/>
          </w:tcPr>
          <w:p w14:paraId="31C638BB" w14:textId="5BFDE95F" w:rsidR="000C3494" w:rsidRPr="005E5E0C" w:rsidRDefault="000C3494" w:rsidP="005D4347">
            <w:pPr>
              <w:rPr>
                <w:sz w:val="28"/>
                <w:szCs w:val="28"/>
              </w:rPr>
            </w:pPr>
          </w:p>
        </w:tc>
      </w:tr>
      <w:tr w:rsidR="000C3494" w14:paraId="29844BE9" w14:textId="77777777" w:rsidTr="005D4347">
        <w:trPr>
          <w:jc w:val="center"/>
        </w:trPr>
        <w:tc>
          <w:tcPr>
            <w:tcW w:w="1955" w:type="dxa"/>
            <w:tcBorders>
              <w:top w:val="single" w:sz="4" w:space="0" w:color="auto"/>
              <w:left w:val="single" w:sz="4" w:space="0" w:color="auto"/>
              <w:bottom w:val="single" w:sz="4" w:space="0" w:color="auto"/>
              <w:right w:val="single" w:sz="4" w:space="0" w:color="auto"/>
            </w:tcBorders>
            <w:vAlign w:val="center"/>
            <w:hideMark/>
          </w:tcPr>
          <w:p w14:paraId="3A490FF2" w14:textId="77777777" w:rsidR="000C3494" w:rsidRPr="005E5E0C" w:rsidRDefault="000C3494" w:rsidP="005D4347">
            <w:pPr>
              <w:jc w:val="center"/>
              <w:rPr>
                <w:sz w:val="28"/>
                <w:szCs w:val="28"/>
              </w:rPr>
            </w:pPr>
            <w:r w:rsidRPr="005E5E0C">
              <w:rPr>
                <w:b/>
                <w:sz w:val="28"/>
                <w:szCs w:val="28"/>
              </w:rPr>
              <w:t>DBA</w:t>
            </w:r>
          </w:p>
        </w:tc>
        <w:tc>
          <w:tcPr>
            <w:tcW w:w="6975" w:type="dxa"/>
            <w:tcBorders>
              <w:top w:val="single" w:sz="4" w:space="0" w:color="auto"/>
              <w:left w:val="single" w:sz="4" w:space="0" w:color="auto"/>
              <w:bottom w:val="single" w:sz="4" w:space="0" w:color="auto"/>
              <w:right w:val="single" w:sz="4" w:space="0" w:color="auto"/>
            </w:tcBorders>
            <w:vAlign w:val="center"/>
            <w:hideMark/>
          </w:tcPr>
          <w:p w14:paraId="1FF5888D" w14:textId="77777777" w:rsidR="000C3494" w:rsidRPr="005E5E0C" w:rsidRDefault="000C3494" w:rsidP="005D4347">
            <w:pPr>
              <w:rPr>
                <w:sz w:val="28"/>
                <w:szCs w:val="28"/>
              </w:rPr>
            </w:pPr>
            <w:r w:rsidRPr="005E5E0C">
              <w:rPr>
                <w:sz w:val="28"/>
                <w:szCs w:val="28"/>
              </w:rPr>
              <w:t>Doctor of Business Administration</w:t>
            </w:r>
          </w:p>
        </w:tc>
      </w:tr>
      <w:tr w:rsidR="000C3494" w14:paraId="7E3ADC41" w14:textId="77777777" w:rsidTr="005D4347">
        <w:trPr>
          <w:jc w:val="center"/>
        </w:trPr>
        <w:tc>
          <w:tcPr>
            <w:tcW w:w="1955" w:type="dxa"/>
            <w:tcBorders>
              <w:top w:val="single" w:sz="4" w:space="0" w:color="auto"/>
              <w:left w:val="single" w:sz="4" w:space="0" w:color="auto"/>
              <w:bottom w:val="single" w:sz="4" w:space="0" w:color="auto"/>
              <w:right w:val="single" w:sz="4" w:space="0" w:color="auto"/>
            </w:tcBorders>
            <w:vAlign w:val="center"/>
            <w:hideMark/>
          </w:tcPr>
          <w:p w14:paraId="5360F672" w14:textId="77777777" w:rsidR="000C3494" w:rsidRPr="005E5E0C" w:rsidRDefault="000C3494" w:rsidP="005D4347">
            <w:pPr>
              <w:jc w:val="center"/>
              <w:rPr>
                <w:sz w:val="28"/>
                <w:szCs w:val="28"/>
              </w:rPr>
            </w:pPr>
            <w:r w:rsidRPr="005E5E0C">
              <w:rPr>
                <w:b/>
                <w:sz w:val="28"/>
                <w:szCs w:val="28"/>
              </w:rPr>
              <w:t>EU</w:t>
            </w:r>
          </w:p>
        </w:tc>
        <w:tc>
          <w:tcPr>
            <w:tcW w:w="6975" w:type="dxa"/>
            <w:tcBorders>
              <w:top w:val="single" w:sz="4" w:space="0" w:color="auto"/>
              <w:left w:val="single" w:sz="4" w:space="0" w:color="auto"/>
              <w:bottom w:val="single" w:sz="4" w:space="0" w:color="auto"/>
              <w:right w:val="single" w:sz="4" w:space="0" w:color="auto"/>
            </w:tcBorders>
            <w:vAlign w:val="center"/>
            <w:hideMark/>
          </w:tcPr>
          <w:p w14:paraId="49DB5439" w14:textId="77777777" w:rsidR="000C3494" w:rsidRPr="005E5E0C" w:rsidRDefault="000C3494" w:rsidP="005D4347">
            <w:pPr>
              <w:rPr>
                <w:sz w:val="28"/>
                <w:szCs w:val="28"/>
              </w:rPr>
            </w:pPr>
            <w:r w:rsidRPr="005E5E0C">
              <w:rPr>
                <w:sz w:val="28"/>
                <w:szCs w:val="28"/>
              </w:rPr>
              <w:t>European Union</w:t>
            </w:r>
          </w:p>
        </w:tc>
      </w:tr>
      <w:tr w:rsidR="000C3494" w14:paraId="718784D2" w14:textId="77777777" w:rsidTr="005D4347">
        <w:trPr>
          <w:jc w:val="center"/>
        </w:trPr>
        <w:tc>
          <w:tcPr>
            <w:tcW w:w="1955" w:type="dxa"/>
            <w:tcBorders>
              <w:top w:val="single" w:sz="4" w:space="0" w:color="auto"/>
              <w:left w:val="single" w:sz="4" w:space="0" w:color="auto"/>
              <w:bottom w:val="single" w:sz="4" w:space="0" w:color="auto"/>
              <w:right w:val="single" w:sz="4" w:space="0" w:color="auto"/>
            </w:tcBorders>
            <w:vAlign w:val="center"/>
            <w:hideMark/>
          </w:tcPr>
          <w:p w14:paraId="3320A9BE" w14:textId="77777777" w:rsidR="000C3494" w:rsidRPr="005E5E0C" w:rsidRDefault="000C3494" w:rsidP="005D4347">
            <w:pPr>
              <w:jc w:val="center"/>
              <w:rPr>
                <w:sz w:val="28"/>
                <w:szCs w:val="28"/>
              </w:rPr>
            </w:pPr>
            <w:r w:rsidRPr="005E5E0C">
              <w:rPr>
                <w:b/>
                <w:sz w:val="28"/>
                <w:szCs w:val="28"/>
              </w:rPr>
              <w:t>GDPR</w:t>
            </w:r>
          </w:p>
        </w:tc>
        <w:tc>
          <w:tcPr>
            <w:tcW w:w="6975" w:type="dxa"/>
            <w:tcBorders>
              <w:top w:val="single" w:sz="4" w:space="0" w:color="auto"/>
              <w:left w:val="single" w:sz="4" w:space="0" w:color="auto"/>
              <w:bottom w:val="single" w:sz="4" w:space="0" w:color="auto"/>
              <w:right w:val="single" w:sz="4" w:space="0" w:color="auto"/>
            </w:tcBorders>
            <w:vAlign w:val="center"/>
            <w:hideMark/>
          </w:tcPr>
          <w:p w14:paraId="071CA8E1" w14:textId="77777777" w:rsidR="000C3494" w:rsidRPr="005E5E0C" w:rsidRDefault="000C3494" w:rsidP="005D4347">
            <w:pPr>
              <w:rPr>
                <w:sz w:val="28"/>
                <w:szCs w:val="28"/>
              </w:rPr>
            </w:pPr>
            <w:r w:rsidRPr="005E5E0C">
              <w:rPr>
                <w:sz w:val="28"/>
                <w:szCs w:val="28"/>
              </w:rPr>
              <w:t>General Data Protection Regulation</w:t>
            </w:r>
          </w:p>
        </w:tc>
      </w:tr>
      <w:tr w:rsidR="000C3494" w14:paraId="713AF344" w14:textId="77777777" w:rsidTr="005D4347">
        <w:trPr>
          <w:jc w:val="center"/>
        </w:trPr>
        <w:tc>
          <w:tcPr>
            <w:tcW w:w="1955" w:type="dxa"/>
            <w:tcBorders>
              <w:top w:val="single" w:sz="4" w:space="0" w:color="auto"/>
              <w:left w:val="single" w:sz="4" w:space="0" w:color="auto"/>
              <w:bottom w:val="single" w:sz="4" w:space="0" w:color="auto"/>
              <w:right w:val="single" w:sz="4" w:space="0" w:color="auto"/>
            </w:tcBorders>
            <w:vAlign w:val="center"/>
            <w:hideMark/>
          </w:tcPr>
          <w:p w14:paraId="76FF5842" w14:textId="77777777" w:rsidR="000C3494" w:rsidRPr="005E5E0C" w:rsidRDefault="000C3494" w:rsidP="005D4347">
            <w:pPr>
              <w:jc w:val="center"/>
              <w:rPr>
                <w:sz w:val="28"/>
                <w:szCs w:val="28"/>
              </w:rPr>
            </w:pPr>
            <w:r w:rsidRPr="005E5E0C">
              <w:rPr>
                <w:b/>
                <w:sz w:val="28"/>
                <w:szCs w:val="28"/>
              </w:rPr>
              <w:t>GenAI</w:t>
            </w:r>
          </w:p>
        </w:tc>
        <w:tc>
          <w:tcPr>
            <w:tcW w:w="6975" w:type="dxa"/>
            <w:tcBorders>
              <w:top w:val="single" w:sz="4" w:space="0" w:color="auto"/>
              <w:left w:val="single" w:sz="4" w:space="0" w:color="auto"/>
              <w:bottom w:val="single" w:sz="4" w:space="0" w:color="auto"/>
              <w:right w:val="single" w:sz="4" w:space="0" w:color="auto"/>
            </w:tcBorders>
            <w:vAlign w:val="center"/>
            <w:hideMark/>
          </w:tcPr>
          <w:p w14:paraId="3CE9D270" w14:textId="77777777" w:rsidR="000C3494" w:rsidRPr="005E5E0C" w:rsidRDefault="000C3494" w:rsidP="005D4347">
            <w:pPr>
              <w:rPr>
                <w:sz w:val="28"/>
                <w:szCs w:val="28"/>
              </w:rPr>
            </w:pPr>
            <w:r w:rsidRPr="005E5E0C">
              <w:rPr>
                <w:sz w:val="28"/>
                <w:szCs w:val="28"/>
              </w:rPr>
              <w:t>Generative Artificial Intelligence</w:t>
            </w:r>
          </w:p>
        </w:tc>
      </w:tr>
      <w:tr w:rsidR="000C3494" w14:paraId="05368491" w14:textId="77777777" w:rsidTr="005D4347">
        <w:trPr>
          <w:jc w:val="center"/>
        </w:trPr>
        <w:tc>
          <w:tcPr>
            <w:tcW w:w="1955" w:type="dxa"/>
            <w:tcBorders>
              <w:top w:val="single" w:sz="4" w:space="0" w:color="auto"/>
              <w:left w:val="single" w:sz="4" w:space="0" w:color="auto"/>
              <w:bottom w:val="single" w:sz="4" w:space="0" w:color="auto"/>
              <w:right w:val="single" w:sz="4" w:space="0" w:color="auto"/>
            </w:tcBorders>
            <w:vAlign w:val="center"/>
            <w:hideMark/>
          </w:tcPr>
          <w:p w14:paraId="7D937D12" w14:textId="3CB43C04" w:rsidR="000C3494" w:rsidRPr="005E5E0C" w:rsidRDefault="000C3494" w:rsidP="005D4347">
            <w:pPr>
              <w:jc w:val="center"/>
              <w:rPr>
                <w:sz w:val="28"/>
                <w:szCs w:val="28"/>
              </w:rPr>
            </w:pPr>
          </w:p>
        </w:tc>
        <w:tc>
          <w:tcPr>
            <w:tcW w:w="6975" w:type="dxa"/>
            <w:tcBorders>
              <w:top w:val="single" w:sz="4" w:space="0" w:color="auto"/>
              <w:left w:val="single" w:sz="4" w:space="0" w:color="auto"/>
              <w:bottom w:val="single" w:sz="4" w:space="0" w:color="auto"/>
              <w:right w:val="single" w:sz="4" w:space="0" w:color="auto"/>
            </w:tcBorders>
            <w:vAlign w:val="center"/>
            <w:hideMark/>
          </w:tcPr>
          <w:p w14:paraId="1E322808" w14:textId="1AEACC81" w:rsidR="000C3494" w:rsidRPr="005E5E0C" w:rsidRDefault="000C3494" w:rsidP="005D4347">
            <w:pPr>
              <w:rPr>
                <w:sz w:val="28"/>
                <w:szCs w:val="28"/>
              </w:rPr>
            </w:pPr>
          </w:p>
        </w:tc>
      </w:tr>
      <w:tr w:rsidR="000C3494" w14:paraId="597CAF88" w14:textId="77777777" w:rsidTr="005D4347">
        <w:trPr>
          <w:jc w:val="center"/>
        </w:trPr>
        <w:tc>
          <w:tcPr>
            <w:tcW w:w="1955" w:type="dxa"/>
            <w:tcBorders>
              <w:top w:val="single" w:sz="4" w:space="0" w:color="auto"/>
              <w:left w:val="single" w:sz="4" w:space="0" w:color="auto"/>
              <w:bottom w:val="single" w:sz="4" w:space="0" w:color="auto"/>
              <w:right w:val="single" w:sz="4" w:space="0" w:color="auto"/>
            </w:tcBorders>
            <w:vAlign w:val="center"/>
            <w:hideMark/>
          </w:tcPr>
          <w:p w14:paraId="178850FF" w14:textId="77777777" w:rsidR="000C3494" w:rsidRPr="005E5E0C" w:rsidRDefault="000C3494" w:rsidP="005D4347">
            <w:pPr>
              <w:jc w:val="center"/>
              <w:rPr>
                <w:sz w:val="28"/>
                <w:szCs w:val="28"/>
              </w:rPr>
            </w:pPr>
            <w:r w:rsidRPr="005E5E0C">
              <w:rPr>
                <w:b/>
                <w:sz w:val="28"/>
                <w:szCs w:val="28"/>
              </w:rPr>
              <w:t>HE</w:t>
            </w:r>
          </w:p>
        </w:tc>
        <w:tc>
          <w:tcPr>
            <w:tcW w:w="6975" w:type="dxa"/>
            <w:tcBorders>
              <w:top w:val="single" w:sz="4" w:space="0" w:color="auto"/>
              <w:left w:val="single" w:sz="4" w:space="0" w:color="auto"/>
              <w:bottom w:val="single" w:sz="4" w:space="0" w:color="auto"/>
              <w:right w:val="single" w:sz="4" w:space="0" w:color="auto"/>
            </w:tcBorders>
            <w:vAlign w:val="center"/>
            <w:hideMark/>
          </w:tcPr>
          <w:p w14:paraId="63980174" w14:textId="77777777" w:rsidR="000C3494" w:rsidRPr="005E5E0C" w:rsidRDefault="000C3494" w:rsidP="005D4347">
            <w:pPr>
              <w:rPr>
                <w:sz w:val="28"/>
                <w:szCs w:val="28"/>
              </w:rPr>
            </w:pPr>
            <w:r w:rsidRPr="005E5E0C">
              <w:rPr>
                <w:sz w:val="28"/>
                <w:szCs w:val="28"/>
              </w:rPr>
              <w:t>Higher Education</w:t>
            </w:r>
          </w:p>
        </w:tc>
      </w:tr>
      <w:tr w:rsidR="000C3494" w14:paraId="28BB9D89" w14:textId="77777777" w:rsidTr="005D4347">
        <w:trPr>
          <w:jc w:val="center"/>
        </w:trPr>
        <w:tc>
          <w:tcPr>
            <w:tcW w:w="1955" w:type="dxa"/>
            <w:tcBorders>
              <w:top w:val="single" w:sz="4" w:space="0" w:color="auto"/>
              <w:left w:val="single" w:sz="4" w:space="0" w:color="auto"/>
              <w:bottom w:val="single" w:sz="4" w:space="0" w:color="auto"/>
              <w:right w:val="single" w:sz="4" w:space="0" w:color="auto"/>
            </w:tcBorders>
            <w:vAlign w:val="center"/>
            <w:hideMark/>
          </w:tcPr>
          <w:p w14:paraId="1F66DFEE" w14:textId="77777777" w:rsidR="000C3494" w:rsidRPr="005E5E0C" w:rsidRDefault="000C3494" w:rsidP="005D4347">
            <w:pPr>
              <w:jc w:val="center"/>
              <w:rPr>
                <w:sz w:val="28"/>
                <w:szCs w:val="28"/>
              </w:rPr>
            </w:pPr>
            <w:r w:rsidRPr="005E5E0C">
              <w:rPr>
                <w:b/>
                <w:sz w:val="28"/>
                <w:szCs w:val="28"/>
              </w:rPr>
              <w:t>HEI</w:t>
            </w:r>
          </w:p>
        </w:tc>
        <w:tc>
          <w:tcPr>
            <w:tcW w:w="6975" w:type="dxa"/>
            <w:tcBorders>
              <w:top w:val="single" w:sz="4" w:space="0" w:color="auto"/>
              <w:left w:val="single" w:sz="4" w:space="0" w:color="auto"/>
              <w:bottom w:val="single" w:sz="4" w:space="0" w:color="auto"/>
              <w:right w:val="single" w:sz="4" w:space="0" w:color="auto"/>
            </w:tcBorders>
            <w:vAlign w:val="center"/>
            <w:hideMark/>
          </w:tcPr>
          <w:p w14:paraId="48A97A0A" w14:textId="77777777" w:rsidR="000C3494" w:rsidRPr="005E5E0C" w:rsidRDefault="000C3494" w:rsidP="005D4347">
            <w:pPr>
              <w:rPr>
                <w:sz w:val="28"/>
                <w:szCs w:val="28"/>
              </w:rPr>
            </w:pPr>
            <w:r w:rsidRPr="005E5E0C">
              <w:rPr>
                <w:sz w:val="28"/>
                <w:szCs w:val="28"/>
              </w:rPr>
              <w:t>Higher Education Institution</w:t>
            </w:r>
          </w:p>
        </w:tc>
      </w:tr>
      <w:tr w:rsidR="000C3494" w14:paraId="5B16D73F" w14:textId="77777777" w:rsidTr="005D4347">
        <w:trPr>
          <w:jc w:val="center"/>
        </w:trPr>
        <w:tc>
          <w:tcPr>
            <w:tcW w:w="1955" w:type="dxa"/>
            <w:tcBorders>
              <w:top w:val="single" w:sz="4" w:space="0" w:color="auto"/>
              <w:left w:val="single" w:sz="4" w:space="0" w:color="auto"/>
              <w:bottom w:val="single" w:sz="4" w:space="0" w:color="auto"/>
              <w:right w:val="single" w:sz="4" w:space="0" w:color="auto"/>
            </w:tcBorders>
            <w:vAlign w:val="center"/>
            <w:hideMark/>
          </w:tcPr>
          <w:p w14:paraId="40976AAF" w14:textId="77777777" w:rsidR="000C3494" w:rsidRPr="005E5E0C" w:rsidRDefault="000C3494" w:rsidP="005D4347">
            <w:pPr>
              <w:jc w:val="center"/>
              <w:rPr>
                <w:sz w:val="28"/>
                <w:szCs w:val="28"/>
              </w:rPr>
            </w:pPr>
            <w:r w:rsidRPr="005E5E0C">
              <w:rPr>
                <w:b/>
                <w:sz w:val="28"/>
                <w:szCs w:val="28"/>
              </w:rPr>
              <w:t>ML</w:t>
            </w:r>
          </w:p>
        </w:tc>
        <w:tc>
          <w:tcPr>
            <w:tcW w:w="6975" w:type="dxa"/>
            <w:tcBorders>
              <w:top w:val="single" w:sz="4" w:space="0" w:color="auto"/>
              <w:left w:val="single" w:sz="4" w:space="0" w:color="auto"/>
              <w:bottom w:val="single" w:sz="4" w:space="0" w:color="auto"/>
              <w:right w:val="single" w:sz="4" w:space="0" w:color="auto"/>
            </w:tcBorders>
            <w:vAlign w:val="center"/>
            <w:hideMark/>
          </w:tcPr>
          <w:p w14:paraId="0BE49438" w14:textId="77777777" w:rsidR="000C3494" w:rsidRPr="005E5E0C" w:rsidRDefault="000C3494" w:rsidP="005D4347">
            <w:pPr>
              <w:rPr>
                <w:sz w:val="28"/>
                <w:szCs w:val="28"/>
              </w:rPr>
            </w:pPr>
            <w:r w:rsidRPr="005E5E0C">
              <w:rPr>
                <w:sz w:val="28"/>
                <w:szCs w:val="28"/>
              </w:rPr>
              <w:t>Machine Learning</w:t>
            </w:r>
          </w:p>
        </w:tc>
      </w:tr>
      <w:tr w:rsidR="000C3494" w14:paraId="36427A55" w14:textId="77777777" w:rsidTr="005D4347">
        <w:trPr>
          <w:jc w:val="center"/>
        </w:trPr>
        <w:tc>
          <w:tcPr>
            <w:tcW w:w="1955" w:type="dxa"/>
            <w:tcBorders>
              <w:top w:val="single" w:sz="4" w:space="0" w:color="auto"/>
              <w:left w:val="single" w:sz="4" w:space="0" w:color="auto"/>
              <w:bottom w:val="single" w:sz="4" w:space="0" w:color="auto"/>
              <w:right w:val="single" w:sz="4" w:space="0" w:color="auto"/>
            </w:tcBorders>
            <w:vAlign w:val="center"/>
            <w:hideMark/>
          </w:tcPr>
          <w:p w14:paraId="164C80DA" w14:textId="77777777" w:rsidR="000C3494" w:rsidRPr="005E5E0C" w:rsidRDefault="000C3494" w:rsidP="005D4347">
            <w:pPr>
              <w:jc w:val="center"/>
              <w:rPr>
                <w:sz w:val="28"/>
                <w:szCs w:val="28"/>
              </w:rPr>
            </w:pPr>
            <w:r w:rsidRPr="005E5E0C">
              <w:rPr>
                <w:b/>
                <w:sz w:val="28"/>
                <w:szCs w:val="28"/>
              </w:rPr>
              <w:t>OECD</w:t>
            </w:r>
          </w:p>
        </w:tc>
        <w:tc>
          <w:tcPr>
            <w:tcW w:w="6975" w:type="dxa"/>
            <w:tcBorders>
              <w:top w:val="single" w:sz="4" w:space="0" w:color="auto"/>
              <w:left w:val="single" w:sz="4" w:space="0" w:color="auto"/>
              <w:bottom w:val="single" w:sz="4" w:space="0" w:color="auto"/>
              <w:right w:val="single" w:sz="4" w:space="0" w:color="auto"/>
            </w:tcBorders>
            <w:vAlign w:val="center"/>
            <w:hideMark/>
          </w:tcPr>
          <w:p w14:paraId="0FF7F36E" w14:textId="77777777" w:rsidR="000C3494" w:rsidRPr="005E5E0C" w:rsidRDefault="000C3494" w:rsidP="005D4347">
            <w:pPr>
              <w:rPr>
                <w:sz w:val="28"/>
                <w:szCs w:val="28"/>
              </w:rPr>
            </w:pPr>
            <w:r w:rsidRPr="005E5E0C">
              <w:rPr>
                <w:sz w:val="28"/>
                <w:szCs w:val="28"/>
              </w:rPr>
              <w:t>Organisation for Economic Co-operation and Development</w:t>
            </w:r>
          </w:p>
        </w:tc>
      </w:tr>
      <w:tr w:rsidR="000C3494" w14:paraId="5BD15655" w14:textId="77777777" w:rsidTr="005D4347">
        <w:trPr>
          <w:jc w:val="center"/>
        </w:trPr>
        <w:tc>
          <w:tcPr>
            <w:tcW w:w="1955" w:type="dxa"/>
            <w:tcBorders>
              <w:top w:val="single" w:sz="4" w:space="0" w:color="auto"/>
              <w:left w:val="single" w:sz="4" w:space="0" w:color="auto"/>
              <w:bottom w:val="single" w:sz="4" w:space="0" w:color="auto"/>
              <w:right w:val="single" w:sz="4" w:space="0" w:color="auto"/>
            </w:tcBorders>
            <w:vAlign w:val="center"/>
            <w:hideMark/>
          </w:tcPr>
          <w:p w14:paraId="2F5BF1A3" w14:textId="3A7028A7" w:rsidR="000C3494" w:rsidRPr="005E5E0C" w:rsidRDefault="000C3494" w:rsidP="005D4347">
            <w:pPr>
              <w:jc w:val="center"/>
              <w:rPr>
                <w:sz w:val="28"/>
                <w:szCs w:val="28"/>
              </w:rPr>
            </w:pPr>
            <w:r>
              <w:rPr>
                <w:b/>
                <w:sz w:val="28"/>
                <w:szCs w:val="28"/>
              </w:rPr>
              <w:t>RQ</w:t>
            </w:r>
          </w:p>
        </w:tc>
        <w:tc>
          <w:tcPr>
            <w:tcW w:w="6975" w:type="dxa"/>
            <w:tcBorders>
              <w:top w:val="single" w:sz="4" w:space="0" w:color="auto"/>
              <w:left w:val="single" w:sz="4" w:space="0" w:color="auto"/>
              <w:bottom w:val="single" w:sz="4" w:space="0" w:color="auto"/>
              <w:right w:val="single" w:sz="4" w:space="0" w:color="auto"/>
            </w:tcBorders>
            <w:vAlign w:val="center"/>
            <w:hideMark/>
          </w:tcPr>
          <w:p w14:paraId="7551BD1F" w14:textId="43D6B74D" w:rsidR="000C3494" w:rsidRPr="005E5E0C" w:rsidRDefault="000C3494" w:rsidP="005D4347">
            <w:pPr>
              <w:rPr>
                <w:sz w:val="28"/>
                <w:szCs w:val="28"/>
              </w:rPr>
            </w:pPr>
            <w:r>
              <w:rPr>
                <w:sz w:val="28"/>
                <w:szCs w:val="28"/>
              </w:rPr>
              <w:t>Research Question</w:t>
            </w:r>
          </w:p>
        </w:tc>
      </w:tr>
      <w:tr w:rsidR="000C3494" w14:paraId="40F2A137" w14:textId="77777777" w:rsidTr="005D4347">
        <w:trPr>
          <w:jc w:val="center"/>
        </w:trPr>
        <w:tc>
          <w:tcPr>
            <w:tcW w:w="1955" w:type="dxa"/>
            <w:tcBorders>
              <w:top w:val="single" w:sz="4" w:space="0" w:color="auto"/>
              <w:left w:val="single" w:sz="4" w:space="0" w:color="auto"/>
              <w:bottom w:val="single" w:sz="4" w:space="0" w:color="auto"/>
              <w:right w:val="single" w:sz="4" w:space="0" w:color="auto"/>
            </w:tcBorders>
            <w:vAlign w:val="center"/>
            <w:hideMark/>
          </w:tcPr>
          <w:p w14:paraId="08E9CF54" w14:textId="6CED05A1" w:rsidR="000C3494" w:rsidRPr="005E5E0C" w:rsidRDefault="000C3494" w:rsidP="005D4347">
            <w:pPr>
              <w:jc w:val="center"/>
              <w:rPr>
                <w:sz w:val="28"/>
                <w:szCs w:val="28"/>
              </w:rPr>
            </w:pPr>
          </w:p>
        </w:tc>
        <w:tc>
          <w:tcPr>
            <w:tcW w:w="6975" w:type="dxa"/>
            <w:tcBorders>
              <w:top w:val="single" w:sz="4" w:space="0" w:color="auto"/>
              <w:left w:val="single" w:sz="4" w:space="0" w:color="auto"/>
              <w:bottom w:val="single" w:sz="4" w:space="0" w:color="auto"/>
              <w:right w:val="single" w:sz="4" w:space="0" w:color="auto"/>
            </w:tcBorders>
            <w:vAlign w:val="center"/>
            <w:hideMark/>
          </w:tcPr>
          <w:p w14:paraId="0CC371D5" w14:textId="696F4668" w:rsidR="000C3494" w:rsidRPr="005E5E0C" w:rsidRDefault="000C3494" w:rsidP="005D4347">
            <w:pPr>
              <w:rPr>
                <w:sz w:val="28"/>
                <w:szCs w:val="28"/>
              </w:rPr>
            </w:pPr>
          </w:p>
        </w:tc>
      </w:tr>
      <w:tr w:rsidR="000C3494" w14:paraId="465A3216" w14:textId="77777777" w:rsidTr="005D4347">
        <w:trPr>
          <w:jc w:val="center"/>
        </w:trPr>
        <w:tc>
          <w:tcPr>
            <w:tcW w:w="1955" w:type="dxa"/>
            <w:tcBorders>
              <w:top w:val="single" w:sz="4" w:space="0" w:color="auto"/>
              <w:left w:val="single" w:sz="4" w:space="0" w:color="auto"/>
              <w:bottom w:val="single" w:sz="4" w:space="0" w:color="auto"/>
              <w:right w:val="single" w:sz="4" w:space="0" w:color="auto"/>
            </w:tcBorders>
            <w:vAlign w:val="center"/>
            <w:hideMark/>
          </w:tcPr>
          <w:p w14:paraId="371F9498" w14:textId="77777777" w:rsidR="000C3494" w:rsidRPr="005E5E0C" w:rsidRDefault="000C3494" w:rsidP="005D4347">
            <w:pPr>
              <w:jc w:val="center"/>
              <w:rPr>
                <w:sz w:val="28"/>
                <w:szCs w:val="28"/>
              </w:rPr>
            </w:pPr>
            <w:r w:rsidRPr="005E5E0C">
              <w:rPr>
                <w:b/>
                <w:sz w:val="28"/>
                <w:szCs w:val="28"/>
              </w:rPr>
              <w:t>SGM</w:t>
            </w:r>
          </w:p>
        </w:tc>
        <w:tc>
          <w:tcPr>
            <w:tcW w:w="6975" w:type="dxa"/>
            <w:tcBorders>
              <w:top w:val="single" w:sz="4" w:space="0" w:color="auto"/>
              <w:left w:val="single" w:sz="4" w:space="0" w:color="auto"/>
              <w:bottom w:val="single" w:sz="4" w:space="0" w:color="auto"/>
              <w:right w:val="single" w:sz="4" w:space="0" w:color="auto"/>
            </w:tcBorders>
            <w:vAlign w:val="center"/>
            <w:hideMark/>
          </w:tcPr>
          <w:p w14:paraId="51946E59" w14:textId="77777777" w:rsidR="000C3494" w:rsidRPr="005E5E0C" w:rsidRDefault="000C3494" w:rsidP="005D4347">
            <w:pPr>
              <w:rPr>
                <w:sz w:val="28"/>
                <w:szCs w:val="28"/>
              </w:rPr>
            </w:pPr>
            <w:r w:rsidRPr="005E5E0C">
              <w:rPr>
                <w:sz w:val="28"/>
                <w:szCs w:val="28"/>
              </w:rPr>
              <w:t>Strategic Governance Model</w:t>
            </w:r>
          </w:p>
        </w:tc>
      </w:tr>
      <w:tr w:rsidR="000C3494" w14:paraId="366C2AB3" w14:textId="77777777" w:rsidTr="005D4347">
        <w:trPr>
          <w:jc w:val="center"/>
        </w:trPr>
        <w:tc>
          <w:tcPr>
            <w:tcW w:w="1955" w:type="dxa"/>
            <w:tcBorders>
              <w:top w:val="single" w:sz="4" w:space="0" w:color="auto"/>
              <w:left w:val="single" w:sz="4" w:space="0" w:color="auto"/>
              <w:bottom w:val="single" w:sz="4" w:space="0" w:color="auto"/>
              <w:right w:val="single" w:sz="4" w:space="0" w:color="auto"/>
            </w:tcBorders>
            <w:vAlign w:val="center"/>
            <w:hideMark/>
          </w:tcPr>
          <w:p w14:paraId="0D404319" w14:textId="77777777" w:rsidR="000C3494" w:rsidRPr="005E5E0C" w:rsidRDefault="000C3494" w:rsidP="005D4347">
            <w:pPr>
              <w:jc w:val="center"/>
              <w:rPr>
                <w:sz w:val="28"/>
                <w:szCs w:val="28"/>
              </w:rPr>
            </w:pPr>
            <w:r w:rsidRPr="005E5E0C">
              <w:rPr>
                <w:b/>
                <w:sz w:val="28"/>
                <w:szCs w:val="28"/>
              </w:rPr>
              <w:t>SMT</w:t>
            </w:r>
          </w:p>
        </w:tc>
        <w:tc>
          <w:tcPr>
            <w:tcW w:w="6975" w:type="dxa"/>
            <w:tcBorders>
              <w:top w:val="single" w:sz="4" w:space="0" w:color="auto"/>
              <w:left w:val="single" w:sz="4" w:space="0" w:color="auto"/>
              <w:bottom w:val="single" w:sz="4" w:space="0" w:color="auto"/>
              <w:right w:val="single" w:sz="4" w:space="0" w:color="auto"/>
            </w:tcBorders>
            <w:vAlign w:val="center"/>
            <w:hideMark/>
          </w:tcPr>
          <w:p w14:paraId="755AC609" w14:textId="77777777" w:rsidR="000C3494" w:rsidRPr="005E5E0C" w:rsidRDefault="000C3494" w:rsidP="005D4347">
            <w:pPr>
              <w:rPr>
                <w:sz w:val="28"/>
                <w:szCs w:val="28"/>
              </w:rPr>
            </w:pPr>
            <w:r w:rsidRPr="005E5E0C">
              <w:rPr>
                <w:sz w:val="28"/>
                <w:szCs w:val="28"/>
              </w:rPr>
              <w:t>Strategic Management Theory</w:t>
            </w:r>
          </w:p>
        </w:tc>
      </w:tr>
      <w:tr w:rsidR="000C3494" w14:paraId="0EAA4525" w14:textId="77777777" w:rsidTr="005D4347">
        <w:trPr>
          <w:jc w:val="center"/>
        </w:trPr>
        <w:tc>
          <w:tcPr>
            <w:tcW w:w="1955" w:type="dxa"/>
            <w:tcBorders>
              <w:top w:val="single" w:sz="4" w:space="0" w:color="auto"/>
              <w:left w:val="single" w:sz="4" w:space="0" w:color="auto"/>
              <w:bottom w:val="single" w:sz="4" w:space="0" w:color="auto"/>
              <w:right w:val="single" w:sz="4" w:space="0" w:color="auto"/>
            </w:tcBorders>
            <w:vAlign w:val="center"/>
            <w:hideMark/>
          </w:tcPr>
          <w:p w14:paraId="6EAEF05D" w14:textId="77777777" w:rsidR="000C3494" w:rsidRPr="005E5E0C" w:rsidRDefault="000C3494" w:rsidP="005D4347">
            <w:pPr>
              <w:jc w:val="center"/>
              <w:rPr>
                <w:sz w:val="28"/>
                <w:szCs w:val="28"/>
              </w:rPr>
            </w:pPr>
            <w:r w:rsidRPr="005E5E0C">
              <w:rPr>
                <w:b/>
                <w:sz w:val="28"/>
                <w:szCs w:val="28"/>
              </w:rPr>
              <w:t>UK</w:t>
            </w:r>
          </w:p>
        </w:tc>
        <w:tc>
          <w:tcPr>
            <w:tcW w:w="6975" w:type="dxa"/>
            <w:tcBorders>
              <w:top w:val="single" w:sz="4" w:space="0" w:color="auto"/>
              <w:left w:val="single" w:sz="4" w:space="0" w:color="auto"/>
              <w:bottom w:val="single" w:sz="4" w:space="0" w:color="auto"/>
              <w:right w:val="single" w:sz="4" w:space="0" w:color="auto"/>
            </w:tcBorders>
            <w:vAlign w:val="center"/>
            <w:hideMark/>
          </w:tcPr>
          <w:p w14:paraId="484809BC" w14:textId="77777777" w:rsidR="000C3494" w:rsidRPr="005E5E0C" w:rsidRDefault="000C3494" w:rsidP="005D4347">
            <w:pPr>
              <w:rPr>
                <w:sz w:val="28"/>
                <w:szCs w:val="28"/>
              </w:rPr>
            </w:pPr>
            <w:r w:rsidRPr="005E5E0C">
              <w:rPr>
                <w:sz w:val="28"/>
                <w:szCs w:val="28"/>
              </w:rPr>
              <w:t>United Kingdom</w:t>
            </w:r>
          </w:p>
        </w:tc>
      </w:tr>
      <w:tr w:rsidR="000C3494" w14:paraId="3433FB10" w14:textId="77777777" w:rsidTr="005D4347">
        <w:trPr>
          <w:jc w:val="center"/>
        </w:trPr>
        <w:tc>
          <w:tcPr>
            <w:tcW w:w="1955" w:type="dxa"/>
            <w:tcBorders>
              <w:top w:val="single" w:sz="4" w:space="0" w:color="auto"/>
              <w:left w:val="single" w:sz="4" w:space="0" w:color="auto"/>
              <w:bottom w:val="single" w:sz="4" w:space="0" w:color="auto"/>
              <w:right w:val="single" w:sz="4" w:space="0" w:color="auto"/>
            </w:tcBorders>
            <w:vAlign w:val="center"/>
            <w:hideMark/>
          </w:tcPr>
          <w:p w14:paraId="352B59BC" w14:textId="77777777" w:rsidR="000C3494" w:rsidRPr="005E5E0C" w:rsidRDefault="000C3494" w:rsidP="005D4347">
            <w:pPr>
              <w:jc w:val="center"/>
              <w:rPr>
                <w:sz w:val="28"/>
                <w:szCs w:val="28"/>
              </w:rPr>
            </w:pPr>
            <w:r w:rsidRPr="005E5E0C">
              <w:rPr>
                <w:b/>
                <w:sz w:val="28"/>
                <w:szCs w:val="28"/>
              </w:rPr>
              <w:t>UWTSD</w:t>
            </w:r>
          </w:p>
        </w:tc>
        <w:tc>
          <w:tcPr>
            <w:tcW w:w="6975" w:type="dxa"/>
            <w:tcBorders>
              <w:top w:val="single" w:sz="4" w:space="0" w:color="auto"/>
              <w:left w:val="single" w:sz="4" w:space="0" w:color="auto"/>
              <w:bottom w:val="single" w:sz="4" w:space="0" w:color="auto"/>
              <w:right w:val="single" w:sz="4" w:space="0" w:color="auto"/>
            </w:tcBorders>
            <w:vAlign w:val="center"/>
            <w:hideMark/>
          </w:tcPr>
          <w:p w14:paraId="5B1E4B1A" w14:textId="77777777" w:rsidR="000C3494" w:rsidRPr="005E5E0C" w:rsidRDefault="000C3494" w:rsidP="005D4347">
            <w:pPr>
              <w:rPr>
                <w:sz w:val="28"/>
                <w:szCs w:val="28"/>
              </w:rPr>
            </w:pPr>
            <w:r w:rsidRPr="005E5E0C">
              <w:rPr>
                <w:sz w:val="28"/>
                <w:szCs w:val="28"/>
              </w:rPr>
              <w:t>University of Wales Trinity Saint David</w:t>
            </w:r>
          </w:p>
        </w:tc>
      </w:tr>
    </w:tbl>
    <w:p w14:paraId="54984FA2" w14:textId="77777777" w:rsidR="001B4EE9" w:rsidRDefault="001B4EE9">
      <w:pPr>
        <w:rPr>
          <w:rFonts w:ascii="Calibri" w:hAnsi="Calibri" w:cs="Calibri"/>
          <w:b/>
          <w:color w:val="5B9BD5" w:themeColor="accent5"/>
          <w:sz w:val="52"/>
          <w:szCs w:val="5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p>
    <w:p w14:paraId="177095A0" w14:textId="77777777" w:rsidR="001B4EE9" w:rsidRDefault="001B4EE9">
      <w:pPr>
        <w:rPr>
          <w:rFonts w:ascii="Calibri" w:hAnsi="Calibri" w:cs="Calibri"/>
          <w:b/>
          <w:color w:val="5B9BD5" w:themeColor="accent5"/>
          <w:sz w:val="52"/>
          <w:szCs w:val="5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p>
    <w:p w14:paraId="1CE634F4" w14:textId="77777777" w:rsidR="001B4EE9" w:rsidRDefault="001B4EE9">
      <w:pPr>
        <w:rPr>
          <w:rFonts w:ascii="Calibri" w:hAnsi="Calibri" w:cs="Calibri"/>
          <w:b/>
          <w:color w:val="5B9BD5" w:themeColor="accent5"/>
          <w:sz w:val="52"/>
          <w:szCs w:val="5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p>
    <w:p w14:paraId="3C71413C" w14:textId="77777777" w:rsidR="001B4EE9" w:rsidRDefault="001B4EE9">
      <w:pPr>
        <w:rPr>
          <w:rFonts w:ascii="Calibri" w:hAnsi="Calibri" w:cs="Calibri"/>
          <w:b/>
          <w:color w:val="5B9BD5" w:themeColor="accent5"/>
          <w:sz w:val="52"/>
          <w:szCs w:val="5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p>
    <w:p w14:paraId="41F8769A" w14:textId="77777777" w:rsidR="001B4EE9" w:rsidRDefault="001B4EE9">
      <w:pPr>
        <w:rPr>
          <w:rFonts w:ascii="Calibri" w:hAnsi="Calibri" w:cs="Calibri"/>
          <w:b/>
          <w:color w:val="5B9BD5" w:themeColor="accent5"/>
          <w:sz w:val="52"/>
          <w:szCs w:val="5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p>
    <w:p w14:paraId="10599E0D" w14:textId="77777777" w:rsidR="001B4EE9" w:rsidRDefault="001B4EE9">
      <w:pPr>
        <w:rPr>
          <w:rFonts w:ascii="Calibri" w:hAnsi="Calibri" w:cs="Calibri"/>
          <w:b/>
          <w:color w:val="5B9BD5" w:themeColor="accent5"/>
          <w:sz w:val="52"/>
          <w:szCs w:val="5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p>
    <w:p w14:paraId="7D8F57E3" w14:textId="77777777" w:rsidR="001B4EE9" w:rsidRDefault="001B4EE9">
      <w:pPr>
        <w:rPr>
          <w:rFonts w:ascii="Calibri" w:hAnsi="Calibri" w:cs="Calibri"/>
          <w:b/>
          <w:color w:val="5B9BD5" w:themeColor="accent5"/>
          <w:sz w:val="52"/>
          <w:szCs w:val="5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p>
    <w:p w14:paraId="2D48A427" w14:textId="61B46A37" w:rsidR="00665EE0" w:rsidRDefault="00A42ED4" w:rsidP="000613F9">
      <w:pPr>
        <w:pStyle w:val="Heading1"/>
        <w:rPr>
          <w:rFonts w:eastAsia="Times New Roman"/>
          <w:lang w:eastAsia="en-GB"/>
        </w:rPr>
      </w:pPr>
      <w:r>
        <w:rPr>
          <w:rFonts w:eastAsia="Times New Roman"/>
          <w:lang w:eastAsia="en-GB"/>
        </w:rPr>
        <w:lastRenderedPageBreak/>
        <w:t xml:space="preserve">Introduction </w:t>
      </w:r>
    </w:p>
    <w:p w14:paraId="16CEE96C" w14:textId="3DACBE10" w:rsidR="00A42ED4" w:rsidRDefault="00A42ED4" w:rsidP="000613F9">
      <w:pPr>
        <w:pStyle w:val="Heading2"/>
        <w:rPr>
          <w:rFonts w:eastAsia="Times New Roman"/>
          <w:lang w:eastAsia="en-GB"/>
        </w:rPr>
      </w:pPr>
      <w:r>
        <w:rPr>
          <w:rFonts w:eastAsia="Times New Roman"/>
          <w:lang w:eastAsia="en-GB"/>
        </w:rPr>
        <w:t>Background and context</w:t>
      </w:r>
    </w:p>
    <w:p w14:paraId="65A271D7" w14:textId="58B7CBFB" w:rsidR="00A42ED4" w:rsidRDefault="004726EC" w:rsidP="00C30BB1">
      <w:pPr>
        <w:spacing w:before="100" w:beforeAutospacing="1" w:after="100" w:afterAutospacing="1" w:line="360" w:lineRule="auto"/>
        <w:jc w:val="both"/>
        <w:rPr>
          <w:rFonts w:ascii="Calibri" w:eastAsia="Times New Roman" w:hAnsi="Calibri" w:cs="Calibri"/>
          <w:kern w:val="0"/>
          <w:sz w:val="24"/>
          <w:szCs w:val="24"/>
          <w:lang w:eastAsia="en-GB"/>
          <w14:ligatures w14:val="none"/>
        </w:rPr>
      </w:pPr>
      <w:r w:rsidRPr="004726EC">
        <w:rPr>
          <w:rFonts w:ascii="Calibri" w:eastAsia="Times New Roman" w:hAnsi="Calibri" w:cs="Calibri"/>
          <w:kern w:val="0"/>
          <w:sz w:val="24"/>
          <w:szCs w:val="24"/>
          <w:lang w:eastAsia="en-GB"/>
          <w14:ligatures w14:val="none"/>
        </w:rPr>
        <w:t xml:space="preserve">AI is </w:t>
      </w:r>
      <w:r w:rsidR="000613F9">
        <w:rPr>
          <w:rFonts w:ascii="Calibri" w:eastAsia="Times New Roman" w:hAnsi="Calibri" w:cs="Calibri"/>
          <w:kern w:val="0"/>
          <w:sz w:val="24"/>
          <w:szCs w:val="24"/>
          <w:lang w:eastAsia="en-GB"/>
          <w14:ligatures w14:val="none"/>
        </w:rPr>
        <w:t xml:space="preserve">reshaping the governance of English public universities through its use </w:t>
      </w:r>
      <w:r w:rsidR="00C30BB1">
        <w:rPr>
          <w:rFonts w:ascii="Calibri" w:eastAsia="Times New Roman" w:hAnsi="Calibri" w:cs="Calibri"/>
          <w:kern w:val="0"/>
          <w:sz w:val="24"/>
          <w:szCs w:val="24"/>
          <w:lang w:eastAsia="en-GB"/>
          <w14:ligatures w14:val="none"/>
        </w:rPr>
        <w:t xml:space="preserve">in teaching, research, student services, and administrative decision-making. </w:t>
      </w:r>
      <w:r w:rsidR="00CB18ED">
        <w:rPr>
          <w:rFonts w:ascii="Calibri" w:eastAsia="Times New Roman" w:hAnsi="Calibri" w:cs="Calibri"/>
          <w:kern w:val="0"/>
          <w:sz w:val="24"/>
          <w:szCs w:val="24"/>
          <w:lang w:eastAsia="en-GB"/>
          <w14:ligatures w14:val="none"/>
        </w:rPr>
        <w:t xml:space="preserve">Generative systems can support </w:t>
      </w:r>
      <w:r w:rsidR="000370F5">
        <w:rPr>
          <w:rFonts w:ascii="Calibri" w:eastAsia="Times New Roman" w:hAnsi="Calibri" w:cs="Calibri"/>
          <w:kern w:val="0"/>
          <w:sz w:val="24"/>
          <w:szCs w:val="24"/>
          <w:lang w:eastAsia="en-GB"/>
          <w14:ligatures w14:val="none"/>
        </w:rPr>
        <w:t xml:space="preserve">learning and productivity, but </w:t>
      </w:r>
      <w:r w:rsidR="00636F4D">
        <w:rPr>
          <w:rFonts w:ascii="Calibri" w:eastAsia="Times New Roman" w:hAnsi="Calibri" w:cs="Calibri"/>
          <w:kern w:val="0"/>
          <w:sz w:val="24"/>
          <w:szCs w:val="24"/>
          <w:lang w:eastAsia="en-GB"/>
          <w14:ligatures w14:val="none"/>
        </w:rPr>
        <w:t xml:space="preserve">they can also inform </w:t>
      </w:r>
      <w:r w:rsidR="00B51038">
        <w:rPr>
          <w:rFonts w:ascii="Calibri" w:eastAsia="Times New Roman" w:hAnsi="Calibri" w:cs="Calibri"/>
          <w:kern w:val="0"/>
          <w:sz w:val="24"/>
          <w:szCs w:val="24"/>
          <w:lang w:eastAsia="en-GB"/>
          <w14:ligatures w14:val="none"/>
        </w:rPr>
        <w:t xml:space="preserve">decision-making applications that may influence resource allocation at HEIs </w:t>
      </w:r>
      <w:r w:rsidR="00636F4D">
        <w:rPr>
          <w:rFonts w:ascii="Calibri" w:eastAsia="Times New Roman" w:hAnsi="Calibri" w:cs="Calibri"/>
          <w:kern w:val="0"/>
          <w:sz w:val="24"/>
          <w:szCs w:val="24"/>
          <w:lang w:eastAsia="en-GB"/>
          <w14:ligatures w14:val="none"/>
        </w:rPr>
        <w:t>and</w:t>
      </w:r>
      <w:r w:rsidR="00B51038">
        <w:rPr>
          <w:rFonts w:ascii="Calibri" w:eastAsia="Times New Roman" w:hAnsi="Calibri" w:cs="Calibri"/>
          <w:kern w:val="0"/>
          <w:sz w:val="24"/>
          <w:szCs w:val="24"/>
          <w:lang w:eastAsia="en-GB"/>
          <w14:ligatures w14:val="none"/>
        </w:rPr>
        <w:t xml:space="preserve"> </w:t>
      </w:r>
      <w:r w:rsidR="00636F4D">
        <w:rPr>
          <w:rFonts w:ascii="Calibri" w:eastAsia="Times New Roman" w:hAnsi="Calibri" w:cs="Calibri"/>
          <w:kern w:val="0"/>
          <w:sz w:val="24"/>
          <w:szCs w:val="24"/>
          <w:lang w:eastAsia="en-GB"/>
          <w14:ligatures w14:val="none"/>
        </w:rPr>
        <w:t xml:space="preserve">learners' opportunities. </w:t>
      </w:r>
      <w:r w:rsidR="003343C6">
        <w:rPr>
          <w:rFonts w:ascii="Calibri" w:eastAsia="Times New Roman" w:hAnsi="Calibri" w:cs="Calibri"/>
          <w:kern w:val="0"/>
          <w:sz w:val="24"/>
          <w:szCs w:val="24"/>
          <w:lang w:eastAsia="en-GB"/>
          <w14:ligatures w14:val="none"/>
        </w:rPr>
        <w:t xml:space="preserve">These developments create </w:t>
      </w:r>
      <w:r w:rsidR="00752888">
        <w:rPr>
          <w:rFonts w:ascii="Calibri" w:eastAsia="Times New Roman" w:hAnsi="Calibri" w:cs="Calibri"/>
          <w:kern w:val="0"/>
          <w:sz w:val="24"/>
          <w:szCs w:val="24"/>
          <w:lang w:eastAsia="en-GB"/>
          <w14:ligatures w14:val="none"/>
        </w:rPr>
        <w:t xml:space="preserve">interdependent ethical risks related to privacy, fairness, accessibility, academic integrity, transparency, and accountability. </w:t>
      </w:r>
      <w:r w:rsidR="0087749E">
        <w:rPr>
          <w:rFonts w:ascii="Calibri" w:eastAsia="Times New Roman" w:hAnsi="Calibri" w:cs="Calibri"/>
          <w:kern w:val="0"/>
          <w:sz w:val="24"/>
          <w:szCs w:val="24"/>
          <w:lang w:eastAsia="en-GB"/>
          <w14:ligatures w14:val="none"/>
        </w:rPr>
        <w:t xml:space="preserve">The central strategic challenge </w:t>
      </w:r>
      <w:r w:rsidR="00084367">
        <w:rPr>
          <w:rFonts w:ascii="Calibri" w:eastAsia="Times New Roman" w:hAnsi="Calibri" w:cs="Calibri"/>
          <w:kern w:val="0"/>
          <w:sz w:val="24"/>
          <w:szCs w:val="24"/>
          <w:lang w:eastAsia="en-GB"/>
          <w14:ligatures w14:val="none"/>
        </w:rPr>
        <w:t xml:space="preserve">is not </w:t>
      </w:r>
      <w:r w:rsidR="00F3172E">
        <w:rPr>
          <w:rFonts w:ascii="Calibri" w:eastAsia="Times New Roman" w:hAnsi="Calibri" w:cs="Calibri"/>
          <w:kern w:val="0"/>
          <w:sz w:val="24"/>
          <w:szCs w:val="24"/>
          <w:lang w:eastAsia="en-GB"/>
          <w14:ligatures w14:val="none"/>
        </w:rPr>
        <w:t>whether universities publish responsible AI principles, but whether they operationalise them</w:t>
      </w:r>
      <w:sdt>
        <w:sdtPr>
          <w:rPr>
            <w:rFonts w:ascii="Calibri" w:eastAsia="Times New Roman" w:hAnsi="Calibri" w:cs="Calibri"/>
            <w:kern w:val="0"/>
            <w:sz w:val="24"/>
            <w:szCs w:val="24"/>
            <w:lang w:eastAsia="en-GB"/>
            <w14:ligatures w14:val="none"/>
          </w:rPr>
          <w:id w:val="1845050500"/>
          <w:citation/>
        </w:sdtPr>
        <w:sdtEndPr/>
        <w:sdtContent>
          <w:r w:rsidR="00E627FD">
            <w:rPr>
              <w:rFonts w:ascii="Calibri" w:eastAsia="Times New Roman" w:hAnsi="Calibri" w:cs="Calibri"/>
              <w:kern w:val="0"/>
              <w:sz w:val="24"/>
              <w:szCs w:val="24"/>
              <w:lang w:eastAsia="en-GB"/>
              <w14:ligatures w14:val="none"/>
            </w:rPr>
            <w:fldChar w:fldCharType="begin"/>
          </w:r>
          <w:r w:rsidR="00E627FD">
            <w:rPr>
              <w:rFonts w:ascii="Calibri" w:eastAsia="Times New Roman" w:hAnsi="Calibri" w:cs="Calibri"/>
              <w:kern w:val="0"/>
              <w:sz w:val="24"/>
              <w:szCs w:val="24"/>
              <w:lang w:eastAsia="en-GB"/>
              <w14:ligatures w14:val="none"/>
            </w:rPr>
            <w:instrText xml:space="preserve"> CITATION Wil251 \l 2057 </w:instrText>
          </w:r>
          <w:r w:rsidR="00E627FD">
            <w:rPr>
              <w:rFonts w:ascii="Calibri" w:eastAsia="Times New Roman" w:hAnsi="Calibri" w:cs="Calibri"/>
              <w:kern w:val="0"/>
              <w:sz w:val="24"/>
              <w:szCs w:val="24"/>
              <w:lang w:eastAsia="en-GB"/>
              <w14:ligatures w14:val="none"/>
            </w:rPr>
            <w:fldChar w:fldCharType="separate"/>
          </w:r>
          <w:r w:rsidR="00E627FD">
            <w:rPr>
              <w:rFonts w:ascii="Calibri" w:eastAsia="Times New Roman" w:hAnsi="Calibri" w:cs="Calibri"/>
              <w:noProof/>
              <w:kern w:val="0"/>
              <w:sz w:val="24"/>
              <w:szCs w:val="24"/>
              <w:lang w:eastAsia="en-GB"/>
              <w14:ligatures w14:val="none"/>
            </w:rPr>
            <w:t xml:space="preserve"> </w:t>
          </w:r>
          <w:r w:rsidR="00E627FD" w:rsidRPr="00E627FD">
            <w:rPr>
              <w:rFonts w:ascii="Calibri" w:eastAsia="Times New Roman" w:hAnsi="Calibri" w:cs="Calibri"/>
              <w:noProof/>
              <w:kern w:val="0"/>
              <w:sz w:val="24"/>
              <w:szCs w:val="24"/>
              <w:lang w:eastAsia="en-GB"/>
              <w14:ligatures w14:val="none"/>
            </w:rPr>
            <w:t>(Wilson, 2025)</w:t>
          </w:r>
          <w:r w:rsidR="00E627FD">
            <w:rPr>
              <w:rFonts w:ascii="Calibri" w:eastAsia="Times New Roman" w:hAnsi="Calibri" w:cs="Calibri"/>
              <w:kern w:val="0"/>
              <w:sz w:val="24"/>
              <w:szCs w:val="24"/>
              <w:lang w:eastAsia="en-GB"/>
              <w14:ligatures w14:val="none"/>
            </w:rPr>
            <w:fldChar w:fldCharType="end"/>
          </w:r>
        </w:sdtContent>
      </w:sdt>
      <w:r w:rsidR="00F3172E">
        <w:rPr>
          <w:rFonts w:ascii="Calibri" w:eastAsia="Times New Roman" w:hAnsi="Calibri" w:cs="Calibri"/>
          <w:kern w:val="0"/>
          <w:sz w:val="24"/>
          <w:szCs w:val="24"/>
          <w:lang w:eastAsia="en-GB"/>
          <w14:ligatures w14:val="none"/>
        </w:rPr>
        <w:t xml:space="preserve">. </w:t>
      </w:r>
      <w:r w:rsidR="00924881">
        <w:rPr>
          <w:rFonts w:ascii="Calibri" w:eastAsia="Times New Roman" w:hAnsi="Calibri" w:cs="Calibri"/>
          <w:kern w:val="0"/>
          <w:sz w:val="24"/>
          <w:szCs w:val="24"/>
          <w:lang w:eastAsia="en-GB"/>
          <w14:ligatures w14:val="none"/>
        </w:rPr>
        <w:t xml:space="preserve">Recent UK </w:t>
      </w:r>
      <w:r w:rsidR="003069BC">
        <w:rPr>
          <w:rFonts w:ascii="Calibri" w:eastAsia="Times New Roman" w:hAnsi="Calibri" w:cs="Calibri"/>
          <w:kern w:val="0"/>
          <w:sz w:val="24"/>
          <w:szCs w:val="24"/>
          <w:lang w:eastAsia="en-GB"/>
          <w14:ligatures w14:val="none"/>
        </w:rPr>
        <w:t xml:space="preserve">evidence </w:t>
      </w:r>
      <w:r w:rsidR="00294BF2">
        <w:rPr>
          <w:rFonts w:ascii="Calibri" w:eastAsia="Times New Roman" w:hAnsi="Calibri" w:cs="Calibri"/>
          <w:kern w:val="0"/>
          <w:sz w:val="24"/>
          <w:szCs w:val="24"/>
          <w:lang w:eastAsia="en-GB"/>
          <w14:ligatures w14:val="none"/>
        </w:rPr>
        <w:t xml:space="preserve">shows variation in the maturity and scope of HEIs' guidance, while broader reviews identify persistent weaknesses in practical AI governance </w:t>
      </w:r>
      <w:r w:rsidR="006832B0">
        <w:rPr>
          <w:rFonts w:ascii="Calibri" w:eastAsia="Times New Roman" w:hAnsi="Calibri" w:cs="Calibri"/>
          <w:kern w:val="0"/>
          <w:sz w:val="24"/>
          <w:szCs w:val="24"/>
          <w:lang w:eastAsia="en-GB"/>
          <w14:ligatures w14:val="none"/>
        </w:rPr>
        <w:t>across organisational levels</w:t>
      </w:r>
      <w:r w:rsidR="00E627FD">
        <w:rPr>
          <w:rFonts w:ascii="Calibri" w:eastAsia="Times New Roman" w:hAnsi="Calibri" w:cs="Calibri"/>
          <w:kern w:val="0"/>
          <w:sz w:val="24"/>
          <w:szCs w:val="24"/>
          <w:lang w:eastAsia="en-GB"/>
          <w14:ligatures w14:val="none"/>
        </w:rPr>
        <w:t xml:space="preserve"> (</w:t>
      </w:r>
      <w:r w:rsidR="00015E78">
        <w:rPr>
          <w:rFonts w:ascii="Calibri" w:eastAsia="Times New Roman" w:hAnsi="Calibri" w:cs="Calibri"/>
          <w:kern w:val="0"/>
          <w:sz w:val="24"/>
          <w:szCs w:val="24"/>
          <w:lang w:eastAsia="en-GB"/>
          <w14:ligatures w14:val="none"/>
        </w:rPr>
        <w:t>Batool et al</w:t>
      </w:r>
      <w:r w:rsidR="00D50215">
        <w:rPr>
          <w:rFonts w:ascii="Calibri" w:eastAsia="Times New Roman" w:hAnsi="Calibri" w:cs="Calibri"/>
          <w:kern w:val="0"/>
          <w:sz w:val="24"/>
          <w:szCs w:val="24"/>
          <w:lang w:eastAsia="en-GB"/>
          <w14:ligatures w14:val="none"/>
        </w:rPr>
        <w:t>., 2025; Jiang and Abdullah, 2026; Wilson, 2025).</w:t>
      </w:r>
      <w:r w:rsidR="00294BF2">
        <w:rPr>
          <w:rFonts w:ascii="Calibri" w:eastAsia="Times New Roman" w:hAnsi="Calibri" w:cs="Calibri"/>
          <w:kern w:val="0"/>
          <w:sz w:val="24"/>
          <w:szCs w:val="24"/>
          <w:lang w:eastAsia="en-GB"/>
          <w14:ligatures w14:val="none"/>
        </w:rPr>
        <w:t xml:space="preserve"> </w:t>
      </w:r>
    </w:p>
    <w:p w14:paraId="656962B2" w14:textId="441A2DA7" w:rsidR="00BA4881" w:rsidRDefault="00401753" w:rsidP="00C30BB1">
      <w:pPr>
        <w:spacing w:before="100" w:beforeAutospacing="1" w:after="100" w:afterAutospacing="1" w:line="360" w:lineRule="auto"/>
        <w:jc w:val="both"/>
        <w:rPr>
          <w:rFonts w:ascii="Calibri" w:eastAsia="Times New Roman" w:hAnsi="Calibri" w:cs="Calibri"/>
          <w:kern w:val="0"/>
          <w:sz w:val="24"/>
          <w:szCs w:val="24"/>
          <w:lang w:eastAsia="en-GB"/>
          <w14:ligatures w14:val="none"/>
        </w:rPr>
      </w:pPr>
      <w:r>
        <w:rPr>
          <w:rFonts w:ascii="Calibri" w:eastAsia="Times New Roman" w:hAnsi="Calibri" w:cs="Calibri"/>
          <w:kern w:val="0"/>
          <w:sz w:val="24"/>
          <w:szCs w:val="24"/>
          <w:lang w:eastAsia="en-GB"/>
          <w14:ligatures w14:val="none"/>
        </w:rPr>
        <w:t>AI implementation is decentralised</w:t>
      </w:r>
      <w:r w:rsidR="002C7DED">
        <w:rPr>
          <w:rFonts w:ascii="Calibri" w:eastAsia="Times New Roman" w:hAnsi="Calibri" w:cs="Calibri"/>
          <w:kern w:val="0"/>
          <w:sz w:val="24"/>
          <w:szCs w:val="24"/>
          <w:lang w:eastAsia="en-GB"/>
          <w14:ligatures w14:val="none"/>
        </w:rPr>
        <w:t>, with academic departments, research groups, and professional services procuring or adopting</w:t>
      </w:r>
      <w:r w:rsidR="00866B92">
        <w:rPr>
          <w:rFonts w:ascii="Calibri" w:eastAsia="Times New Roman" w:hAnsi="Calibri" w:cs="Calibri"/>
          <w:kern w:val="0"/>
          <w:sz w:val="24"/>
          <w:szCs w:val="24"/>
          <w:lang w:eastAsia="en-GB"/>
          <w14:ligatures w14:val="none"/>
        </w:rPr>
        <w:t xml:space="preserve"> tools under different conditions</w:t>
      </w:r>
      <w:r w:rsidR="002C7DED">
        <w:rPr>
          <w:rFonts w:ascii="Calibri" w:eastAsia="Times New Roman" w:hAnsi="Calibri" w:cs="Calibri"/>
          <w:kern w:val="0"/>
          <w:sz w:val="24"/>
          <w:szCs w:val="24"/>
          <w:lang w:eastAsia="en-GB"/>
          <w14:ligatures w14:val="none"/>
        </w:rPr>
        <w:t xml:space="preserve">. This fragmentation </w:t>
      </w:r>
      <w:r w:rsidR="005E19C1">
        <w:rPr>
          <w:rFonts w:ascii="Calibri" w:eastAsia="Times New Roman" w:hAnsi="Calibri" w:cs="Calibri"/>
          <w:kern w:val="0"/>
          <w:sz w:val="24"/>
          <w:szCs w:val="24"/>
          <w:lang w:eastAsia="en-GB"/>
          <w14:ligatures w14:val="none"/>
        </w:rPr>
        <w:t xml:space="preserve">complicates </w:t>
      </w:r>
      <w:r w:rsidR="00AF2816">
        <w:rPr>
          <w:rFonts w:ascii="Calibri" w:eastAsia="Times New Roman" w:hAnsi="Calibri" w:cs="Calibri"/>
          <w:kern w:val="0"/>
          <w:sz w:val="24"/>
          <w:szCs w:val="24"/>
          <w:lang w:eastAsia="en-GB"/>
          <w14:ligatures w14:val="none"/>
        </w:rPr>
        <w:t>identifying accountable owners, assessing third-party suppliers, and coordinating</w:t>
      </w:r>
      <w:r w:rsidR="009B4743">
        <w:rPr>
          <w:rFonts w:ascii="Calibri" w:eastAsia="Times New Roman" w:hAnsi="Calibri" w:cs="Calibri"/>
          <w:kern w:val="0"/>
          <w:sz w:val="24"/>
          <w:szCs w:val="24"/>
          <w:lang w:eastAsia="en-GB"/>
          <w14:ligatures w14:val="none"/>
        </w:rPr>
        <w:t xml:space="preserve"> responses to harm. </w:t>
      </w:r>
      <w:r w:rsidR="00AF2816">
        <w:rPr>
          <w:rFonts w:ascii="Calibri" w:eastAsia="Times New Roman" w:hAnsi="Calibri" w:cs="Calibri"/>
          <w:kern w:val="0"/>
          <w:sz w:val="24"/>
          <w:szCs w:val="24"/>
          <w:lang w:eastAsia="en-GB"/>
          <w14:ligatures w14:val="none"/>
        </w:rPr>
        <w:t>HEIs differ in financial resources</w:t>
      </w:r>
      <w:r w:rsidR="005D6F25">
        <w:rPr>
          <w:rFonts w:ascii="Calibri" w:eastAsia="Times New Roman" w:hAnsi="Calibri" w:cs="Calibri"/>
          <w:kern w:val="0"/>
          <w:sz w:val="24"/>
          <w:szCs w:val="24"/>
          <w:lang w:eastAsia="en-GB"/>
          <w14:ligatures w14:val="none"/>
        </w:rPr>
        <w:t>, digital capability</w:t>
      </w:r>
      <w:r w:rsidR="002E599D">
        <w:rPr>
          <w:rFonts w:ascii="Calibri" w:eastAsia="Times New Roman" w:hAnsi="Calibri" w:cs="Calibri"/>
          <w:kern w:val="0"/>
          <w:sz w:val="24"/>
          <w:szCs w:val="24"/>
          <w:lang w:eastAsia="en-GB"/>
          <w14:ligatures w14:val="none"/>
        </w:rPr>
        <w:t xml:space="preserve">, and specialist expertise, which can make identical governance requirements uneven in practice. </w:t>
      </w:r>
      <w:r w:rsidR="001C5D17">
        <w:rPr>
          <w:rFonts w:ascii="Calibri" w:eastAsia="Times New Roman" w:hAnsi="Calibri" w:cs="Calibri"/>
          <w:kern w:val="0"/>
          <w:sz w:val="24"/>
          <w:szCs w:val="24"/>
          <w:lang w:eastAsia="en-GB"/>
          <w14:ligatures w14:val="none"/>
        </w:rPr>
        <w:t xml:space="preserve">Therefore, a credible SGM </w:t>
      </w:r>
      <w:r w:rsidR="004021C0">
        <w:rPr>
          <w:rFonts w:ascii="Calibri" w:eastAsia="Times New Roman" w:hAnsi="Calibri" w:cs="Calibri"/>
          <w:kern w:val="0"/>
          <w:sz w:val="24"/>
          <w:szCs w:val="24"/>
          <w:lang w:eastAsia="en-GB"/>
          <w14:ligatures w14:val="none"/>
        </w:rPr>
        <w:t xml:space="preserve">integrates consistent ethical safeguards </w:t>
      </w:r>
      <w:r w:rsidR="00295604">
        <w:rPr>
          <w:rFonts w:ascii="Calibri" w:eastAsia="Times New Roman" w:hAnsi="Calibri" w:cs="Calibri"/>
          <w:kern w:val="0"/>
          <w:sz w:val="24"/>
          <w:szCs w:val="24"/>
          <w:lang w:eastAsia="en-GB"/>
          <w14:ligatures w14:val="none"/>
        </w:rPr>
        <w:t xml:space="preserve">with </w:t>
      </w:r>
      <w:r w:rsidR="00752124">
        <w:rPr>
          <w:rFonts w:ascii="Calibri" w:eastAsia="Times New Roman" w:hAnsi="Calibri" w:cs="Calibri"/>
          <w:kern w:val="0"/>
          <w:sz w:val="24"/>
          <w:szCs w:val="24"/>
          <w:lang w:eastAsia="en-GB"/>
          <w14:ligatures w14:val="none"/>
        </w:rPr>
        <w:t>balanced</w:t>
      </w:r>
      <w:r w:rsidR="00295604">
        <w:rPr>
          <w:rFonts w:ascii="Calibri" w:eastAsia="Times New Roman" w:hAnsi="Calibri" w:cs="Calibri"/>
          <w:kern w:val="0"/>
          <w:sz w:val="24"/>
          <w:szCs w:val="24"/>
          <w:lang w:eastAsia="en-GB"/>
          <w14:ligatures w14:val="none"/>
        </w:rPr>
        <w:t xml:space="preserve"> academic autonomy and institutional diversity. </w:t>
      </w:r>
      <w:r w:rsidR="005B292D">
        <w:rPr>
          <w:rFonts w:ascii="Calibri" w:eastAsia="Times New Roman" w:hAnsi="Calibri" w:cs="Calibri"/>
          <w:kern w:val="0"/>
          <w:sz w:val="24"/>
          <w:szCs w:val="24"/>
          <w:lang w:eastAsia="en-GB"/>
          <w14:ligatures w14:val="none"/>
        </w:rPr>
        <w:t>Assess it through observable governance decisions and outcomes, not just the presence</w:t>
      </w:r>
      <w:r w:rsidR="0012325E">
        <w:rPr>
          <w:rFonts w:ascii="Calibri" w:eastAsia="Times New Roman" w:hAnsi="Calibri" w:cs="Calibri"/>
          <w:kern w:val="0"/>
          <w:sz w:val="24"/>
          <w:szCs w:val="24"/>
          <w:lang w:eastAsia="en-GB"/>
          <w14:ligatures w14:val="none"/>
        </w:rPr>
        <w:t xml:space="preserve"> of policy stateme</w:t>
      </w:r>
      <w:r w:rsidR="005B292D">
        <w:rPr>
          <w:rFonts w:ascii="Calibri" w:eastAsia="Times New Roman" w:hAnsi="Calibri" w:cs="Calibri"/>
          <w:kern w:val="0"/>
          <w:sz w:val="24"/>
          <w:szCs w:val="24"/>
          <w:lang w:eastAsia="en-GB"/>
          <w14:ligatures w14:val="none"/>
        </w:rPr>
        <w:t xml:space="preserve">nts. </w:t>
      </w:r>
    </w:p>
    <w:p w14:paraId="4D71662B" w14:textId="2E95F1FD" w:rsidR="006364C8" w:rsidRDefault="006364C8" w:rsidP="006364C8">
      <w:pPr>
        <w:pStyle w:val="Heading2"/>
        <w:rPr>
          <w:rFonts w:eastAsia="Times New Roman"/>
          <w:lang w:eastAsia="en-GB"/>
        </w:rPr>
      </w:pPr>
      <w:r>
        <w:rPr>
          <w:rFonts w:eastAsia="Times New Roman"/>
          <w:lang w:eastAsia="en-GB"/>
        </w:rPr>
        <w:t xml:space="preserve">Purpose and Rationale </w:t>
      </w:r>
    </w:p>
    <w:p w14:paraId="0C6C3766" w14:textId="458DD714" w:rsidR="006364C8" w:rsidRDefault="00273781" w:rsidP="00C30BB1">
      <w:pPr>
        <w:spacing w:before="100" w:beforeAutospacing="1" w:after="100" w:afterAutospacing="1" w:line="360" w:lineRule="auto"/>
        <w:jc w:val="both"/>
        <w:rPr>
          <w:rFonts w:ascii="Calibri" w:eastAsia="Times New Roman" w:hAnsi="Calibri" w:cs="Calibri"/>
          <w:kern w:val="0"/>
          <w:sz w:val="24"/>
          <w:szCs w:val="24"/>
          <w:lang w:eastAsia="en-GB"/>
          <w14:ligatures w14:val="none"/>
        </w:rPr>
      </w:pPr>
      <w:r>
        <w:rPr>
          <w:rFonts w:ascii="Calibri" w:eastAsia="Times New Roman" w:hAnsi="Calibri" w:cs="Calibri"/>
          <w:kern w:val="0"/>
          <w:sz w:val="24"/>
          <w:szCs w:val="24"/>
          <w:lang w:eastAsia="en-GB"/>
          <w14:ligatures w14:val="none"/>
        </w:rPr>
        <w:t xml:space="preserve">This academic study aims to determine whether a coherent governance architecture can link university-level ethical commitments to accountable decisions on AI selection, procurement, deployment, monitoring, and withdrawal. </w:t>
      </w:r>
      <w:r w:rsidR="00A84F8F">
        <w:rPr>
          <w:rFonts w:ascii="Calibri" w:eastAsia="Times New Roman" w:hAnsi="Calibri" w:cs="Calibri"/>
          <w:kern w:val="0"/>
          <w:sz w:val="24"/>
          <w:szCs w:val="24"/>
          <w:lang w:eastAsia="en-GB"/>
          <w14:ligatures w14:val="none"/>
        </w:rPr>
        <w:t xml:space="preserve">The proposed contribution is not another general statement </w:t>
      </w:r>
      <w:r w:rsidR="000C2D1A">
        <w:rPr>
          <w:rFonts w:ascii="Calibri" w:eastAsia="Times New Roman" w:hAnsi="Calibri" w:cs="Calibri"/>
          <w:kern w:val="0"/>
          <w:sz w:val="24"/>
          <w:szCs w:val="24"/>
          <w:lang w:eastAsia="en-GB"/>
          <w14:ligatures w14:val="none"/>
        </w:rPr>
        <w:t>of ethical principles. It is a practically testable configuration</w:t>
      </w:r>
      <w:r w:rsidR="009E5FA2">
        <w:rPr>
          <w:rFonts w:ascii="Calibri" w:eastAsia="Times New Roman" w:hAnsi="Calibri" w:cs="Calibri"/>
          <w:kern w:val="0"/>
          <w:sz w:val="24"/>
          <w:szCs w:val="24"/>
          <w:lang w:eastAsia="en-GB"/>
          <w14:ligatures w14:val="none"/>
        </w:rPr>
        <w:t xml:space="preserve"> of </w:t>
      </w:r>
      <w:r w:rsidR="009248B0">
        <w:rPr>
          <w:rFonts w:ascii="Calibri" w:eastAsia="Times New Roman" w:hAnsi="Calibri" w:cs="Calibri"/>
          <w:kern w:val="0"/>
          <w:sz w:val="24"/>
          <w:szCs w:val="24"/>
          <w:lang w:eastAsia="en-GB"/>
          <w14:ligatures w14:val="none"/>
        </w:rPr>
        <w:t xml:space="preserve">decision rights, safeguards, participation mechanisms and assurance indicators that can accommodate various HEIs' missions and resource constraints. </w:t>
      </w:r>
    </w:p>
    <w:p w14:paraId="5A5A229F" w14:textId="41CF2EC0" w:rsidR="00F51A5B" w:rsidRPr="004726EC" w:rsidRDefault="00F51A5B" w:rsidP="00C30BB1">
      <w:pPr>
        <w:spacing w:before="100" w:beforeAutospacing="1" w:after="100" w:afterAutospacing="1" w:line="360" w:lineRule="auto"/>
        <w:jc w:val="both"/>
        <w:rPr>
          <w:rFonts w:ascii="Calibri" w:eastAsia="Times New Roman" w:hAnsi="Calibri" w:cs="Calibri"/>
          <w:kern w:val="0"/>
          <w:sz w:val="24"/>
          <w:szCs w:val="24"/>
          <w:lang w:eastAsia="en-GB"/>
          <w14:ligatures w14:val="none"/>
        </w:rPr>
      </w:pPr>
      <w:r>
        <w:rPr>
          <w:rFonts w:ascii="Calibri" w:eastAsia="Times New Roman" w:hAnsi="Calibri" w:cs="Calibri"/>
          <w:kern w:val="0"/>
          <w:sz w:val="24"/>
          <w:szCs w:val="24"/>
          <w:lang w:eastAsia="en-GB"/>
          <w14:ligatures w14:val="none"/>
        </w:rPr>
        <w:lastRenderedPageBreak/>
        <w:t>The research problem consists of six connected issues</w:t>
      </w:r>
      <w:r w:rsidR="00E035D2">
        <w:rPr>
          <w:rFonts w:ascii="Calibri" w:eastAsia="Times New Roman" w:hAnsi="Calibri" w:cs="Calibri"/>
          <w:kern w:val="0"/>
          <w:sz w:val="24"/>
          <w:szCs w:val="24"/>
          <w:lang w:eastAsia="en-GB"/>
          <w14:ligatures w14:val="none"/>
        </w:rPr>
        <w:t xml:space="preserve">: unclear accountability for AI approval and harm; inconsistent policies across HEIs' functions; difficulty translating ethical principles into enforceable controls; unequal HEI capacity; limited stakeholder influence and accessible appeal mechanisms; and uncertainty about indicators of governance effectiveness. </w:t>
      </w:r>
      <w:r w:rsidR="007C4E4B">
        <w:rPr>
          <w:rFonts w:ascii="Calibri" w:eastAsia="Times New Roman" w:hAnsi="Calibri" w:cs="Calibri"/>
          <w:kern w:val="0"/>
          <w:sz w:val="24"/>
          <w:szCs w:val="24"/>
          <w:lang w:eastAsia="en-GB"/>
          <w14:ligatures w14:val="none"/>
        </w:rPr>
        <w:t>These problems reinforce one another</w:t>
      </w:r>
      <w:r w:rsidR="007714CE">
        <w:rPr>
          <w:rFonts w:ascii="Calibri" w:eastAsia="Times New Roman" w:hAnsi="Calibri" w:cs="Calibri"/>
          <w:kern w:val="0"/>
          <w:sz w:val="24"/>
          <w:szCs w:val="24"/>
          <w:lang w:eastAsia="en-GB"/>
          <w14:ligatures w14:val="none"/>
        </w:rPr>
        <w:t xml:space="preserve">. Moreover, </w:t>
      </w:r>
      <w:r w:rsidR="000E314B">
        <w:rPr>
          <w:rFonts w:ascii="Calibri" w:eastAsia="Times New Roman" w:hAnsi="Calibri" w:cs="Calibri"/>
          <w:kern w:val="0"/>
          <w:sz w:val="24"/>
          <w:szCs w:val="24"/>
          <w:lang w:eastAsia="en-GB"/>
          <w14:ligatures w14:val="none"/>
        </w:rPr>
        <w:t>HEIs</w:t>
      </w:r>
      <w:r w:rsidR="007714CE">
        <w:rPr>
          <w:rFonts w:ascii="Calibri" w:eastAsia="Times New Roman" w:hAnsi="Calibri" w:cs="Calibri"/>
          <w:kern w:val="0"/>
          <w:sz w:val="24"/>
          <w:szCs w:val="24"/>
          <w:lang w:eastAsia="en-GB"/>
          <w14:ligatures w14:val="none"/>
        </w:rPr>
        <w:t xml:space="preserve"> may require transparency </w:t>
      </w:r>
      <w:r w:rsidR="005D0BFA">
        <w:rPr>
          <w:rFonts w:ascii="Calibri" w:eastAsia="Times New Roman" w:hAnsi="Calibri" w:cs="Calibri"/>
          <w:kern w:val="0"/>
          <w:sz w:val="24"/>
          <w:szCs w:val="24"/>
          <w:lang w:eastAsia="en-GB"/>
          <w14:ligatures w14:val="none"/>
        </w:rPr>
        <w:t>yet lack an AI register, named system owners or records</w:t>
      </w:r>
      <w:r w:rsidR="00D6772C">
        <w:rPr>
          <w:rFonts w:ascii="Calibri" w:eastAsia="Times New Roman" w:hAnsi="Calibri" w:cs="Calibri"/>
          <w:kern w:val="0"/>
          <w:sz w:val="24"/>
          <w:szCs w:val="24"/>
          <w:lang w:eastAsia="en-GB"/>
          <w14:ligatures w14:val="none"/>
        </w:rPr>
        <w:t xml:space="preserve"> explaining approval decisions. </w:t>
      </w:r>
      <w:r w:rsidR="006C2CB8">
        <w:rPr>
          <w:rFonts w:ascii="Calibri" w:eastAsia="Times New Roman" w:hAnsi="Calibri" w:cs="Calibri"/>
          <w:kern w:val="0"/>
          <w:sz w:val="24"/>
          <w:szCs w:val="24"/>
          <w:lang w:eastAsia="en-GB"/>
          <w14:ligatures w14:val="none"/>
        </w:rPr>
        <w:t xml:space="preserve">Formal consultation may also </w:t>
      </w:r>
      <w:r w:rsidR="000E314B">
        <w:rPr>
          <w:rFonts w:ascii="Calibri" w:eastAsia="Times New Roman" w:hAnsi="Calibri" w:cs="Calibri"/>
          <w:kern w:val="0"/>
          <w:sz w:val="24"/>
          <w:szCs w:val="24"/>
          <w:lang w:eastAsia="en-GB"/>
          <w14:ligatures w14:val="none"/>
        </w:rPr>
        <w:t>not allow affected students or academic staff to influence procurement, challenge automated recommendations,</w:t>
      </w:r>
      <w:r w:rsidR="00DC0712">
        <w:rPr>
          <w:rFonts w:ascii="Calibri" w:eastAsia="Times New Roman" w:hAnsi="Calibri" w:cs="Calibri"/>
          <w:kern w:val="0"/>
          <w:sz w:val="24"/>
          <w:szCs w:val="24"/>
          <w:lang w:eastAsia="en-GB"/>
          <w14:ligatures w14:val="none"/>
        </w:rPr>
        <w:t xml:space="preserve"> or secure appropriate alternatives. </w:t>
      </w:r>
      <w:r w:rsidR="000E314B">
        <w:rPr>
          <w:rFonts w:ascii="Calibri" w:eastAsia="Times New Roman" w:hAnsi="Calibri" w:cs="Calibri"/>
          <w:kern w:val="0"/>
          <w:sz w:val="24"/>
          <w:szCs w:val="24"/>
          <w:lang w:eastAsia="en-GB"/>
          <w14:ligatures w14:val="none"/>
        </w:rPr>
        <w:t xml:space="preserve">Therefore, this academic </w:t>
      </w:r>
      <w:r w:rsidR="00D7135E">
        <w:rPr>
          <w:rFonts w:ascii="Calibri" w:eastAsia="Times New Roman" w:hAnsi="Calibri" w:cs="Calibri"/>
          <w:kern w:val="0"/>
          <w:sz w:val="24"/>
          <w:szCs w:val="24"/>
          <w:lang w:eastAsia="en-GB"/>
          <w14:ligatures w14:val="none"/>
        </w:rPr>
        <w:t xml:space="preserve">work examines governance as an institutional system of authority, participation, assurance and learning. </w:t>
      </w:r>
    </w:p>
    <w:p w14:paraId="42270EFC" w14:textId="1840F901" w:rsidR="00665EE0" w:rsidRDefault="00EC6B5D" w:rsidP="00DA5C05">
      <w:pPr>
        <w:spacing w:before="100" w:beforeAutospacing="1" w:after="100" w:afterAutospacing="1" w:line="360" w:lineRule="auto"/>
        <w:jc w:val="both"/>
        <w:rPr>
          <w:rFonts w:ascii="Calibri" w:eastAsia="Times New Roman" w:hAnsi="Calibri" w:cs="Calibri"/>
          <w:kern w:val="0"/>
          <w:sz w:val="24"/>
          <w:szCs w:val="24"/>
          <w:lang w:eastAsia="en-GB"/>
          <w14:ligatures w14:val="none"/>
        </w:rPr>
      </w:pPr>
      <w:r w:rsidRPr="002E350F">
        <w:rPr>
          <w:rFonts w:ascii="Calibri" w:eastAsia="Times New Roman" w:hAnsi="Calibri" w:cs="Calibri"/>
          <w:kern w:val="0"/>
          <w:sz w:val="24"/>
          <w:szCs w:val="24"/>
          <w:lang w:eastAsia="en-GB"/>
          <w14:ligatures w14:val="none"/>
        </w:rPr>
        <w:t xml:space="preserve">Wilson (2025) provides an especially relevant English and wider UK policy </w:t>
      </w:r>
      <w:r w:rsidR="002E350F">
        <w:rPr>
          <w:rFonts w:ascii="Calibri" w:eastAsia="Times New Roman" w:hAnsi="Calibri" w:cs="Calibri"/>
          <w:kern w:val="0"/>
          <w:sz w:val="24"/>
          <w:szCs w:val="24"/>
          <w:lang w:eastAsia="en-GB"/>
          <w14:ligatures w14:val="none"/>
        </w:rPr>
        <w:t>context</w:t>
      </w:r>
      <w:r w:rsidRPr="002E350F">
        <w:rPr>
          <w:rFonts w:ascii="Calibri" w:eastAsia="Times New Roman" w:hAnsi="Calibri" w:cs="Calibri"/>
          <w:kern w:val="0"/>
          <w:sz w:val="24"/>
          <w:szCs w:val="24"/>
          <w:lang w:eastAsia="en-GB"/>
          <w14:ligatures w14:val="none"/>
        </w:rPr>
        <w:t>. His analysis of HEI</w:t>
      </w:r>
      <w:r w:rsidR="005A4E6A" w:rsidRPr="002E350F">
        <w:rPr>
          <w:rFonts w:ascii="Calibri" w:eastAsia="Times New Roman" w:hAnsi="Calibri" w:cs="Calibri"/>
          <w:kern w:val="0"/>
          <w:sz w:val="24"/>
          <w:szCs w:val="24"/>
          <w:lang w:eastAsia="en-GB"/>
          <w14:ligatures w14:val="none"/>
        </w:rPr>
        <w:t xml:space="preserve"> guidance identified differences in policy maturity </w:t>
      </w:r>
      <w:r w:rsidR="002E350F">
        <w:rPr>
          <w:rFonts w:ascii="Calibri" w:eastAsia="Times New Roman" w:hAnsi="Calibri" w:cs="Calibri"/>
          <w:kern w:val="0"/>
          <w:sz w:val="24"/>
          <w:szCs w:val="24"/>
          <w:lang w:eastAsia="en-GB"/>
          <w14:ligatures w14:val="none"/>
        </w:rPr>
        <w:t>and resource availability and calls for continued policy</w:t>
      </w:r>
      <w:r w:rsidR="0032127B">
        <w:rPr>
          <w:rFonts w:ascii="Calibri" w:eastAsia="Times New Roman" w:hAnsi="Calibri" w:cs="Calibri"/>
          <w:kern w:val="0"/>
          <w:sz w:val="24"/>
          <w:szCs w:val="24"/>
          <w:lang w:eastAsia="en-GB"/>
          <w14:ligatures w14:val="none"/>
        </w:rPr>
        <w:t xml:space="preserve"> development and responsive</w:t>
      </w:r>
      <w:r w:rsidR="00051109">
        <w:rPr>
          <w:rFonts w:ascii="Calibri" w:eastAsia="Times New Roman" w:hAnsi="Calibri" w:cs="Calibri"/>
          <w:kern w:val="0"/>
          <w:sz w:val="24"/>
          <w:szCs w:val="24"/>
          <w:lang w:eastAsia="en-GB"/>
          <w14:ligatures w14:val="none"/>
        </w:rPr>
        <w:t>ness to students.</w:t>
      </w:r>
      <w:r w:rsidR="002E350F">
        <w:rPr>
          <w:rFonts w:ascii="Calibri" w:eastAsia="Times New Roman" w:hAnsi="Calibri" w:cs="Calibri"/>
          <w:kern w:val="0"/>
          <w:sz w:val="24"/>
          <w:szCs w:val="24"/>
          <w:lang w:eastAsia="en-GB"/>
          <w14:ligatures w14:val="none"/>
        </w:rPr>
        <w:t xml:space="preserve"> </w:t>
      </w:r>
      <w:r w:rsidR="00051109">
        <w:rPr>
          <w:rFonts w:ascii="Calibri" w:eastAsia="Times New Roman" w:hAnsi="Calibri" w:cs="Calibri"/>
          <w:kern w:val="0"/>
          <w:sz w:val="24"/>
          <w:szCs w:val="24"/>
          <w:lang w:eastAsia="en-GB"/>
          <w14:ligatures w14:val="none"/>
        </w:rPr>
        <w:t>Notably</w:t>
      </w:r>
      <w:r w:rsidR="00B939C5">
        <w:rPr>
          <w:rFonts w:ascii="Calibri" w:eastAsia="Times New Roman" w:hAnsi="Calibri" w:cs="Calibri"/>
          <w:kern w:val="0"/>
          <w:sz w:val="24"/>
          <w:szCs w:val="24"/>
          <w:lang w:eastAsia="en-GB"/>
          <w14:ligatures w14:val="none"/>
        </w:rPr>
        <w:t xml:space="preserve">, a website-based policy </w:t>
      </w:r>
      <w:r w:rsidR="00D542EF">
        <w:rPr>
          <w:rFonts w:ascii="Calibri" w:eastAsia="Times New Roman" w:hAnsi="Calibri" w:cs="Calibri"/>
          <w:kern w:val="0"/>
          <w:sz w:val="24"/>
          <w:szCs w:val="24"/>
          <w:lang w:eastAsia="en-GB"/>
          <w14:ligatures w14:val="none"/>
        </w:rPr>
        <w:t xml:space="preserve">comparison cannot show </w:t>
      </w:r>
      <w:r w:rsidR="00CB70E4">
        <w:rPr>
          <w:rFonts w:ascii="Calibri" w:eastAsia="Times New Roman" w:hAnsi="Calibri" w:cs="Calibri"/>
          <w:kern w:val="0"/>
          <w:sz w:val="24"/>
          <w:szCs w:val="24"/>
          <w:lang w:eastAsia="en-GB"/>
          <w14:ligatures w14:val="none"/>
        </w:rPr>
        <w:t>whether</w:t>
      </w:r>
      <w:r w:rsidR="00432815">
        <w:rPr>
          <w:rFonts w:ascii="Calibri" w:eastAsia="Times New Roman" w:hAnsi="Calibri" w:cs="Calibri"/>
          <w:kern w:val="0"/>
          <w:sz w:val="24"/>
          <w:szCs w:val="24"/>
          <w:lang w:eastAsia="en-GB"/>
          <w14:ligatures w14:val="none"/>
        </w:rPr>
        <w:t xml:space="preserve"> </w:t>
      </w:r>
      <w:r w:rsidR="00051109">
        <w:rPr>
          <w:rFonts w:ascii="Calibri" w:eastAsia="Times New Roman" w:hAnsi="Calibri" w:cs="Calibri"/>
          <w:kern w:val="0"/>
          <w:sz w:val="24"/>
          <w:szCs w:val="24"/>
          <w:lang w:eastAsia="en-GB"/>
          <w14:ligatures w14:val="none"/>
        </w:rPr>
        <w:t xml:space="preserve">approvals </w:t>
      </w:r>
      <w:r w:rsidR="00A05D8F">
        <w:rPr>
          <w:rFonts w:ascii="Calibri" w:eastAsia="Times New Roman" w:hAnsi="Calibri" w:cs="Calibri"/>
          <w:kern w:val="0"/>
          <w:sz w:val="24"/>
          <w:szCs w:val="24"/>
          <w:lang w:eastAsia="en-GB"/>
          <w14:ligatures w14:val="none"/>
        </w:rPr>
        <w:t xml:space="preserve">occur as described, whether </w:t>
      </w:r>
      <w:r w:rsidR="007146E9">
        <w:rPr>
          <w:rFonts w:ascii="Calibri" w:eastAsia="Times New Roman" w:hAnsi="Calibri" w:cs="Calibri"/>
          <w:kern w:val="0"/>
          <w:sz w:val="24"/>
          <w:szCs w:val="24"/>
          <w:lang w:eastAsia="en-GB"/>
          <w14:ligatures w14:val="none"/>
        </w:rPr>
        <w:t>policy</w:t>
      </w:r>
      <w:r w:rsidR="00A05D8F">
        <w:rPr>
          <w:rFonts w:ascii="Calibri" w:eastAsia="Times New Roman" w:hAnsi="Calibri" w:cs="Calibri"/>
          <w:kern w:val="0"/>
          <w:sz w:val="24"/>
          <w:szCs w:val="24"/>
          <w:lang w:eastAsia="en-GB"/>
          <w14:ligatures w14:val="none"/>
        </w:rPr>
        <w:t xml:space="preserve">makers have sufficient expertise or whether complaints receive remedies. </w:t>
      </w:r>
      <w:r w:rsidR="00654FCF">
        <w:rPr>
          <w:rFonts w:ascii="Calibri" w:eastAsia="Times New Roman" w:hAnsi="Calibri" w:cs="Calibri"/>
          <w:kern w:val="0"/>
          <w:sz w:val="24"/>
          <w:szCs w:val="24"/>
          <w:lang w:eastAsia="en-GB"/>
          <w14:ligatures w14:val="none"/>
        </w:rPr>
        <w:t xml:space="preserve">The gap is not </w:t>
      </w:r>
      <w:r w:rsidR="007146E9">
        <w:rPr>
          <w:rFonts w:ascii="Calibri" w:eastAsia="Times New Roman" w:hAnsi="Calibri" w:cs="Calibri"/>
          <w:kern w:val="0"/>
          <w:sz w:val="24"/>
          <w:szCs w:val="24"/>
          <w:lang w:eastAsia="en-GB"/>
          <w14:ligatures w14:val="none"/>
        </w:rPr>
        <w:t>that HEIs need policies</w:t>
      </w:r>
      <w:r w:rsidR="005B5720">
        <w:rPr>
          <w:rFonts w:ascii="Calibri" w:eastAsia="Times New Roman" w:hAnsi="Calibri" w:cs="Calibri"/>
          <w:kern w:val="0"/>
          <w:sz w:val="24"/>
          <w:szCs w:val="24"/>
          <w:lang w:eastAsia="en-GB"/>
          <w14:ligatures w14:val="none"/>
        </w:rPr>
        <w:t>, but that the relationships between policy, implementation capability, and observable ethical outcomes are unclear</w:t>
      </w:r>
      <w:r w:rsidR="00317D59">
        <w:rPr>
          <w:rFonts w:ascii="Calibri" w:eastAsia="Times New Roman" w:hAnsi="Calibri" w:cs="Calibri"/>
          <w:kern w:val="0"/>
          <w:sz w:val="24"/>
          <w:szCs w:val="24"/>
          <w:lang w:eastAsia="en-GB"/>
          <w14:ligatures w14:val="none"/>
        </w:rPr>
        <w:t>. The project moves from descri</w:t>
      </w:r>
      <w:r w:rsidR="005B5720">
        <w:rPr>
          <w:rFonts w:ascii="Calibri" w:eastAsia="Times New Roman" w:hAnsi="Calibri" w:cs="Calibri"/>
          <w:kern w:val="0"/>
          <w:sz w:val="24"/>
          <w:szCs w:val="24"/>
          <w:lang w:eastAsia="en-GB"/>
          <w14:ligatures w14:val="none"/>
        </w:rPr>
        <w:t xml:space="preserve">bing policy variation to explaining the organisational mechanisms that may account for it. </w:t>
      </w:r>
    </w:p>
    <w:p w14:paraId="1A9E92C4" w14:textId="4CC2991A" w:rsidR="005B5720" w:rsidRDefault="003523EB" w:rsidP="003523EB">
      <w:pPr>
        <w:pStyle w:val="Heading2"/>
        <w:rPr>
          <w:rFonts w:eastAsia="Times New Roman"/>
          <w:lang w:eastAsia="en-GB"/>
        </w:rPr>
      </w:pPr>
      <w:r>
        <w:rPr>
          <w:rFonts w:eastAsia="Times New Roman"/>
          <w:lang w:eastAsia="en-GB"/>
        </w:rPr>
        <w:t>Scope and delimitations</w:t>
      </w:r>
    </w:p>
    <w:p w14:paraId="57FBA091" w14:textId="79A68BFD" w:rsidR="003523EB" w:rsidRDefault="003523EB" w:rsidP="00DA5C05">
      <w:pPr>
        <w:spacing w:before="100" w:beforeAutospacing="1" w:after="100" w:afterAutospacing="1" w:line="360" w:lineRule="auto"/>
        <w:jc w:val="both"/>
        <w:rPr>
          <w:rFonts w:ascii="Calibri" w:eastAsia="Times New Roman" w:hAnsi="Calibri" w:cs="Calibri"/>
          <w:kern w:val="0"/>
          <w:sz w:val="24"/>
          <w:szCs w:val="24"/>
          <w:lang w:eastAsia="en-GB"/>
          <w14:ligatures w14:val="none"/>
        </w:rPr>
      </w:pPr>
      <w:r>
        <w:rPr>
          <w:rFonts w:ascii="Calibri" w:eastAsia="Times New Roman" w:hAnsi="Calibri" w:cs="Calibri"/>
          <w:kern w:val="0"/>
          <w:sz w:val="24"/>
          <w:szCs w:val="24"/>
          <w:lang w:eastAsia="en-GB"/>
          <w14:ligatures w14:val="none"/>
        </w:rPr>
        <w:t xml:space="preserve">The geographical focus </w:t>
      </w:r>
      <w:r w:rsidR="00023045">
        <w:rPr>
          <w:rFonts w:ascii="Calibri" w:eastAsia="Times New Roman" w:hAnsi="Calibri" w:cs="Calibri"/>
          <w:kern w:val="0"/>
          <w:sz w:val="24"/>
          <w:szCs w:val="24"/>
          <w:lang w:eastAsia="en-GB"/>
          <w14:ligatures w14:val="none"/>
        </w:rPr>
        <w:t>is publicly funded universities in England, rather than the UK</w:t>
      </w:r>
      <w:r w:rsidR="000F2CF7">
        <w:rPr>
          <w:rFonts w:ascii="Calibri" w:eastAsia="Times New Roman" w:hAnsi="Calibri" w:cs="Calibri"/>
          <w:kern w:val="0"/>
          <w:sz w:val="24"/>
          <w:szCs w:val="24"/>
          <w:lang w:eastAsia="en-GB"/>
          <w14:ligatures w14:val="none"/>
        </w:rPr>
        <w:t xml:space="preserve"> as an </w:t>
      </w:r>
      <w:r w:rsidR="00BE4C07">
        <w:rPr>
          <w:rFonts w:ascii="Calibri" w:eastAsia="Times New Roman" w:hAnsi="Calibri" w:cs="Calibri"/>
          <w:kern w:val="0"/>
          <w:sz w:val="24"/>
          <w:szCs w:val="24"/>
          <w:lang w:eastAsia="en-GB"/>
          <w14:ligatures w14:val="none"/>
        </w:rPr>
        <w:t>undifferentiated</w:t>
      </w:r>
      <w:r w:rsidR="000F2CF7">
        <w:rPr>
          <w:rFonts w:ascii="Calibri" w:eastAsia="Times New Roman" w:hAnsi="Calibri" w:cs="Calibri"/>
          <w:kern w:val="0"/>
          <w:sz w:val="24"/>
          <w:szCs w:val="24"/>
          <w:lang w:eastAsia="en-GB"/>
          <w14:ligatures w14:val="none"/>
        </w:rPr>
        <w:t xml:space="preserve"> regulatory jurisdiction. The substantive </w:t>
      </w:r>
      <w:r w:rsidR="00EA54DA">
        <w:rPr>
          <w:rFonts w:ascii="Calibri" w:eastAsia="Times New Roman" w:hAnsi="Calibri" w:cs="Calibri"/>
          <w:kern w:val="0"/>
          <w:sz w:val="24"/>
          <w:szCs w:val="24"/>
          <w:lang w:eastAsia="en-GB"/>
          <w14:ligatures w14:val="none"/>
        </w:rPr>
        <w:t>focus covers generative and predictive AI applications in teaching, research</w:t>
      </w:r>
      <w:r w:rsidR="00DB0453">
        <w:rPr>
          <w:rFonts w:ascii="Calibri" w:eastAsia="Times New Roman" w:hAnsi="Calibri" w:cs="Calibri"/>
          <w:kern w:val="0"/>
          <w:sz w:val="24"/>
          <w:szCs w:val="24"/>
          <w:lang w:eastAsia="en-GB"/>
          <w14:ligatures w14:val="none"/>
        </w:rPr>
        <w:t xml:space="preserve"> and administration. The study will examine organisational governance, not the technical development of foundation models. </w:t>
      </w:r>
      <w:r w:rsidR="00BE4C07">
        <w:rPr>
          <w:rFonts w:ascii="Calibri" w:eastAsia="Times New Roman" w:hAnsi="Calibri" w:cs="Calibri"/>
          <w:kern w:val="0"/>
          <w:sz w:val="24"/>
          <w:szCs w:val="24"/>
          <w:lang w:eastAsia="en-GB"/>
          <w14:ligatures w14:val="none"/>
        </w:rPr>
        <w:t>The study will evaluate individual AI model accuracy only where it relates</w:t>
      </w:r>
      <w:r w:rsidR="00DB0453">
        <w:rPr>
          <w:rFonts w:ascii="Calibri" w:eastAsia="Times New Roman" w:hAnsi="Calibri" w:cs="Calibri"/>
          <w:kern w:val="0"/>
          <w:sz w:val="24"/>
          <w:szCs w:val="24"/>
          <w:lang w:eastAsia="en-GB"/>
          <w14:ligatures w14:val="none"/>
        </w:rPr>
        <w:t xml:space="preserve"> </w:t>
      </w:r>
      <w:r w:rsidR="00BE4C07">
        <w:rPr>
          <w:rFonts w:ascii="Calibri" w:eastAsia="Times New Roman" w:hAnsi="Calibri" w:cs="Calibri"/>
          <w:kern w:val="0"/>
          <w:sz w:val="24"/>
          <w:szCs w:val="24"/>
          <w:lang w:eastAsia="en-GB"/>
          <w14:ligatures w14:val="none"/>
        </w:rPr>
        <w:t>to governance controls</w:t>
      </w:r>
      <w:r w:rsidR="00DB0453">
        <w:rPr>
          <w:rFonts w:ascii="Calibri" w:eastAsia="Times New Roman" w:hAnsi="Calibri" w:cs="Calibri"/>
          <w:kern w:val="0"/>
          <w:sz w:val="24"/>
          <w:szCs w:val="24"/>
          <w:lang w:eastAsia="en-GB"/>
          <w14:ligatures w14:val="none"/>
        </w:rPr>
        <w:t xml:space="preserve"> and </w:t>
      </w:r>
      <w:r w:rsidR="00BE4C07">
        <w:rPr>
          <w:rFonts w:ascii="Calibri" w:eastAsia="Times New Roman" w:hAnsi="Calibri" w:cs="Calibri"/>
          <w:kern w:val="0"/>
          <w:sz w:val="24"/>
          <w:szCs w:val="24"/>
          <w:lang w:eastAsia="en-GB"/>
          <w14:ligatures w14:val="none"/>
        </w:rPr>
        <w:t xml:space="preserve">where lawful access to evidence is granted. </w:t>
      </w:r>
    </w:p>
    <w:p w14:paraId="47C70AE8" w14:textId="51B4B348" w:rsidR="00BE4C07" w:rsidRDefault="007C7FC9" w:rsidP="007C7FC9">
      <w:pPr>
        <w:pStyle w:val="Heading1"/>
        <w:numPr>
          <w:ilvl w:val="0"/>
          <w:numId w:val="0"/>
        </w:numPr>
        <w:ind w:left="432" w:hanging="432"/>
        <w:rPr>
          <w:rFonts w:eastAsia="Times New Roman"/>
          <w:lang w:eastAsia="en-GB"/>
        </w:rPr>
      </w:pPr>
      <w:r>
        <w:rPr>
          <w:rFonts w:eastAsia="Times New Roman"/>
          <w:lang w:eastAsia="en-GB"/>
        </w:rPr>
        <w:lastRenderedPageBreak/>
        <w:t xml:space="preserve">2. Research Aim, Objectives and Questions </w:t>
      </w:r>
    </w:p>
    <w:p w14:paraId="1310D2A5" w14:textId="73A0ADD0" w:rsidR="007C7FC9" w:rsidRPr="007C7FC9" w:rsidRDefault="007C7FC9" w:rsidP="007C7FC9">
      <w:pPr>
        <w:pStyle w:val="Heading2"/>
        <w:numPr>
          <w:ilvl w:val="0"/>
          <w:numId w:val="0"/>
        </w:numPr>
        <w:ind w:left="576" w:hanging="576"/>
        <w:rPr>
          <w:rFonts w:eastAsia="Times New Roman"/>
          <w:lang w:eastAsia="en-GB"/>
        </w:rPr>
      </w:pPr>
      <w:r>
        <w:rPr>
          <w:rFonts w:eastAsia="Times New Roman"/>
          <w:lang w:eastAsia="en-GB"/>
        </w:rPr>
        <w:t xml:space="preserve">2.1 </w:t>
      </w:r>
      <w:r w:rsidRPr="007C7FC9">
        <w:rPr>
          <w:rFonts w:eastAsia="Times New Roman"/>
          <w:lang w:eastAsia="en-GB"/>
        </w:rPr>
        <w:t>Research Aim</w:t>
      </w:r>
    </w:p>
    <w:p w14:paraId="2A8CC75D" w14:textId="25D7C866" w:rsidR="007C7FC9" w:rsidRDefault="007C7FC9" w:rsidP="00DA5C05">
      <w:pPr>
        <w:spacing w:before="100" w:beforeAutospacing="1" w:after="100" w:afterAutospacing="1" w:line="360" w:lineRule="auto"/>
        <w:jc w:val="both"/>
        <w:rPr>
          <w:rFonts w:ascii="Calibri" w:eastAsia="Times New Roman" w:hAnsi="Calibri" w:cs="Calibri"/>
          <w:kern w:val="0"/>
          <w:sz w:val="24"/>
          <w:szCs w:val="24"/>
          <w:lang w:eastAsia="en-GB"/>
          <w14:ligatures w14:val="none"/>
        </w:rPr>
      </w:pPr>
      <w:r>
        <w:rPr>
          <w:rFonts w:ascii="Calibri" w:eastAsia="Times New Roman" w:hAnsi="Calibri" w:cs="Calibri"/>
          <w:kern w:val="0"/>
          <w:sz w:val="24"/>
          <w:szCs w:val="24"/>
          <w:lang w:eastAsia="en-GB"/>
          <w14:ligatures w14:val="none"/>
        </w:rPr>
        <w:t xml:space="preserve">To develop </w:t>
      </w:r>
      <w:r w:rsidR="00B0386A">
        <w:rPr>
          <w:rFonts w:ascii="Calibri" w:eastAsia="Times New Roman" w:hAnsi="Calibri" w:cs="Calibri"/>
          <w:kern w:val="0"/>
          <w:sz w:val="24"/>
          <w:szCs w:val="24"/>
          <w:lang w:eastAsia="en-GB"/>
          <w14:ligatures w14:val="none"/>
        </w:rPr>
        <w:t xml:space="preserve">and evaluate a context-sensitive SGM for the ethical implementation of AI </w:t>
      </w:r>
      <w:r w:rsidR="00C045BD">
        <w:rPr>
          <w:rFonts w:ascii="Calibri" w:eastAsia="Times New Roman" w:hAnsi="Calibri" w:cs="Calibri"/>
          <w:kern w:val="0"/>
          <w:sz w:val="24"/>
          <w:szCs w:val="24"/>
          <w:lang w:eastAsia="en-GB"/>
          <w14:ligatures w14:val="none"/>
        </w:rPr>
        <w:t>in English public universities, incorporating accountable decision-making, operational safeguards, meaningful participati</w:t>
      </w:r>
      <w:r w:rsidR="008A4409">
        <w:rPr>
          <w:rFonts w:ascii="Calibri" w:eastAsia="Times New Roman" w:hAnsi="Calibri" w:cs="Calibri"/>
          <w:kern w:val="0"/>
          <w:sz w:val="24"/>
          <w:szCs w:val="24"/>
          <w:lang w:eastAsia="en-GB"/>
          <w14:ligatures w14:val="none"/>
        </w:rPr>
        <w:t xml:space="preserve">on and ongoing institutional assurance. </w:t>
      </w:r>
    </w:p>
    <w:p w14:paraId="597FBECD" w14:textId="14239EBF" w:rsidR="008A4409" w:rsidRPr="003F7D58" w:rsidRDefault="008A4409" w:rsidP="003F7D58">
      <w:pPr>
        <w:pStyle w:val="Heading2"/>
        <w:numPr>
          <w:ilvl w:val="0"/>
          <w:numId w:val="0"/>
        </w:numPr>
        <w:ind w:left="576" w:hanging="576"/>
        <w:rPr>
          <w:rFonts w:eastAsia="Times New Roman"/>
          <w:lang w:eastAsia="en-GB"/>
        </w:rPr>
      </w:pPr>
      <w:r w:rsidRPr="003F7D58">
        <w:rPr>
          <w:rFonts w:eastAsia="Times New Roman"/>
          <w:lang w:eastAsia="en-GB"/>
        </w:rPr>
        <w:t xml:space="preserve">2. 2 Research Objectives </w:t>
      </w:r>
    </w:p>
    <w:p w14:paraId="18B1EB31" w14:textId="0E9F00AD" w:rsidR="008A4409" w:rsidRPr="003C1CAB" w:rsidRDefault="003F7D58" w:rsidP="003C1CAB">
      <w:pPr>
        <w:pStyle w:val="ListParagraph"/>
        <w:numPr>
          <w:ilvl w:val="0"/>
          <w:numId w:val="14"/>
        </w:numPr>
        <w:spacing w:before="100" w:beforeAutospacing="1" w:after="100" w:afterAutospacing="1" w:line="360" w:lineRule="auto"/>
        <w:jc w:val="both"/>
        <w:rPr>
          <w:rFonts w:ascii="Calibri" w:eastAsia="Times New Roman" w:hAnsi="Calibri" w:cs="Calibri"/>
          <w:kern w:val="0"/>
          <w:sz w:val="24"/>
          <w:szCs w:val="24"/>
          <w:lang w:eastAsia="en-GB"/>
          <w14:ligatures w14:val="none"/>
        </w:rPr>
      </w:pPr>
      <w:r w:rsidRPr="003C1CAB">
        <w:rPr>
          <w:rFonts w:ascii="Calibri" w:eastAsia="Times New Roman" w:hAnsi="Calibri" w:cs="Calibri"/>
          <w:kern w:val="0"/>
          <w:sz w:val="24"/>
          <w:szCs w:val="24"/>
          <w:lang w:eastAsia="en-GB"/>
          <w14:ligatures w14:val="none"/>
        </w:rPr>
        <w:t xml:space="preserve">To </w:t>
      </w:r>
      <w:r w:rsidR="00802530" w:rsidRPr="003C1CAB">
        <w:rPr>
          <w:rFonts w:ascii="Calibri" w:eastAsia="Times New Roman" w:hAnsi="Calibri" w:cs="Calibri"/>
          <w:kern w:val="0"/>
          <w:sz w:val="24"/>
          <w:szCs w:val="24"/>
          <w:lang w:eastAsia="en-GB"/>
          <w14:ligatures w14:val="none"/>
        </w:rPr>
        <w:t xml:space="preserve">examine how </w:t>
      </w:r>
      <w:r w:rsidR="00611BA1" w:rsidRPr="003C1CAB">
        <w:rPr>
          <w:rFonts w:ascii="Calibri" w:eastAsia="Times New Roman" w:hAnsi="Calibri" w:cs="Calibri"/>
          <w:kern w:val="0"/>
          <w:sz w:val="24"/>
          <w:szCs w:val="24"/>
          <w:lang w:eastAsia="en-GB"/>
          <w14:ligatures w14:val="none"/>
        </w:rPr>
        <w:t>institutional governance structures, resources and organisational context influence AI implementation and oversight.</w:t>
      </w:r>
    </w:p>
    <w:p w14:paraId="0FF80D01" w14:textId="7F905D98" w:rsidR="00611BA1" w:rsidRPr="003C1CAB" w:rsidRDefault="00EB23FE" w:rsidP="003C1CAB">
      <w:pPr>
        <w:pStyle w:val="ListParagraph"/>
        <w:numPr>
          <w:ilvl w:val="0"/>
          <w:numId w:val="14"/>
        </w:numPr>
        <w:spacing w:before="100" w:beforeAutospacing="1" w:after="100" w:afterAutospacing="1" w:line="360" w:lineRule="auto"/>
        <w:jc w:val="both"/>
        <w:rPr>
          <w:rFonts w:ascii="Calibri" w:eastAsia="Times New Roman" w:hAnsi="Calibri" w:cs="Calibri"/>
          <w:kern w:val="0"/>
          <w:sz w:val="24"/>
          <w:szCs w:val="24"/>
          <w:lang w:eastAsia="en-GB"/>
          <w14:ligatures w14:val="none"/>
        </w:rPr>
      </w:pPr>
      <w:r w:rsidRPr="003C1CAB">
        <w:rPr>
          <w:rFonts w:ascii="Calibri" w:eastAsia="Times New Roman" w:hAnsi="Calibri" w:cs="Calibri"/>
          <w:kern w:val="0"/>
          <w:sz w:val="24"/>
          <w:szCs w:val="24"/>
          <w:lang w:eastAsia="en-GB"/>
          <w14:ligatures w14:val="none"/>
        </w:rPr>
        <w:t xml:space="preserve">To determine appropriate </w:t>
      </w:r>
      <w:r w:rsidR="00CC1775" w:rsidRPr="003C1CAB">
        <w:rPr>
          <w:rFonts w:ascii="Calibri" w:eastAsia="Times New Roman" w:hAnsi="Calibri" w:cs="Calibri"/>
          <w:kern w:val="0"/>
          <w:sz w:val="24"/>
          <w:szCs w:val="24"/>
          <w:lang w:eastAsia="en-GB"/>
          <w14:ligatures w14:val="none"/>
        </w:rPr>
        <w:t>decision</w:t>
      </w:r>
      <w:r w:rsidRPr="003C1CAB">
        <w:rPr>
          <w:rFonts w:ascii="Calibri" w:eastAsia="Times New Roman" w:hAnsi="Calibri" w:cs="Calibri"/>
          <w:kern w:val="0"/>
          <w:sz w:val="24"/>
          <w:szCs w:val="24"/>
          <w:lang w:eastAsia="en-GB"/>
          <w14:ligatures w14:val="none"/>
        </w:rPr>
        <w:t xml:space="preserve"> rights, risk controls, review cycles and escalation</w:t>
      </w:r>
      <w:r w:rsidR="00CC1775" w:rsidRPr="003C1CAB">
        <w:rPr>
          <w:rFonts w:ascii="Calibri" w:eastAsia="Times New Roman" w:hAnsi="Calibri" w:cs="Calibri"/>
          <w:kern w:val="0"/>
          <w:sz w:val="24"/>
          <w:szCs w:val="24"/>
          <w:lang w:eastAsia="en-GB"/>
          <w14:ligatures w14:val="none"/>
        </w:rPr>
        <w:t xml:space="preserve"> arrangements across HEIs' functions. </w:t>
      </w:r>
    </w:p>
    <w:p w14:paraId="6AE497C2" w14:textId="28FA6C98" w:rsidR="00CC1775" w:rsidRPr="003C1CAB" w:rsidRDefault="00F42A44" w:rsidP="003C1CAB">
      <w:pPr>
        <w:pStyle w:val="ListParagraph"/>
        <w:numPr>
          <w:ilvl w:val="0"/>
          <w:numId w:val="14"/>
        </w:numPr>
        <w:spacing w:before="100" w:beforeAutospacing="1" w:after="100" w:afterAutospacing="1" w:line="360" w:lineRule="auto"/>
        <w:jc w:val="both"/>
        <w:rPr>
          <w:rFonts w:ascii="Calibri" w:eastAsia="Times New Roman" w:hAnsi="Calibri" w:cs="Calibri"/>
          <w:kern w:val="0"/>
          <w:sz w:val="24"/>
          <w:szCs w:val="24"/>
          <w:lang w:eastAsia="en-GB"/>
          <w14:ligatures w14:val="none"/>
        </w:rPr>
      </w:pPr>
      <w:r w:rsidRPr="003C1CAB">
        <w:rPr>
          <w:rFonts w:ascii="Calibri" w:eastAsia="Times New Roman" w:hAnsi="Calibri" w:cs="Calibri"/>
          <w:kern w:val="0"/>
          <w:sz w:val="24"/>
          <w:szCs w:val="24"/>
          <w:lang w:eastAsia="en-GB"/>
          <w14:ligatures w14:val="none"/>
        </w:rPr>
        <w:t xml:space="preserve">To </w:t>
      </w:r>
      <w:r w:rsidR="00D1601F" w:rsidRPr="003C1CAB">
        <w:rPr>
          <w:rFonts w:ascii="Calibri" w:eastAsia="Times New Roman" w:hAnsi="Calibri" w:cs="Calibri"/>
          <w:kern w:val="0"/>
          <w:sz w:val="24"/>
          <w:szCs w:val="24"/>
          <w:lang w:eastAsia="en-GB"/>
          <w14:ligatures w14:val="none"/>
        </w:rPr>
        <w:t>assess</w:t>
      </w:r>
      <w:r w:rsidRPr="003C1CAB">
        <w:rPr>
          <w:rFonts w:ascii="Calibri" w:eastAsia="Times New Roman" w:hAnsi="Calibri" w:cs="Calibri"/>
          <w:kern w:val="0"/>
          <w:sz w:val="24"/>
          <w:szCs w:val="24"/>
          <w:lang w:eastAsia="en-GB"/>
          <w14:ligatures w14:val="none"/>
        </w:rPr>
        <w:t xml:space="preserve"> how students, academic staff, professional services and affected groups </w:t>
      </w:r>
      <w:r w:rsidR="00D1601F" w:rsidRPr="003C1CAB">
        <w:rPr>
          <w:rFonts w:ascii="Calibri" w:eastAsia="Times New Roman" w:hAnsi="Calibri" w:cs="Calibri"/>
          <w:kern w:val="0"/>
          <w:sz w:val="24"/>
          <w:szCs w:val="24"/>
          <w:lang w:eastAsia="en-GB"/>
          <w14:ligatures w14:val="none"/>
        </w:rPr>
        <w:t xml:space="preserve">can influence AI decisions and challenge outcomes. </w:t>
      </w:r>
    </w:p>
    <w:p w14:paraId="06FB27CE" w14:textId="309C8505" w:rsidR="0000693E" w:rsidRPr="003C1CAB" w:rsidRDefault="0000693E" w:rsidP="003C1CAB">
      <w:pPr>
        <w:pStyle w:val="ListParagraph"/>
        <w:numPr>
          <w:ilvl w:val="0"/>
          <w:numId w:val="14"/>
        </w:numPr>
        <w:spacing w:before="100" w:beforeAutospacing="1" w:after="100" w:afterAutospacing="1" w:line="360" w:lineRule="auto"/>
        <w:jc w:val="both"/>
        <w:rPr>
          <w:rFonts w:ascii="Calibri" w:eastAsia="Times New Roman" w:hAnsi="Calibri" w:cs="Calibri"/>
          <w:kern w:val="0"/>
          <w:sz w:val="24"/>
          <w:szCs w:val="24"/>
          <w:lang w:eastAsia="en-GB"/>
          <w14:ligatures w14:val="none"/>
        </w:rPr>
      </w:pPr>
      <w:r w:rsidRPr="003C1CAB">
        <w:rPr>
          <w:rFonts w:ascii="Calibri" w:eastAsia="Times New Roman" w:hAnsi="Calibri" w:cs="Calibri"/>
          <w:kern w:val="0"/>
          <w:sz w:val="24"/>
          <w:szCs w:val="24"/>
          <w:lang w:eastAsia="en-GB"/>
          <w14:ligatures w14:val="none"/>
        </w:rPr>
        <w:t xml:space="preserve">To design </w:t>
      </w:r>
      <w:r w:rsidR="001554BB" w:rsidRPr="003C1CAB">
        <w:rPr>
          <w:rFonts w:ascii="Calibri" w:eastAsia="Times New Roman" w:hAnsi="Calibri" w:cs="Calibri"/>
          <w:kern w:val="0"/>
          <w:sz w:val="24"/>
          <w:szCs w:val="24"/>
          <w:lang w:eastAsia="en-GB"/>
          <w14:ligatures w14:val="none"/>
        </w:rPr>
        <w:t xml:space="preserve">an adaptive SGM balancing shared ethical requirements with institutional diversity and academic </w:t>
      </w:r>
      <w:r w:rsidR="00FE26D9" w:rsidRPr="003C1CAB">
        <w:rPr>
          <w:rFonts w:ascii="Calibri" w:eastAsia="Times New Roman" w:hAnsi="Calibri" w:cs="Calibri"/>
          <w:kern w:val="0"/>
          <w:sz w:val="24"/>
          <w:szCs w:val="24"/>
          <w:lang w:eastAsia="en-GB"/>
          <w14:ligatures w14:val="none"/>
        </w:rPr>
        <w:t xml:space="preserve">autonomy. </w:t>
      </w:r>
    </w:p>
    <w:p w14:paraId="38BD0494" w14:textId="0F09B056" w:rsidR="00FE26D9" w:rsidRPr="003C1CAB" w:rsidRDefault="00FE26D9" w:rsidP="003C1CAB">
      <w:pPr>
        <w:pStyle w:val="ListParagraph"/>
        <w:numPr>
          <w:ilvl w:val="0"/>
          <w:numId w:val="14"/>
        </w:numPr>
        <w:spacing w:before="100" w:beforeAutospacing="1" w:after="100" w:afterAutospacing="1" w:line="360" w:lineRule="auto"/>
        <w:jc w:val="both"/>
        <w:rPr>
          <w:rFonts w:ascii="Calibri" w:eastAsia="Times New Roman" w:hAnsi="Calibri" w:cs="Calibri"/>
          <w:kern w:val="0"/>
          <w:sz w:val="24"/>
          <w:szCs w:val="24"/>
          <w:lang w:eastAsia="en-GB"/>
          <w14:ligatures w14:val="none"/>
        </w:rPr>
      </w:pPr>
      <w:r w:rsidRPr="003C1CAB">
        <w:rPr>
          <w:rFonts w:ascii="Calibri" w:eastAsia="Times New Roman" w:hAnsi="Calibri" w:cs="Calibri"/>
          <w:kern w:val="0"/>
          <w:sz w:val="24"/>
          <w:szCs w:val="24"/>
          <w:lang w:eastAsia="en-GB"/>
          <w14:ligatures w14:val="none"/>
        </w:rPr>
        <w:t xml:space="preserve">To establish feasible indicators and </w:t>
      </w:r>
      <w:r w:rsidR="003C1CAB" w:rsidRPr="003C1CAB">
        <w:rPr>
          <w:rFonts w:ascii="Calibri" w:eastAsia="Times New Roman" w:hAnsi="Calibri" w:cs="Calibri"/>
          <w:kern w:val="0"/>
          <w:sz w:val="24"/>
          <w:szCs w:val="24"/>
          <w:lang w:eastAsia="en-GB"/>
          <w14:ligatures w14:val="none"/>
        </w:rPr>
        <w:t xml:space="preserve">a </w:t>
      </w:r>
      <w:r w:rsidRPr="003C1CAB">
        <w:rPr>
          <w:rFonts w:ascii="Calibri" w:eastAsia="Times New Roman" w:hAnsi="Calibri" w:cs="Calibri"/>
          <w:kern w:val="0"/>
          <w:sz w:val="24"/>
          <w:szCs w:val="24"/>
          <w:lang w:eastAsia="en-GB"/>
          <w14:ligatures w14:val="none"/>
        </w:rPr>
        <w:t>pilot-evaluation strategy for accountability, transparen</w:t>
      </w:r>
      <w:r w:rsidR="00B019E0" w:rsidRPr="003C1CAB">
        <w:rPr>
          <w:rFonts w:ascii="Calibri" w:eastAsia="Times New Roman" w:hAnsi="Calibri" w:cs="Calibri"/>
          <w:kern w:val="0"/>
          <w:sz w:val="24"/>
          <w:szCs w:val="24"/>
          <w:lang w:eastAsia="en-GB"/>
          <w14:ligatures w14:val="none"/>
        </w:rPr>
        <w:t xml:space="preserve">cy, equity and responsible AI use over time. </w:t>
      </w:r>
    </w:p>
    <w:p w14:paraId="74FF15C4" w14:textId="434FDEBE" w:rsidR="00B019E0" w:rsidRPr="00E570CF" w:rsidRDefault="003C1CAB" w:rsidP="00E570CF">
      <w:pPr>
        <w:pStyle w:val="Heading2"/>
        <w:numPr>
          <w:ilvl w:val="0"/>
          <w:numId w:val="0"/>
        </w:numPr>
        <w:ind w:left="576" w:hanging="576"/>
        <w:rPr>
          <w:rFonts w:eastAsia="Times New Roman"/>
          <w:lang w:eastAsia="en-GB"/>
        </w:rPr>
      </w:pPr>
      <w:r w:rsidRPr="00E570CF">
        <w:rPr>
          <w:rFonts w:eastAsia="Times New Roman"/>
          <w:lang w:eastAsia="en-GB"/>
        </w:rPr>
        <w:t xml:space="preserve">2.3 Main Research Question </w:t>
      </w:r>
    </w:p>
    <w:p w14:paraId="0E488457" w14:textId="73FDA160" w:rsidR="003C1CAB" w:rsidRDefault="00FF3931" w:rsidP="00DA5C05">
      <w:pPr>
        <w:spacing w:before="100" w:beforeAutospacing="1" w:after="100" w:afterAutospacing="1" w:line="360" w:lineRule="auto"/>
        <w:jc w:val="both"/>
        <w:rPr>
          <w:rFonts w:ascii="Calibri" w:eastAsia="Times New Roman" w:hAnsi="Calibri" w:cs="Calibri"/>
          <w:kern w:val="0"/>
          <w:sz w:val="24"/>
          <w:szCs w:val="24"/>
          <w:lang w:eastAsia="en-GB"/>
          <w14:ligatures w14:val="none"/>
        </w:rPr>
      </w:pPr>
      <w:r>
        <w:rPr>
          <w:rFonts w:ascii="Calibri" w:eastAsia="Times New Roman" w:hAnsi="Calibri" w:cs="Calibri"/>
          <w:kern w:val="0"/>
          <w:sz w:val="24"/>
          <w:szCs w:val="24"/>
          <w:lang w:eastAsia="en-GB"/>
          <w14:ligatures w14:val="none"/>
        </w:rPr>
        <w:t>How can a SGM be developed and validated to support ethical AI implementation in English public universities</w:t>
      </w:r>
      <w:r w:rsidR="00E570CF">
        <w:rPr>
          <w:rFonts w:ascii="Calibri" w:eastAsia="Times New Roman" w:hAnsi="Calibri" w:cs="Calibri"/>
          <w:kern w:val="0"/>
          <w:sz w:val="24"/>
          <w:szCs w:val="24"/>
          <w:lang w:eastAsia="en-GB"/>
          <w14:ligatures w14:val="none"/>
        </w:rPr>
        <w:t xml:space="preserve">? </w:t>
      </w:r>
    </w:p>
    <w:p w14:paraId="4199B2FC" w14:textId="02035C48" w:rsidR="00F37A02" w:rsidRPr="00DD0D71" w:rsidRDefault="00F37A02" w:rsidP="00DD0D71">
      <w:pPr>
        <w:pStyle w:val="Heading2"/>
        <w:numPr>
          <w:ilvl w:val="0"/>
          <w:numId w:val="0"/>
        </w:numPr>
        <w:ind w:left="576" w:hanging="576"/>
        <w:rPr>
          <w:rFonts w:eastAsia="Times New Roman"/>
          <w:lang w:eastAsia="en-GB"/>
        </w:rPr>
      </w:pPr>
      <w:r w:rsidRPr="00DD0D71">
        <w:rPr>
          <w:rFonts w:eastAsia="Times New Roman"/>
          <w:lang w:eastAsia="en-GB"/>
        </w:rPr>
        <w:t>2.4 Research Questions</w:t>
      </w:r>
    </w:p>
    <w:p w14:paraId="24490C54" w14:textId="6EA5EFE4" w:rsidR="003C529C" w:rsidRPr="004157FA" w:rsidRDefault="009B23C0" w:rsidP="004157FA">
      <w:pPr>
        <w:pStyle w:val="ListParagraph"/>
        <w:numPr>
          <w:ilvl w:val="0"/>
          <w:numId w:val="17"/>
        </w:numPr>
        <w:spacing w:before="100" w:beforeAutospacing="1" w:after="100" w:afterAutospacing="1" w:line="360" w:lineRule="auto"/>
        <w:jc w:val="both"/>
        <w:rPr>
          <w:rFonts w:ascii="Calibri" w:eastAsia="Times New Roman" w:hAnsi="Calibri" w:cs="Calibri"/>
          <w:kern w:val="0"/>
          <w:sz w:val="24"/>
          <w:szCs w:val="24"/>
          <w:lang w:eastAsia="en-GB"/>
          <w14:ligatures w14:val="none"/>
        </w:rPr>
      </w:pPr>
      <w:r w:rsidRPr="004157FA">
        <w:rPr>
          <w:rFonts w:ascii="Calibri" w:eastAsia="Times New Roman" w:hAnsi="Calibri" w:cs="Calibri"/>
          <w:kern w:val="0"/>
          <w:sz w:val="24"/>
          <w:szCs w:val="24"/>
          <w:lang w:eastAsia="en-GB"/>
          <w14:ligatures w14:val="none"/>
        </w:rPr>
        <w:t>RQ1. How do existing governance arrangement</w:t>
      </w:r>
      <w:r w:rsidR="00513B71" w:rsidRPr="004157FA">
        <w:rPr>
          <w:rFonts w:ascii="Calibri" w:eastAsia="Times New Roman" w:hAnsi="Calibri" w:cs="Calibri"/>
          <w:kern w:val="0"/>
          <w:sz w:val="24"/>
          <w:szCs w:val="24"/>
          <w:lang w:eastAsia="en-GB"/>
          <w14:ligatures w14:val="none"/>
        </w:rPr>
        <w:t xml:space="preserve">s and </w:t>
      </w:r>
      <w:r w:rsidR="007A1A4B" w:rsidRPr="004157FA">
        <w:rPr>
          <w:rFonts w:ascii="Calibri" w:eastAsia="Times New Roman" w:hAnsi="Calibri" w:cs="Calibri"/>
          <w:kern w:val="0"/>
          <w:sz w:val="24"/>
          <w:szCs w:val="24"/>
          <w:lang w:eastAsia="en-GB"/>
          <w14:ligatures w14:val="none"/>
        </w:rPr>
        <w:t>HEIs’</w:t>
      </w:r>
      <w:r w:rsidR="00513B71" w:rsidRPr="004157FA">
        <w:rPr>
          <w:rFonts w:ascii="Calibri" w:eastAsia="Times New Roman" w:hAnsi="Calibri" w:cs="Calibri"/>
          <w:kern w:val="0"/>
          <w:sz w:val="24"/>
          <w:szCs w:val="24"/>
          <w:lang w:eastAsia="en-GB"/>
          <w14:ligatures w14:val="none"/>
        </w:rPr>
        <w:t xml:space="preserve"> resources shape AI adoption in English public universities?</w:t>
      </w:r>
    </w:p>
    <w:p w14:paraId="3AF74267" w14:textId="09795C5B" w:rsidR="007A1A4B" w:rsidRPr="004157FA" w:rsidRDefault="007A1A4B" w:rsidP="004157FA">
      <w:pPr>
        <w:pStyle w:val="ListParagraph"/>
        <w:numPr>
          <w:ilvl w:val="0"/>
          <w:numId w:val="17"/>
        </w:numPr>
        <w:spacing w:before="100" w:beforeAutospacing="1" w:after="100" w:afterAutospacing="1" w:line="360" w:lineRule="auto"/>
        <w:jc w:val="both"/>
        <w:rPr>
          <w:rFonts w:ascii="Calibri" w:eastAsia="Times New Roman" w:hAnsi="Calibri" w:cs="Calibri"/>
          <w:kern w:val="0"/>
          <w:sz w:val="24"/>
          <w:szCs w:val="24"/>
          <w:lang w:eastAsia="en-GB"/>
          <w14:ligatures w14:val="none"/>
        </w:rPr>
      </w:pPr>
      <w:r w:rsidRPr="004157FA">
        <w:rPr>
          <w:rFonts w:ascii="Calibri" w:eastAsia="Times New Roman" w:hAnsi="Calibri" w:cs="Calibri"/>
          <w:kern w:val="0"/>
          <w:sz w:val="24"/>
          <w:szCs w:val="24"/>
          <w:lang w:eastAsia="en-GB"/>
          <w14:ligatures w14:val="none"/>
        </w:rPr>
        <w:t xml:space="preserve">RQ2. </w:t>
      </w:r>
      <w:r w:rsidR="006B444C" w:rsidRPr="004157FA">
        <w:rPr>
          <w:rFonts w:ascii="Calibri" w:eastAsia="Times New Roman" w:hAnsi="Calibri" w:cs="Calibri"/>
          <w:kern w:val="0"/>
          <w:sz w:val="24"/>
          <w:szCs w:val="24"/>
          <w:lang w:eastAsia="en-GB"/>
          <w14:ligatures w14:val="none"/>
        </w:rPr>
        <w:t xml:space="preserve">Which decision rights, risk controls and review processes should </w:t>
      </w:r>
      <w:r w:rsidR="00DD0D71" w:rsidRPr="004157FA">
        <w:rPr>
          <w:rFonts w:ascii="Calibri" w:eastAsia="Times New Roman" w:hAnsi="Calibri" w:cs="Calibri"/>
          <w:kern w:val="0"/>
          <w:sz w:val="24"/>
          <w:szCs w:val="24"/>
          <w:lang w:eastAsia="en-GB"/>
          <w14:ligatures w14:val="none"/>
        </w:rPr>
        <w:t>SGM include across teaching, research and academic administration?</w:t>
      </w:r>
    </w:p>
    <w:p w14:paraId="0A9788D7" w14:textId="1749808E" w:rsidR="00DD0D71" w:rsidRPr="004157FA" w:rsidRDefault="00B13E25" w:rsidP="004157FA">
      <w:pPr>
        <w:pStyle w:val="ListParagraph"/>
        <w:numPr>
          <w:ilvl w:val="0"/>
          <w:numId w:val="17"/>
        </w:numPr>
        <w:spacing w:before="100" w:beforeAutospacing="1" w:after="100" w:afterAutospacing="1" w:line="360" w:lineRule="auto"/>
        <w:jc w:val="both"/>
        <w:rPr>
          <w:rFonts w:ascii="Calibri" w:eastAsia="Times New Roman" w:hAnsi="Calibri" w:cs="Calibri"/>
          <w:kern w:val="0"/>
          <w:sz w:val="24"/>
          <w:szCs w:val="24"/>
          <w:lang w:eastAsia="en-GB"/>
          <w14:ligatures w14:val="none"/>
        </w:rPr>
      </w:pPr>
      <w:r w:rsidRPr="004157FA">
        <w:rPr>
          <w:rFonts w:ascii="Calibri" w:eastAsia="Times New Roman" w:hAnsi="Calibri" w:cs="Calibri"/>
          <w:kern w:val="0"/>
          <w:sz w:val="24"/>
          <w:szCs w:val="24"/>
          <w:lang w:eastAsia="en-GB"/>
          <w14:ligatures w14:val="none"/>
        </w:rPr>
        <w:t>RQ3. How should students, academics, professional staff and affected groups participate in AI decisions</w:t>
      </w:r>
      <w:r w:rsidR="00BB20C0" w:rsidRPr="004157FA">
        <w:rPr>
          <w:rFonts w:ascii="Calibri" w:eastAsia="Times New Roman" w:hAnsi="Calibri" w:cs="Calibri"/>
          <w:kern w:val="0"/>
          <w:sz w:val="24"/>
          <w:szCs w:val="24"/>
          <w:lang w:eastAsia="en-GB"/>
          <w14:ligatures w14:val="none"/>
        </w:rPr>
        <w:t xml:space="preserve"> and contest outcomes? </w:t>
      </w:r>
    </w:p>
    <w:p w14:paraId="11DB5894" w14:textId="1AB6A001" w:rsidR="00BB20C0" w:rsidRPr="004157FA" w:rsidRDefault="00BB20C0" w:rsidP="004157FA">
      <w:pPr>
        <w:pStyle w:val="ListParagraph"/>
        <w:numPr>
          <w:ilvl w:val="0"/>
          <w:numId w:val="17"/>
        </w:numPr>
        <w:spacing w:before="100" w:beforeAutospacing="1" w:after="100" w:afterAutospacing="1" w:line="360" w:lineRule="auto"/>
        <w:jc w:val="both"/>
        <w:rPr>
          <w:rFonts w:ascii="Calibri" w:eastAsia="Times New Roman" w:hAnsi="Calibri" w:cs="Calibri"/>
          <w:kern w:val="0"/>
          <w:sz w:val="24"/>
          <w:szCs w:val="24"/>
          <w:lang w:eastAsia="en-GB"/>
          <w14:ligatures w14:val="none"/>
        </w:rPr>
      </w:pPr>
      <w:r w:rsidRPr="004157FA">
        <w:rPr>
          <w:rFonts w:ascii="Calibri" w:eastAsia="Times New Roman" w:hAnsi="Calibri" w:cs="Calibri"/>
          <w:kern w:val="0"/>
          <w:sz w:val="24"/>
          <w:szCs w:val="24"/>
          <w:lang w:eastAsia="en-GB"/>
          <w14:ligatures w14:val="none"/>
        </w:rPr>
        <w:lastRenderedPageBreak/>
        <w:t xml:space="preserve">RQ4. How can common ethical standards accommodate HEIs’ diversity and academic autonomy? </w:t>
      </w:r>
    </w:p>
    <w:p w14:paraId="382DFC04" w14:textId="677429B8" w:rsidR="00BB20C0" w:rsidRPr="004157FA" w:rsidRDefault="00BB20C0" w:rsidP="004157FA">
      <w:pPr>
        <w:pStyle w:val="ListParagraph"/>
        <w:numPr>
          <w:ilvl w:val="0"/>
          <w:numId w:val="17"/>
        </w:numPr>
        <w:spacing w:before="100" w:beforeAutospacing="1" w:after="100" w:afterAutospacing="1" w:line="360" w:lineRule="auto"/>
        <w:jc w:val="both"/>
        <w:rPr>
          <w:rFonts w:ascii="Calibri" w:eastAsia="Times New Roman" w:hAnsi="Calibri" w:cs="Calibri"/>
          <w:kern w:val="0"/>
          <w:sz w:val="24"/>
          <w:szCs w:val="24"/>
          <w:lang w:eastAsia="en-GB"/>
          <w14:ligatures w14:val="none"/>
        </w:rPr>
      </w:pPr>
      <w:r w:rsidRPr="004157FA">
        <w:rPr>
          <w:rFonts w:ascii="Calibri" w:eastAsia="Times New Roman" w:hAnsi="Calibri" w:cs="Calibri"/>
          <w:kern w:val="0"/>
          <w:sz w:val="24"/>
          <w:szCs w:val="24"/>
          <w:lang w:eastAsia="en-GB"/>
          <w14:ligatures w14:val="none"/>
        </w:rPr>
        <w:t xml:space="preserve">RQ5. </w:t>
      </w:r>
      <w:r w:rsidR="0059003E" w:rsidRPr="004157FA">
        <w:rPr>
          <w:rFonts w:ascii="Calibri" w:eastAsia="Times New Roman" w:hAnsi="Calibri" w:cs="Calibri"/>
          <w:kern w:val="0"/>
          <w:sz w:val="24"/>
          <w:szCs w:val="24"/>
          <w:lang w:eastAsia="en-GB"/>
          <w14:ligatures w14:val="none"/>
        </w:rPr>
        <w:t xml:space="preserve">To what extent does a pilot SGM improve accountability, transparency, equity and responsible use over time? </w:t>
      </w:r>
    </w:p>
    <w:p w14:paraId="3B6EB96A" w14:textId="44504112" w:rsidR="00E3108E" w:rsidRPr="004157FA" w:rsidRDefault="00E3108E" w:rsidP="004157FA">
      <w:pPr>
        <w:pStyle w:val="Heading1"/>
        <w:numPr>
          <w:ilvl w:val="0"/>
          <w:numId w:val="0"/>
        </w:numPr>
        <w:ind w:left="432" w:hanging="432"/>
        <w:rPr>
          <w:rFonts w:eastAsia="Times New Roman"/>
          <w:lang w:eastAsia="en-GB"/>
        </w:rPr>
      </w:pPr>
      <w:r w:rsidRPr="004157FA">
        <w:rPr>
          <w:rFonts w:eastAsia="Times New Roman"/>
          <w:lang w:eastAsia="en-GB"/>
        </w:rPr>
        <w:t xml:space="preserve">3. </w:t>
      </w:r>
      <w:r w:rsidR="004157FA" w:rsidRPr="004157FA">
        <w:rPr>
          <w:rFonts w:eastAsia="Times New Roman"/>
          <w:lang w:eastAsia="en-GB"/>
        </w:rPr>
        <w:t>Critical Literature Review</w:t>
      </w:r>
    </w:p>
    <w:p w14:paraId="1E055CE2" w14:textId="629FA243" w:rsidR="004157FA" w:rsidRDefault="004157FA" w:rsidP="004157FA">
      <w:pPr>
        <w:pStyle w:val="Heading2"/>
        <w:numPr>
          <w:ilvl w:val="0"/>
          <w:numId w:val="0"/>
        </w:numPr>
        <w:ind w:left="576" w:hanging="576"/>
        <w:rPr>
          <w:rFonts w:eastAsia="Times New Roman"/>
          <w:lang w:eastAsia="en-GB"/>
        </w:rPr>
      </w:pPr>
      <w:r>
        <w:rPr>
          <w:rFonts w:eastAsia="Times New Roman"/>
          <w:lang w:eastAsia="en-GB"/>
        </w:rPr>
        <w:t xml:space="preserve">3.1 HEIs </w:t>
      </w:r>
      <w:r w:rsidR="00460044">
        <w:rPr>
          <w:rFonts w:eastAsia="Times New Roman"/>
          <w:lang w:eastAsia="en-GB"/>
        </w:rPr>
        <w:t>P</w:t>
      </w:r>
      <w:r>
        <w:rPr>
          <w:rFonts w:eastAsia="Times New Roman"/>
          <w:lang w:eastAsia="en-GB"/>
        </w:rPr>
        <w:t xml:space="preserve">olicy </w:t>
      </w:r>
      <w:r w:rsidR="00460044">
        <w:rPr>
          <w:rFonts w:eastAsia="Times New Roman"/>
          <w:lang w:eastAsia="en-GB"/>
        </w:rPr>
        <w:t>V</w:t>
      </w:r>
      <w:r>
        <w:rPr>
          <w:rFonts w:eastAsia="Times New Roman"/>
          <w:lang w:eastAsia="en-GB"/>
        </w:rPr>
        <w:t xml:space="preserve">ariation </w:t>
      </w:r>
    </w:p>
    <w:p w14:paraId="72CF9260" w14:textId="720008AC" w:rsidR="00E570CF" w:rsidRDefault="004157FA" w:rsidP="00DA5C05">
      <w:pPr>
        <w:spacing w:before="100" w:beforeAutospacing="1" w:after="100" w:afterAutospacing="1" w:line="360" w:lineRule="auto"/>
        <w:jc w:val="both"/>
        <w:rPr>
          <w:rFonts w:ascii="Calibri" w:eastAsia="Times New Roman" w:hAnsi="Calibri" w:cs="Calibri"/>
          <w:kern w:val="0"/>
          <w:sz w:val="24"/>
          <w:szCs w:val="24"/>
          <w:lang w:eastAsia="en-GB"/>
          <w14:ligatures w14:val="none"/>
        </w:rPr>
      </w:pPr>
      <w:r>
        <w:rPr>
          <w:rFonts w:ascii="Calibri" w:eastAsia="Times New Roman" w:hAnsi="Calibri" w:cs="Calibri"/>
          <w:kern w:val="0"/>
          <w:sz w:val="24"/>
          <w:szCs w:val="24"/>
          <w:lang w:eastAsia="en-GB"/>
          <w14:ligatures w14:val="none"/>
        </w:rPr>
        <w:t xml:space="preserve">3.2 </w:t>
      </w:r>
      <w:r w:rsidR="00460044">
        <w:rPr>
          <w:rFonts w:ascii="Calibri" w:eastAsia="Times New Roman" w:hAnsi="Calibri" w:cs="Calibri"/>
          <w:kern w:val="0"/>
          <w:sz w:val="24"/>
          <w:szCs w:val="24"/>
          <w:lang w:eastAsia="en-GB"/>
          <w14:ligatures w14:val="none"/>
        </w:rPr>
        <w:t xml:space="preserve">Stakeholder Legitimacy and Participation </w:t>
      </w:r>
    </w:p>
    <w:p w14:paraId="6ABC90C9" w14:textId="7796915B" w:rsidR="00460044" w:rsidRDefault="00460044" w:rsidP="00DA5C05">
      <w:pPr>
        <w:spacing w:before="100" w:beforeAutospacing="1" w:after="100" w:afterAutospacing="1" w:line="360" w:lineRule="auto"/>
        <w:jc w:val="both"/>
        <w:rPr>
          <w:rFonts w:ascii="Calibri" w:eastAsia="Times New Roman" w:hAnsi="Calibri" w:cs="Calibri"/>
          <w:kern w:val="0"/>
          <w:sz w:val="24"/>
          <w:szCs w:val="24"/>
          <w:lang w:eastAsia="en-GB"/>
          <w14:ligatures w14:val="none"/>
        </w:rPr>
      </w:pPr>
      <w:r>
        <w:rPr>
          <w:rFonts w:ascii="Calibri" w:eastAsia="Times New Roman" w:hAnsi="Calibri" w:cs="Calibri"/>
          <w:kern w:val="0"/>
          <w:sz w:val="24"/>
          <w:szCs w:val="24"/>
          <w:lang w:eastAsia="en-GB"/>
          <w14:ligatures w14:val="none"/>
        </w:rPr>
        <w:t xml:space="preserve">3.3 Translating principles into Operational Controls </w:t>
      </w:r>
    </w:p>
    <w:p w14:paraId="48D1BF3C" w14:textId="77777777" w:rsidR="008A4409" w:rsidRDefault="008A4409" w:rsidP="00DA5C05">
      <w:pPr>
        <w:spacing w:before="100" w:beforeAutospacing="1" w:after="100" w:afterAutospacing="1" w:line="360" w:lineRule="auto"/>
        <w:jc w:val="both"/>
        <w:rPr>
          <w:rFonts w:ascii="Calibri" w:eastAsia="Times New Roman" w:hAnsi="Calibri" w:cs="Calibri"/>
          <w:kern w:val="0"/>
          <w:sz w:val="24"/>
          <w:szCs w:val="24"/>
          <w:lang w:eastAsia="en-GB"/>
          <w14:ligatures w14:val="none"/>
        </w:rPr>
      </w:pPr>
    </w:p>
    <w:p w14:paraId="364BE0ED" w14:textId="77777777" w:rsidR="008A4409" w:rsidRPr="002E350F" w:rsidRDefault="008A4409" w:rsidP="00DA5C05">
      <w:pPr>
        <w:spacing w:before="100" w:beforeAutospacing="1" w:after="100" w:afterAutospacing="1" w:line="360" w:lineRule="auto"/>
        <w:jc w:val="both"/>
        <w:rPr>
          <w:rFonts w:ascii="Calibri" w:eastAsia="Times New Roman" w:hAnsi="Calibri" w:cs="Calibri"/>
          <w:kern w:val="0"/>
          <w:sz w:val="24"/>
          <w:szCs w:val="24"/>
          <w:lang w:eastAsia="en-GB"/>
          <w14:ligatures w14:val="none"/>
        </w:rPr>
      </w:pPr>
    </w:p>
    <w:p w14:paraId="3895E596" w14:textId="77777777" w:rsidR="00665EE0" w:rsidRDefault="00665EE0" w:rsidP="00DA5C05">
      <w:pPr>
        <w:spacing w:before="100" w:beforeAutospacing="1" w:after="100" w:afterAutospacing="1" w:line="360" w:lineRule="auto"/>
        <w:jc w:val="both"/>
        <w:rPr>
          <w:rFonts w:ascii="Calibri" w:eastAsia="Times New Roman" w:hAnsi="Calibri" w:cs="Calibri"/>
          <w:b/>
          <w:bCs/>
          <w:kern w:val="0"/>
          <w:sz w:val="24"/>
          <w:szCs w:val="24"/>
          <w:lang w:eastAsia="en-GB"/>
          <w14:ligatures w14:val="none"/>
        </w:rPr>
      </w:pPr>
    </w:p>
    <w:p w14:paraId="18BC504E" w14:textId="77777777" w:rsidR="00DA5C05" w:rsidRPr="00DA5C05" w:rsidRDefault="00DA5C05" w:rsidP="00DA5C05">
      <w:pPr>
        <w:spacing w:before="100" w:beforeAutospacing="1" w:after="100" w:afterAutospacing="1" w:line="360" w:lineRule="auto"/>
        <w:jc w:val="both"/>
        <w:rPr>
          <w:rFonts w:ascii="Calibri" w:eastAsia="Times New Roman" w:hAnsi="Calibri" w:cs="Calibri"/>
          <w:kern w:val="0"/>
          <w:sz w:val="24"/>
          <w:szCs w:val="24"/>
          <w:lang w:eastAsia="en-GB"/>
          <w14:ligatures w14:val="none"/>
        </w:rPr>
      </w:pPr>
      <w:r w:rsidRPr="00DA5C05">
        <w:rPr>
          <w:rFonts w:ascii="Calibri" w:eastAsia="Times New Roman" w:hAnsi="Calibri" w:cs="Calibri"/>
          <w:b/>
          <w:bCs/>
          <w:kern w:val="0"/>
          <w:sz w:val="24"/>
          <w:szCs w:val="24"/>
          <w:lang w:eastAsia="en-GB"/>
          <w14:ligatures w14:val="none"/>
        </w:rPr>
        <w:t>Gaps in the literature</w:t>
      </w:r>
    </w:p>
    <w:p w14:paraId="0B617B28" w14:textId="77777777" w:rsidR="00DA5C05" w:rsidRPr="00DA5C05" w:rsidRDefault="00DA5C05" w:rsidP="00DA5C05">
      <w:pPr>
        <w:numPr>
          <w:ilvl w:val="0"/>
          <w:numId w:val="1"/>
        </w:numPr>
        <w:spacing w:before="100" w:beforeAutospacing="1" w:after="100" w:afterAutospacing="1" w:line="360" w:lineRule="auto"/>
        <w:jc w:val="both"/>
        <w:rPr>
          <w:rFonts w:ascii="Calibri" w:eastAsia="Times New Roman" w:hAnsi="Calibri" w:cs="Calibri"/>
          <w:kern w:val="0"/>
          <w:sz w:val="24"/>
          <w:szCs w:val="24"/>
          <w:lang w:eastAsia="en-GB"/>
          <w14:ligatures w14:val="none"/>
        </w:rPr>
      </w:pPr>
      <w:r w:rsidRPr="00DA5C05">
        <w:rPr>
          <w:rFonts w:ascii="Calibri" w:eastAsia="Times New Roman" w:hAnsi="Calibri" w:cs="Calibri"/>
          <w:b/>
          <w:bCs/>
          <w:kern w:val="0"/>
          <w:sz w:val="24"/>
          <w:szCs w:val="24"/>
          <w:lang w:eastAsia="en-GB"/>
          <w14:ligatures w14:val="none"/>
        </w:rPr>
        <w:t>Limited England-specific evidence:</w:t>
      </w:r>
      <w:r w:rsidRPr="00DA5C05">
        <w:rPr>
          <w:rFonts w:ascii="Calibri" w:eastAsia="Times New Roman" w:hAnsi="Calibri" w:cs="Calibri"/>
          <w:kern w:val="0"/>
          <w:sz w:val="24"/>
          <w:szCs w:val="24"/>
          <w:lang w:eastAsia="en-GB"/>
          <w14:ligatures w14:val="none"/>
        </w:rPr>
        <w:t xml:space="preserve"> The selected studies do not validate a strategic AI governance model specifically for English public universities.</w:t>
      </w:r>
    </w:p>
    <w:p w14:paraId="35BE7790" w14:textId="77777777" w:rsidR="00DA5C05" w:rsidRPr="00DA5C05" w:rsidRDefault="00DA5C05" w:rsidP="00DA5C05">
      <w:pPr>
        <w:numPr>
          <w:ilvl w:val="0"/>
          <w:numId w:val="1"/>
        </w:numPr>
        <w:spacing w:before="100" w:beforeAutospacing="1" w:after="100" w:afterAutospacing="1" w:line="360" w:lineRule="auto"/>
        <w:jc w:val="both"/>
        <w:rPr>
          <w:rFonts w:ascii="Calibri" w:eastAsia="Times New Roman" w:hAnsi="Calibri" w:cs="Calibri"/>
          <w:kern w:val="0"/>
          <w:sz w:val="24"/>
          <w:szCs w:val="24"/>
          <w:lang w:eastAsia="en-GB"/>
          <w14:ligatures w14:val="none"/>
        </w:rPr>
      </w:pPr>
      <w:r w:rsidRPr="00DA5C05">
        <w:rPr>
          <w:rFonts w:ascii="Calibri" w:eastAsia="Times New Roman" w:hAnsi="Calibri" w:cs="Calibri"/>
          <w:b/>
          <w:bCs/>
          <w:kern w:val="0"/>
          <w:sz w:val="24"/>
          <w:szCs w:val="24"/>
          <w:lang w:eastAsia="en-GB"/>
          <w14:ligatures w14:val="none"/>
        </w:rPr>
        <w:t>Limited implementation research:</w:t>
      </w:r>
      <w:r w:rsidRPr="00DA5C05">
        <w:rPr>
          <w:rFonts w:ascii="Calibri" w:eastAsia="Times New Roman" w:hAnsi="Calibri" w:cs="Calibri"/>
          <w:kern w:val="0"/>
          <w:sz w:val="24"/>
          <w:szCs w:val="24"/>
          <w:lang w:eastAsia="en-GB"/>
          <w14:ligatures w14:val="none"/>
        </w:rPr>
        <w:t xml:space="preserve"> Most studies examine written policies or stakeholder perceptions rather than how governance operates in practice.</w:t>
      </w:r>
    </w:p>
    <w:p w14:paraId="66FD9478" w14:textId="77777777" w:rsidR="00DA5C05" w:rsidRPr="00DA5C05" w:rsidRDefault="00DA5C05" w:rsidP="00DA5C05">
      <w:pPr>
        <w:numPr>
          <w:ilvl w:val="0"/>
          <w:numId w:val="1"/>
        </w:numPr>
        <w:spacing w:before="100" w:beforeAutospacing="1" w:after="100" w:afterAutospacing="1" w:line="360" w:lineRule="auto"/>
        <w:jc w:val="both"/>
        <w:rPr>
          <w:rFonts w:ascii="Calibri" w:eastAsia="Times New Roman" w:hAnsi="Calibri" w:cs="Calibri"/>
          <w:kern w:val="0"/>
          <w:sz w:val="24"/>
          <w:szCs w:val="24"/>
          <w:lang w:eastAsia="en-GB"/>
          <w14:ligatures w14:val="none"/>
        </w:rPr>
      </w:pPr>
      <w:r w:rsidRPr="00DA5C05">
        <w:rPr>
          <w:rFonts w:ascii="Calibri" w:eastAsia="Times New Roman" w:hAnsi="Calibri" w:cs="Calibri"/>
          <w:b/>
          <w:bCs/>
          <w:kern w:val="0"/>
          <w:sz w:val="24"/>
          <w:szCs w:val="24"/>
          <w:lang w:eastAsia="en-GB"/>
          <w14:ligatures w14:val="none"/>
        </w:rPr>
        <w:t>Limited evidence of effectiveness:</w:t>
      </w:r>
      <w:r w:rsidRPr="00DA5C05">
        <w:rPr>
          <w:rFonts w:ascii="Calibri" w:eastAsia="Times New Roman" w:hAnsi="Calibri" w:cs="Calibri"/>
          <w:kern w:val="0"/>
          <w:sz w:val="24"/>
          <w:szCs w:val="24"/>
          <w:lang w:eastAsia="en-GB"/>
          <w14:ligatures w14:val="none"/>
        </w:rPr>
        <w:t xml:space="preserve"> Few studies establish whether governance arrangements improve accountability, transparency or ethical outcomes.</w:t>
      </w:r>
    </w:p>
    <w:p w14:paraId="2935B289" w14:textId="77777777" w:rsidR="00DA5C05" w:rsidRPr="00DA5C05" w:rsidRDefault="00DA5C05" w:rsidP="00DA5C05">
      <w:pPr>
        <w:numPr>
          <w:ilvl w:val="0"/>
          <w:numId w:val="1"/>
        </w:numPr>
        <w:spacing w:before="100" w:beforeAutospacing="1" w:after="100" w:afterAutospacing="1" w:line="360" w:lineRule="auto"/>
        <w:jc w:val="both"/>
        <w:rPr>
          <w:rFonts w:ascii="Calibri" w:eastAsia="Times New Roman" w:hAnsi="Calibri" w:cs="Calibri"/>
          <w:kern w:val="0"/>
          <w:sz w:val="24"/>
          <w:szCs w:val="24"/>
          <w:lang w:eastAsia="en-GB"/>
          <w14:ligatures w14:val="none"/>
        </w:rPr>
      </w:pPr>
      <w:r w:rsidRPr="00DA5C05">
        <w:rPr>
          <w:rFonts w:ascii="Calibri" w:eastAsia="Times New Roman" w:hAnsi="Calibri" w:cs="Calibri"/>
          <w:b/>
          <w:bCs/>
          <w:kern w:val="0"/>
          <w:sz w:val="24"/>
          <w:szCs w:val="24"/>
          <w:lang w:eastAsia="en-GB"/>
          <w14:ligatures w14:val="none"/>
        </w:rPr>
        <w:t>Limited stakeholder participation research:</w:t>
      </w:r>
      <w:r w:rsidRPr="00DA5C05">
        <w:rPr>
          <w:rFonts w:ascii="Calibri" w:eastAsia="Times New Roman" w:hAnsi="Calibri" w:cs="Calibri"/>
          <w:kern w:val="0"/>
          <w:sz w:val="24"/>
          <w:szCs w:val="24"/>
          <w:lang w:eastAsia="en-GB"/>
          <w14:ligatures w14:val="none"/>
        </w:rPr>
        <w:t xml:space="preserve"> There is insufficient evidence on how student and staff involvement influences AI governance decisions.</w:t>
      </w:r>
    </w:p>
    <w:p w14:paraId="0C0EFDAD" w14:textId="77777777" w:rsidR="00DA5C05" w:rsidRPr="00DA5C05" w:rsidRDefault="00DA5C05" w:rsidP="00DA5C05">
      <w:pPr>
        <w:numPr>
          <w:ilvl w:val="0"/>
          <w:numId w:val="1"/>
        </w:numPr>
        <w:spacing w:before="100" w:beforeAutospacing="1" w:after="100" w:afterAutospacing="1" w:line="360" w:lineRule="auto"/>
        <w:jc w:val="both"/>
        <w:rPr>
          <w:rFonts w:ascii="Calibri" w:eastAsia="Times New Roman" w:hAnsi="Calibri" w:cs="Calibri"/>
          <w:kern w:val="0"/>
          <w:sz w:val="24"/>
          <w:szCs w:val="24"/>
          <w:lang w:eastAsia="en-GB"/>
          <w14:ligatures w14:val="none"/>
        </w:rPr>
      </w:pPr>
      <w:r w:rsidRPr="00DA5C05">
        <w:rPr>
          <w:rFonts w:ascii="Calibri" w:eastAsia="Times New Roman" w:hAnsi="Calibri" w:cs="Calibri"/>
          <w:b/>
          <w:bCs/>
          <w:kern w:val="0"/>
          <w:sz w:val="24"/>
          <w:szCs w:val="24"/>
          <w:lang w:eastAsia="en-GB"/>
          <w14:ligatures w14:val="none"/>
        </w:rPr>
        <w:t>Incomplete institutional coverage:</w:t>
      </w:r>
      <w:r w:rsidRPr="00DA5C05">
        <w:rPr>
          <w:rFonts w:ascii="Calibri" w:eastAsia="Times New Roman" w:hAnsi="Calibri" w:cs="Calibri"/>
          <w:kern w:val="0"/>
          <w:sz w:val="24"/>
          <w:szCs w:val="24"/>
          <w:lang w:eastAsia="en-GB"/>
          <w14:ligatures w14:val="none"/>
        </w:rPr>
        <w:t xml:space="preserve"> Research concentrates on teaching and assessment, with less attention to research, procurement and administration.</w:t>
      </w:r>
    </w:p>
    <w:p w14:paraId="36268966" w14:textId="77777777" w:rsidR="00DA5C05" w:rsidRPr="00DA5C05" w:rsidRDefault="00DA5C05" w:rsidP="00DA5C05">
      <w:pPr>
        <w:numPr>
          <w:ilvl w:val="0"/>
          <w:numId w:val="1"/>
        </w:numPr>
        <w:spacing w:before="100" w:beforeAutospacing="1" w:after="100" w:afterAutospacing="1" w:line="360" w:lineRule="auto"/>
        <w:jc w:val="both"/>
        <w:rPr>
          <w:rFonts w:ascii="Calibri" w:eastAsia="Times New Roman" w:hAnsi="Calibri" w:cs="Calibri"/>
          <w:kern w:val="0"/>
          <w:sz w:val="24"/>
          <w:szCs w:val="24"/>
          <w:lang w:eastAsia="en-GB"/>
          <w14:ligatures w14:val="none"/>
        </w:rPr>
      </w:pPr>
      <w:r w:rsidRPr="00DA5C05">
        <w:rPr>
          <w:rFonts w:ascii="Calibri" w:eastAsia="Times New Roman" w:hAnsi="Calibri" w:cs="Calibri"/>
          <w:b/>
          <w:bCs/>
          <w:kern w:val="0"/>
          <w:sz w:val="24"/>
          <w:szCs w:val="24"/>
          <w:lang w:eastAsia="en-GB"/>
          <w14:ligatures w14:val="none"/>
        </w:rPr>
        <w:t>Limited longitudinal research:</w:t>
      </w:r>
      <w:r w:rsidRPr="00DA5C05">
        <w:rPr>
          <w:rFonts w:ascii="Calibri" w:eastAsia="Times New Roman" w:hAnsi="Calibri" w:cs="Calibri"/>
          <w:kern w:val="0"/>
          <w:sz w:val="24"/>
          <w:szCs w:val="24"/>
          <w:lang w:eastAsia="en-GB"/>
          <w14:ligatures w14:val="none"/>
        </w:rPr>
        <w:t xml:space="preserve"> The selected literature provides little evidence about governance effectiveness over time.</w:t>
      </w:r>
    </w:p>
    <w:p w14:paraId="7F71E6B1" w14:textId="77777777" w:rsidR="00DA5C05" w:rsidRPr="00DA5C05" w:rsidRDefault="00DA5C05" w:rsidP="00DA5C05">
      <w:pPr>
        <w:spacing w:before="100" w:beforeAutospacing="1" w:after="100" w:afterAutospacing="1" w:line="360" w:lineRule="auto"/>
        <w:jc w:val="both"/>
        <w:rPr>
          <w:rFonts w:ascii="Calibri" w:eastAsia="Times New Roman" w:hAnsi="Calibri" w:cs="Calibri"/>
          <w:kern w:val="0"/>
          <w:sz w:val="24"/>
          <w:szCs w:val="24"/>
          <w:lang w:eastAsia="en-GB"/>
          <w14:ligatures w14:val="none"/>
        </w:rPr>
      </w:pPr>
      <w:r w:rsidRPr="00DA5C05">
        <w:rPr>
          <w:rFonts w:ascii="Calibri" w:eastAsia="Times New Roman" w:hAnsi="Calibri" w:cs="Calibri"/>
          <w:b/>
          <w:bCs/>
          <w:kern w:val="0"/>
          <w:sz w:val="24"/>
          <w:szCs w:val="24"/>
          <w:lang w:eastAsia="en-GB"/>
          <w14:ligatures w14:val="none"/>
        </w:rPr>
        <w:t>Problems (unresolved issues)</w:t>
      </w:r>
    </w:p>
    <w:p w14:paraId="4FAC0FEF" w14:textId="77777777" w:rsidR="00DA5C05" w:rsidRPr="00DA5C05" w:rsidRDefault="00DA5C05" w:rsidP="00DA5C05">
      <w:pPr>
        <w:numPr>
          <w:ilvl w:val="0"/>
          <w:numId w:val="2"/>
        </w:numPr>
        <w:spacing w:before="100" w:beforeAutospacing="1" w:after="100" w:afterAutospacing="1" w:line="360" w:lineRule="auto"/>
        <w:jc w:val="both"/>
        <w:rPr>
          <w:rFonts w:ascii="Calibri" w:eastAsia="Times New Roman" w:hAnsi="Calibri" w:cs="Calibri"/>
          <w:kern w:val="0"/>
          <w:sz w:val="24"/>
          <w:szCs w:val="24"/>
          <w:lang w:eastAsia="en-GB"/>
          <w14:ligatures w14:val="none"/>
        </w:rPr>
      </w:pPr>
      <w:r w:rsidRPr="00DA5C05">
        <w:rPr>
          <w:rFonts w:ascii="Calibri" w:eastAsia="Times New Roman" w:hAnsi="Calibri" w:cs="Calibri"/>
          <w:b/>
          <w:bCs/>
          <w:kern w:val="0"/>
          <w:sz w:val="24"/>
          <w:szCs w:val="24"/>
          <w:lang w:eastAsia="en-GB"/>
          <w14:ligatures w14:val="none"/>
        </w:rPr>
        <w:lastRenderedPageBreak/>
        <w:t>Unclear accountability:</w:t>
      </w:r>
      <w:r w:rsidRPr="00DA5C05">
        <w:rPr>
          <w:rFonts w:ascii="Calibri" w:eastAsia="Times New Roman" w:hAnsi="Calibri" w:cs="Calibri"/>
          <w:kern w:val="0"/>
          <w:sz w:val="24"/>
          <w:szCs w:val="24"/>
          <w:lang w:eastAsia="en-GB"/>
          <w14:ligatures w14:val="none"/>
        </w:rPr>
        <w:t xml:space="preserve"> Who should approve AI systems, monitor their use and take responsibility when harm occurs?</w:t>
      </w:r>
    </w:p>
    <w:p w14:paraId="16EC1294" w14:textId="77777777" w:rsidR="00DA5C05" w:rsidRPr="00DA5C05" w:rsidRDefault="00DA5C05" w:rsidP="00DA5C05">
      <w:pPr>
        <w:numPr>
          <w:ilvl w:val="0"/>
          <w:numId w:val="2"/>
        </w:numPr>
        <w:spacing w:before="100" w:beforeAutospacing="1" w:after="100" w:afterAutospacing="1" w:line="360" w:lineRule="auto"/>
        <w:jc w:val="both"/>
        <w:rPr>
          <w:rFonts w:ascii="Calibri" w:eastAsia="Times New Roman" w:hAnsi="Calibri" w:cs="Calibri"/>
          <w:kern w:val="0"/>
          <w:sz w:val="24"/>
          <w:szCs w:val="24"/>
          <w:lang w:eastAsia="en-GB"/>
          <w14:ligatures w14:val="none"/>
        </w:rPr>
      </w:pPr>
      <w:r w:rsidRPr="00DA5C05">
        <w:rPr>
          <w:rFonts w:ascii="Calibri" w:eastAsia="Times New Roman" w:hAnsi="Calibri" w:cs="Calibri"/>
          <w:b/>
          <w:bCs/>
          <w:kern w:val="0"/>
          <w:sz w:val="24"/>
          <w:szCs w:val="24"/>
          <w:lang w:eastAsia="en-GB"/>
          <w14:ligatures w14:val="none"/>
        </w:rPr>
        <w:t>Inconsistent policies:</w:t>
      </w:r>
      <w:r w:rsidRPr="00DA5C05">
        <w:rPr>
          <w:rFonts w:ascii="Calibri" w:eastAsia="Times New Roman" w:hAnsi="Calibri" w:cs="Calibri"/>
          <w:kern w:val="0"/>
          <w:sz w:val="24"/>
          <w:szCs w:val="24"/>
          <w:lang w:eastAsia="en-GB"/>
          <w14:ligatures w14:val="none"/>
        </w:rPr>
        <w:t xml:space="preserve"> How can universities establish common ethical standards while allowing disciplinary flexibility and academic autonomy?</w:t>
      </w:r>
    </w:p>
    <w:p w14:paraId="79916791" w14:textId="77777777" w:rsidR="00DA5C05" w:rsidRPr="00DA5C05" w:rsidRDefault="00DA5C05" w:rsidP="00DA5C05">
      <w:pPr>
        <w:numPr>
          <w:ilvl w:val="0"/>
          <w:numId w:val="2"/>
        </w:numPr>
        <w:spacing w:before="100" w:beforeAutospacing="1" w:after="100" w:afterAutospacing="1" w:line="360" w:lineRule="auto"/>
        <w:jc w:val="both"/>
        <w:rPr>
          <w:rFonts w:ascii="Calibri" w:eastAsia="Times New Roman" w:hAnsi="Calibri" w:cs="Calibri"/>
          <w:kern w:val="0"/>
          <w:sz w:val="24"/>
          <w:szCs w:val="24"/>
          <w:lang w:eastAsia="en-GB"/>
          <w14:ligatures w14:val="none"/>
        </w:rPr>
      </w:pPr>
      <w:r w:rsidRPr="00DA5C05">
        <w:rPr>
          <w:rFonts w:ascii="Calibri" w:eastAsia="Times New Roman" w:hAnsi="Calibri" w:cs="Calibri"/>
          <w:b/>
          <w:bCs/>
          <w:kern w:val="0"/>
          <w:sz w:val="24"/>
          <w:szCs w:val="24"/>
          <w:lang w:eastAsia="en-GB"/>
          <w14:ligatures w14:val="none"/>
        </w:rPr>
        <w:t>Difficulty translating ethics into practice:</w:t>
      </w:r>
      <w:r w:rsidRPr="00DA5C05">
        <w:rPr>
          <w:rFonts w:ascii="Calibri" w:eastAsia="Times New Roman" w:hAnsi="Calibri" w:cs="Calibri"/>
          <w:kern w:val="0"/>
          <w:sz w:val="24"/>
          <w:szCs w:val="24"/>
          <w:lang w:eastAsia="en-GB"/>
          <w14:ligatures w14:val="none"/>
        </w:rPr>
        <w:t xml:space="preserve"> How can principles such as fairness, transparency and privacy become enforceable controls?</w:t>
      </w:r>
    </w:p>
    <w:p w14:paraId="5A3F2188" w14:textId="77777777" w:rsidR="00DA5C05" w:rsidRPr="00DA5C05" w:rsidRDefault="00DA5C05" w:rsidP="00DA5C05">
      <w:pPr>
        <w:numPr>
          <w:ilvl w:val="0"/>
          <w:numId w:val="2"/>
        </w:numPr>
        <w:spacing w:before="100" w:beforeAutospacing="1" w:after="100" w:afterAutospacing="1" w:line="360" w:lineRule="auto"/>
        <w:jc w:val="both"/>
        <w:rPr>
          <w:rFonts w:ascii="Calibri" w:eastAsia="Times New Roman" w:hAnsi="Calibri" w:cs="Calibri"/>
          <w:kern w:val="0"/>
          <w:sz w:val="24"/>
          <w:szCs w:val="24"/>
          <w:lang w:eastAsia="en-GB"/>
          <w14:ligatures w14:val="none"/>
        </w:rPr>
      </w:pPr>
      <w:r w:rsidRPr="00DA5C05">
        <w:rPr>
          <w:rFonts w:ascii="Calibri" w:eastAsia="Times New Roman" w:hAnsi="Calibri" w:cs="Calibri"/>
          <w:b/>
          <w:bCs/>
          <w:kern w:val="0"/>
          <w:sz w:val="24"/>
          <w:szCs w:val="24"/>
          <w:lang w:eastAsia="en-GB"/>
          <w14:ligatures w14:val="none"/>
        </w:rPr>
        <w:t>Unequal institutional capacity:</w:t>
      </w:r>
      <w:r w:rsidRPr="00DA5C05">
        <w:rPr>
          <w:rFonts w:ascii="Calibri" w:eastAsia="Times New Roman" w:hAnsi="Calibri" w:cs="Calibri"/>
          <w:kern w:val="0"/>
          <w:sz w:val="24"/>
          <w:szCs w:val="24"/>
          <w:lang w:eastAsia="en-GB"/>
          <w14:ligatures w14:val="none"/>
        </w:rPr>
        <w:t xml:space="preserve"> How can universities with different resources implement effective AI governance?</w:t>
      </w:r>
    </w:p>
    <w:p w14:paraId="42F641FC" w14:textId="77777777" w:rsidR="00DA5C05" w:rsidRPr="00DA5C05" w:rsidRDefault="00DA5C05" w:rsidP="00DA5C05">
      <w:pPr>
        <w:numPr>
          <w:ilvl w:val="0"/>
          <w:numId w:val="2"/>
        </w:numPr>
        <w:spacing w:before="100" w:beforeAutospacing="1" w:after="100" w:afterAutospacing="1" w:line="360" w:lineRule="auto"/>
        <w:jc w:val="both"/>
        <w:rPr>
          <w:rFonts w:ascii="Calibri" w:eastAsia="Times New Roman" w:hAnsi="Calibri" w:cs="Calibri"/>
          <w:kern w:val="0"/>
          <w:sz w:val="24"/>
          <w:szCs w:val="24"/>
          <w:lang w:eastAsia="en-GB"/>
          <w14:ligatures w14:val="none"/>
        </w:rPr>
      </w:pPr>
      <w:r w:rsidRPr="00DA5C05">
        <w:rPr>
          <w:rFonts w:ascii="Calibri" w:eastAsia="Times New Roman" w:hAnsi="Calibri" w:cs="Calibri"/>
          <w:b/>
          <w:bCs/>
          <w:kern w:val="0"/>
          <w:sz w:val="24"/>
          <w:szCs w:val="24"/>
          <w:lang w:eastAsia="en-GB"/>
          <w14:ligatures w14:val="none"/>
        </w:rPr>
        <w:t>Equity and participation challenges:</w:t>
      </w:r>
      <w:r w:rsidRPr="00DA5C05">
        <w:rPr>
          <w:rFonts w:ascii="Calibri" w:eastAsia="Times New Roman" w:hAnsi="Calibri" w:cs="Calibri"/>
          <w:kern w:val="0"/>
          <w:sz w:val="24"/>
          <w:szCs w:val="24"/>
          <w:lang w:eastAsia="en-GB"/>
          <w14:ligatures w14:val="none"/>
        </w:rPr>
        <w:t xml:space="preserve"> How can governance ensure fair access, meaningful stakeholder involvement and accessible appeal mechanisms?</w:t>
      </w:r>
    </w:p>
    <w:p w14:paraId="7C4E49BE" w14:textId="77777777" w:rsidR="00DA5C05" w:rsidRPr="00DA5C05" w:rsidRDefault="00DA5C05" w:rsidP="00DA5C05">
      <w:pPr>
        <w:numPr>
          <w:ilvl w:val="0"/>
          <w:numId w:val="2"/>
        </w:numPr>
        <w:spacing w:before="100" w:beforeAutospacing="1" w:after="100" w:afterAutospacing="1" w:line="360" w:lineRule="auto"/>
        <w:jc w:val="both"/>
        <w:rPr>
          <w:rFonts w:ascii="Calibri" w:eastAsia="Times New Roman" w:hAnsi="Calibri" w:cs="Calibri"/>
          <w:kern w:val="0"/>
          <w:sz w:val="24"/>
          <w:szCs w:val="24"/>
          <w:lang w:eastAsia="en-GB"/>
          <w14:ligatures w14:val="none"/>
        </w:rPr>
      </w:pPr>
      <w:r w:rsidRPr="00DA5C05">
        <w:rPr>
          <w:rFonts w:ascii="Calibri" w:eastAsia="Times New Roman" w:hAnsi="Calibri" w:cs="Calibri"/>
          <w:b/>
          <w:bCs/>
          <w:kern w:val="0"/>
          <w:sz w:val="24"/>
          <w:szCs w:val="24"/>
          <w:lang w:eastAsia="en-GB"/>
          <w14:ligatures w14:val="none"/>
        </w:rPr>
        <w:t>Uncertain evaluation methods:</w:t>
      </w:r>
      <w:r w:rsidRPr="00DA5C05">
        <w:rPr>
          <w:rFonts w:ascii="Calibri" w:eastAsia="Times New Roman" w:hAnsi="Calibri" w:cs="Calibri"/>
          <w:kern w:val="0"/>
          <w:sz w:val="24"/>
          <w:szCs w:val="24"/>
          <w:lang w:eastAsia="en-GB"/>
          <w14:ligatures w14:val="none"/>
        </w:rPr>
        <w:t xml:space="preserve"> What indicators can reliably demonstrate that AI governance reduces harm and supports responsible use?</w:t>
      </w:r>
    </w:p>
    <w:p w14:paraId="08DCD0F3" w14:textId="77777777" w:rsidR="00480D25" w:rsidRDefault="00480D25" w:rsidP="007D0E8F">
      <w:pPr>
        <w:spacing w:before="120" w:after="120" w:line="360" w:lineRule="auto"/>
        <w:jc w:val="both"/>
        <w:rPr>
          <w:rFonts w:ascii="Calibri" w:hAnsi="Calibri" w:cs="Calibri"/>
          <w:sz w:val="24"/>
          <w:szCs w:val="24"/>
        </w:rPr>
      </w:pPr>
    </w:p>
    <w:p w14:paraId="233930A2" w14:textId="77777777" w:rsidR="00FF1D12" w:rsidRPr="003E1DAA" w:rsidRDefault="00FF1D12" w:rsidP="007F21DC">
      <w:pPr>
        <w:spacing w:after="60" w:line="240" w:lineRule="auto"/>
        <w:rPr>
          <w:rFonts w:ascii="Calibri" w:hAnsi="Calibri" w:cs="Calibri"/>
          <w:sz w:val="24"/>
          <w:szCs w:val="24"/>
        </w:rPr>
      </w:pPr>
    </w:p>
    <w:p w14:paraId="1F24F9B6" w14:textId="77777777" w:rsidR="00140F53" w:rsidRDefault="00140F53">
      <w:pPr>
        <w:rPr>
          <w:rFonts w:ascii="Calibri" w:hAnsi="Calibri" w:cs="Calibri"/>
          <w:b/>
          <w:color w:val="5B9BD5" w:themeColor="accent5"/>
          <w:sz w:val="52"/>
          <w:szCs w:val="5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p>
    <w:p w14:paraId="724FC2CA" w14:textId="77777777" w:rsidR="00140F53" w:rsidRDefault="00140F53">
      <w:pPr>
        <w:rPr>
          <w:rFonts w:ascii="Calibri" w:hAnsi="Calibri" w:cs="Calibri"/>
          <w:b/>
          <w:color w:val="5B9BD5" w:themeColor="accent5"/>
          <w:sz w:val="52"/>
          <w:szCs w:val="5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p>
    <w:p w14:paraId="4340F9DD" w14:textId="77777777" w:rsidR="00140F53" w:rsidRDefault="00140F53">
      <w:pPr>
        <w:rPr>
          <w:rFonts w:ascii="Calibri" w:hAnsi="Calibri" w:cs="Calibri"/>
          <w:b/>
          <w:color w:val="5B9BD5" w:themeColor="accent5"/>
          <w:sz w:val="52"/>
          <w:szCs w:val="5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p>
    <w:p w14:paraId="58ACCA78" w14:textId="77777777" w:rsidR="00140F53" w:rsidRDefault="00140F53">
      <w:pPr>
        <w:rPr>
          <w:rFonts w:ascii="Calibri" w:hAnsi="Calibri" w:cs="Calibri"/>
          <w:b/>
          <w:color w:val="5B9BD5" w:themeColor="accent5"/>
          <w:sz w:val="52"/>
          <w:szCs w:val="5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p>
    <w:p w14:paraId="74057D97" w14:textId="77777777" w:rsidR="00140F53" w:rsidRDefault="00140F53">
      <w:pPr>
        <w:rPr>
          <w:rFonts w:ascii="Calibri" w:hAnsi="Calibri" w:cs="Calibri"/>
          <w:b/>
          <w:color w:val="5B9BD5" w:themeColor="accent5"/>
          <w:sz w:val="52"/>
          <w:szCs w:val="5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p>
    <w:p w14:paraId="185562BD" w14:textId="77777777" w:rsidR="00615511" w:rsidRDefault="00615511">
      <w:pPr>
        <w:rPr>
          <w:rFonts w:ascii="Calibri" w:hAnsi="Calibri" w:cs="Calibri"/>
          <w:b/>
          <w:color w:val="5B9BD5" w:themeColor="accent5"/>
          <w:sz w:val="52"/>
          <w:szCs w:val="5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p>
    <w:p w14:paraId="5201F33B" w14:textId="77777777" w:rsidR="00615511" w:rsidRDefault="00615511">
      <w:pPr>
        <w:rPr>
          <w:rFonts w:ascii="Calibri" w:hAnsi="Calibri" w:cs="Calibri"/>
          <w:b/>
          <w:color w:val="5B9BD5" w:themeColor="accent5"/>
          <w:sz w:val="52"/>
          <w:szCs w:val="5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p>
    <w:p w14:paraId="2939B64D" w14:textId="77777777" w:rsidR="00140F53" w:rsidRDefault="00140F53">
      <w:pPr>
        <w:rPr>
          <w:rFonts w:ascii="Calibri" w:hAnsi="Calibri" w:cs="Calibri"/>
          <w:b/>
          <w:color w:val="5B9BD5" w:themeColor="accent5"/>
          <w:sz w:val="52"/>
          <w:szCs w:val="5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p>
    <w:p w14:paraId="53043D07" w14:textId="73CFAD5B" w:rsidR="00140F53" w:rsidRDefault="00312087" w:rsidP="00312087">
      <w:pPr>
        <w:pStyle w:val="Heading1"/>
      </w:pPr>
      <w:r>
        <w:lastRenderedPageBreak/>
        <w:t xml:space="preserve">References and Bibliography </w:t>
      </w:r>
    </w:p>
    <w:p w14:paraId="7589F402" w14:textId="7A6ECD88" w:rsidR="00F13C02" w:rsidRDefault="00F13C02" w:rsidP="00F319D9">
      <w:pPr>
        <w:pStyle w:val="Bibliography"/>
        <w:ind w:left="720" w:hanging="720"/>
        <w:jc w:val="both"/>
        <w:rPr>
          <w:noProof/>
        </w:rPr>
      </w:pPr>
      <w:r>
        <w:rPr>
          <w:noProof/>
        </w:rPr>
        <w:t>An,</w:t>
      </w:r>
      <w:r w:rsidR="002C6692">
        <w:rPr>
          <w:noProof/>
        </w:rPr>
        <w:t xml:space="preserve"> Y.,</w:t>
      </w:r>
      <w:r>
        <w:rPr>
          <w:noProof/>
        </w:rPr>
        <w:t xml:space="preserve"> Yu,</w:t>
      </w:r>
      <w:r w:rsidR="002C6692">
        <w:rPr>
          <w:noProof/>
        </w:rPr>
        <w:t xml:space="preserve"> J.,</w:t>
      </w:r>
      <w:r>
        <w:rPr>
          <w:noProof/>
        </w:rPr>
        <w:t xml:space="preserve"> &amp; James</w:t>
      </w:r>
      <w:r w:rsidR="002C6692">
        <w:rPr>
          <w:noProof/>
        </w:rPr>
        <w:t>, S</w:t>
      </w:r>
      <w:r>
        <w:rPr>
          <w:noProof/>
        </w:rPr>
        <w:t xml:space="preserve">. (2025). ‘Investigating the higher education institutions’ guidelines and policies regarding the use of generative AI in teaching, learning, research, and administration.' </w:t>
      </w:r>
      <w:r>
        <w:rPr>
          <w:i/>
          <w:iCs/>
          <w:noProof/>
        </w:rPr>
        <w:t>International Journal of Educational Technology in Higher Education, 22, article 10.</w:t>
      </w:r>
      <w:r>
        <w:rPr>
          <w:noProof/>
        </w:rPr>
        <w:t xml:space="preserve"> DOI: 10.1186/s41239-025-00507-3.</w:t>
      </w:r>
    </w:p>
    <w:p w14:paraId="47DE3B31" w14:textId="4AC1549F" w:rsidR="004B410A" w:rsidRDefault="004B410A" w:rsidP="004B410A">
      <w:pPr>
        <w:pStyle w:val="Bibliography"/>
        <w:ind w:left="720" w:hanging="720"/>
        <w:jc w:val="both"/>
        <w:rPr>
          <w:noProof/>
        </w:rPr>
      </w:pPr>
      <w:r>
        <w:rPr>
          <w:noProof/>
        </w:rPr>
        <w:t xml:space="preserve">Barus, </w:t>
      </w:r>
      <w:r w:rsidR="005818D1">
        <w:rPr>
          <w:noProof/>
        </w:rPr>
        <w:t>O.,</w:t>
      </w:r>
      <w:r>
        <w:rPr>
          <w:noProof/>
        </w:rPr>
        <w:t xml:space="preserve"> Hidayanto,</w:t>
      </w:r>
      <w:r w:rsidR="005818D1">
        <w:rPr>
          <w:noProof/>
        </w:rPr>
        <w:t xml:space="preserve"> A.,</w:t>
      </w:r>
      <w:r>
        <w:rPr>
          <w:noProof/>
        </w:rPr>
        <w:t xml:space="preserve"> Handri,</w:t>
      </w:r>
      <w:r w:rsidR="005818D1">
        <w:rPr>
          <w:noProof/>
        </w:rPr>
        <w:t xml:space="preserve"> E.,</w:t>
      </w:r>
      <w:r>
        <w:rPr>
          <w:noProof/>
        </w:rPr>
        <w:t xml:space="preserve"> Sensuse,</w:t>
      </w:r>
      <w:r w:rsidR="005818D1">
        <w:rPr>
          <w:noProof/>
        </w:rPr>
        <w:t xml:space="preserve"> D.,</w:t>
      </w:r>
      <w:r>
        <w:rPr>
          <w:noProof/>
        </w:rPr>
        <w:t xml:space="preserve"> &amp; Yaiprasert</w:t>
      </w:r>
      <w:r w:rsidR="005818D1">
        <w:rPr>
          <w:noProof/>
        </w:rPr>
        <w:t>, C</w:t>
      </w:r>
      <w:r>
        <w:rPr>
          <w:noProof/>
        </w:rPr>
        <w:t>. (2025).</w:t>
      </w:r>
      <w:r w:rsidR="005818D1">
        <w:rPr>
          <w:noProof/>
        </w:rPr>
        <w:t xml:space="preserve"> ‘</w:t>
      </w:r>
      <w:r>
        <w:rPr>
          <w:noProof/>
        </w:rPr>
        <w:t>Shaping generative AI governance in higher education: Insights from student perception.</w:t>
      </w:r>
      <w:r w:rsidR="005818D1">
        <w:rPr>
          <w:noProof/>
        </w:rPr>
        <w:t>’</w:t>
      </w:r>
      <w:r>
        <w:rPr>
          <w:noProof/>
        </w:rPr>
        <w:t xml:space="preserve"> </w:t>
      </w:r>
      <w:r>
        <w:rPr>
          <w:i/>
          <w:iCs/>
          <w:noProof/>
        </w:rPr>
        <w:t>International Journal of Educational Research Open, 8, article 100452.</w:t>
      </w:r>
      <w:r w:rsidR="005818D1">
        <w:rPr>
          <w:i/>
          <w:iCs/>
          <w:noProof/>
        </w:rPr>
        <w:t xml:space="preserve"> </w:t>
      </w:r>
      <w:r w:rsidR="005818D1" w:rsidRPr="005818D1">
        <w:rPr>
          <w:noProof/>
        </w:rPr>
        <w:t>DOI</w:t>
      </w:r>
      <w:r w:rsidR="005818D1">
        <w:rPr>
          <w:noProof/>
        </w:rPr>
        <w:t xml:space="preserve">: </w:t>
      </w:r>
      <w:r w:rsidR="000B45A1">
        <w:rPr>
          <w:noProof/>
        </w:rPr>
        <w:t>10.1016/j.iedro.2025.100452.</w:t>
      </w:r>
    </w:p>
    <w:p w14:paraId="12138F07" w14:textId="4B59AD8A" w:rsidR="004D36E0" w:rsidRDefault="004D36E0" w:rsidP="005F35C8">
      <w:pPr>
        <w:pStyle w:val="Bibliography"/>
        <w:ind w:left="720" w:hanging="720"/>
        <w:jc w:val="both"/>
        <w:rPr>
          <w:noProof/>
        </w:rPr>
      </w:pPr>
      <w:r>
        <w:rPr>
          <w:noProof/>
        </w:rPr>
        <w:t>Chauhan,</w:t>
      </w:r>
      <w:r w:rsidR="00893E6F">
        <w:rPr>
          <w:noProof/>
        </w:rPr>
        <w:t xml:space="preserve"> M., </w:t>
      </w:r>
      <w:r>
        <w:rPr>
          <w:noProof/>
        </w:rPr>
        <w:t>Whale,</w:t>
      </w:r>
      <w:r w:rsidR="00893E6F">
        <w:rPr>
          <w:noProof/>
        </w:rPr>
        <w:t xml:space="preserve"> </w:t>
      </w:r>
      <w:r w:rsidR="005F35C8">
        <w:rPr>
          <w:noProof/>
        </w:rPr>
        <w:t>J.,</w:t>
      </w:r>
      <w:r>
        <w:rPr>
          <w:noProof/>
        </w:rPr>
        <w:t xml:space="preserve"> &amp; Rahimi</w:t>
      </w:r>
      <w:r w:rsidR="005F35C8">
        <w:rPr>
          <w:noProof/>
        </w:rPr>
        <w:t>, R</w:t>
      </w:r>
      <w:r>
        <w:rPr>
          <w:noProof/>
        </w:rPr>
        <w:t xml:space="preserve">. (2025). ‘From chalkboards to chatbots: navigating AI adoption, ethics, identity, and governance in UK higher education.' </w:t>
      </w:r>
      <w:r>
        <w:rPr>
          <w:i/>
          <w:iCs/>
          <w:noProof/>
        </w:rPr>
        <w:t xml:space="preserve">Strategy &amp; Leadership, Advance online publication, pp. 1–22. </w:t>
      </w:r>
      <w:r>
        <w:rPr>
          <w:noProof/>
        </w:rPr>
        <w:t>, DOI: 10.1108/SL-09-2025-0.</w:t>
      </w:r>
    </w:p>
    <w:p w14:paraId="4E01CB8B" w14:textId="1E0859E9" w:rsidR="00664636" w:rsidRDefault="00664636" w:rsidP="00664636">
      <w:pPr>
        <w:pStyle w:val="Bibliography"/>
        <w:ind w:left="720" w:hanging="720"/>
        <w:jc w:val="both"/>
        <w:rPr>
          <w:noProof/>
        </w:rPr>
      </w:pPr>
      <w:r>
        <w:rPr>
          <w:noProof/>
        </w:rPr>
        <w:t xml:space="preserve">Evangelista, </w:t>
      </w:r>
      <w:r w:rsidR="00236777">
        <w:rPr>
          <w:noProof/>
        </w:rPr>
        <w:t>E.,</w:t>
      </w:r>
      <w:r>
        <w:rPr>
          <w:noProof/>
        </w:rPr>
        <w:t xml:space="preserve"> &amp; Bukhari</w:t>
      </w:r>
      <w:r w:rsidR="00236777">
        <w:rPr>
          <w:noProof/>
        </w:rPr>
        <w:t>, S</w:t>
      </w:r>
      <w:r>
        <w:rPr>
          <w:noProof/>
        </w:rPr>
        <w:t>. (2026). ‘From ethical principles to executable governance: A policy-as-code framework for trustworthy AI in higher education.</w:t>
      </w:r>
      <w:r w:rsidR="00236777">
        <w:rPr>
          <w:noProof/>
        </w:rPr>
        <w:t>'</w:t>
      </w:r>
      <w:r>
        <w:rPr>
          <w:noProof/>
        </w:rPr>
        <w:t xml:space="preserve"> </w:t>
      </w:r>
      <w:r>
        <w:rPr>
          <w:i/>
          <w:iCs/>
          <w:noProof/>
        </w:rPr>
        <w:t>Computers and Education: Artificial Intelligence, 10, article 100594.</w:t>
      </w:r>
      <w:r>
        <w:rPr>
          <w:noProof/>
        </w:rPr>
        <w:t xml:space="preserve"> DOI: 10.1016/j.caeai.2026.100594.</w:t>
      </w:r>
    </w:p>
    <w:p w14:paraId="77AC8C47" w14:textId="25AF75F7" w:rsidR="00373447" w:rsidRDefault="00373447" w:rsidP="00373447">
      <w:pPr>
        <w:pStyle w:val="Bibliography"/>
        <w:ind w:left="720" w:hanging="720"/>
        <w:jc w:val="both"/>
        <w:rPr>
          <w:noProof/>
        </w:rPr>
      </w:pPr>
      <w:r>
        <w:rPr>
          <w:noProof/>
        </w:rPr>
        <w:t xml:space="preserve">Madlenak, </w:t>
      </w:r>
      <w:r w:rsidR="00DD5C40">
        <w:rPr>
          <w:noProof/>
        </w:rPr>
        <w:t>R.,</w:t>
      </w:r>
      <w:r>
        <w:rPr>
          <w:noProof/>
        </w:rPr>
        <w:t xml:space="preserve"> Madlenakova,</w:t>
      </w:r>
      <w:r w:rsidR="00DD5C40">
        <w:rPr>
          <w:noProof/>
        </w:rPr>
        <w:t xml:space="preserve"> L.,</w:t>
      </w:r>
      <w:r>
        <w:rPr>
          <w:noProof/>
        </w:rPr>
        <w:t xml:space="preserve"> Cvacho,</w:t>
      </w:r>
      <w:r w:rsidR="00DD5C40">
        <w:rPr>
          <w:noProof/>
        </w:rPr>
        <w:t xml:space="preserve"> V.,</w:t>
      </w:r>
      <w:r>
        <w:rPr>
          <w:noProof/>
        </w:rPr>
        <w:t xml:space="preserve"> &amp; Gachulinec</w:t>
      </w:r>
      <w:r w:rsidR="00DD5C40">
        <w:rPr>
          <w:noProof/>
        </w:rPr>
        <w:t>, D</w:t>
      </w:r>
      <w:r>
        <w:rPr>
          <w:noProof/>
        </w:rPr>
        <w:t xml:space="preserve">. (2026). ‘Ethical Challenges of Artificial Intelligence in Higher Education: A Four-Pillar Student-Activity Framework for Institutional Governance.’ </w:t>
      </w:r>
      <w:r>
        <w:rPr>
          <w:i/>
          <w:iCs/>
          <w:noProof/>
        </w:rPr>
        <w:t>Education Sciences, 16(4), article 555.</w:t>
      </w:r>
      <w:r w:rsidR="00DD5C40">
        <w:rPr>
          <w:i/>
          <w:iCs/>
          <w:noProof/>
        </w:rPr>
        <w:t xml:space="preserve"> </w:t>
      </w:r>
      <w:r w:rsidR="00DD5C40" w:rsidRPr="00DD5C40">
        <w:rPr>
          <w:noProof/>
        </w:rPr>
        <w:t>DOI:</w:t>
      </w:r>
      <w:r w:rsidR="00DD5C40">
        <w:rPr>
          <w:noProof/>
        </w:rPr>
        <w:t xml:space="preserve"> </w:t>
      </w:r>
      <w:r w:rsidR="00165C25">
        <w:rPr>
          <w:noProof/>
        </w:rPr>
        <w:t xml:space="preserve">10.3390/educsci16040555. </w:t>
      </w:r>
    </w:p>
    <w:p w14:paraId="264889E1" w14:textId="77777777" w:rsidR="004B410A" w:rsidRPr="004B410A" w:rsidRDefault="004B410A" w:rsidP="004B410A"/>
    <w:p w14:paraId="271F64F2" w14:textId="4747EB2E" w:rsidR="00E12918" w:rsidRDefault="00E12918" w:rsidP="00F319D9">
      <w:pPr>
        <w:pStyle w:val="Bibliography"/>
        <w:ind w:left="720" w:hanging="720"/>
        <w:jc w:val="both"/>
        <w:rPr>
          <w:noProof/>
        </w:rPr>
      </w:pPr>
      <w:r>
        <w:rPr>
          <w:rFonts w:ascii="Calibri" w:hAnsi="Calibri" w:cs="Calibri"/>
          <w:b/>
          <w:color w:val="5B9BD5" w:themeColor="accent5"/>
          <w:sz w:val="52"/>
          <w:szCs w:val="5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fldChar w:fldCharType="begin"/>
      </w:r>
      <w:r>
        <w:rPr>
          <w:rFonts w:ascii="Calibri" w:hAnsi="Calibri" w:cs="Calibri"/>
          <w:b/>
          <w:color w:val="5B9BD5" w:themeColor="accent5"/>
          <w:sz w:val="52"/>
          <w:szCs w:val="5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instrText xml:space="preserve"> BIBLIOGRAPHY  \l 2057 </w:instrText>
      </w:r>
      <w:r>
        <w:rPr>
          <w:rFonts w:ascii="Calibri" w:hAnsi="Calibri" w:cs="Calibri"/>
          <w:b/>
          <w:color w:val="5B9BD5" w:themeColor="accent5"/>
          <w:sz w:val="52"/>
          <w:szCs w:val="5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fldChar w:fldCharType="separate"/>
      </w:r>
      <w:r>
        <w:rPr>
          <w:noProof/>
        </w:rPr>
        <w:t>McDonald, N., Johri,</w:t>
      </w:r>
      <w:r w:rsidR="002A084A">
        <w:rPr>
          <w:noProof/>
        </w:rPr>
        <w:t xml:space="preserve"> A.,</w:t>
      </w:r>
      <w:r>
        <w:rPr>
          <w:noProof/>
        </w:rPr>
        <w:t xml:space="preserve"> Ali,</w:t>
      </w:r>
      <w:r w:rsidR="002A084A">
        <w:rPr>
          <w:noProof/>
        </w:rPr>
        <w:t xml:space="preserve"> A.,</w:t>
      </w:r>
      <w:r>
        <w:rPr>
          <w:noProof/>
        </w:rPr>
        <w:t xml:space="preserve"> </w:t>
      </w:r>
      <w:r w:rsidR="002A084A">
        <w:rPr>
          <w:noProof/>
        </w:rPr>
        <w:t xml:space="preserve">and Hingle </w:t>
      </w:r>
      <w:r>
        <w:rPr>
          <w:noProof/>
        </w:rPr>
        <w:t xml:space="preserve">Collier, </w:t>
      </w:r>
      <w:r w:rsidR="002A084A">
        <w:rPr>
          <w:noProof/>
        </w:rPr>
        <w:t>A</w:t>
      </w:r>
      <w:r>
        <w:rPr>
          <w:noProof/>
        </w:rPr>
        <w:t xml:space="preserve">. (2025). </w:t>
      </w:r>
      <w:r w:rsidR="005B6A68">
        <w:rPr>
          <w:noProof/>
        </w:rPr>
        <w:t>'</w:t>
      </w:r>
      <w:r>
        <w:rPr>
          <w:noProof/>
        </w:rPr>
        <w:t xml:space="preserve">Generative artificial intelligence in higher education: Evidence from an analysis of institutional policies and </w:t>
      </w:r>
      <w:r w:rsidR="00C84787">
        <w:rPr>
          <w:noProof/>
        </w:rPr>
        <w:t>guidelines’</w:t>
      </w:r>
      <w:r w:rsidR="00F319D9">
        <w:rPr>
          <w:noProof/>
        </w:rPr>
        <w:t>.</w:t>
      </w:r>
      <w:r>
        <w:rPr>
          <w:noProof/>
        </w:rPr>
        <w:t xml:space="preserve"> </w:t>
      </w:r>
      <w:r>
        <w:rPr>
          <w:i/>
          <w:iCs/>
          <w:noProof/>
        </w:rPr>
        <w:t xml:space="preserve">Computers in Human </w:t>
      </w:r>
      <w:r w:rsidR="00F319D9">
        <w:rPr>
          <w:i/>
          <w:iCs/>
          <w:noProof/>
        </w:rPr>
        <w:t>Behaviour</w:t>
      </w:r>
      <w:r>
        <w:rPr>
          <w:i/>
          <w:iCs/>
          <w:noProof/>
        </w:rPr>
        <w:t>: Artificial Humans, 3, article 100121.</w:t>
      </w:r>
      <w:r>
        <w:rPr>
          <w:noProof/>
        </w:rPr>
        <w:t xml:space="preserve"> </w:t>
      </w:r>
      <w:r w:rsidR="00F319D9">
        <w:rPr>
          <w:noProof/>
        </w:rPr>
        <w:t xml:space="preserve">DOI: </w:t>
      </w:r>
      <w:r w:rsidR="00606886">
        <w:rPr>
          <w:noProof/>
        </w:rPr>
        <w:t>10.</w:t>
      </w:r>
      <w:r w:rsidR="00CD7881">
        <w:rPr>
          <w:noProof/>
        </w:rPr>
        <w:t>1186</w:t>
      </w:r>
      <w:r w:rsidR="00405682">
        <w:rPr>
          <w:noProof/>
        </w:rPr>
        <w:t>/s41239-025-00507-3.</w:t>
      </w:r>
    </w:p>
    <w:p w14:paraId="11A310B7" w14:textId="4A34C610" w:rsidR="0090135A" w:rsidRDefault="0090135A" w:rsidP="0090135A">
      <w:pPr>
        <w:pStyle w:val="Bibliography"/>
        <w:ind w:left="720" w:hanging="720"/>
        <w:jc w:val="both"/>
        <w:rPr>
          <w:noProof/>
        </w:rPr>
      </w:pPr>
      <w:r>
        <w:rPr>
          <w:noProof/>
        </w:rPr>
        <w:t xml:space="preserve">Nguyen, H. (2026). ‘Operationalising AI governance in higher education: A stepwise policy-development method '. </w:t>
      </w:r>
      <w:r>
        <w:rPr>
          <w:i/>
          <w:iCs/>
          <w:noProof/>
        </w:rPr>
        <w:t xml:space="preserve">MethodsX, 17, article 104063. </w:t>
      </w:r>
      <w:r>
        <w:rPr>
          <w:noProof/>
        </w:rPr>
        <w:t>DOI: 10.1016/j.mex.2026.104063.</w:t>
      </w:r>
    </w:p>
    <w:p w14:paraId="7845322E" w14:textId="77777777" w:rsidR="0090135A" w:rsidRPr="0090135A" w:rsidRDefault="0090135A" w:rsidP="0090135A"/>
    <w:p w14:paraId="4DA765FA" w14:textId="2C21EB81" w:rsidR="00C84787" w:rsidRDefault="00E12918" w:rsidP="00C84787">
      <w:pPr>
        <w:pStyle w:val="Bibliography"/>
        <w:ind w:left="720" w:hanging="720"/>
        <w:rPr>
          <w:noProof/>
        </w:rPr>
      </w:pPr>
      <w:r>
        <w:rPr>
          <w:rFonts w:ascii="Calibri" w:hAnsi="Calibri" w:cs="Calibri"/>
          <w:b/>
          <w:color w:val="5B9BD5" w:themeColor="accent5"/>
          <w:sz w:val="52"/>
          <w:szCs w:val="5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fldChar w:fldCharType="end"/>
      </w:r>
      <w:r w:rsidR="00C84787">
        <w:rPr>
          <w:noProof/>
        </w:rPr>
        <w:t xml:space="preserve">O’Dea, Bale, Chiu, Suleymenova, &amp; Tinker, S. (2025). ‘Ethical Uses of Generative AI in Assessment: Student Perceptions in UK Contexts.' </w:t>
      </w:r>
      <w:r w:rsidR="00C84787">
        <w:rPr>
          <w:i/>
          <w:iCs/>
          <w:noProof/>
        </w:rPr>
        <w:t>Evaluation Review, Advance online publication.</w:t>
      </w:r>
      <w:r w:rsidR="00C84787">
        <w:rPr>
          <w:noProof/>
        </w:rPr>
        <w:t xml:space="preserve"> DOI: 10.1177/0193841X2513997.</w:t>
      </w:r>
    </w:p>
    <w:p w14:paraId="4D5CA099" w14:textId="2A0008C7" w:rsidR="00F13C02" w:rsidRPr="00F13C02" w:rsidRDefault="00F13C02" w:rsidP="00F319D9">
      <w:pPr>
        <w:jc w:val="both"/>
      </w:pPr>
    </w:p>
    <w:p w14:paraId="60DB771A" w14:textId="5611AA25" w:rsidR="00B83DCF" w:rsidRDefault="00B83DCF" w:rsidP="00B83DCF">
      <w:pPr>
        <w:pStyle w:val="Bibliography"/>
        <w:ind w:left="720" w:hanging="720"/>
        <w:jc w:val="both"/>
        <w:rPr>
          <w:noProof/>
          <w:kern w:val="0"/>
          <w:sz w:val="24"/>
          <w:szCs w:val="24"/>
          <w14:ligatures w14:val="none"/>
        </w:rPr>
      </w:pPr>
      <w:r>
        <w:rPr>
          <w:noProof/>
        </w:rPr>
        <w:t xml:space="preserve">Orfanidis, </w:t>
      </w:r>
      <w:r w:rsidR="00D561D4">
        <w:rPr>
          <w:noProof/>
        </w:rPr>
        <w:t xml:space="preserve">C. </w:t>
      </w:r>
      <w:r>
        <w:rPr>
          <w:noProof/>
        </w:rPr>
        <w:t xml:space="preserve"> (2025). ‘Moral Diversity in Institutional Policies Governing the Student Usage of Generative AI: An International Comparison’. </w:t>
      </w:r>
      <w:r>
        <w:rPr>
          <w:i/>
          <w:iCs/>
          <w:noProof/>
        </w:rPr>
        <w:t xml:space="preserve">Higher Education Quarterly, 79(4), e70051. </w:t>
      </w:r>
      <w:r>
        <w:rPr>
          <w:noProof/>
        </w:rPr>
        <w:t>DOI: 10.1111/hequ.70051.</w:t>
      </w:r>
    </w:p>
    <w:p w14:paraId="2D444D41" w14:textId="0861BECE" w:rsidR="00140F53" w:rsidRPr="00616EFE" w:rsidRDefault="00140F53">
      <w:pPr>
        <w:rPr>
          <w:rFonts w:cstheme="minorHAnsi"/>
          <w:b/>
          <w:color w:val="5B9BD5" w:themeColor="accent5"/>
          <w:sz w:val="24"/>
          <w:szCs w:val="24"/>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p>
    <w:p w14:paraId="5D940EC0" w14:textId="6E587471" w:rsidR="008208EE" w:rsidRDefault="008208EE" w:rsidP="008208EE">
      <w:pPr>
        <w:pStyle w:val="Bibliography"/>
        <w:ind w:left="720" w:hanging="720"/>
        <w:jc w:val="both"/>
        <w:rPr>
          <w:noProof/>
          <w:kern w:val="0"/>
          <w:sz w:val="24"/>
          <w:szCs w:val="24"/>
          <w14:ligatures w14:val="none"/>
        </w:rPr>
      </w:pPr>
      <w:r>
        <w:rPr>
          <w:rFonts w:ascii="Calibri" w:hAnsi="Calibri" w:cs="Calibri"/>
          <w:b/>
          <w:color w:val="5B9BD5" w:themeColor="accent5"/>
          <w:sz w:val="52"/>
          <w:szCs w:val="5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fldChar w:fldCharType="begin"/>
      </w:r>
      <w:r>
        <w:rPr>
          <w:rFonts w:ascii="Calibri" w:hAnsi="Calibri" w:cs="Calibri"/>
          <w:b/>
          <w:color w:val="5B9BD5" w:themeColor="accent5"/>
          <w:sz w:val="52"/>
          <w:szCs w:val="5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instrText xml:space="preserve"> BIBLIOGRAPHY  \l 2057 </w:instrText>
      </w:r>
      <w:r>
        <w:rPr>
          <w:rFonts w:ascii="Calibri" w:hAnsi="Calibri" w:cs="Calibri"/>
          <w:b/>
          <w:color w:val="5B9BD5" w:themeColor="accent5"/>
          <w:sz w:val="52"/>
          <w:szCs w:val="5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fldChar w:fldCharType="separate"/>
      </w:r>
      <w:r>
        <w:rPr>
          <w:noProof/>
        </w:rPr>
        <w:t xml:space="preserve">Wilson, T. (2025). ‘The development of policies on generative artificial intelligence in UK universities’. </w:t>
      </w:r>
      <w:r>
        <w:rPr>
          <w:i/>
          <w:iCs/>
          <w:noProof/>
        </w:rPr>
        <w:t xml:space="preserve">IFLA Journal, 51(3), pp. 722–734. </w:t>
      </w:r>
      <w:r>
        <w:rPr>
          <w:noProof/>
        </w:rPr>
        <w:t>DOI: 10.1177/03400352251333796.</w:t>
      </w:r>
    </w:p>
    <w:p w14:paraId="6D59CC97" w14:textId="77777777" w:rsidR="0090135A" w:rsidRDefault="008208EE" w:rsidP="00B83DCF">
      <w:pPr>
        <w:pStyle w:val="Bibliography"/>
        <w:ind w:left="720" w:hanging="720"/>
        <w:jc w:val="both"/>
        <w:rPr>
          <w:rFonts w:ascii="Calibri" w:hAnsi="Calibri" w:cs="Calibri"/>
          <w:b/>
          <w:color w:val="5B9BD5" w:themeColor="accent5"/>
          <w:sz w:val="52"/>
          <w:szCs w:val="5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Pr>
          <w:rFonts w:ascii="Calibri" w:hAnsi="Calibri" w:cs="Calibri"/>
          <w:b/>
          <w:color w:val="5B9BD5" w:themeColor="accent5"/>
          <w:sz w:val="52"/>
          <w:szCs w:val="5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fldChar w:fldCharType="end"/>
      </w:r>
    </w:p>
    <w:p w14:paraId="228C9BF8" w14:textId="6A050F46" w:rsidR="00664636" w:rsidRDefault="00664636" w:rsidP="0090135A">
      <w:pPr>
        <w:pStyle w:val="Bibliography"/>
        <w:ind w:left="720" w:hanging="720"/>
        <w:jc w:val="both"/>
        <w:rPr>
          <w:rFonts w:ascii="Calibri" w:hAnsi="Calibri" w:cs="Calibri"/>
          <w:b/>
          <w:color w:val="5B9BD5" w:themeColor="accent5"/>
          <w:sz w:val="52"/>
          <w:szCs w:val="5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p>
    <w:p w14:paraId="01CCF5A9" w14:textId="3985685F" w:rsidR="004D36E0" w:rsidRDefault="004D36E0" w:rsidP="00664636">
      <w:pPr>
        <w:pStyle w:val="Bibliography"/>
        <w:ind w:left="720" w:hanging="720"/>
        <w:jc w:val="both"/>
        <w:rPr>
          <w:rFonts w:ascii="Calibri" w:hAnsi="Calibri" w:cs="Calibri"/>
          <w:b/>
          <w:color w:val="5B9BD5" w:themeColor="accent5"/>
          <w:sz w:val="52"/>
          <w:szCs w:val="5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p>
    <w:p w14:paraId="0597899B" w14:textId="0C461551" w:rsidR="004B410A" w:rsidRDefault="004B410A" w:rsidP="00373447">
      <w:pPr>
        <w:pStyle w:val="Bibliography"/>
        <w:ind w:left="720" w:hanging="720"/>
        <w:jc w:val="both"/>
        <w:rPr>
          <w:rFonts w:ascii="Calibri" w:hAnsi="Calibri" w:cs="Calibri"/>
          <w:b/>
          <w:color w:val="5B9BD5" w:themeColor="accent5"/>
          <w:sz w:val="52"/>
          <w:szCs w:val="5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p>
    <w:p w14:paraId="26F70FAD" w14:textId="6AF7F976" w:rsidR="00D3329B" w:rsidRDefault="00D3329B" w:rsidP="004B410A">
      <w:pPr>
        <w:pStyle w:val="Bibliography"/>
        <w:ind w:left="720" w:hanging="720"/>
        <w:jc w:val="both"/>
        <w:rPr>
          <w:rFonts w:ascii="Calibri" w:hAnsi="Calibri" w:cs="Calibri"/>
          <w:b/>
          <w:color w:val="5B9BD5" w:themeColor="accent5"/>
          <w:sz w:val="52"/>
          <w:szCs w:val="5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p>
    <w:p w14:paraId="048D6123" w14:textId="77777777" w:rsidR="004B410A" w:rsidRPr="004B410A" w:rsidRDefault="004B410A" w:rsidP="004B410A"/>
    <w:p w14:paraId="0C7ED0E5" w14:textId="420724E6" w:rsidR="00F13C02" w:rsidRDefault="00F13C02" w:rsidP="00D3329B">
      <w:pPr>
        <w:pStyle w:val="Bibliography"/>
        <w:ind w:left="720" w:hanging="720"/>
        <w:jc w:val="both"/>
        <w:rPr>
          <w:rFonts w:ascii="Calibri" w:hAnsi="Calibri" w:cs="Calibri"/>
          <w:b/>
          <w:color w:val="5B9BD5" w:themeColor="accent5"/>
          <w:sz w:val="52"/>
          <w:szCs w:val="5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p>
    <w:p w14:paraId="31DDB6A3" w14:textId="35170CAD" w:rsidR="00B83DCF" w:rsidRPr="00B92E49" w:rsidRDefault="00B83DCF" w:rsidP="00F13C02">
      <w:pPr>
        <w:pStyle w:val="Bibliography"/>
        <w:ind w:left="720" w:hanging="720"/>
        <w:jc w:val="both"/>
        <w:rPr>
          <w:noProof/>
        </w:rPr>
      </w:pPr>
    </w:p>
    <w:p w14:paraId="2310AB61" w14:textId="2901CA17" w:rsidR="00140F53" w:rsidRPr="00B83DCF" w:rsidRDefault="00140F53" w:rsidP="00B83DCF">
      <w:pPr>
        <w:pStyle w:val="Bibliography"/>
        <w:ind w:left="720" w:hanging="720"/>
        <w:jc w:val="both"/>
        <w:rPr>
          <w:rFonts w:ascii="Calibri" w:hAnsi="Calibri" w:cs="Calibri"/>
          <w:b/>
          <w:color w:val="5B9BD5" w:themeColor="accent5"/>
          <w:sz w:val="52"/>
          <w:szCs w:val="5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p>
    <w:p w14:paraId="6D1EAC8F" w14:textId="77777777" w:rsidR="00140F53" w:rsidRDefault="00140F53">
      <w:pPr>
        <w:rPr>
          <w:rFonts w:ascii="Calibri" w:hAnsi="Calibri" w:cs="Calibri"/>
          <w:b/>
          <w:color w:val="5B9BD5" w:themeColor="accent5"/>
          <w:sz w:val="52"/>
          <w:szCs w:val="5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p>
    <w:p w14:paraId="3880F159" w14:textId="77777777" w:rsidR="00140F53" w:rsidRDefault="00140F53">
      <w:pPr>
        <w:rPr>
          <w:rFonts w:ascii="Calibri" w:hAnsi="Calibri" w:cs="Calibri"/>
          <w:b/>
          <w:color w:val="5B9BD5" w:themeColor="accent5"/>
          <w:sz w:val="52"/>
          <w:szCs w:val="5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p>
    <w:p w14:paraId="330C87BD" w14:textId="77777777" w:rsidR="00140F53" w:rsidRDefault="00140F53">
      <w:pPr>
        <w:rPr>
          <w:rFonts w:ascii="Calibri" w:hAnsi="Calibri" w:cs="Calibri"/>
          <w:b/>
          <w:color w:val="5B9BD5" w:themeColor="accent5"/>
          <w:sz w:val="52"/>
          <w:szCs w:val="5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p>
    <w:p w14:paraId="203B3C69" w14:textId="77777777" w:rsidR="00140F53" w:rsidRDefault="00140F53">
      <w:pPr>
        <w:rPr>
          <w:rFonts w:ascii="Calibri" w:hAnsi="Calibri" w:cs="Calibri"/>
          <w:b/>
          <w:color w:val="5B9BD5" w:themeColor="accent5"/>
          <w:sz w:val="52"/>
          <w:szCs w:val="5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p>
    <w:p w14:paraId="7E2DE3FD" w14:textId="77777777" w:rsidR="00140F53" w:rsidRDefault="00140F53">
      <w:pPr>
        <w:rPr>
          <w:rFonts w:ascii="Calibri" w:hAnsi="Calibri" w:cs="Calibri"/>
          <w:b/>
          <w:color w:val="5B9BD5" w:themeColor="accent5"/>
          <w:sz w:val="52"/>
          <w:szCs w:val="5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p>
    <w:p w14:paraId="5AD9280E" w14:textId="77777777" w:rsidR="00140F53" w:rsidRDefault="00140F53">
      <w:pPr>
        <w:rPr>
          <w:rFonts w:ascii="Calibri" w:hAnsi="Calibri" w:cs="Calibri"/>
          <w:b/>
          <w:color w:val="5B9BD5" w:themeColor="accent5"/>
          <w:sz w:val="52"/>
          <w:szCs w:val="5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p>
    <w:p w14:paraId="2B4151D8" w14:textId="77777777" w:rsidR="00140F53" w:rsidRDefault="00140F53">
      <w:pPr>
        <w:rPr>
          <w:rFonts w:ascii="Calibri" w:hAnsi="Calibri" w:cs="Calibri"/>
          <w:b/>
          <w:color w:val="5B9BD5" w:themeColor="accent5"/>
          <w:sz w:val="52"/>
          <w:szCs w:val="5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p>
    <w:p w14:paraId="4A486EC8" w14:textId="77777777" w:rsidR="00140F53" w:rsidRDefault="00140F53">
      <w:pPr>
        <w:rPr>
          <w:rFonts w:ascii="Calibri" w:hAnsi="Calibri" w:cs="Calibri"/>
          <w:b/>
          <w:color w:val="5B9BD5" w:themeColor="accent5"/>
          <w:sz w:val="52"/>
          <w:szCs w:val="5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p>
    <w:p w14:paraId="34F6CA67" w14:textId="77777777" w:rsidR="00140F53" w:rsidRDefault="00140F53">
      <w:pPr>
        <w:rPr>
          <w:rFonts w:ascii="Calibri" w:hAnsi="Calibri" w:cs="Calibri"/>
          <w:b/>
          <w:color w:val="5B9BD5" w:themeColor="accent5"/>
          <w:sz w:val="52"/>
          <w:szCs w:val="5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p>
    <w:p w14:paraId="237C12C9" w14:textId="77777777" w:rsidR="00140F53" w:rsidRDefault="00140F53">
      <w:pPr>
        <w:rPr>
          <w:rFonts w:ascii="Calibri" w:hAnsi="Calibri" w:cs="Calibri"/>
          <w:b/>
          <w:color w:val="5B9BD5" w:themeColor="accent5"/>
          <w:sz w:val="52"/>
          <w:szCs w:val="5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p>
    <w:p w14:paraId="38AB0484" w14:textId="77777777" w:rsidR="00140F53" w:rsidRDefault="00140F53">
      <w:pPr>
        <w:rPr>
          <w:rFonts w:ascii="Calibri" w:hAnsi="Calibri" w:cs="Calibri"/>
          <w:b/>
          <w:color w:val="5B9BD5" w:themeColor="accent5"/>
          <w:sz w:val="52"/>
          <w:szCs w:val="5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p>
    <w:p w14:paraId="6CA11245" w14:textId="77777777" w:rsidR="00140F53" w:rsidRDefault="00140F53">
      <w:pPr>
        <w:rPr>
          <w:rFonts w:ascii="Calibri" w:hAnsi="Calibri" w:cs="Calibri"/>
          <w:b/>
          <w:color w:val="5B9BD5" w:themeColor="accent5"/>
          <w:sz w:val="52"/>
          <w:szCs w:val="5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sectPr w:rsidR="00140F53" w:rsidSect="00E76674">
          <w:footerReference w:type="default" r:id="rId9"/>
          <w:pgSz w:w="11906" w:h="16838"/>
          <w:pgMar w:top="1440" w:right="1440" w:bottom="1440" w:left="1440" w:header="708" w:footer="708" w:gutter="0"/>
          <w:cols w:space="708"/>
          <w:titlePg/>
          <w:docGrid w:linePitch="360"/>
        </w:sectPr>
      </w:pPr>
    </w:p>
    <w:tbl>
      <w:tblPr>
        <w:tblW w:w="0" w:type="auto"/>
        <w:jc w:val="center"/>
        <w:tblLayout w:type="fixed"/>
        <w:tblLook w:val="04A0" w:firstRow="1" w:lastRow="0" w:firstColumn="1" w:lastColumn="0" w:noHBand="0" w:noVBand="1"/>
      </w:tblPr>
      <w:tblGrid>
        <w:gridCol w:w="1800"/>
        <w:gridCol w:w="576"/>
        <w:gridCol w:w="1440"/>
        <w:gridCol w:w="1512"/>
        <w:gridCol w:w="1755"/>
        <w:gridCol w:w="1559"/>
        <w:gridCol w:w="1701"/>
        <w:gridCol w:w="3467"/>
      </w:tblGrid>
      <w:tr w:rsidR="008940DE" w14:paraId="2118CCCB" w14:textId="77777777" w:rsidTr="00221077">
        <w:trPr>
          <w:cantSplit/>
          <w:tblHeader/>
          <w:jc w:val="center"/>
        </w:trPr>
        <w:tc>
          <w:tcPr>
            <w:tcW w:w="1800" w:type="dxa"/>
            <w:tcBorders>
              <w:top w:val="single" w:sz="4" w:space="0" w:color="D9D9D9"/>
              <w:left w:val="single" w:sz="4" w:space="0" w:color="D9D9D9"/>
              <w:bottom w:val="single" w:sz="4" w:space="0" w:color="D9D9D9"/>
              <w:right w:val="single" w:sz="4" w:space="0" w:color="D9D9D9"/>
            </w:tcBorders>
            <w:shd w:val="clear" w:color="auto" w:fill="D9EAF2"/>
            <w:tcMar>
              <w:top w:w="75" w:type="dxa"/>
              <w:left w:w="75" w:type="dxa"/>
              <w:bottom w:w="75" w:type="dxa"/>
              <w:right w:w="75" w:type="dxa"/>
            </w:tcMar>
            <w:vAlign w:val="center"/>
          </w:tcPr>
          <w:p w14:paraId="7CF4E77F" w14:textId="77777777" w:rsidR="008940DE" w:rsidRDefault="008940DE" w:rsidP="008F14E5">
            <w:pPr>
              <w:spacing w:after="60" w:line="240" w:lineRule="auto"/>
            </w:pPr>
            <w:r>
              <w:rPr>
                <w:b/>
                <w:sz w:val="18"/>
              </w:rPr>
              <w:lastRenderedPageBreak/>
              <w:t>Authors</w:t>
            </w:r>
          </w:p>
        </w:tc>
        <w:tc>
          <w:tcPr>
            <w:tcW w:w="576" w:type="dxa"/>
            <w:tcBorders>
              <w:top w:val="single" w:sz="4" w:space="0" w:color="D9D9D9"/>
              <w:left w:val="single" w:sz="4" w:space="0" w:color="D9D9D9"/>
              <w:bottom w:val="single" w:sz="4" w:space="0" w:color="D9D9D9"/>
              <w:right w:val="single" w:sz="4" w:space="0" w:color="D9D9D9"/>
            </w:tcBorders>
            <w:shd w:val="clear" w:color="auto" w:fill="D9EAF2"/>
            <w:tcMar>
              <w:top w:w="75" w:type="dxa"/>
              <w:left w:w="75" w:type="dxa"/>
              <w:bottom w:w="75" w:type="dxa"/>
              <w:right w:w="75" w:type="dxa"/>
            </w:tcMar>
            <w:vAlign w:val="center"/>
          </w:tcPr>
          <w:p w14:paraId="5A6200AD" w14:textId="77777777" w:rsidR="008940DE" w:rsidRDefault="008940DE" w:rsidP="008F14E5">
            <w:pPr>
              <w:spacing w:after="60" w:line="240" w:lineRule="auto"/>
            </w:pPr>
            <w:r>
              <w:rPr>
                <w:b/>
                <w:sz w:val="18"/>
              </w:rPr>
              <w:t>Year</w:t>
            </w:r>
          </w:p>
        </w:tc>
        <w:tc>
          <w:tcPr>
            <w:tcW w:w="1440" w:type="dxa"/>
            <w:tcBorders>
              <w:top w:val="single" w:sz="4" w:space="0" w:color="D9D9D9"/>
              <w:left w:val="single" w:sz="4" w:space="0" w:color="D9D9D9"/>
              <w:bottom w:val="single" w:sz="4" w:space="0" w:color="D9D9D9"/>
              <w:right w:val="single" w:sz="4" w:space="0" w:color="D9D9D9"/>
            </w:tcBorders>
            <w:shd w:val="clear" w:color="auto" w:fill="D9EAF2"/>
            <w:tcMar>
              <w:top w:w="75" w:type="dxa"/>
              <w:left w:w="75" w:type="dxa"/>
              <w:bottom w:w="75" w:type="dxa"/>
              <w:right w:w="75" w:type="dxa"/>
            </w:tcMar>
            <w:vAlign w:val="center"/>
          </w:tcPr>
          <w:p w14:paraId="7CC0CB54" w14:textId="77777777" w:rsidR="008940DE" w:rsidRDefault="008940DE" w:rsidP="008F14E5">
            <w:pPr>
              <w:spacing w:after="60" w:line="240" w:lineRule="auto"/>
            </w:pPr>
            <w:r>
              <w:rPr>
                <w:b/>
                <w:sz w:val="18"/>
              </w:rPr>
              <w:t>Aim</w:t>
            </w:r>
          </w:p>
        </w:tc>
        <w:tc>
          <w:tcPr>
            <w:tcW w:w="1512" w:type="dxa"/>
            <w:tcBorders>
              <w:top w:val="single" w:sz="4" w:space="0" w:color="D9D9D9"/>
              <w:left w:val="single" w:sz="4" w:space="0" w:color="D9D9D9"/>
              <w:bottom w:val="single" w:sz="4" w:space="0" w:color="D9D9D9"/>
              <w:right w:val="single" w:sz="4" w:space="0" w:color="D9D9D9"/>
            </w:tcBorders>
            <w:shd w:val="clear" w:color="auto" w:fill="D9EAF2"/>
            <w:tcMar>
              <w:top w:w="75" w:type="dxa"/>
              <w:left w:w="75" w:type="dxa"/>
              <w:bottom w:w="75" w:type="dxa"/>
              <w:right w:w="75" w:type="dxa"/>
            </w:tcMar>
            <w:vAlign w:val="center"/>
          </w:tcPr>
          <w:p w14:paraId="0B455798" w14:textId="77777777" w:rsidR="008940DE" w:rsidRDefault="008940DE" w:rsidP="008F14E5">
            <w:pPr>
              <w:spacing w:after="60" w:line="240" w:lineRule="auto"/>
            </w:pPr>
            <w:r>
              <w:rPr>
                <w:b/>
                <w:sz w:val="18"/>
              </w:rPr>
              <w:t>Objectives</w:t>
            </w:r>
          </w:p>
        </w:tc>
        <w:tc>
          <w:tcPr>
            <w:tcW w:w="1755" w:type="dxa"/>
            <w:tcBorders>
              <w:top w:val="single" w:sz="4" w:space="0" w:color="D9D9D9"/>
              <w:left w:val="single" w:sz="4" w:space="0" w:color="D9D9D9"/>
              <w:bottom w:val="single" w:sz="4" w:space="0" w:color="D9D9D9"/>
              <w:right w:val="single" w:sz="4" w:space="0" w:color="D9D9D9"/>
            </w:tcBorders>
            <w:shd w:val="clear" w:color="auto" w:fill="D9EAF2"/>
            <w:tcMar>
              <w:top w:w="75" w:type="dxa"/>
              <w:left w:w="75" w:type="dxa"/>
              <w:bottom w:w="75" w:type="dxa"/>
              <w:right w:w="75" w:type="dxa"/>
            </w:tcMar>
            <w:vAlign w:val="center"/>
          </w:tcPr>
          <w:p w14:paraId="7E3E2247" w14:textId="77777777" w:rsidR="008940DE" w:rsidRDefault="008940DE" w:rsidP="008F14E5">
            <w:pPr>
              <w:spacing w:after="60" w:line="240" w:lineRule="auto"/>
            </w:pPr>
            <w:r>
              <w:rPr>
                <w:b/>
                <w:sz w:val="18"/>
              </w:rPr>
              <w:t>Research question</w:t>
            </w:r>
          </w:p>
        </w:tc>
        <w:tc>
          <w:tcPr>
            <w:tcW w:w="1559" w:type="dxa"/>
            <w:tcBorders>
              <w:top w:val="single" w:sz="4" w:space="0" w:color="D9D9D9"/>
              <w:left w:val="single" w:sz="4" w:space="0" w:color="D9D9D9"/>
              <w:bottom w:val="single" w:sz="4" w:space="0" w:color="D9D9D9"/>
              <w:right w:val="single" w:sz="4" w:space="0" w:color="D9D9D9"/>
            </w:tcBorders>
            <w:shd w:val="clear" w:color="auto" w:fill="D9EAF2"/>
            <w:tcMar>
              <w:top w:w="75" w:type="dxa"/>
              <w:left w:w="75" w:type="dxa"/>
              <w:bottom w:w="75" w:type="dxa"/>
              <w:right w:w="75" w:type="dxa"/>
            </w:tcMar>
            <w:vAlign w:val="center"/>
          </w:tcPr>
          <w:p w14:paraId="30B6099C" w14:textId="77777777" w:rsidR="008940DE" w:rsidRDefault="008940DE" w:rsidP="008F14E5">
            <w:pPr>
              <w:spacing w:after="60" w:line="240" w:lineRule="auto"/>
            </w:pPr>
            <w:r>
              <w:rPr>
                <w:b/>
                <w:sz w:val="18"/>
              </w:rPr>
              <w:t>Method</w:t>
            </w:r>
          </w:p>
        </w:tc>
        <w:tc>
          <w:tcPr>
            <w:tcW w:w="1701" w:type="dxa"/>
            <w:tcBorders>
              <w:top w:val="single" w:sz="4" w:space="0" w:color="D9D9D9"/>
              <w:left w:val="single" w:sz="4" w:space="0" w:color="D9D9D9"/>
              <w:bottom w:val="single" w:sz="4" w:space="0" w:color="D9D9D9"/>
              <w:right w:val="single" w:sz="4" w:space="0" w:color="D9D9D9"/>
            </w:tcBorders>
            <w:shd w:val="clear" w:color="auto" w:fill="D9EAF2"/>
            <w:tcMar>
              <w:top w:w="75" w:type="dxa"/>
              <w:left w:w="75" w:type="dxa"/>
              <w:bottom w:w="75" w:type="dxa"/>
              <w:right w:w="75" w:type="dxa"/>
            </w:tcMar>
            <w:vAlign w:val="center"/>
          </w:tcPr>
          <w:p w14:paraId="529B7D69" w14:textId="77777777" w:rsidR="008940DE" w:rsidRDefault="008940DE" w:rsidP="008F14E5">
            <w:pPr>
              <w:spacing w:after="60" w:line="240" w:lineRule="auto"/>
            </w:pPr>
            <w:r>
              <w:rPr>
                <w:b/>
                <w:sz w:val="18"/>
              </w:rPr>
              <w:t>Findings</w:t>
            </w:r>
          </w:p>
        </w:tc>
        <w:tc>
          <w:tcPr>
            <w:tcW w:w="3467" w:type="dxa"/>
            <w:tcBorders>
              <w:top w:val="single" w:sz="4" w:space="0" w:color="D9D9D9"/>
              <w:left w:val="single" w:sz="4" w:space="0" w:color="D9D9D9"/>
              <w:bottom w:val="single" w:sz="4" w:space="0" w:color="D9D9D9"/>
              <w:right w:val="single" w:sz="4" w:space="0" w:color="D9D9D9"/>
            </w:tcBorders>
            <w:shd w:val="clear" w:color="auto" w:fill="D9EAF2"/>
            <w:tcMar>
              <w:top w:w="75" w:type="dxa"/>
              <w:left w:w="75" w:type="dxa"/>
              <w:bottom w:w="75" w:type="dxa"/>
              <w:right w:w="75" w:type="dxa"/>
            </w:tcMar>
            <w:vAlign w:val="center"/>
          </w:tcPr>
          <w:p w14:paraId="322719E2" w14:textId="77777777" w:rsidR="008940DE" w:rsidRDefault="008940DE" w:rsidP="008F14E5">
            <w:pPr>
              <w:spacing w:after="60" w:line="240" w:lineRule="auto"/>
            </w:pPr>
            <w:r>
              <w:rPr>
                <w:b/>
                <w:sz w:val="18"/>
              </w:rPr>
              <w:t>Harvard reference</w:t>
            </w:r>
          </w:p>
        </w:tc>
      </w:tr>
      <w:tr w:rsidR="008940DE" w14:paraId="754CE566" w14:textId="77777777" w:rsidTr="00221077">
        <w:trPr>
          <w:cantSplit/>
          <w:jc w:val="center"/>
        </w:trPr>
        <w:tc>
          <w:tcPr>
            <w:tcW w:w="1800" w:type="dxa"/>
            <w:tcBorders>
              <w:top w:val="single" w:sz="4" w:space="0" w:color="D9D9D9"/>
              <w:left w:val="single" w:sz="4" w:space="0" w:color="D9D9D9"/>
              <w:bottom w:val="single" w:sz="4" w:space="0" w:color="D9D9D9"/>
              <w:right w:val="single" w:sz="4" w:space="0" w:color="D9D9D9"/>
            </w:tcBorders>
            <w:shd w:val="clear" w:color="auto" w:fill="FFFFFF"/>
            <w:tcMar>
              <w:top w:w="75" w:type="dxa"/>
              <w:left w:w="75" w:type="dxa"/>
              <w:bottom w:w="75" w:type="dxa"/>
              <w:right w:w="75" w:type="dxa"/>
            </w:tcMar>
            <w:vAlign w:val="center"/>
          </w:tcPr>
          <w:p w14:paraId="4F754B7B" w14:textId="6E28DB83" w:rsidR="008940DE" w:rsidRPr="00B47B65" w:rsidRDefault="00F9446B" w:rsidP="008F14E5">
            <w:pPr>
              <w:spacing w:after="60" w:line="240" w:lineRule="auto"/>
              <w:rPr>
                <w:rFonts w:ascii="Calibri" w:hAnsi="Calibri" w:cs="Calibri"/>
                <w:sz w:val="20"/>
                <w:szCs w:val="20"/>
              </w:rPr>
            </w:pPr>
            <w:r w:rsidRPr="00B47B65">
              <w:rPr>
                <w:rFonts w:ascii="Calibri" w:hAnsi="Calibri" w:cs="Calibri"/>
                <w:sz w:val="20"/>
                <w:szCs w:val="20"/>
              </w:rPr>
              <w:t>1</w:t>
            </w:r>
            <w:r>
              <w:rPr>
                <w:rFonts w:ascii="Calibri" w:hAnsi="Calibri" w:cs="Calibri"/>
                <w:sz w:val="20"/>
                <w:szCs w:val="20"/>
              </w:rPr>
              <w:t>.</w:t>
            </w:r>
            <w:r w:rsidRPr="00B47B65">
              <w:rPr>
                <w:rFonts w:ascii="Calibri" w:hAnsi="Calibri" w:cs="Calibri"/>
                <w:sz w:val="20"/>
                <w:szCs w:val="20"/>
              </w:rPr>
              <w:t xml:space="preserve"> Wilson</w:t>
            </w:r>
            <w:r w:rsidR="008940DE" w:rsidRPr="00B47B65">
              <w:rPr>
                <w:rFonts w:ascii="Calibri" w:hAnsi="Calibri" w:cs="Calibri"/>
                <w:sz w:val="20"/>
                <w:szCs w:val="20"/>
              </w:rPr>
              <w:t>, T.</w:t>
            </w:r>
          </w:p>
        </w:tc>
        <w:tc>
          <w:tcPr>
            <w:tcW w:w="576" w:type="dxa"/>
            <w:tcBorders>
              <w:top w:val="single" w:sz="4" w:space="0" w:color="D9D9D9"/>
              <w:left w:val="single" w:sz="4" w:space="0" w:color="D9D9D9"/>
              <w:bottom w:val="single" w:sz="4" w:space="0" w:color="D9D9D9"/>
              <w:right w:val="single" w:sz="4" w:space="0" w:color="D9D9D9"/>
            </w:tcBorders>
            <w:shd w:val="clear" w:color="auto" w:fill="FFFFFF"/>
            <w:tcMar>
              <w:top w:w="75" w:type="dxa"/>
              <w:left w:w="75" w:type="dxa"/>
              <w:bottom w:w="75" w:type="dxa"/>
              <w:right w:w="75" w:type="dxa"/>
            </w:tcMar>
            <w:vAlign w:val="center"/>
          </w:tcPr>
          <w:p w14:paraId="61DD8F50" w14:textId="77777777" w:rsidR="008940DE" w:rsidRPr="00B47B65" w:rsidRDefault="008940DE" w:rsidP="008F14E5">
            <w:pPr>
              <w:spacing w:after="60" w:line="240" w:lineRule="auto"/>
              <w:rPr>
                <w:rFonts w:ascii="Calibri" w:hAnsi="Calibri" w:cs="Calibri"/>
                <w:sz w:val="20"/>
                <w:szCs w:val="20"/>
              </w:rPr>
            </w:pPr>
            <w:r w:rsidRPr="00B47B65">
              <w:rPr>
                <w:rFonts w:ascii="Calibri" w:hAnsi="Calibri" w:cs="Calibri"/>
                <w:sz w:val="20"/>
                <w:szCs w:val="20"/>
              </w:rPr>
              <w:t>2025</w:t>
            </w:r>
          </w:p>
        </w:tc>
        <w:tc>
          <w:tcPr>
            <w:tcW w:w="1440" w:type="dxa"/>
            <w:tcBorders>
              <w:top w:val="single" w:sz="4" w:space="0" w:color="D9D9D9"/>
              <w:left w:val="single" w:sz="4" w:space="0" w:color="D9D9D9"/>
              <w:bottom w:val="single" w:sz="4" w:space="0" w:color="D9D9D9"/>
              <w:right w:val="single" w:sz="4" w:space="0" w:color="D9D9D9"/>
            </w:tcBorders>
            <w:shd w:val="clear" w:color="auto" w:fill="FFFFFF"/>
            <w:tcMar>
              <w:top w:w="75" w:type="dxa"/>
              <w:left w:w="75" w:type="dxa"/>
              <w:bottom w:w="75" w:type="dxa"/>
              <w:right w:w="75" w:type="dxa"/>
            </w:tcMar>
            <w:vAlign w:val="center"/>
          </w:tcPr>
          <w:p w14:paraId="0BCFE3E8" w14:textId="77777777" w:rsidR="008940DE" w:rsidRPr="00B47B65" w:rsidRDefault="008940DE" w:rsidP="008F14E5">
            <w:pPr>
              <w:spacing w:after="60" w:line="240" w:lineRule="auto"/>
              <w:rPr>
                <w:rFonts w:ascii="Calibri" w:hAnsi="Calibri" w:cs="Calibri"/>
                <w:sz w:val="20"/>
                <w:szCs w:val="20"/>
              </w:rPr>
            </w:pPr>
            <w:r w:rsidRPr="00B47B65">
              <w:rPr>
                <w:rFonts w:ascii="Calibri" w:hAnsi="Calibri" w:cs="Calibri"/>
                <w:sz w:val="20"/>
                <w:szCs w:val="20"/>
              </w:rPr>
              <w:t>Examine UK GenAI policy development.</w:t>
            </w:r>
          </w:p>
        </w:tc>
        <w:tc>
          <w:tcPr>
            <w:tcW w:w="1512" w:type="dxa"/>
            <w:tcBorders>
              <w:top w:val="single" w:sz="4" w:space="0" w:color="D9D9D9"/>
              <w:left w:val="single" w:sz="4" w:space="0" w:color="D9D9D9"/>
              <w:bottom w:val="single" w:sz="4" w:space="0" w:color="D9D9D9"/>
              <w:right w:val="single" w:sz="4" w:space="0" w:color="D9D9D9"/>
            </w:tcBorders>
            <w:shd w:val="clear" w:color="auto" w:fill="FFFFFF"/>
            <w:tcMar>
              <w:top w:w="75" w:type="dxa"/>
              <w:left w:w="75" w:type="dxa"/>
              <w:bottom w:w="75" w:type="dxa"/>
              <w:right w:w="75" w:type="dxa"/>
            </w:tcMar>
            <w:vAlign w:val="center"/>
          </w:tcPr>
          <w:p w14:paraId="4166E7B7" w14:textId="77777777" w:rsidR="008940DE" w:rsidRPr="00B47B65" w:rsidRDefault="008940DE" w:rsidP="008F14E5">
            <w:pPr>
              <w:spacing w:after="60" w:line="240" w:lineRule="auto"/>
              <w:rPr>
                <w:rFonts w:ascii="Calibri" w:hAnsi="Calibri" w:cs="Calibri"/>
                <w:sz w:val="20"/>
                <w:szCs w:val="20"/>
              </w:rPr>
            </w:pPr>
            <w:r w:rsidRPr="00B47B65">
              <w:rPr>
                <w:rFonts w:ascii="Calibri" w:hAnsi="Calibri" w:cs="Calibri"/>
                <w:sz w:val="20"/>
                <w:szCs w:val="20"/>
              </w:rPr>
              <w:t>Compare Russell Group principles and other university guidance.</w:t>
            </w:r>
          </w:p>
        </w:tc>
        <w:tc>
          <w:tcPr>
            <w:tcW w:w="1755" w:type="dxa"/>
            <w:tcBorders>
              <w:top w:val="single" w:sz="4" w:space="0" w:color="D9D9D9"/>
              <w:left w:val="single" w:sz="4" w:space="0" w:color="D9D9D9"/>
              <w:bottom w:val="single" w:sz="4" w:space="0" w:color="D9D9D9"/>
              <w:right w:val="single" w:sz="4" w:space="0" w:color="D9D9D9"/>
            </w:tcBorders>
            <w:shd w:val="clear" w:color="auto" w:fill="FFFFFF"/>
            <w:tcMar>
              <w:top w:w="75" w:type="dxa"/>
              <w:left w:w="75" w:type="dxa"/>
              <w:bottom w:w="75" w:type="dxa"/>
              <w:right w:w="75" w:type="dxa"/>
            </w:tcMar>
            <w:vAlign w:val="center"/>
          </w:tcPr>
          <w:p w14:paraId="23D4264F" w14:textId="2D5562A8" w:rsidR="008940DE" w:rsidRPr="00B47B65" w:rsidRDefault="008940DE" w:rsidP="008F14E5">
            <w:pPr>
              <w:spacing w:after="60" w:line="240" w:lineRule="auto"/>
              <w:rPr>
                <w:rFonts w:ascii="Calibri" w:hAnsi="Calibri" w:cs="Calibri"/>
                <w:sz w:val="20"/>
                <w:szCs w:val="20"/>
              </w:rPr>
            </w:pPr>
            <w:r w:rsidRPr="00B47B65">
              <w:rPr>
                <w:rFonts w:ascii="Calibri" w:hAnsi="Calibri" w:cs="Calibri"/>
                <w:sz w:val="20"/>
                <w:szCs w:val="20"/>
              </w:rPr>
              <w:t xml:space="preserve">How consistently do UK </w:t>
            </w:r>
            <w:r w:rsidR="0090150E" w:rsidRPr="00B47B65">
              <w:rPr>
                <w:rFonts w:ascii="Calibri" w:hAnsi="Calibri" w:cs="Calibri"/>
                <w:sz w:val="20"/>
                <w:szCs w:val="20"/>
              </w:rPr>
              <w:t>University</w:t>
            </w:r>
            <w:r w:rsidRPr="00B47B65">
              <w:rPr>
                <w:rFonts w:ascii="Calibri" w:hAnsi="Calibri" w:cs="Calibri"/>
                <w:sz w:val="20"/>
                <w:szCs w:val="20"/>
              </w:rPr>
              <w:t xml:space="preserve"> policies reflect GenAI principles? </w:t>
            </w:r>
          </w:p>
        </w:tc>
        <w:tc>
          <w:tcPr>
            <w:tcW w:w="1559" w:type="dxa"/>
            <w:tcBorders>
              <w:top w:val="single" w:sz="4" w:space="0" w:color="D9D9D9"/>
              <w:left w:val="single" w:sz="4" w:space="0" w:color="D9D9D9"/>
              <w:bottom w:val="single" w:sz="4" w:space="0" w:color="D9D9D9"/>
              <w:right w:val="single" w:sz="4" w:space="0" w:color="D9D9D9"/>
            </w:tcBorders>
            <w:shd w:val="clear" w:color="auto" w:fill="FFFFFF"/>
            <w:tcMar>
              <w:top w:w="75" w:type="dxa"/>
              <w:left w:w="75" w:type="dxa"/>
              <w:bottom w:w="75" w:type="dxa"/>
              <w:right w:w="75" w:type="dxa"/>
            </w:tcMar>
            <w:vAlign w:val="center"/>
          </w:tcPr>
          <w:p w14:paraId="1CCE5B79" w14:textId="77777777" w:rsidR="008940DE" w:rsidRPr="00B47B65" w:rsidRDefault="008940DE" w:rsidP="008F14E5">
            <w:pPr>
              <w:spacing w:after="60" w:line="240" w:lineRule="auto"/>
              <w:rPr>
                <w:rFonts w:ascii="Calibri" w:hAnsi="Calibri" w:cs="Calibri"/>
                <w:sz w:val="20"/>
                <w:szCs w:val="20"/>
              </w:rPr>
            </w:pPr>
            <w:r w:rsidRPr="00B47B65">
              <w:rPr>
                <w:rFonts w:ascii="Calibri" w:hAnsi="Calibri" w:cs="Calibri"/>
                <w:sz w:val="20"/>
                <w:szCs w:val="20"/>
              </w:rPr>
              <w:t>Public website analysis of 24 Russell Group and 24 other UK universities.</w:t>
            </w:r>
          </w:p>
        </w:tc>
        <w:tc>
          <w:tcPr>
            <w:tcW w:w="1701" w:type="dxa"/>
            <w:tcBorders>
              <w:top w:val="single" w:sz="4" w:space="0" w:color="D9D9D9"/>
              <w:left w:val="single" w:sz="4" w:space="0" w:color="D9D9D9"/>
              <w:bottom w:val="single" w:sz="4" w:space="0" w:color="D9D9D9"/>
              <w:right w:val="single" w:sz="4" w:space="0" w:color="D9D9D9"/>
            </w:tcBorders>
            <w:shd w:val="clear" w:color="auto" w:fill="FFFFFF"/>
            <w:tcMar>
              <w:top w:w="75" w:type="dxa"/>
              <w:left w:w="75" w:type="dxa"/>
              <w:bottom w:w="75" w:type="dxa"/>
              <w:right w:w="75" w:type="dxa"/>
            </w:tcMar>
            <w:vAlign w:val="center"/>
          </w:tcPr>
          <w:p w14:paraId="33980255" w14:textId="77777777" w:rsidR="008940DE" w:rsidRPr="00B47B65" w:rsidRDefault="008940DE" w:rsidP="008F14E5">
            <w:pPr>
              <w:spacing w:after="60" w:line="240" w:lineRule="auto"/>
              <w:rPr>
                <w:rFonts w:ascii="Calibri" w:hAnsi="Calibri" w:cs="Calibri"/>
                <w:sz w:val="20"/>
                <w:szCs w:val="20"/>
              </w:rPr>
            </w:pPr>
            <w:r w:rsidRPr="00B47B65">
              <w:rPr>
                <w:rFonts w:ascii="Calibri" w:hAnsi="Calibri" w:cs="Calibri"/>
                <w:sz w:val="20"/>
                <w:szCs w:val="20"/>
              </w:rPr>
              <w:t>Guidance varies; some less-resourced institutions provide limited public information.</w:t>
            </w:r>
          </w:p>
        </w:tc>
        <w:tc>
          <w:tcPr>
            <w:tcW w:w="3467" w:type="dxa"/>
            <w:tcBorders>
              <w:top w:val="single" w:sz="4" w:space="0" w:color="D9D9D9"/>
              <w:left w:val="single" w:sz="4" w:space="0" w:color="D9D9D9"/>
              <w:bottom w:val="single" w:sz="4" w:space="0" w:color="D9D9D9"/>
              <w:right w:val="single" w:sz="4" w:space="0" w:color="D9D9D9"/>
            </w:tcBorders>
            <w:shd w:val="clear" w:color="auto" w:fill="FFFFFF"/>
            <w:tcMar>
              <w:top w:w="75" w:type="dxa"/>
              <w:left w:w="75" w:type="dxa"/>
              <w:bottom w:w="75" w:type="dxa"/>
              <w:right w:w="75" w:type="dxa"/>
            </w:tcMar>
            <w:vAlign w:val="center"/>
          </w:tcPr>
          <w:p w14:paraId="6F6E2707" w14:textId="0A75DB73" w:rsidR="00405682" w:rsidRPr="005E3FDA" w:rsidRDefault="00405682" w:rsidP="005E3FDA">
            <w:pPr>
              <w:spacing w:after="60" w:line="240" w:lineRule="auto"/>
              <w:rPr>
                <w:rFonts w:ascii="Calibri" w:hAnsi="Calibri" w:cs="Calibri"/>
                <w:sz w:val="20"/>
                <w:szCs w:val="20"/>
              </w:rPr>
            </w:pPr>
            <w:r w:rsidRPr="005E3FDA">
              <w:rPr>
                <w:rFonts w:ascii="Calibri" w:hAnsi="Calibri" w:cs="Calibri"/>
                <w:sz w:val="20"/>
                <w:szCs w:val="20"/>
              </w:rPr>
              <w:fldChar w:fldCharType="begin"/>
            </w:r>
            <w:r w:rsidRPr="005E3FDA">
              <w:rPr>
                <w:rFonts w:ascii="Calibri" w:hAnsi="Calibri" w:cs="Calibri"/>
                <w:sz w:val="20"/>
                <w:szCs w:val="20"/>
              </w:rPr>
              <w:instrText xml:space="preserve"> BIBLIOGRAPHY  \l 2057 </w:instrText>
            </w:r>
            <w:r w:rsidRPr="005E3FDA">
              <w:rPr>
                <w:rFonts w:ascii="Calibri" w:hAnsi="Calibri" w:cs="Calibri"/>
                <w:sz w:val="20"/>
                <w:szCs w:val="20"/>
              </w:rPr>
              <w:fldChar w:fldCharType="separate"/>
            </w:r>
            <w:r w:rsidRPr="005E3FDA">
              <w:rPr>
                <w:rFonts w:ascii="Calibri" w:hAnsi="Calibri" w:cs="Calibri"/>
                <w:sz w:val="20"/>
                <w:szCs w:val="20"/>
              </w:rPr>
              <w:t xml:space="preserve">Wilson, T. (2025). ‘The development of policies on generative artificial intelligence in UK </w:t>
            </w:r>
            <w:r w:rsidR="00D05D38" w:rsidRPr="005E3FDA">
              <w:rPr>
                <w:rFonts w:ascii="Calibri" w:hAnsi="Calibri" w:cs="Calibri"/>
                <w:sz w:val="20"/>
                <w:szCs w:val="20"/>
              </w:rPr>
              <w:t>universities</w:t>
            </w:r>
            <w:r w:rsidRPr="005E3FDA">
              <w:rPr>
                <w:rFonts w:ascii="Calibri" w:hAnsi="Calibri" w:cs="Calibri"/>
                <w:sz w:val="20"/>
                <w:szCs w:val="20"/>
              </w:rPr>
              <w:t>. IFLA Journal, 51(3), pp. 722–734. DOI: 10.1177/03400352251333796.</w:t>
            </w:r>
          </w:p>
          <w:p w14:paraId="699E3465" w14:textId="6FDC1E31" w:rsidR="008940DE" w:rsidRPr="00B47B65" w:rsidRDefault="00405682" w:rsidP="005E3FDA">
            <w:pPr>
              <w:spacing w:after="60" w:line="240" w:lineRule="auto"/>
              <w:rPr>
                <w:rFonts w:ascii="Calibri" w:hAnsi="Calibri" w:cs="Calibri"/>
                <w:sz w:val="20"/>
                <w:szCs w:val="20"/>
              </w:rPr>
            </w:pPr>
            <w:r w:rsidRPr="005E3FDA">
              <w:rPr>
                <w:rFonts w:ascii="Calibri" w:hAnsi="Calibri" w:cs="Calibri"/>
                <w:sz w:val="20"/>
                <w:szCs w:val="20"/>
              </w:rPr>
              <w:fldChar w:fldCharType="end"/>
            </w:r>
          </w:p>
        </w:tc>
      </w:tr>
      <w:tr w:rsidR="008940DE" w14:paraId="5A502646" w14:textId="77777777" w:rsidTr="00221077">
        <w:trPr>
          <w:cantSplit/>
          <w:trHeight w:val="3450"/>
          <w:jc w:val="center"/>
        </w:trPr>
        <w:tc>
          <w:tcPr>
            <w:tcW w:w="1800" w:type="dxa"/>
            <w:tcBorders>
              <w:top w:val="single" w:sz="4" w:space="0" w:color="D9D9D9"/>
              <w:left w:val="single" w:sz="4" w:space="0" w:color="D9D9D9"/>
              <w:bottom w:val="single" w:sz="4" w:space="0" w:color="D9D9D9"/>
              <w:right w:val="single" w:sz="4" w:space="0" w:color="D9D9D9"/>
            </w:tcBorders>
            <w:shd w:val="clear" w:color="auto" w:fill="F3F6F8"/>
            <w:tcMar>
              <w:top w:w="75" w:type="dxa"/>
              <w:left w:w="75" w:type="dxa"/>
              <w:bottom w:w="75" w:type="dxa"/>
              <w:right w:w="75" w:type="dxa"/>
            </w:tcMar>
            <w:vAlign w:val="center"/>
          </w:tcPr>
          <w:p w14:paraId="22096AAD" w14:textId="5B79E2A8" w:rsidR="008940DE" w:rsidRPr="00B47B65" w:rsidRDefault="00F9446B" w:rsidP="008F14E5">
            <w:pPr>
              <w:spacing w:after="60" w:line="240" w:lineRule="auto"/>
              <w:rPr>
                <w:rFonts w:ascii="Calibri" w:hAnsi="Calibri" w:cs="Calibri"/>
                <w:sz w:val="20"/>
                <w:szCs w:val="20"/>
              </w:rPr>
            </w:pPr>
            <w:r w:rsidRPr="00B47B65">
              <w:rPr>
                <w:rFonts w:ascii="Calibri" w:hAnsi="Calibri" w:cs="Calibri"/>
                <w:sz w:val="20"/>
                <w:szCs w:val="20"/>
              </w:rPr>
              <w:t>2</w:t>
            </w:r>
            <w:r>
              <w:rPr>
                <w:rFonts w:ascii="Calibri" w:hAnsi="Calibri" w:cs="Calibri"/>
                <w:sz w:val="20"/>
                <w:szCs w:val="20"/>
              </w:rPr>
              <w:t>.</w:t>
            </w:r>
            <w:r w:rsidRPr="00B47B65">
              <w:rPr>
                <w:rFonts w:ascii="Calibri" w:hAnsi="Calibri" w:cs="Calibri"/>
                <w:sz w:val="20"/>
                <w:szCs w:val="20"/>
              </w:rPr>
              <w:t xml:space="preserve"> Orfanidis</w:t>
            </w:r>
            <w:r w:rsidR="008940DE" w:rsidRPr="00B47B65">
              <w:rPr>
                <w:rFonts w:ascii="Calibri" w:hAnsi="Calibri" w:cs="Calibri"/>
                <w:sz w:val="20"/>
                <w:szCs w:val="20"/>
              </w:rPr>
              <w:t>, C.</w:t>
            </w:r>
          </w:p>
        </w:tc>
        <w:tc>
          <w:tcPr>
            <w:tcW w:w="576" w:type="dxa"/>
            <w:tcBorders>
              <w:top w:val="single" w:sz="4" w:space="0" w:color="D9D9D9"/>
              <w:left w:val="single" w:sz="4" w:space="0" w:color="D9D9D9"/>
              <w:bottom w:val="single" w:sz="4" w:space="0" w:color="D9D9D9"/>
              <w:right w:val="single" w:sz="4" w:space="0" w:color="D9D9D9"/>
            </w:tcBorders>
            <w:shd w:val="clear" w:color="auto" w:fill="F3F6F8"/>
            <w:tcMar>
              <w:top w:w="75" w:type="dxa"/>
              <w:left w:w="75" w:type="dxa"/>
              <w:bottom w:w="75" w:type="dxa"/>
              <w:right w:w="75" w:type="dxa"/>
            </w:tcMar>
            <w:vAlign w:val="center"/>
          </w:tcPr>
          <w:p w14:paraId="5E4E229F" w14:textId="77777777" w:rsidR="008940DE" w:rsidRPr="00B47B65" w:rsidRDefault="008940DE" w:rsidP="008F14E5">
            <w:pPr>
              <w:spacing w:after="60" w:line="240" w:lineRule="auto"/>
              <w:rPr>
                <w:rFonts w:ascii="Calibri" w:hAnsi="Calibri" w:cs="Calibri"/>
                <w:sz w:val="20"/>
                <w:szCs w:val="20"/>
              </w:rPr>
            </w:pPr>
            <w:r w:rsidRPr="00B47B65">
              <w:rPr>
                <w:rFonts w:ascii="Calibri" w:hAnsi="Calibri" w:cs="Calibri"/>
                <w:sz w:val="20"/>
                <w:szCs w:val="20"/>
              </w:rPr>
              <w:t>2025</w:t>
            </w:r>
          </w:p>
        </w:tc>
        <w:tc>
          <w:tcPr>
            <w:tcW w:w="1440" w:type="dxa"/>
            <w:tcBorders>
              <w:top w:val="single" w:sz="4" w:space="0" w:color="D9D9D9"/>
              <w:left w:val="single" w:sz="4" w:space="0" w:color="D9D9D9"/>
              <w:bottom w:val="single" w:sz="4" w:space="0" w:color="D9D9D9"/>
              <w:right w:val="single" w:sz="4" w:space="0" w:color="D9D9D9"/>
            </w:tcBorders>
            <w:shd w:val="clear" w:color="auto" w:fill="F3F6F8"/>
            <w:tcMar>
              <w:top w:w="75" w:type="dxa"/>
              <w:left w:w="75" w:type="dxa"/>
              <w:bottom w:w="75" w:type="dxa"/>
              <w:right w:w="75" w:type="dxa"/>
            </w:tcMar>
            <w:vAlign w:val="center"/>
          </w:tcPr>
          <w:p w14:paraId="76931B4E" w14:textId="77777777" w:rsidR="008940DE" w:rsidRPr="00B47B65" w:rsidRDefault="008940DE" w:rsidP="008F14E5">
            <w:pPr>
              <w:spacing w:after="60" w:line="240" w:lineRule="auto"/>
              <w:rPr>
                <w:rFonts w:ascii="Calibri" w:hAnsi="Calibri" w:cs="Calibri"/>
                <w:sz w:val="20"/>
                <w:szCs w:val="20"/>
              </w:rPr>
            </w:pPr>
            <w:r w:rsidRPr="00B47B65">
              <w:rPr>
                <w:rFonts w:ascii="Calibri" w:hAnsi="Calibri" w:cs="Calibri"/>
                <w:sz w:val="20"/>
                <w:szCs w:val="20"/>
              </w:rPr>
              <w:t>Compare ethical framing of student GenAI policies.</w:t>
            </w:r>
          </w:p>
        </w:tc>
        <w:tc>
          <w:tcPr>
            <w:tcW w:w="1512" w:type="dxa"/>
            <w:tcBorders>
              <w:top w:val="single" w:sz="4" w:space="0" w:color="D9D9D9"/>
              <w:left w:val="single" w:sz="4" w:space="0" w:color="D9D9D9"/>
              <w:bottom w:val="single" w:sz="4" w:space="0" w:color="D9D9D9"/>
              <w:right w:val="single" w:sz="4" w:space="0" w:color="D9D9D9"/>
            </w:tcBorders>
            <w:shd w:val="clear" w:color="auto" w:fill="F3F6F8"/>
            <w:tcMar>
              <w:top w:w="75" w:type="dxa"/>
              <w:left w:w="75" w:type="dxa"/>
              <w:bottom w:w="75" w:type="dxa"/>
              <w:right w:w="75" w:type="dxa"/>
            </w:tcMar>
            <w:vAlign w:val="center"/>
          </w:tcPr>
          <w:p w14:paraId="048B6E9C" w14:textId="77777777" w:rsidR="008940DE" w:rsidRPr="00B47B65" w:rsidRDefault="008940DE" w:rsidP="008F14E5">
            <w:pPr>
              <w:spacing w:after="60" w:line="240" w:lineRule="auto"/>
              <w:rPr>
                <w:rFonts w:ascii="Calibri" w:hAnsi="Calibri" w:cs="Calibri"/>
                <w:sz w:val="20"/>
                <w:szCs w:val="20"/>
              </w:rPr>
            </w:pPr>
            <w:r w:rsidRPr="00B47B65">
              <w:rPr>
                <w:rFonts w:ascii="Calibri" w:hAnsi="Calibri" w:cs="Calibri"/>
                <w:sz w:val="20"/>
                <w:szCs w:val="20"/>
              </w:rPr>
              <w:t>Identify moral justification and faculty authority.</w:t>
            </w:r>
          </w:p>
        </w:tc>
        <w:tc>
          <w:tcPr>
            <w:tcW w:w="1755" w:type="dxa"/>
            <w:tcBorders>
              <w:top w:val="single" w:sz="4" w:space="0" w:color="D9D9D9"/>
              <w:left w:val="single" w:sz="4" w:space="0" w:color="D9D9D9"/>
              <w:bottom w:val="single" w:sz="4" w:space="0" w:color="D9D9D9"/>
              <w:right w:val="single" w:sz="4" w:space="0" w:color="D9D9D9"/>
            </w:tcBorders>
            <w:shd w:val="clear" w:color="auto" w:fill="F3F6F8"/>
            <w:tcMar>
              <w:top w:w="75" w:type="dxa"/>
              <w:left w:w="75" w:type="dxa"/>
              <w:bottom w:w="75" w:type="dxa"/>
              <w:right w:w="75" w:type="dxa"/>
            </w:tcMar>
            <w:vAlign w:val="center"/>
          </w:tcPr>
          <w:p w14:paraId="741F001B" w14:textId="602A1C9C" w:rsidR="008940DE" w:rsidRPr="00B47B65" w:rsidRDefault="008940DE" w:rsidP="008F14E5">
            <w:pPr>
              <w:spacing w:after="60" w:line="240" w:lineRule="auto"/>
              <w:rPr>
                <w:rFonts w:ascii="Calibri" w:hAnsi="Calibri" w:cs="Calibri"/>
                <w:sz w:val="20"/>
                <w:szCs w:val="20"/>
              </w:rPr>
            </w:pPr>
            <w:r w:rsidRPr="00B47B65">
              <w:rPr>
                <w:rFonts w:ascii="Calibri" w:hAnsi="Calibri" w:cs="Calibri"/>
                <w:sz w:val="20"/>
                <w:szCs w:val="20"/>
              </w:rPr>
              <w:t xml:space="preserve">Do national patterns exist in </w:t>
            </w:r>
            <w:r w:rsidR="00B47B65" w:rsidRPr="00B47B65">
              <w:rPr>
                <w:rFonts w:ascii="Calibri" w:hAnsi="Calibri" w:cs="Calibri"/>
                <w:sz w:val="20"/>
                <w:szCs w:val="20"/>
              </w:rPr>
              <w:t>the moral foundations of university policies</w:t>
            </w:r>
            <w:r w:rsidRPr="00B47B65">
              <w:rPr>
                <w:rFonts w:ascii="Calibri" w:hAnsi="Calibri" w:cs="Calibri"/>
                <w:sz w:val="20"/>
                <w:szCs w:val="20"/>
              </w:rPr>
              <w:t xml:space="preserve">? </w:t>
            </w:r>
          </w:p>
        </w:tc>
        <w:tc>
          <w:tcPr>
            <w:tcW w:w="1559" w:type="dxa"/>
            <w:tcBorders>
              <w:top w:val="single" w:sz="4" w:space="0" w:color="D9D9D9"/>
              <w:left w:val="single" w:sz="4" w:space="0" w:color="D9D9D9"/>
              <w:bottom w:val="single" w:sz="4" w:space="0" w:color="D9D9D9"/>
              <w:right w:val="single" w:sz="4" w:space="0" w:color="D9D9D9"/>
            </w:tcBorders>
            <w:shd w:val="clear" w:color="auto" w:fill="F3F6F8"/>
            <w:tcMar>
              <w:top w:w="75" w:type="dxa"/>
              <w:left w:w="75" w:type="dxa"/>
              <w:bottom w:w="75" w:type="dxa"/>
              <w:right w:w="75" w:type="dxa"/>
            </w:tcMar>
            <w:vAlign w:val="center"/>
          </w:tcPr>
          <w:p w14:paraId="6453F6CE" w14:textId="35B72BFF" w:rsidR="008940DE" w:rsidRPr="00B47B65" w:rsidRDefault="008940DE" w:rsidP="008F14E5">
            <w:pPr>
              <w:spacing w:after="60" w:line="240" w:lineRule="auto"/>
              <w:rPr>
                <w:rFonts w:ascii="Calibri" w:hAnsi="Calibri" w:cs="Calibri"/>
                <w:sz w:val="20"/>
                <w:szCs w:val="20"/>
              </w:rPr>
            </w:pPr>
            <w:r w:rsidRPr="00B47B65">
              <w:rPr>
                <w:rFonts w:ascii="Calibri" w:hAnsi="Calibri" w:cs="Calibri"/>
                <w:sz w:val="20"/>
                <w:szCs w:val="20"/>
              </w:rPr>
              <w:t xml:space="preserve">Inductive thematic analysis of 36 policy sources: 12 each from Canada, </w:t>
            </w:r>
            <w:r w:rsidR="00B47B65" w:rsidRPr="00B47B65">
              <w:rPr>
                <w:rFonts w:ascii="Calibri" w:hAnsi="Calibri" w:cs="Calibri"/>
                <w:sz w:val="20"/>
                <w:szCs w:val="20"/>
              </w:rPr>
              <w:t xml:space="preserve">the UK and the </w:t>
            </w:r>
            <w:r w:rsidRPr="00B47B65">
              <w:rPr>
                <w:rFonts w:ascii="Calibri" w:hAnsi="Calibri" w:cs="Calibri"/>
                <w:sz w:val="20"/>
                <w:szCs w:val="20"/>
              </w:rPr>
              <w:t>USA.</w:t>
            </w:r>
          </w:p>
        </w:tc>
        <w:tc>
          <w:tcPr>
            <w:tcW w:w="1701" w:type="dxa"/>
            <w:tcBorders>
              <w:top w:val="single" w:sz="4" w:space="0" w:color="D9D9D9"/>
              <w:left w:val="single" w:sz="4" w:space="0" w:color="D9D9D9"/>
              <w:bottom w:val="single" w:sz="4" w:space="0" w:color="D9D9D9"/>
              <w:right w:val="single" w:sz="4" w:space="0" w:color="D9D9D9"/>
            </w:tcBorders>
            <w:shd w:val="clear" w:color="auto" w:fill="F3F6F8"/>
            <w:tcMar>
              <w:top w:w="75" w:type="dxa"/>
              <w:left w:w="75" w:type="dxa"/>
              <w:bottom w:w="75" w:type="dxa"/>
              <w:right w:w="75" w:type="dxa"/>
            </w:tcMar>
            <w:vAlign w:val="center"/>
          </w:tcPr>
          <w:p w14:paraId="0430255D" w14:textId="77777777" w:rsidR="008940DE" w:rsidRPr="00B47B65" w:rsidRDefault="008940DE" w:rsidP="008F14E5">
            <w:pPr>
              <w:spacing w:after="60" w:line="240" w:lineRule="auto"/>
              <w:rPr>
                <w:rFonts w:ascii="Calibri" w:hAnsi="Calibri" w:cs="Calibri"/>
                <w:sz w:val="20"/>
                <w:szCs w:val="20"/>
              </w:rPr>
            </w:pPr>
            <w:r w:rsidRPr="00B47B65">
              <w:rPr>
                <w:rFonts w:ascii="Calibri" w:hAnsi="Calibri" w:cs="Calibri"/>
                <w:sz w:val="20"/>
                <w:szCs w:val="20"/>
              </w:rPr>
              <w:t>Policies differ in moral justification and faculty authority.</w:t>
            </w:r>
          </w:p>
        </w:tc>
        <w:tc>
          <w:tcPr>
            <w:tcW w:w="3467" w:type="dxa"/>
            <w:tcBorders>
              <w:top w:val="single" w:sz="4" w:space="0" w:color="D9D9D9"/>
              <w:left w:val="single" w:sz="4" w:space="0" w:color="D9D9D9"/>
              <w:bottom w:val="single" w:sz="4" w:space="0" w:color="D9D9D9"/>
              <w:right w:val="single" w:sz="4" w:space="0" w:color="D9D9D9"/>
            </w:tcBorders>
            <w:shd w:val="clear" w:color="auto" w:fill="F3F6F8"/>
            <w:tcMar>
              <w:top w:w="75" w:type="dxa"/>
              <w:left w:w="75" w:type="dxa"/>
              <w:bottom w:w="75" w:type="dxa"/>
              <w:right w:w="75" w:type="dxa"/>
            </w:tcMar>
            <w:vAlign w:val="center"/>
          </w:tcPr>
          <w:p w14:paraId="2A46EE23" w14:textId="77777777" w:rsidR="005E3FDA" w:rsidRPr="005E3FDA" w:rsidRDefault="005E3FDA" w:rsidP="005E3FDA">
            <w:pPr>
              <w:spacing w:after="60" w:line="240" w:lineRule="auto"/>
              <w:rPr>
                <w:rFonts w:ascii="Calibri" w:hAnsi="Calibri" w:cs="Calibri"/>
                <w:sz w:val="20"/>
                <w:szCs w:val="20"/>
              </w:rPr>
            </w:pPr>
            <w:r w:rsidRPr="005E3FDA">
              <w:rPr>
                <w:rFonts w:ascii="Calibri" w:hAnsi="Calibri" w:cs="Calibri"/>
                <w:sz w:val="20"/>
                <w:szCs w:val="20"/>
              </w:rPr>
              <w:t>Orfanidis, C.  (2025). ‘Moral Diversity in Institutional Policies Governing the Student Usage of Generative AI: An International Comparison’. Higher Education Quarterly, 79(4), e70051. DOI: 10.1111/hequ.70051.</w:t>
            </w:r>
          </w:p>
          <w:p w14:paraId="4616232C" w14:textId="39667297" w:rsidR="008940DE" w:rsidRPr="00B47B65" w:rsidRDefault="008940DE" w:rsidP="008F14E5">
            <w:pPr>
              <w:spacing w:after="60" w:line="240" w:lineRule="auto"/>
              <w:rPr>
                <w:rFonts w:ascii="Calibri" w:hAnsi="Calibri" w:cs="Calibri"/>
                <w:sz w:val="20"/>
                <w:szCs w:val="20"/>
              </w:rPr>
            </w:pPr>
          </w:p>
        </w:tc>
      </w:tr>
      <w:tr w:rsidR="008940DE" w14:paraId="769F6389" w14:textId="77777777" w:rsidTr="00221077">
        <w:trPr>
          <w:cantSplit/>
          <w:jc w:val="center"/>
        </w:trPr>
        <w:tc>
          <w:tcPr>
            <w:tcW w:w="1800" w:type="dxa"/>
            <w:tcBorders>
              <w:top w:val="single" w:sz="4" w:space="0" w:color="D9D9D9"/>
              <w:left w:val="single" w:sz="4" w:space="0" w:color="D9D9D9"/>
              <w:bottom w:val="single" w:sz="4" w:space="0" w:color="D9D9D9"/>
              <w:right w:val="single" w:sz="4" w:space="0" w:color="D9D9D9"/>
            </w:tcBorders>
            <w:shd w:val="clear" w:color="auto" w:fill="FFFFFF"/>
            <w:tcMar>
              <w:top w:w="75" w:type="dxa"/>
              <w:left w:w="75" w:type="dxa"/>
              <w:bottom w:w="75" w:type="dxa"/>
              <w:right w:w="75" w:type="dxa"/>
            </w:tcMar>
            <w:vAlign w:val="center"/>
          </w:tcPr>
          <w:p w14:paraId="4FD93CB8" w14:textId="0E87E3CF" w:rsidR="008940DE" w:rsidRPr="00B47B65" w:rsidRDefault="008940DE" w:rsidP="008F14E5">
            <w:pPr>
              <w:spacing w:after="60" w:line="240" w:lineRule="auto"/>
              <w:rPr>
                <w:rFonts w:ascii="Calibri" w:hAnsi="Calibri" w:cs="Calibri"/>
                <w:sz w:val="20"/>
                <w:szCs w:val="20"/>
              </w:rPr>
            </w:pPr>
            <w:r w:rsidRPr="00B47B65">
              <w:rPr>
                <w:rFonts w:ascii="Calibri" w:hAnsi="Calibri" w:cs="Calibri"/>
                <w:sz w:val="20"/>
                <w:szCs w:val="20"/>
              </w:rPr>
              <w:t>3</w:t>
            </w:r>
            <w:r w:rsidR="00F9446B">
              <w:rPr>
                <w:rFonts w:ascii="Calibri" w:hAnsi="Calibri" w:cs="Calibri"/>
                <w:sz w:val="20"/>
                <w:szCs w:val="20"/>
              </w:rPr>
              <w:t>.</w:t>
            </w:r>
            <w:r w:rsidRPr="00B47B65">
              <w:rPr>
                <w:rFonts w:ascii="Calibri" w:hAnsi="Calibri" w:cs="Calibri"/>
                <w:sz w:val="20"/>
                <w:szCs w:val="20"/>
              </w:rPr>
              <w:t xml:space="preserve">  An, Y., Yu, J. and James, S.</w:t>
            </w:r>
          </w:p>
        </w:tc>
        <w:tc>
          <w:tcPr>
            <w:tcW w:w="576" w:type="dxa"/>
            <w:tcBorders>
              <w:top w:val="single" w:sz="4" w:space="0" w:color="D9D9D9"/>
              <w:left w:val="single" w:sz="4" w:space="0" w:color="D9D9D9"/>
              <w:bottom w:val="single" w:sz="4" w:space="0" w:color="D9D9D9"/>
              <w:right w:val="single" w:sz="4" w:space="0" w:color="D9D9D9"/>
            </w:tcBorders>
            <w:shd w:val="clear" w:color="auto" w:fill="FFFFFF"/>
            <w:tcMar>
              <w:top w:w="75" w:type="dxa"/>
              <w:left w:w="75" w:type="dxa"/>
              <w:bottom w:w="75" w:type="dxa"/>
              <w:right w:w="75" w:type="dxa"/>
            </w:tcMar>
            <w:vAlign w:val="center"/>
          </w:tcPr>
          <w:p w14:paraId="5BFB5142" w14:textId="77777777" w:rsidR="008940DE" w:rsidRPr="00B47B65" w:rsidRDefault="008940DE" w:rsidP="008F14E5">
            <w:pPr>
              <w:spacing w:after="60" w:line="240" w:lineRule="auto"/>
              <w:rPr>
                <w:rFonts w:ascii="Calibri" w:hAnsi="Calibri" w:cs="Calibri"/>
                <w:sz w:val="20"/>
                <w:szCs w:val="20"/>
              </w:rPr>
            </w:pPr>
            <w:r w:rsidRPr="00B47B65">
              <w:rPr>
                <w:rFonts w:ascii="Calibri" w:hAnsi="Calibri" w:cs="Calibri"/>
                <w:sz w:val="20"/>
                <w:szCs w:val="20"/>
              </w:rPr>
              <w:t>2025</w:t>
            </w:r>
          </w:p>
        </w:tc>
        <w:tc>
          <w:tcPr>
            <w:tcW w:w="1440" w:type="dxa"/>
            <w:tcBorders>
              <w:top w:val="single" w:sz="4" w:space="0" w:color="D9D9D9"/>
              <w:left w:val="single" w:sz="4" w:space="0" w:color="D9D9D9"/>
              <w:bottom w:val="single" w:sz="4" w:space="0" w:color="D9D9D9"/>
              <w:right w:val="single" w:sz="4" w:space="0" w:color="D9D9D9"/>
            </w:tcBorders>
            <w:shd w:val="clear" w:color="auto" w:fill="FFFFFF"/>
            <w:tcMar>
              <w:top w:w="75" w:type="dxa"/>
              <w:left w:w="75" w:type="dxa"/>
              <w:bottom w:w="75" w:type="dxa"/>
              <w:right w:w="75" w:type="dxa"/>
            </w:tcMar>
            <w:vAlign w:val="center"/>
          </w:tcPr>
          <w:p w14:paraId="536938D4" w14:textId="77777777" w:rsidR="008940DE" w:rsidRPr="00B47B65" w:rsidRDefault="008940DE" w:rsidP="008F14E5">
            <w:pPr>
              <w:spacing w:after="60" w:line="240" w:lineRule="auto"/>
              <w:rPr>
                <w:rFonts w:ascii="Calibri" w:hAnsi="Calibri" w:cs="Calibri"/>
                <w:sz w:val="20"/>
                <w:szCs w:val="20"/>
              </w:rPr>
            </w:pPr>
            <w:r w:rsidRPr="00B47B65">
              <w:rPr>
                <w:rFonts w:ascii="Calibri" w:hAnsi="Calibri" w:cs="Calibri"/>
                <w:sz w:val="20"/>
                <w:szCs w:val="20"/>
              </w:rPr>
              <w:t>Examine stakeholder-specific GenAI guidance.</w:t>
            </w:r>
          </w:p>
        </w:tc>
        <w:tc>
          <w:tcPr>
            <w:tcW w:w="1512" w:type="dxa"/>
            <w:tcBorders>
              <w:top w:val="single" w:sz="4" w:space="0" w:color="D9D9D9"/>
              <w:left w:val="single" w:sz="4" w:space="0" w:color="D9D9D9"/>
              <w:bottom w:val="single" w:sz="4" w:space="0" w:color="D9D9D9"/>
              <w:right w:val="single" w:sz="4" w:space="0" w:color="D9D9D9"/>
            </w:tcBorders>
            <w:shd w:val="clear" w:color="auto" w:fill="FFFFFF"/>
            <w:tcMar>
              <w:top w:w="75" w:type="dxa"/>
              <w:left w:w="75" w:type="dxa"/>
              <w:bottom w:w="75" w:type="dxa"/>
              <w:right w:w="75" w:type="dxa"/>
            </w:tcMar>
            <w:vAlign w:val="center"/>
          </w:tcPr>
          <w:p w14:paraId="06B5ED6B" w14:textId="77777777" w:rsidR="008940DE" w:rsidRPr="00B47B65" w:rsidRDefault="008940DE" w:rsidP="008F14E5">
            <w:pPr>
              <w:spacing w:after="60" w:line="240" w:lineRule="auto"/>
              <w:rPr>
                <w:rFonts w:ascii="Calibri" w:hAnsi="Calibri" w:cs="Calibri"/>
                <w:sz w:val="20"/>
                <w:szCs w:val="20"/>
              </w:rPr>
            </w:pPr>
            <w:r w:rsidRPr="00B47B65">
              <w:rPr>
                <w:rFonts w:ascii="Calibri" w:hAnsi="Calibri" w:cs="Calibri"/>
                <w:sz w:val="20"/>
                <w:szCs w:val="20"/>
              </w:rPr>
              <w:t>Analyse themes, sentiment and role coverage.</w:t>
            </w:r>
          </w:p>
        </w:tc>
        <w:tc>
          <w:tcPr>
            <w:tcW w:w="1755" w:type="dxa"/>
            <w:tcBorders>
              <w:top w:val="single" w:sz="4" w:space="0" w:color="D9D9D9"/>
              <w:left w:val="single" w:sz="4" w:space="0" w:color="D9D9D9"/>
              <w:bottom w:val="single" w:sz="4" w:space="0" w:color="D9D9D9"/>
              <w:right w:val="single" w:sz="4" w:space="0" w:color="D9D9D9"/>
            </w:tcBorders>
            <w:shd w:val="clear" w:color="auto" w:fill="FFFFFF"/>
            <w:tcMar>
              <w:top w:w="75" w:type="dxa"/>
              <w:left w:w="75" w:type="dxa"/>
              <w:bottom w:w="75" w:type="dxa"/>
              <w:right w:w="75" w:type="dxa"/>
            </w:tcMar>
            <w:vAlign w:val="center"/>
          </w:tcPr>
          <w:p w14:paraId="0C61D187" w14:textId="770D9C17" w:rsidR="008940DE" w:rsidRPr="00B47B65" w:rsidRDefault="008940DE" w:rsidP="008F14E5">
            <w:pPr>
              <w:spacing w:after="60" w:line="240" w:lineRule="auto"/>
              <w:rPr>
                <w:rFonts w:ascii="Calibri" w:hAnsi="Calibri" w:cs="Calibri"/>
                <w:sz w:val="20"/>
                <w:szCs w:val="20"/>
              </w:rPr>
            </w:pPr>
            <w:r w:rsidRPr="00B47B65">
              <w:rPr>
                <w:rFonts w:ascii="Calibri" w:hAnsi="Calibri" w:cs="Calibri"/>
                <w:sz w:val="20"/>
                <w:szCs w:val="20"/>
              </w:rPr>
              <w:t xml:space="preserve">What themes and stakeholder differences characterise university GenAI guidance? </w:t>
            </w:r>
          </w:p>
        </w:tc>
        <w:tc>
          <w:tcPr>
            <w:tcW w:w="1559" w:type="dxa"/>
            <w:tcBorders>
              <w:top w:val="single" w:sz="4" w:space="0" w:color="D9D9D9"/>
              <w:left w:val="single" w:sz="4" w:space="0" w:color="D9D9D9"/>
              <w:bottom w:val="single" w:sz="4" w:space="0" w:color="D9D9D9"/>
              <w:right w:val="single" w:sz="4" w:space="0" w:color="D9D9D9"/>
            </w:tcBorders>
            <w:shd w:val="clear" w:color="auto" w:fill="FFFFFF"/>
            <w:tcMar>
              <w:top w:w="75" w:type="dxa"/>
              <w:left w:w="75" w:type="dxa"/>
              <w:bottom w:w="75" w:type="dxa"/>
              <w:right w:w="75" w:type="dxa"/>
            </w:tcMar>
            <w:vAlign w:val="center"/>
          </w:tcPr>
          <w:p w14:paraId="1FAFEF9A" w14:textId="77777777" w:rsidR="008940DE" w:rsidRPr="00B47B65" w:rsidRDefault="008940DE" w:rsidP="008F14E5">
            <w:pPr>
              <w:spacing w:after="60" w:line="240" w:lineRule="auto"/>
              <w:rPr>
                <w:rFonts w:ascii="Calibri" w:hAnsi="Calibri" w:cs="Calibri"/>
                <w:sz w:val="20"/>
                <w:szCs w:val="20"/>
              </w:rPr>
            </w:pPr>
            <w:r w:rsidRPr="00B47B65">
              <w:rPr>
                <w:rFonts w:ascii="Calibri" w:hAnsi="Calibri" w:cs="Calibri"/>
                <w:sz w:val="20"/>
                <w:szCs w:val="20"/>
              </w:rPr>
              <w:t>Top 50 US universities; topic modelling, sentiment and thematic analysis.</w:t>
            </w:r>
          </w:p>
        </w:tc>
        <w:tc>
          <w:tcPr>
            <w:tcW w:w="1701" w:type="dxa"/>
            <w:tcBorders>
              <w:top w:val="single" w:sz="4" w:space="0" w:color="D9D9D9"/>
              <w:left w:val="single" w:sz="4" w:space="0" w:color="D9D9D9"/>
              <w:bottom w:val="single" w:sz="4" w:space="0" w:color="D9D9D9"/>
              <w:right w:val="single" w:sz="4" w:space="0" w:color="D9D9D9"/>
            </w:tcBorders>
            <w:shd w:val="clear" w:color="auto" w:fill="FFFFFF"/>
            <w:tcMar>
              <w:top w:w="75" w:type="dxa"/>
              <w:left w:w="75" w:type="dxa"/>
              <w:bottom w:w="75" w:type="dxa"/>
              <w:right w:w="75" w:type="dxa"/>
            </w:tcMar>
            <w:vAlign w:val="center"/>
          </w:tcPr>
          <w:p w14:paraId="3B87AC54" w14:textId="77777777" w:rsidR="008940DE" w:rsidRPr="00B47B65" w:rsidRDefault="008940DE" w:rsidP="008F14E5">
            <w:pPr>
              <w:spacing w:after="60" w:line="240" w:lineRule="auto"/>
              <w:rPr>
                <w:rFonts w:ascii="Calibri" w:hAnsi="Calibri" w:cs="Calibri"/>
                <w:sz w:val="20"/>
                <w:szCs w:val="20"/>
              </w:rPr>
            </w:pPr>
            <w:r w:rsidRPr="00B47B65">
              <w:rPr>
                <w:rFonts w:ascii="Calibri" w:hAnsi="Calibri" w:cs="Calibri"/>
                <w:sz w:val="20"/>
                <w:szCs w:val="20"/>
              </w:rPr>
              <w:t>Faculty guidance is widespread; research and administrative guidance is less developed.</w:t>
            </w:r>
          </w:p>
        </w:tc>
        <w:tc>
          <w:tcPr>
            <w:tcW w:w="3467" w:type="dxa"/>
            <w:tcBorders>
              <w:top w:val="single" w:sz="4" w:space="0" w:color="D9D9D9"/>
              <w:left w:val="single" w:sz="4" w:space="0" w:color="D9D9D9"/>
              <w:bottom w:val="single" w:sz="4" w:space="0" w:color="D9D9D9"/>
              <w:right w:val="single" w:sz="4" w:space="0" w:color="D9D9D9"/>
            </w:tcBorders>
            <w:shd w:val="clear" w:color="auto" w:fill="FFFFFF"/>
            <w:tcMar>
              <w:top w:w="75" w:type="dxa"/>
              <w:left w:w="75" w:type="dxa"/>
              <w:bottom w:w="75" w:type="dxa"/>
              <w:right w:w="75" w:type="dxa"/>
            </w:tcMar>
            <w:vAlign w:val="center"/>
          </w:tcPr>
          <w:p w14:paraId="01323D33" w14:textId="77777777" w:rsidR="0097234B" w:rsidRPr="0097234B" w:rsidRDefault="0097234B" w:rsidP="0097234B">
            <w:pPr>
              <w:spacing w:after="60" w:line="240" w:lineRule="auto"/>
              <w:rPr>
                <w:rFonts w:ascii="Calibri" w:hAnsi="Calibri" w:cs="Calibri"/>
                <w:sz w:val="20"/>
                <w:szCs w:val="20"/>
              </w:rPr>
            </w:pPr>
            <w:r w:rsidRPr="0097234B">
              <w:rPr>
                <w:rFonts w:ascii="Calibri" w:hAnsi="Calibri" w:cs="Calibri"/>
                <w:sz w:val="20"/>
                <w:szCs w:val="20"/>
              </w:rPr>
              <w:t>An, Y., Yu, J., &amp; James, S. (2025). ‘Investigating the higher education institutions’ guidelines and policies regarding the use of generative AI in teaching, learning, research, and administration.' International Journal of Educational Technology in Higher Education, 22, article 10. DOI: 10.1186/s41239-025-00507-3.</w:t>
            </w:r>
          </w:p>
          <w:p w14:paraId="5EEAF3FF" w14:textId="113A8574" w:rsidR="008940DE" w:rsidRPr="00B47B65" w:rsidRDefault="008940DE" w:rsidP="008F14E5">
            <w:pPr>
              <w:spacing w:after="60" w:line="240" w:lineRule="auto"/>
              <w:rPr>
                <w:rFonts w:ascii="Calibri" w:hAnsi="Calibri" w:cs="Calibri"/>
                <w:sz w:val="20"/>
                <w:szCs w:val="20"/>
              </w:rPr>
            </w:pPr>
          </w:p>
        </w:tc>
      </w:tr>
      <w:tr w:rsidR="008940DE" w14:paraId="15E5C0B7" w14:textId="77777777" w:rsidTr="00221077">
        <w:trPr>
          <w:cantSplit/>
          <w:jc w:val="center"/>
        </w:trPr>
        <w:tc>
          <w:tcPr>
            <w:tcW w:w="1800" w:type="dxa"/>
            <w:tcBorders>
              <w:top w:val="single" w:sz="4" w:space="0" w:color="D9D9D9"/>
              <w:left w:val="single" w:sz="4" w:space="0" w:color="D9D9D9"/>
              <w:bottom w:val="single" w:sz="4" w:space="0" w:color="D9D9D9"/>
              <w:right w:val="single" w:sz="4" w:space="0" w:color="D9D9D9"/>
            </w:tcBorders>
            <w:shd w:val="clear" w:color="auto" w:fill="F3F6F8"/>
            <w:tcMar>
              <w:top w:w="75" w:type="dxa"/>
              <w:left w:w="75" w:type="dxa"/>
              <w:bottom w:w="75" w:type="dxa"/>
              <w:right w:w="75" w:type="dxa"/>
            </w:tcMar>
            <w:vAlign w:val="center"/>
          </w:tcPr>
          <w:p w14:paraId="5BBA802B" w14:textId="2C136C6A" w:rsidR="008940DE" w:rsidRPr="00B47B65" w:rsidRDefault="008940DE" w:rsidP="008F14E5">
            <w:pPr>
              <w:spacing w:after="60" w:line="240" w:lineRule="auto"/>
              <w:rPr>
                <w:rFonts w:ascii="Calibri" w:hAnsi="Calibri" w:cs="Calibri"/>
                <w:sz w:val="20"/>
                <w:szCs w:val="20"/>
              </w:rPr>
            </w:pPr>
            <w:r w:rsidRPr="00B47B65">
              <w:rPr>
                <w:rFonts w:ascii="Calibri" w:hAnsi="Calibri" w:cs="Calibri"/>
                <w:sz w:val="20"/>
                <w:szCs w:val="20"/>
              </w:rPr>
              <w:lastRenderedPageBreak/>
              <w:t>4</w:t>
            </w:r>
            <w:r w:rsidR="00820C9F">
              <w:rPr>
                <w:rFonts w:ascii="Calibri" w:hAnsi="Calibri" w:cs="Calibri"/>
                <w:sz w:val="20"/>
                <w:szCs w:val="20"/>
              </w:rPr>
              <w:t>.</w:t>
            </w:r>
            <w:r w:rsidRPr="00B47B65">
              <w:rPr>
                <w:rFonts w:ascii="Calibri" w:hAnsi="Calibri" w:cs="Calibri"/>
                <w:sz w:val="20"/>
                <w:szCs w:val="20"/>
              </w:rPr>
              <w:t xml:space="preserve">  McDonald, N., Johri, A., Ali, A. and Hingle Collier, A.</w:t>
            </w:r>
          </w:p>
        </w:tc>
        <w:tc>
          <w:tcPr>
            <w:tcW w:w="576" w:type="dxa"/>
            <w:tcBorders>
              <w:top w:val="single" w:sz="4" w:space="0" w:color="D9D9D9"/>
              <w:left w:val="single" w:sz="4" w:space="0" w:color="D9D9D9"/>
              <w:bottom w:val="single" w:sz="4" w:space="0" w:color="D9D9D9"/>
              <w:right w:val="single" w:sz="4" w:space="0" w:color="D9D9D9"/>
            </w:tcBorders>
            <w:shd w:val="clear" w:color="auto" w:fill="F3F6F8"/>
            <w:tcMar>
              <w:top w:w="75" w:type="dxa"/>
              <w:left w:w="75" w:type="dxa"/>
              <w:bottom w:w="75" w:type="dxa"/>
              <w:right w:w="75" w:type="dxa"/>
            </w:tcMar>
            <w:vAlign w:val="center"/>
          </w:tcPr>
          <w:p w14:paraId="1CD3E623" w14:textId="77777777" w:rsidR="008940DE" w:rsidRPr="00B47B65" w:rsidRDefault="008940DE" w:rsidP="008F14E5">
            <w:pPr>
              <w:spacing w:after="60" w:line="240" w:lineRule="auto"/>
              <w:rPr>
                <w:rFonts w:ascii="Calibri" w:hAnsi="Calibri" w:cs="Calibri"/>
                <w:sz w:val="20"/>
                <w:szCs w:val="20"/>
              </w:rPr>
            </w:pPr>
            <w:r w:rsidRPr="00B47B65">
              <w:rPr>
                <w:rFonts w:ascii="Calibri" w:hAnsi="Calibri" w:cs="Calibri"/>
                <w:sz w:val="20"/>
                <w:szCs w:val="20"/>
              </w:rPr>
              <w:t>2025</w:t>
            </w:r>
          </w:p>
        </w:tc>
        <w:tc>
          <w:tcPr>
            <w:tcW w:w="1440" w:type="dxa"/>
            <w:tcBorders>
              <w:top w:val="single" w:sz="4" w:space="0" w:color="D9D9D9"/>
              <w:left w:val="single" w:sz="4" w:space="0" w:color="D9D9D9"/>
              <w:bottom w:val="single" w:sz="4" w:space="0" w:color="D9D9D9"/>
              <w:right w:val="single" w:sz="4" w:space="0" w:color="D9D9D9"/>
            </w:tcBorders>
            <w:shd w:val="clear" w:color="auto" w:fill="F3F6F8"/>
            <w:tcMar>
              <w:top w:w="75" w:type="dxa"/>
              <w:left w:w="75" w:type="dxa"/>
              <w:bottom w:w="75" w:type="dxa"/>
              <w:right w:w="75" w:type="dxa"/>
            </w:tcMar>
            <w:vAlign w:val="center"/>
          </w:tcPr>
          <w:p w14:paraId="08309181" w14:textId="77777777" w:rsidR="008940DE" w:rsidRPr="00B47B65" w:rsidRDefault="008940DE" w:rsidP="008F14E5">
            <w:pPr>
              <w:spacing w:after="60" w:line="240" w:lineRule="auto"/>
              <w:rPr>
                <w:rFonts w:ascii="Calibri" w:hAnsi="Calibri" w:cs="Calibri"/>
                <w:sz w:val="20"/>
                <w:szCs w:val="20"/>
              </w:rPr>
            </w:pPr>
            <w:r w:rsidRPr="00B47B65">
              <w:rPr>
                <w:rFonts w:ascii="Calibri" w:hAnsi="Calibri" w:cs="Calibri"/>
                <w:sz w:val="20"/>
                <w:szCs w:val="20"/>
              </w:rPr>
              <w:t>Map institutional advice on GenAI.</w:t>
            </w:r>
          </w:p>
        </w:tc>
        <w:tc>
          <w:tcPr>
            <w:tcW w:w="1512" w:type="dxa"/>
            <w:tcBorders>
              <w:top w:val="single" w:sz="4" w:space="0" w:color="D9D9D9"/>
              <w:left w:val="single" w:sz="4" w:space="0" w:color="D9D9D9"/>
              <w:bottom w:val="single" w:sz="4" w:space="0" w:color="D9D9D9"/>
              <w:right w:val="single" w:sz="4" w:space="0" w:color="D9D9D9"/>
            </w:tcBorders>
            <w:shd w:val="clear" w:color="auto" w:fill="F3F6F8"/>
            <w:tcMar>
              <w:top w:w="75" w:type="dxa"/>
              <w:left w:w="75" w:type="dxa"/>
              <w:bottom w:w="75" w:type="dxa"/>
              <w:right w:w="75" w:type="dxa"/>
            </w:tcMar>
            <w:vAlign w:val="center"/>
          </w:tcPr>
          <w:p w14:paraId="4A4AAB99" w14:textId="77777777" w:rsidR="008940DE" w:rsidRPr="00B47B65" w:rsidRDefault="008940DE" w:rsidP="008F14E5">
            <w:pPr>
              <w:spacing w:after="60" w:line="240" w:lineRule="auto"/>
              <w:rPr>
                <w:rFonts w:ascii="Calibri" w:hAnsi="Calibri" w:cs="Calibri"/>
                <w:sz w:val="20"/>
                <w:szCs w:val="20"/>
              </w:rPr>
            </w:pPr>
            <w:r w:rsidRPr="00B47B65">
              <w:rPr>
                <w:rFonts w:ascii="Calibri" w:hAnsi="Calibri" w:cs="Calibri"/>
                <w:sz w:val="20"/>
                <w:szCs w:val="20"/>
              </w:rPr>
              <w:t>Examine guidance and evidential foundations.</w:t>
            </w:r>
          </w:p>
        </w:tc>
        <w:tc>
          <w:tcPr>
            <w:tcW w:w="1755" w:type="dxa"/>
            <w:tcBorders>
              <w:top w:val="single" w:sz="4" w:space="0" w:color="D9D9D9"/>
              <w:left w:val="single" w:sz="4" w:space="0" w:color="D9D9D9"/>
              <w:bottom w:val="single" w:sz="4" w:space="0" w:color="D9D9D9"/>
              <w:right w:val="single" w:sz="4" w:space="0" w:color="D9D9D9"/>
            </w:tcBorders>
            <w:shd w:val="clear" w:color="auto" w:fill="F3F6F8"/>
            <w:tcMar>
              <w:top w:w="75" w:type="dxa"/>
              <w:left w:w="75" w:type="dxa"/>
              <w:bottom w:w="75" w:type="dxa"/>
              <w:right w:w="75" w:type="dxa"/>
            </w:tcMar>
            <w:vAlign w:val="center"/>
          </w:tcPr>
          <w:p w14:paraId="2DA5ED17" w14:textId="578AF55F" w:rsidR="008940DE" w:rsidRPr="00B47B65" w:rsidRDefault="008940DE" w:rsidP="008F14E5">
            <w:pPr>
              <w:spacing w:after="60" w:line="240" w:lineRule="auto"/>
              <w:rPr>
                <w:rFonts w:ascii="Calibri" w:hAnsi="Calibri" w:cs="Calibri"/>
                <w:sz w:val="20"/>
                <w:szCs w:val="20"/>
              </w:rPr>
            </w:pPr>
            <w:r w:rsidRPr="00B47B65">
              <w:rPr>
                <w:rFonts w:ascii="Calibri" w:hAnsi="Calibri" w:cs="Calibri"/>
                <w:sz w:val="20"/>
                <w:szCs w:val="20"/>
              </w:rPr>
              <w:t xml:space="preserve">What advice do research universities provide about GenAI? </w:t>
            </w:r>
          </w:p>
        </w:tc>
        <w:tc>
          <w:tcPr>
            <w:tcW w:w="1559" w:type="dxa"/>
            <w:tcBorders>
              <w:top w:val="single" w:sz="4" w:space="0" w:color="D9D9D9"/>
              <w:left w:val="single" w:sz="4" w:space="0" w:color="D9D9D9"/>
              <w:bottom w:val="single" w:sz="4" w:space="0" w:color="D9D9D9"/>
              <w:right w:val="single" w:sz="4" w:space="0" w:color="D9D9D9"/>
            </w:tcBorders>
            <w:shd w:val="clear" w:color="auto" w:fill="F3F6F8"/>
            <w:tcMar>
              <w:top w:w="75" w:type="dxa"/>
              <w:left w:w="75" w:type="dxa"/>
              <w:bottom w:w="75" w:type="dxa"/>
              <w:right w:w="75" w:type="dxa"/>
            </w:tcMar>
            <w:vAlign w:val="center"/>
          </w:tcPr>
          <w:p w14:paraId="51856365" w14:textId="77777777" w:rsidR="008940DE" w:rsidRPr="00B47B65" w:rsidRDefault="008940DE" w:rsidP="008F14E5">
            <w:pPr>
              <w:spacing w:after="60" w:line="240" w:lineRule="auto"/>
              <w:rPr>
                <w:rFonts w:ascii="Calibri" w:hAnsi="Calibri" w:cs="Calibri"/>
                <w:sz w:val="20"/>
                <w:szCs w:val="20"/>
              </w:rPr>
            </w:pPr>
            <w:r w:rsidRPr="00B47B65">
              <w:rPr>
                <w:rFonts w:ascii="Calibri" w:hAnsi="Calibri" w:cs="Calibri"/>
                <w:sz w:val="20"/>
                <w:szCs w:val="20"/>
              </w:rPr>
              <w:t>Document analysis of guidance from 116 US R1 universities.</w:t>
            </w:r>
          </w:p>
        </w:tc>
        <w:tc>
          <w:tcPr>
            <w:tcW w:w="1701" w:type="dxa"/>
            <w:tcBorders>
              <w:top w:val="single" w:sz="4" w:space="0" w:color="D9D9D9"/>
              <w:left w:val="single" w:sz="4" w:space="0" w:color="D9D9D9"/>
              <w:bottom w:val="single" w:sz="4" w:space="0" w:color="D9D9D9"/>
              <w:right w:val="single" w:sz="4" w:space="0" w:color="D9D9D9"/>
            </w:tcBorders>
            <w:shd w:val="clear" w:color="auto" w:fill="F3F6F8"/>
            <w:tcMar>
              <w:top w:w="75" w:type="dxa"/>
              <w:left w:w="75" w:type="dxa"/>
              <w:bottom w:w="75" w:type="dxa"/>
              <w:right w:w="75" w:type="dxa"/>
            </w:tcMar>
            <w:vAlign w:val="center"/>
          </w:tcPr>
          <w:p w14:paraId="054303F2" w14:textId="77777777" w:rsidR="008940DE" w:rsidRPr="00B47B65" w:rsidRDefault="008940DE" w:rsidP="008F14E5">
            <w:pPr>
              <w:spacing w:after="60" w:line="240" w:lineRule="auto"/>
              <w:rPr>
                <w:rFonts w:ascii="Calibri" w:hAnsi="Calibri" w:cs="Calibri"/>
                <w:sz w:val="20"/>
                <w:szCs w:val="20"/>
              </w:rPr>
            </w:pPr>
            <w:r w:rsidRPr="00B47B65">
              <w:rPr>
                <w:rFonts w:ascii="Calibri" w:hAnsi="Calibri" w:cs="Calibri"/>
                <w:sz w:val="20"/>
                <w:szCs w:val="20"/>
              </w:rPr>
              <w:t>Authors identify an absence of research-backed evidence supporting analysed guidance.</w:t>
            </w:r>
          </w:p>
        </w:tc>
        <w:tc>
          <w:tcPr>
            <w:tcW w:w="3467" w:type="dxa"/>
            <w:tcBorders>
              <w:top w:val="single" w:sz="4" w:space="0" w:color="D9D9D9"/>
              <w:left w:val="single" w:sz="4" w:space="0" w:color="D9D9D9"/>
              <w:bottom w:val="single" w:sz="4" w:space="0" w:color="D9D9D9"/>
              <w:right w:val="single" w:sz="4" w:space="0" w:color="D9D9D9"/>
            </w:tcBorders>
            <w:shd w:val="clear" w:color="auto" w:fill="F3F6F8"/>
            <w:tcMar>
              <w:top w:w="75" w:type="dxa"/>
              <w:left w:w="75" w:type="dxa"/>
              <w:bottom w:w="75" w:type="dxa"/>
              <w:right w:w="75" w:type="dxa"/>
            </w:tcMar>
            <w:vAlign w:val="center"/>
          </w:tcPr>
          <w:p w14:paraId="345BB53D" w14:textId="391EF6EA" w:rsidR="00820C9F" w:rsidRPr="00820C9F" w:rsidRDefault="00820C9F" w:rsidP="00820C9F">
            <w:pPr>
              <w:spacing w:after="60" w:line="240" w:lineRule="auto"/>
              <w:rPr>
                <w:rFonts w:ascii="Calibri" w:hAnsi="Calibri" w:cs="Calibri"/>
                <w:sz w:val="20"/>
                <w:szCs w:val="20"/>
              </w:rPr>
            </w:pPr>
            <w:r w:rsidRPr="00820C9F">
              <w:rPr>
                <w:rFonts w:ascii="Calibri" w:hAnsi="Calibri" w:cs="Calibri"/>
                <w:sz w:val="20"/>
                <w:szCs w:val="20"/>
              </w:rPr>
              <w:fldChar w:fldCharType="begin"/>
            </w:r>
            <w:r w:rsidRPr="00820C9F">
              <w:rPr>
                <w:rFonts w:ascii="Calibri" w:hAnsi="Calibri" w:cs="Calibri"/>
                <w:sz w:val="20"/>
                <w:szCs w:val="20"/>
              </w:rPr>
              <w:instrText xml:space="preserve"> BIBLIOGRAPHY  \l 2057 </w:instrText>
            </w:r>
            <w:r w:rsidRPr="00820C9F">
              <w:rPr>
                <w:rFonts w:ascii="Calibri" w:hAnsi="Calibri" w:cs="Calibri"/>
                <w:sz w:val="20"/>
                <w:szCs w:val="20"/>
              </w:rPr>
              <w:fldChar w:fldCharType="separate"/>
            </w:r>
            <w:r w:rsidRPr="00820C9F">
              <w:rPr>
                <w:rFonts w:ascii="Calibri" w:hAnsi="Calibri" w:cs="Calibri"/>
                <w:sz w:val="20"/>
                <w:szCs w:val="20"/>
              </w:rPr>
              <w:t xml:space="preserve">McDonald, N., Johri, A., Ali, A., and Hingle Collier, A. (2025). 'Generative artificial intelligence in higher education: Evidence from an analysis of institutional policies and </w:t>
            </w:r>
            <w:r>
              <w:rPr>
                <w:rFonts w:ascii="Calibri" w:hAnsi="Calibri" w:cs="Calibri"/>
                <w:sz w:val="20"/>
                <w:szCs w:val="20"/>
              </w:rPr>
              <w:t>guidelines’</w:t>
            </w:r>
            <w:r w:rsidRPr="00820C9F">
              <w:rPr>
                <w:rFonts w:ascii="Calibri" w:hAnsi="Calibri" w:cs="Calibri"/>
                <w:sz w:val="20"/>
                <w:szCs w:val="20"/>
              </w:rPr>
              <w:t>. Computers in Human Behaviour: Artificial Humans, 3, article 100121. DOI: 10.1186/s41239-025-00507-3.</w:t>
            </w:r>
          </w:p>
          <w:p w14:paraId="76FAFDC1" w14:textId="3D44A3BA" w:rsidR="008940DE" w:rsidRPr="00B47B65" w:rsidRDefault="00820C9F" w:rsidP="00820C9F">
            <w:pPr>
              <w:spacing w:after="60" w:line="240" w:lineRule="auto"/>
              <w:rPr>
                <w:rFonts w:ascii="Calibri" w:hAnsi="Calibri" w:cs="Calibri"/>
                <w:sz w:val="20"/>
                <w:szCs w:val="20"/>
              </w:rPr>
            </w:pPr>
            <w:r w:rsidRPr="00820C9F">
              <w:rPr>
                <w:rFonts w:ascii="Calibri" w:hAnsi="Calibri" w:cs="Calibri"/>
                <w:sz w:val="20"/>
                <w:szCs w:val="20"/>
              </w:rPr>
              <w:fldChar w:fldCharType="end"/>
            </w:r>
          </w:p>
        </w:tc>
      </w:tr>
      <w:tr w:rsidR="00002B0D" w14:paraId="1FF951DF" w14:textId="77777777" w:rsidTr="00221077">
        <w:trPr>
          <w:cantSplit/>
          <w:jc w:val="center"/>
        </w:trPr>
        <w:tc>
          <w:tcPr>
            <w:tcW w:w="1800" w:type="dxa"/>
            <w:tcBorders>
              <w:top w:val="single" w:sz="4" w:space="0" w:color="D9D9D9"/>
              <w:left w:val="single" w:sz="4" w:space="0" w:color="D9D9D9"/>
              <w:bottom w:val="single" w:sz="4" w:space="0" w:color="D9D9D9"/>
              <w:right w:val="single" w:sz="4" w:space="0" w:color="D9D9D9"/>
            </w:tcBorders>
            <w:shd w:val="clear" w:color="auto" w:fill="F3F6F8"/>
            <w:tcMar>
              <w:top w:w="75" w:type="dxa"/>
              <w:left w:w="75" w:type="dxa"/>
              <w:bottom w:w="75" w:type="dxa"/>
              <w:right w:w="75" w:type="dxa"/>
            </w:tcMar>
            <w:vAlign w:val="center"/>
          </w:tcPr>
          <w:p w14:paraId="517A7387" w14:textId="51931E63" w:rsidR="00002B0D" w:rsidRPr="00002B0D" w:rsidRDefault="00002B0D" w:rsidP="008F14E5">
            <w:pPr>
              <w:spacing w:after="60" w:line="240" w:lineRule="auto"/>
              <w:rPr>
                <w:rFonts w:ascii="Calibri" w:hAnsi="Calibri" w:cs="Calibri"/>
                <w:sz w:val="20"/>
                <w:szCs w:val="20"/>
              </w:rPr>
            </w:pPr>
            <w:r w:rsidRPr="00002B0D">
              <w:rPr>
                <w:rFonts w:ascii="Calibri" w:hAnsi="Calibri" w:cs="Calibri"/>
                <w:sz w:val="20"/>
                <w:szCs w:val="20"/>
              </w:rPr>
              <w:t>5</w:t>
            </w:r>
            <w:r w:rsidR="00EF21BF">
              <w:rPr>
                <w:rFonts w:ascii="Calibri" w:hAnsi="Calibri" w:cs="Calibri"/>
                <w:sz w:val="20"/>
                <w:szCs w:val="20"/>
              </w:rPr>
              <w:t>.</w:t>
            </w:r>
            <w:r w:rsidRPr="00002B0D">
              <w:rPr>
                <w:rFonts w:ascii="Calibri" w:hAnsi="Calibri" w:cs="Calibri"/>
                <w:sz w:val="20"/>
                <w:szCs w:val="20"/>
              </w:rPr>
              <w:t xml:space="preserve">  Barus, O., Hidayanto, A., Handri, E., Sensuse, D. and Yaiprasert, C.</w:t>
            </w:r>
          </w:p>
        </w:tc>
        <w:tc>
          <w:tcPr>
            <w:tcW w:w="576" w:type="dxa"/>
            <w:tcBorders>
              <w:top w:val="single" w:sz="4" w:space="0" w:color="D9D9D9"/>
              <w:left w:val="single" w:sz="4" w:space="0" w:color="D9D9D9"/>
              <w:bottom w:val="single" w:sz="4" w:space="0" w:color="D9D9D9"/>
              <w:right w:val="single" w:sz="4" w:space="0" w:color="D9D9D9"/>
            </w:tcBorders>
            <w:shd w:val="clear" w:color="auto" w:fill="F3F6F8"/>
            <w:tcMar>
              <w:top w:w="75" w:type="dxa"/>
              <w:left w:w="75" w:type="dxa"/>
              <w:bottom w:w="75" w:type="dxa"/>
              <w:right w:w="75" w:type="dxa"/>
            </w:tcMar>
            <w:vAlign w:val="center"/>
          </w:tcPr>
          <w:p w14:paraId="61AEE1CD" w14:textId="77777777" w:rsidR="00002B0D" w:rsidRPr="00002B0D" w:rsidRDefault="00002B0D" w:rsidP="008F14E5">
            <w:pPr>
              <w:spacing w:after="60" w:line="240" w:lineRule="auto"/>
              <w:rPr>
                <w:rFonts w:ascii="Calibri" w:hAnsi="Calibri" w:cs="Calibri"/>
                <w:sz w:val="20"/>
                <w:szCs w:val="20"/>
              </w:rPr>
            </w:pPr>
            <w:r w:rsidRPr="00002B0D">
              <w:rPr>
                <w:rFonts w:ascii="Calibri" w:hAnsi="Calibri" w:cs="Calibri"/>
                <w:sz w:val="20"/>
                <w:szCs w:val="20"/>
              </w:rPr>
              <w:t>2025</w:t>
            </w:r>
          </w:p>
        </w:tc>
        <w:tc>
          <w:tcPr>
            <w:tcW w:w="1440" w:type="dxa"/>
            <w:tcBorders>
              <w:top w:val="single" w:sz="4" w:space="0" w:color="D9D9D9"/>
              <w:left w:val="single" w:sz="4" w:space="0" w:color="D9D9D9"/>
              <w:bottom w:val="single" w:sz="4" w:space="0" w:color="D9D9D9"/>
              <w:right w:val="single" w:sz="4" w:space="0" w:color="D9D9D9"/>
            </w:tcBorders>
            <w:shd w:val="clear" w:color="auto" w:fill="F3F6F8"/>
            <w:tcMar>
              <w:top w:w="75" w:type="dxa"/>
              <w:left w:w="75" w:type="dxa"/>
              <w:bottom w:w="75" w:type="dxa"/>
              <w:right w:w="75" w:type="dxa"/>
            </w:tcMar>
            <w:vAlign w:val="center"/>
          </w:tcPr>
          <w:p w14:paraId="0D19548F" w14:textId="77777777" w:rsidR="00002B0D" w:rsidRPr="00002B0D" w:rsidRDefault="00002B0D" w:rsidP="008F14E5">
            <w:pPr>
              <w:spacing w:after="60" w:line="240" w:lineRule="auto"/>
              <w:rPr>
                <w:rFonts w:ascii="Calibri" w:hAnsi="Calibri" w:cs="Calibri"/>
                <w:sz w:val="20"/>
                <w:szCs w:val="20"/>
              </w:rPr>
            </w:pPr>
            <w:r w:rsidRPr="00002B0D">
              <w:rPr>
                <w:rFonts w:ascii="Calibri" w:hAnsi="Calibri" w:cs="Calibri"/>
                <w:sz w:val="20"/>
                <w:szCs w:val="20"/>
              </w:rPr>
              <w:t>Understand student governance views.</w:t>
            </w:r>
          </w:p>
        </w:tc>
        <w:tc>
          <w:tcPr>
            <w:tcW w:w="1512" w:type="dxa"/>
            <w:tcBorders>
              <w:top w:val="single" w:sz="4" w:space="0" w:color="D9D9D9"/>
              <w:left w:val="single" w:sz="4" w:space="0" w:color="D9D9D9"/>
              <w:bottom w:val="single" w:sz="4" w:space="0" w:color="D9D9D9"/>
              <w:right w:val="single" w:sz="4" w:space="0" w:color="D9D9D9"/>
            </w:tcBorders>
            <w:shd w:val="clear" w:color="auto" w:fill="F3F6F8"/>
            <w:tcMar>
              <w:top w:w="75" w:type="dxa"/>
              <w:left w:w="75" w:type="dxa"/>
              <w:bottom w:w="75" w:type="dxa"/>
              <w:right w:w="75" w:type="dxa"/>
            </w:tcMar>
            <w:vAlign w:val="center"/>
          </w:tcPr>
          <w:p w14:paraId="1FCDB8AF" w14:textId="77777777" w:rsidR="00002B0D" w:rsidRPr="00002B0D" w:rsidRDefault="00002B0D" w:rsidP="008F14E5">
            <w:pPr>
              <w:spacing w:after="60" w:line="240" w:lineRule="auto"/>
              <w:rPr>
                <w:rFonts w:ascii="Calibri" w:hAnsi="Calibri" w:cs="Calibri"/>
                <w:sz w:val="20"/>
                <w:szCs w:val="20"/>
              </w:rPr>
            </w:pPr>
            <w:r w:rsidRPr="00002B0D">
              <w:rPr>
                <w:rFonts w:ascii="Calibri" w:hAnsi="Calibri" w:cs="Calibri"/>
                <w:sz w:val="20"/>
                <w:szCs w:val="20"/>
              </w:rPr>
              <w:t>Explore integration, ethics, misuse and sanctions.</w:t>
            </w:r>
          </w:p>
        </w:tc>
        <w:tc>
          <w:tcPr>
            <w:tcW w:w="1755" w:type="dxa"/>
            <w:tcBorders>
              <w:top w:val="single" w:sz="4" w:space="0" w:color="D9D9D9"/>
              <w:left w:val="single" w:sz="4" w:space="0" w:color="D9D9D9"/>
              <w:bottom w:val="single" w:sz="4" w:space="0" w:color="D9D9D9"/>
              <w:right w:val="single" w:sz="4" w:space="0" w:color="D9D9D9"/>
            </w:tcBorders>
            <w:shd w:val="clear" w:color="auto" w:fill="F3F6F8"/>
            <w:tcMar>
              <w:top w:w="75" w:type="dxa"/>
              <w:left w:w="75" w:type="dxa"/>
              <w:bottom w:w="75" w:type="dxa"/>
              <w:right w:w="75" w:type="dxa"/>
            </w:tcMar>
            <w:vAlign w:val="center"/>
          </w:tcPr>
          <w:p w14:paraId="3232D709" w14:textId="1B01FD66" w:rsidR="00002B0D" w:rsidRPr="00002B0D" w:rsidRDefault="00002B0D" w:rsidP="008F14E5">
            <w:pPr>
              <w:spacing w:after="60" w:line="240" w:lineRule="auto"/>
              <w:rPr>
                <w:rFonts w:ascii="Calibri" w:hAnsi="Calibri" w:cs="Calibri"/>
                <w:sz w:val="20"/>
                <w:szCs w:val="20"/>
              </w:rPr>
            </w:pPr>
            <w:r w:rsidRPr="00002B0D">
              <w:rPr>
                <w:rFonts w:ascii="Calibri" w:hAnsi="Calibri" w:cs="Calibri"/>
                <w:sz w:val="20"/>
                <w:szCs w:val="20"/>
              </w:rPr>
              <w:t xml:space="preserve">How do students perceive responsible GenAI integration? </w:t>
            </w:r>
          </w:p>
        </w:tc>
        <w:tc>
          <w:tcPr>
            <w:tcW w:w="1559" w:type="dxa"/>
            <w:tcBorders>
              <w:top w:val="single" w:sz="4" w:space="0" w:color="D9D9D9"/>
              <w:left w:val="single" w:sz="4" w:space="0" w:color="D9D9D9"/>
              <w:bottom w:val="single" w:sz="4" w:space="0" w:color="D9D9D9"/>
              <w:right w:val="single" w:sz="4" w:space="0" w:color="D9D9D9"/>
            </w:tcBorders>
            <w:shd w:val="clear" w:color="auto" w:fill="F3F6F8"/>
            <w:tcMar>
              <w:top w:w="75" w:type="dxa"/>
              <w:left w:w="75" w:type="dxa"/>
              <w:bottom w:w="75" w:type="dxa"/>
              <w:right w:w="75" w:type="dxa"/>
            </w:tcMar>
            <w:vAlign w:val="center"/>
          </w:tcPr>
          <w:p w14:paraId="6370365B" w14:textId="77777777" w:rsidR="00002B0D" w:rsidRPr="00002B0D" w:rsidRDefault="00002B0D" w:rsidP="008F14E5">
            <w:pPr>
              <w:spacing w:after="60" w:line="240" w:lineRule="auto"/>
              <w:rPr>
                <w:rFonts w:ascii="Calibri" w:hAnsi="Calibri" w:cs="Calibri"/>
                <w:sz w:val="20"/>
                <w:szCs w:val="20"/>
              </w:rPr>
            </w:pPr>
            <w:r w:rsidRPr="00002B0D">
              <w:rPr>
                <w:rFonts w:ascii="Calibri" w:hAnsi="Calibri" w:cs="Calibri"/>
                <w:sz w:val="20"/>
                <w:szCs w:val="20"/>
              </w:rPr>
              <w:t>Explanatory sequential mixed methods: 111 Indonesian undergraduates surveyed; 53 interviewed.</w:t>
            </w:r>
          </w:p>
        </w:tc>
        <w:tc>
          <w:tcPr>
            <w:tcW w:w="1701" w:type="dxa"/>
            <w:tcBorders>
              <w:top w:val="single" w:sz="4" w:space="0" w:color="D9D9D9"/>
              <w:left w:val="single" w:sz="4" w:space="0" w:color="D9D9D9"/>
              <w:bottom w:val="single" w:sz="4" w:space="0" w:color="D9D9D9"/>
              <w:right w:val="single" w:sz="4" w:space="0" w:color="D9D9D9"/>
            </w:tcBorders>
            <w:shd w:val="clear" w:color="auto" w:fill="F3F6F8"/>
            <w:tcMar>
              <w:top w:w="75" w:type="dxa"/>
              <w:left w:w="75" w:type="dxa"/>
              <w:bottom w:w="75" w:type="dxa"/>
              <w:right w:w="75" w:type="dxa"/>
            </w:tcMar>
            <w:vAlign w:val="center"/>
          </w:tcPr>
          <w:p w14:paraId="62E222D7" w14:textId="77777777" w:rsidR="00002B0D" w:rsidRPr="00002B0D" w:rsidRDefault="00002B0D" w:rsidP="008F14E5">
            <w:pPr>
              <w:spacing w:after="60" w:line="240" w:lineRule="auto"/>
              <w:rPr>
                <w:rFonts w:ascii="Calibri" w:hAnsi="Calibri" w:cs="Calibri"/>
                <w:sz w:val="20"/>
                <w:szCs w:val="20"/>
              </w:rPr>
            </w:pPr>
            <w:r w:rsidRPr="00002B0D">
              <w:rPr>
                <w:rFonts w:ascii="Calibri" w:hAnsi="Calibri" w:cs="Calibri"/>
                <w:sz w:val="20"/>
                <w:szCs w:val="20"/>
              </w:rPr>
              <w:t>Students support integration but request clear rules and ethics training; they also favour misuse detection.</w:t>
            </w:r>
          </w:p>
        </w:tc>
        <w:tc>
          <w:tcPr>
            <w:tcW w:w="3467" w:type="dxa"/>
            <w:tcBorders>
              <w:top w:val="single" w:sz="4" w:space="0" w:color="D9D9D9"/>
              <w:left w:val="single" w:sz="4" w:space="0" w:color="D9D9D9"/>
              <w:bottom w:val="single" w:sz="4" w:space="0" w:color="D9D9D9"/>
              <w:right w:val="single" w:sz="4" w:space="0" w:color="D9D9D9"/>
            </w:tcBorders>
            <w:shd w:val="clear" w:color="auto" w:fill="F3F6F8"/>
            <w:tcMar>
              <w:top w:w="75" w:type="dxa"/>
              <w:left w:w="75" w:type="dxa"/>
              <w:bottom w:w="75" w:type="dxa"/>
              <w:right w:w="75" w:type="dxa"/>
            </w:tcMar>
            <w:vAlign w:val="center"/>
          </w:tcPr>
          <w:p w14:paraId="36FFD928" w14:textId="77777777" w:rsidR="00221077" w:rsidRPr="00221077" w:rsidRDefault="00221077" w:rsidP="00221077">
            <w:pPr>
              <w:spacing w:after="60" w:line="240" w:lineRule="auto"/>
              <w:rPr>
                <w:rFonts w:ascii="Calibri" w:hAnsi="Calibri" w:cs="Calibri"/>
                <w:sz w:val="20"/>
                <w:szCs w:val="20"/>
              </w:rPr>
            </w:pPr>
            <w:r w:rsidRPr="00221077">
              <w:rPr>
                <w:rFonts w:ascii="Calibri" w:hAnsi="Calibri" w:cs="Calibri"/>
                <w:sz w:val="20"/>
                <w:szCs w:val="20"/>
              </w:rPr>
              <w:t>Barus, O., Hidayanto, A., Handri, E., Sensuse, D., &amp; Yaiprasert, C. (2025). ‘Shaping generative AI governance in higher education: Insights from student perception.’ International Journal of Educational Research Open, 8, article 100452. DOI: 10.1016/j.iedro.2025.100452.</w:t>
            </w:r>
          </w:p>
          <w:p w14:paraId="185F6D85" w14:textId="109527F0" w:rsidR="00002B0D" w:rsidRPr="00002B0D" w:rsidRDefault="00002B0D" w:rsidP="008F14E5">
            <w:pPr>
              <w:spacing w:after="60" w:line="240" w:lineRule="auto"/>
              <w:rPr>
                <w:rFonts w:ascii="Calibri" w:hAnsi="Calibri" w:cs="Calibri"/>
                <w:sz w:val="20"/>
                <w:szCs w:val="20"/>
              </w:rPr>
            </w:pPr>
          </w:p>
        </w:tc>
      </w:tr>
      <w:tr w:rsidR="00002B0D" w14:paraId="3C239439" w14:textId="77777777" w:rsidTr="00221077">
        <w:trPr>
          <w:cantSplit/>
          <w:jc w:val="center"/>
        </w:trPr>
        <w:tc>
          <w:tcPr>
            <w:tcW w:w="1800" w:type="dxa"/>
            <w:tcBorders>
              <w:top w:val="single" w:sz="4" w:space="0" w:color="D9D9D9"/>
              <w:left w:val="single" w:sz="4" w:space="0" w:color="D9D9D9"/>
              <w:bottom w:val="single" w:sz="4" w:space="0" w:color="D9D9D9"/>
              <w:right w:val="single" w:sz="4" w:space="0" w:color="D9D9D9"/>
            </w:tcBorders>
            <w:shd w:val="clear" w:color="auto" w:fill="F3F6F8"/>
            <w:tcMar>
              <w:top w:w="75" w:type="dxa"/>
              <w:left w:w="75" w:type="dxa"/>
              <w:bottom w:w="75" w:type="dxa"/>
              <w:right w:w="75" w:type="dxa"/>
            </w:tcMar>
            <w:vAlign w:val="center"/>
          </w:tcPr>
          <w:p w14:paraId="3AC6A796" w14:textId="2AD2844B" w:rsidR="00002B0D" w:rsidRPr="00002B0D" w:rsidRDefault="00002B0D" w:rsidP="008F14E5">
            <w:pPr>
              <w:spacing w:after="60" w:line="240" w:lineRule="auto"/>
              <w:rPr>
                <w:rFonts w:ascii="Calibri" w:hAnsi="Calibri" w:cs="Calibri"/>
                <w:sz w:val="20"/>
                <w:szCs w:val="20"/>
              </w:rPr>
            </w:pPr>
            <w:r w:rsidRPr="00002B0D">
              <w:rPr>
                <w:rFonts w:ascii="Calibri" w:hAnsi="Calibri" w:cs="Calibri"/>
                <w:sz w:val="20"/>
                <w:szCs w:val="20"/>
              </w:rPr>
              <w:t>6</w:t>
            </w:r>
            <w:r w:rsidR="006B7206">
              <w:rPr>
                <w:rFonts w:ascii="Calibri" w:hAnsi="Calibri" w:cs="Calibri"/>
                <w:sz w:val="20"/>
                <w:szCs w:val="20"/>
              </w:rPr>
              <w:t>.</w:t>
            </w:r>
            <w:r w:rsidRPr="00002B0D">
              <w:rPr>
                <w:rFonts w:ascii="Calibri" w:hAnsi="Calibri" w:cs="Calibri"/>
                <w:sz w:val="20"/>
                <w:szCs w:val="20"/>
              </w:rPr>
              <w:t xml:space="preserve">  O’Dea, X., Bale, R., Chiu, Y.</w:t>
            </w:r>
            <w:r w:rsidR="006B7206">
              <w:rPr>
                <w:rFonts w:ascii="Calibri" w:hAnsi="Calibri" w:cs="Calibri"/>
                <w:sz w:val="20"/>
                <w:szCs w:val="20"/>
              </w:rPr>
              <w:t xml:space="preserve">, </w:t>
            </w:r>
            <w:r w:rsidRPr="00002B0D">
              <w:rPr>
                <w:rFonts w:ascii="Calibri" w:hAnsi="Calibri" w:cs="Calibri"/>
                <w:sz w:val="20"/>
                <w:szCs w:val="20"/>
              </w:rPr>
              <w:t>Suleymenova, K., Tinker, A. and Stoker, R.</w:t>
            </w:r>
          </w:p>
        </w:tc>
        <w:tc>
          <w:tcPr>
            <w:tcW w:w="576" w:type="dxa"/>
            <w:tcBorders>
              <w:top w:val="single" w:sz="4" w:space="0" w:color="D9D9D9"/>
              <w:left w:val="single" w:sz="4" w:space="0" w:color="D9D9D9"/>
              <w:bottom w:val="single" w:sz="4" w:space="0" w:color="D9D9D9"/>
              <w:right w:val="single" w:sz="4" w:space="0" w:color="D9D9D9"/>
            </w:tcBorders>
            <w:shd w:val="clear" w:color="auto" w:fill="F3F6F8"/>
            <w:tcMar>
              <w:top w:w="75" w:type="dxa"/>
              <w:left w:w="75" w:type="dxa"/>
              <w:bottom w:w="75" w:type="dxa"/>
              <w:right w:w="75" w:type="dxa"/>
            </w:tcMar>
            <w:vAlign w:val="center"/>
          </w:tcPr>
          <w:p w14:paraId="7217FB95" w14:textId="77777777" w:rsidR="00002B0D" w:rsidRPr="00002B0D" w:rsidRDefault="00002B0D" w:rsidP="008F14E5">
            <w:pPr>
              <w:spacing w:after="60" w:line="240" w:lineRule="auto"/>
              <w:rPr>
                <w:rFonts w:ascii="Calibri" w:hAnsi="Calibri" w:cs="Calibri"/>
                <w:sz w:val="20"/>
                <w:szCs w:val="20"/>
              </w:rPr>
            </w:pPr>
            <w:r w:rsidRPr="00002B0D">
              <w:rPr>
                <w:rFonts w:ascii="Calibri" w:hAnsi="Calibri" w:cs="Calibri"/>
                <w:sz w:val="20"/>
                <w:szCs w:val="20"/>
              </w:rPr>
              <w:t>2025</w:t>
            </w:r>
          </w:p>
        </w:tc>
        <w:tc>
          <w:tcPr>
            <w:tcW w:w="1440" w:type="dxa"/>
            <w:tcBorders>
              <w:top w:val="single" w:sz="4" w:space="0" w:color="D9D9D9"/>
              <w:left w:val="single" w:sz="4" w:space="0" w:color="D9D9D9"/>
              <w:bottom w:val="single" w:sz="4" w:space="0" w:color="D9D9D9"/>
              <w:right w:val="single" w:sz="4" w:space="0" w:color="D9D9D9"/>
            </w:tcBorders>
            <w:shd w:val="clear" w:color="auto" w:fill="F3F6F8"/>
            <w:tcMar>
              <w:top w:w="75" w:type="dxa"/>
              <w:left w:w="75" w:type="dxa"/>
              <w:bottom w:w="75" w:type="dxa"/>
              <w:right w:w="75" w:type="dxa"/>
            </w:tcMar>
            <w:vAlign w:val="center"/>
          </w:tcPr>
          <w:p w14:paraId="1D1B7805" w14:textId="77777777" w:rsidR="00002B0D" w:rsidRPr="00002B0D" w:rsidRDefault="00002B0D" w:rsidP="008F14E5">
            <w:pPr>
              <w:spacing w:after="60" w:line="240" w:lineRule="auto"/>
              <w:rPr>
                <w:rFonts w:ascii="Calibri" w:hAnsi="Calibri" w:cs="Calibri"/>
                <w:sz w:val="20"/>
                <w:szCs w:val="20"/>
              </w:rPr>
            </w:pPr>
            <w:r w:rsidRPr="00002B0D">
              <w:rPr>
                <w:rFonts w:ascii="Calibri" w:hAnsi="Calibri" w:cs="Calibri"/>
                <w:sz w:val="20"/>
                <w:szCs w:val="20"/>
              </w:rPr>
              <w:t>Understand ethical and equitable assessment use.</w:t>
            </w:r>
          </w:p>
        </w:tc>
        <w:tc>
          <w:tcPr>
            <w:tcW w:w="1512" w:type="dxa"/>
            <w:tcBorders>
              <w:top w:val="single" w:sz="4" w:space="0" w:color="D9D9D9"/>
              <w:left w:val="single" w:sz="4" w:space="0" w:color="D9D9D9"/>
              <w:bottom w:val="single" w:sz="4" w:space="0" w:color="D9D9D9"/>
              <w:right w:val="single" w:sz="4" w:space="0" w:color="D9D9D9"/>
            </w:tcBorders>
            <w:shd w:val="clear" w:color="auto" w:fill="F3F6F8"/>
            <w:tcMar>
              <w:top w:w="75" w:type="dxa"/>
              <w:left w:w="75" w:type="dxa"/>
              <w:bottom w:w="75" w:type="dxa"/>
              <w:right w:w="75" w:type="dxa"/>
            </w:tcMar>
            <w:vAlign w:val="center"/>
          </w:tcPr>
          <w:p w14:paraId="41D81914" w14:textId="77777777" w:rsidR="00002B0D" w:rsidRPr="00002B0D" w:rsidRDefault="00002B0D" w:rsidP="008F14E5">
            <w:pPr>
              <w:spacing w:after="60" w:line="240" w:lineRule="auto"/>
              <w:rPr>
                <w:rFonts w:ascii="Calibri" w:hAnsi="Calibri" w:cs="Calibri"/>
                <w:sz w:val="20"/>
                <w:szCs w:val="20"/>
              </w:rPr>
            </w:pPr>
            <w:r w:rsidRPr="00002B0D">
              <w:rPr>
                <w:rFonts w:ascii="Calibri" w:hAnsi="Calibri" w:cs="Calibri"/>
                <w:sz w:val="20"/>
                <w:szCs w:val="20"/>
              </w:rPr>
              <w:t>Explore perceptions and social-ecological influences.</w:t>
            </w:r>
          </w:p>
        </w:tc>
        <w:tc>
          <w:tcPr>
            <w:tcW w:w="1755" w:type="dxa"/>
            <w:tcBorders>
              <w:top w:val="single" w:sz="4" w:space="0" w:color="D9D9D9"/>
              <w:left w:val="single" w:sz="4" w:space="0" w:color="D9D9D9"/>
              <w:bottom w:val="single" w:sz="4" w:space="0" w:color="D9D9D9"/>
              <w:right w:val="single" w:sz="4" w:space="0" w:color="D9D9D9"/>
            </w:tcBorders>
            <w:shd w:val="clear" w:color="auto" w:fill="F3F6F8"/>
            <w:tcMar>
              <w:top w:w="75" w:type="dxa"/>
              <w:left w:w="75" w:type="dxa"/>
              <w:bottom w:w="75" w:type="dxa"/>
              <w:right w:w="75" w:type="dxa"/>
            </w:tcMar>
            <w:vAlign w:val="center"/>
          </w:tcPr>
          <w:p w14:paraId="1A46F620" w14:textId="3662F75D" w:rsidR="00002B0D" w:rsidRPr="00002B0D" w:rsidRDefault="00002B0D" w:rsidP="008F14E5">
            <w:pPr>
              <w:spacing w:after="60" w:line="240" w:lineRule="auto"/>
              <w:rPr>
                <w:rFonts w:ascii="Calibri" w:hAnsi="Calibri" w:cs="Calibri"/>
                <w:sz w:val="20"/>
                <w:szCs w:val="20"/>
              </w:rPr>
            </w:pPr>
            <w:r w:rsidRPr="00002B0D">
              <w:rPr>
                <w:rFonts w:ascii="Calibri" w:hAnsi="Calibri" w:cs="Calibri"/>
                <w:sz w:val="20"/>
                <w:szCs w:val="20"/>
              </w:rPr>
              <w:t xml:space="preserve">How do students understand ethical assessment use, and how do social-ecological domains influence it? </w:t>
            </w:r>
          </w:p>
        </w:tc>
        <w:tc>
          <w:tcPr>
            <w:tcW w:w="1559" w:type="dxa"/>
            <w:tcBorders>
              <w:top w:val="single" w:sz="4" w:space="0" w:color="D9D9D9"/>
              <w:left w:val="single" w:sz="4" w:space="0" w:color="D9D9D9"/>
              <w:bottom w:val="single" w:sz="4" w:space="0" w:color="D9D9D9"/>
              <w:right w:val="single" w:sz="4" w:space="0" w:color="D9D9D9"/>
            </w:tcBorders>
            <w:shd w:val="clear" w:color="auto" w:fill="F3F6F8"/>
            <w:tcMar>
              <w:top w:w="75" w:type="dxa"/>
              <w:left w:w="75" w:type="dxa"/>
              <w:bottom w:w="75" w:type="dxa"/>
              <w:right w:w="75" w:type="dxa"/>
            </w:tcMar>
            <w:vAlign w:val="center"/>
          </w:tcPr>
          <w:p w14:paraId="2F5CE5A5" w14:textId="77777777" w:rsidR="00002B0D" w:rsidRPr="00002B0D" w:rsidRDefault="00002B0D" w:rsidP="008F14E5">
            <w:pPr>
              <w:spacing w:after="60" w:line="240" w:lineRule="auto"/>
              <w:rPr>
                <w:rFonts w:ascii="Calibri" w:hAnsi="Calibri" w:cs="Calibri"/>
                <w:sz w:val="20"/>
                <w:szCs w:val="20"/>
              </w:rPr>
            </w:pPr>
            <w:r w:rsidRPr="00002B0D">
              <w:rPr>
                <w:rFonts w:ascii="Calibri" w:hAnsi="Calibri" w:cs="Calibri"/>
                <w:sz w:val="20"/>
                <w:szCs w:val="20"/>
              </w:rPr>
              <w:t>Focus groups with 80 participants across four UK institutions; qualitative analysis.</w:t>
            </w:r>
          </w:p>
        </w:tc>
        <w:tc>
          <w:tcPr>
            <w:tcW w:w="1701" w:type="dxa"/>
            <w:tcBorders>
              <w:top w:val="single" w:sz="4" w:space="0" w:color="D9D9D9"/>
              <w:left w:val="single" w:sz="4" w:space="0" w:color="D9D9D9"/>
              <w:bottom w:val="single" w:sz="4" w:space="0" w:color="D9D9D9"/>
              <w:right w:val="single" w:sz="4" w:space="0" w:color="D9D9D9"/>
            </w:tcBorders>
            <w:shd w:val="clear" w:color="auto" w:fill="F3F6F8"/>
            <w:tcMar>
              <w:top w:w="75" w:type="dxa"/>
              <w:left w:w="75" w:type="dxa"/>
              <w:bottom w:w="75" w:type="dxa"/>
              <w:right w:w="75" w:type="dxa"/>
            </w:tcMar>
            <w:vAlign w:val="center"/>
          </w:tcPr>
          <w:p w14:paraId="19E2B160" w14:textId="77777777" w:rsidR="00002B0D" w:rsidRPr="00002B0D" w:rsidRDefault="00002B0D" w:rsidP="008F14E5">
            <w:pPr>
              <w:spacing w:after="60" w:line="240" w:lineRule="auto"/>
              <w:rPr>
                <w:rFonts w:ascii="Calibri" w:hAnsi="Calibri" w:cs="Calibri"/>
                <w:sz w:val="20"/>
                <w:szCs w:val="20"/>
              </w:rPr>
            </w:pPr>
            <w:r w:rsidRPr="00002B0D">
              <w:rPr>
                <w:rFonts w:ascii="Calibri" w:hAnsi="Calibri" w:cs="Calibri"/>
                <w:sz w:val="20"/>
                <w:szCs w:val="20"/>
              </w:rPr>
              <w:t>Students want learning support but are uncertain about ethical boundaries and seek practical guidance.</w:t>
            </w:r>
          </w:p>
        </w:tc>
        <w:tc>
          <w:tcPr>
            <w:tcW w:w="3467" w:type="dxa"/>
            <w:tcBorders>
              <w:top w:val="single" w:sz="4" w:space="0" w:color="D9D9D9"/>
              <w:left w:val="single" w:sz="4" w:space="0" w:color="D9D9D9"/>
              <w:bottom w:val="single" w:sz="4" w:space="0" w:color="D9D9D9"/>
              <w:right w:val="single" w:sz="4" w:space="0" w:color="D9D9D9"/>
            </w:tcBorders>
            <w:shd w:val="clear" w:color="auto" w:fill="F3F6F8"/>
            <w:tcMar>
              <w:top w:w="75" w:type="dxa"/>
              <w:left w:w="75" w:type="dxa"/>
              <w:bottom w:w="75" w:type="dxa"/>
              <w:right w:w="75" w:type="dxa"/>
            </w:tcMar>
            <w:vAlign w:val="center"/>
          </w:tcPr>
          <w:p w14:paraId="031F0DB1" w14:textId="52C37701" w:rsidR="00531A64" w:rsidRPr="00D83BC3" w:rsidRDefault="00531A64" w:rsidP="00D83BC3">
            <w:pPr>
              <w:spacing w:after="60" w:line="240" w:lineRule="auto"/>
              <w:rPr>
                <w:rFonts w:ascii="Calibri" w:hAnsi="Calibri" w:cs="Calibri"/>
                <w:sz w:val="20"/>
                <w:szCs w:val="20"/>
              </w:rPr>
            </w:pPr>
            <w:r w:rsidRPr="00D83BC3">
              <w:rPr>
                <w:rFonts w:ascii="Calibri" w:hAnsi="Calibri" w:cs="Calibri"/>
                <w:sz w:val="20"/>
                <w:szCs w:val="20"/>
              </w:rPr>
              <w:t>O’Dea,</w:t>
            </w:r>
            <w:r w:rsidR="00D83BC3">
              <w:rPr>
                <w:rFonts w:ascii="Calibri" w:hAnsi="Calibri" w:cs="Calibri"/>
                <w:sz w:val="20"/>
                <w:szCs w:val="20"/>
              </w:rPr>
              <w:t xml:space="preserve"> X.,</w:t>
            </w:r>
            <w:r w:rsidRPr="00D83BC3">
              <w:rPr>
                <w:rFonts w:ascii="Calibri" w:hAnsi="Calibri" w:cs="Calibri"/>
                <w:sz w:val="20"/>
                <w:szCs w:val="20"/>
              </w:rPr>
              <w:t xml:space="preserve"> Bale,</w:t>
            </w:r>
            <w:r w:rsidR="00D83BC3">
              <w:rPr>
                <w:rFonts w:ascii="Calibri" w:hAnsi="Calibri" w:cs="Calibri"/>
                <w:sz w:val="20"/>
                <w:szCs w:val="20"/>
              </w:rPr>
              <w:t xml:space="preserve"> R.,</w:t>
            </w:r>
            <w:r w:rsidRPr="00D83BC3">
              <w:rPr>
                <w:rFonts w:ascii="Calibri" w:hAnsi="Calibri" w:cs="Calibri"/>
                <w:sz w:val="20"/>
                <w:szCs w:val="20"/>
              </w:rPr>
              <w:t xml:space="preserve"> Chiu,</w:t>
            </w:r>
            <w:r w:rsidR="00D83BC3">
              <w:rPr>
                <w:rFonts w:ascii="Calibri" w:hAnsi="Calibri" w:cs="Calibri"/>
                <w:sz w:val="20"/>
                <w:szCs w:val="20"/>
              </w:rPr>
              <w:t xml:space="preserve"> Y.</w:t>
            </w:r>
            <w:r w:rsidR="006B7206">
              <w:rPr>
                <w:rFonts w:ascii="Calibri" w:hAnsi="Calibri" w:cs="Calibri"/>
                <w:sz w:val="20"/>
                <w:szCs w:val="20"/>
              </w:rPr>
              <w:t xml:space="preserve">, </w:t>
            </w:r>
            <w:r w:rsidR="006B7206" w:rsidRPr="00D83BC3">
              <w:rPr>
                <w:rFonts w:ascii="Calibri" w:hAnsi="Calibri" w:cs="Calibri"/>
                <w:sz w:val="20"/>
                <w:szCs w:val="20"/>
              </w:rPr>
              <w:t>Suleymenova</w:t>
            </w:r>
            <w:r w:rsidRPr="00D83BC3">
              <w:rPr>
                <w:rFonts w:ascii="Calibri" w:hAnsi="Calibri" w:cs="Calibri"/>
                <w:sz w:val="20"/>
                <w:szCs w:val="20"/>
              </w:rPr>
              <w:t>,</w:t>
            </w:r>
            <w:r w:rsidR="006B7206">
              <w:rPr>
                <w:rFonts w:ascii="Calibri" w:hAnsi="Calibri" w:cs="Calibri"/>
                <w:sz w:val="20"/>
                <w:szCs w:val="20"/>
              </w:rPr>
              <w:t xml:space="preserve"> K.,</w:t>
            </w:r>
            <w:r w:rsidRPr="00D83BC3">
              <w:rPr>
                <w:rFonts w:ascii="Calibri" w:hAnsi="Calibri" w:cs="Calibri"/>
                <w:sz w:val="20"/>
                <w:szCs w:val="20"/>
              </w:rPr>
              <w:t xml:space="preserve"> </w:t>
            </w:r>
            <w:r w:rsidR="006B7206">
              <w:rPr>
                <w:rFonts w:ascii="Calibri" w:hAnsi="Calibri" w:cs="Calibri"/>
                <w:sz w:val="20"/>
                <w:szCs w:val="20"/>
              </w:rPr>
              <w:t xml:space="preserve">and </w:t>
            </w:r>
            <w:r w:rsidR="006B7206" w:rsidRPr="00D83BC3">
              <w:rPr>
                <w:rFonts w:ascii="Calibri" w:hAnsi="Calibri" w:cs="Calibri"/>
                <w:sz w:val="20"/>
                <w:szCs w:val="20"/>
              </w:rPr>
              <w:t>Tinker</w:t>
            </w:r>
            <w:r w:rsidRPr="00D83BC3">
              <w:rPr>
                <w:rFonts w:ascii="Calibri" w:hAnsi="Calibri" w:cs="Calibri"/>
                <w:sz w:val="20"/>
                <w:szCs w:val="20"/>
              </w:rPr>
              <w:t>, S. (2025). ‘Ethical Uses of Generative AI in Assessment: Student Perceptions in UK Contexts.' Evaluation Review, Advance online publication. DOI: 10.1177/0193841X2513997.</w:t>
            </w:r>
          </w:p>
          <w:p w14:paraId="28BB7FD3" w14:textId="4529E4B9" w:rsidR="00002B0D" w:rsidRPr="00002B0D" w:rsidRDefault="00002B0D" w:rsidP="008F14E5">
            <w:pPr>
              <w:spacing w:after="60" w:line="240" w:lineRule="auto"/>
              <w:rPr>
                <w:rFonts w:ascii="Calibri" w:hAnsi="Calibri" w:cs="Calibri"/>
                <w:sz w:val="20"/>
                <w:szCs w:val="20"/>
              </w:rPr>
            </w:pPr>
          </w:p>
        </w:tc>
      </w:tr>
      <w:tr w:rsidR="00002B0D" w14:paraId="74759715" w14:textId="77777777" w:rsidTr="00221077">
        <w:trPr>
          <w:cantSplit/>
          <w:jc w:val="center"/>
        </w:trPr>
        <w:tc>
          <w:tcPr>
            <w:tcW w:w="1800" w:type="dxa"/>
            <w:tcBorders>
              <w:top w:val="single" w:sz="4" w:space="0" w:color="D9D9D9"/>
              <w:left w:val="single" w:sz="4" w:space="0" w:color="D9D9D9"/>
              <w:bottom w:val="single" w:sz="4" w:space="0" w:color="D9D9D9"/>
              <w:right w:val="single" w:sz="4" w:space="0" w:color="D9D9D9"/>
            </w:tcBorders>
            <w:shd w:val="clear" w:color="auto" w:fill="F3F6F8"/>
            <w:tcMar>
              <w:top w:w="75" w:type="dxa"/>
              <w:left w:w="75" w:type="dxa"/>
              <w:bottom w:w="75" w:type="dxa"/>
              <w:right w:w="75" w:type="dxa"/>
            </w:tcMar>
            <w:vAlign w:val="center"/>
          </w:tcPr>
          <w:p w14:paraId="3BFA2EFE" w14:textId="4EF9386A" w:rsidR="00002B0D" w:rsidRPr="00002B0D" w:rsidRDefault="00002B0D" w:rsidP="008F14E5">
            <w:pPr>
              <w:spacing w:after="60" w:line="240" w:lineRule="auto"/>
              <w:rPr>
                <w:rFonts w:ascii="Calibri" w:hAnsi="Calibri" w:cs="Calibri"/>
                <w:sz w:val="20"/>
                <w:szCs w:val="20"/>
              </w:rPr>
            </w:pPr>
            <w:r w:rsidRPr="00002B0D">
              <w:rPr>
                <w:rFonts w:ascii="Calibri" w:hAnsi="Calibri" w:cs="Calibri"/>
                <w:sz w:val="20"/>
                <w:szCs w:val="20"/>
              </w:rPr>
              <w:lastRenderedPageBreak/>
              <w:t>7</w:t>
            </w:r>
            <w:r w:rsidR="005F35C8">
              <w:rPr>
                <w:rFonts w:ascii="Calibri" w:hAnsi="Calibri" w:cs="Calibri"/>
                <w:sz w:val="20"/>
                <w:szCs w:val="20"/>
              </w:rPr>
              <w:t>.</w:t>
            </w:r>
            <w:r w:rsidRPr="00002B0D">
              <w:rPr>
                <w:rFonts w:ascii="Calibri" w:hAnsi="Calibri" w:cs="Calibri"/>
                <w:sz w:val="20"/>
                <w:szCs w:val="20"/>
              </w:rPr>
              <w:t xml:space="preserve"> Chauhan, M., Whale, J. and Rahimi, R.</w:t>
            </w:r>
          </w:p>
        </w:tc>
        <w:tc>
          <w:tcPr>
            <w:tcW w:w="576" w:type="dxa"/>
            <w:tcBorders>
              <w:top w:val="single" w:sz="4" w:space="0" w:color="D9D9D9"/>
              <w:left w:val="single" w:sz="4" w:space="0" w:color="D9D9D9"/>
              <w:bottom w:val="single" w:sz="4" w:space="0" w:color="D9D9D9"/>
              <w:right w:val="single" w:sz="4" w:space="0" w:color="D9D9D9"/>
            </w:tcBorders>
            <w:shd w:val="clear" w:color="auto" w:fill="F3F6F8"/>
            <w:tcMar>
              <w:top w:w="75" w:type="dxa"/>
              <w:left w:w="75" w:type="dxa"/>
              <w:bottom w:w="75" w:type="dxa"/>
              <w:right w:w="75" w:type="dxa"/>
            </w:tcMar>
            <w:vAlign w:val="center"/>
          </w:tcPr>
          <w:p w14:paraId="07E9896A" w14:textId="77777777" w:rsidR="00002B0D" w:rsidRPr="00002B0D" w:rsidRDefault="00002B0D" w:rsidP="008F14E5">
            <w:pPr>
              <w:spacing w:after="60" w:line="240" w:lineRule="auto"/>
              <w:rPr>
                <w:rFonts w:ascii="Calibri" w:hAnsi="Calibri" w:cs="Calibri"/>
                <w:sz w:val="20"/>
                <w:szCs w:val="20"/>
              </w:rPr>
            </w:pPr>
            <w:r w:rsidRPr="00002B0D">
              <w:rPr>
                <w:rFonts w:ascii="Calibri" w:hAnsi="Calibri" w:cs="Calibri"/>
                <w:sz w:val="20"/>
                <w:szCs w:val="20"/>
              </w:rPr>
              <w:t>2026</w:t>
            </w:r>
          </w:p>
        </w:tc>
        <w:tc>
          <w:tcPr>
            <w:tcW w:w="1440" w:type="dxa"/>
            <w:tcBorders>
              <w:top w:val="single" w:sz="4" w:space="0" w:color="D9D9D9"/>
              <w:left w:val="single" w:sz="4" w:space="0" w:color="D9D9D9"/>
              <w:bottom w:val="single" w:sz="4" w:space="0" w:color="D9D9D9"/>
              <w:right w:val="single" w:sz="4" w:space="0" w:color="D9D9D9"/>
            </w:tcBorders>
            <w:shd w:val="clear" w:color="auto" w:fill="F3F6F8"/>
            <w:tcMar>
              <w:top w:w="75" w:type="dxa"/>
              <w:left w:w="75" w:type="dxa"/>
              <w:bottom w:w="75" w:type="dxa"/>
              <w:right w:w="75" w:type="dxa"/>
            </w:tcMar>
            <w:vAlign w:val="center"/>
          </w:tcPr>
          <w:p w14:paraId="25495165" w14:textId="77777777" w:rsidR="00002B0D" w:rsidRPr="00002B0D" w:rsidRDefault="00002B0D" w:rsidP="008F14E5">
            <w:pPr>
              <w:spacing w:after="60" w:line="240" w:lineRule="auto"/>
              <w:rPr>
                <w:rFonts w:ascii="Calibri" w:hAnsi="Calibri" w:cs="Calibri"/>
                <w:sz w:val="20"/>
                <w:szCs w:val="20"/>
              </w:rPr>
            </w:pPr>
            <w:r w:rsidRPr="00002B0D">
              <w:rPr>
                <w:rFonts w:ascii="Calibri" w:hAnsi="Calibri" w:cs="Calibri"/>
                <w:sz w:val="20"/>
                <w:szCs w:val="20"/>
              </w:rPr>
              <w:t>Explore academics’ views of responsible adoption.</w:t>
            </w:r>
          </w:p>
        </w:tc>
        <w:tc>
          <w:tcPr>
            <w:tcW w:w="1512" w:type="dxa"/>
            <w:tcBorders>
              <w:top w:val="single" w:sz="4" w:space="0" w:color="D9D9D9"/>
              <w:left w:val="single" w:sz="4" w:space="0" w:color="D9D9D9"/>
              <w:bottom w:val="single" w:sz="4" w:space="0" w:color="D9D9D9"/>
              <w:right w:val="single" w:sz="4" w:space="0" w:color="D9D9D9"/>
            </w:tcBorders>
            <w:shd w:val="clear" w:color="auto" w:fill="F3F6F8"/>
            <w:tcMar>
              <w:top w:w="75" w:type="dxa"/>
              <w:left w:w="75" w:type="dxa"/>
              <w:bottom w:w="75" w:type="dxa"/>
              <w:right w:w="75" w:type="dxa"/>
            </w:tcMar>
            <w:vAlign w:val="center"/>
          </w:tcPr>
          <w:p w14:paraId="08C457C7" w14:textId="77777777" w:rsidR="00002B0D" w:rsidRPr="00002B0D" w:rsidRDefault="00002B0D" w:rsidP="008F14E5">
            <w:pPr>
              <w:spacing w:after="60" w:line="240" w:lineRule="auto"/>
              <w:rPr>
                <w:rFonts w:ascii="Calibri" w:hAnsi="Calibri" w:cs="Calibri"/>
                <w:sz w:val="20"/>
                <w:szCs w:val="20"/>
              </w:rPr>
            </w:pPr>
            <w:r w:rsidRPr="00002B0D">
              <w:rPr>
                <w:rFonts w:ascii="Calibri" w:hAnsi="Calibri" w:cs="Calibri"/>
                <w:sz w:val="20"/>
                <w:szCs w:val="20"/>
              </w:rPr>
              <w:t>Examine identity, ethics, pedagogy and governance.</w:t>
            </w:r>
          </w:p>
        </w:tc>
        <w:tc>
          <w:tcPr>
            <w:tcW w:w="1755" w:type="dxa"/>
            <w:tcBorders>
              <w:top w:val="single" w:sz="4" w:space="0" w:color="D9D9D9"/>
              <w:left w:val="single" w:sz="4" w:space="0" w:color="D9D9D9"/>
              <w:bottom w:val="single" w:sz="4" w:space="0" w:color="D9D9D9"/>
              <w:right w:val="single" w:sz="4" w:space="0" w:color="D9D9D9"/>
            </w:tcBorders>
            <w:shd w:val="clear" w:color="auto" w:fill="F3F6F8"/>
            <w:tcMar>
              <w:top w:w="75" w:type="dxa"/>
              <w:left w:w="75" w:type="dxa"/>
              <w:bottom w:w="75" w:type="dxa"/>
              <w:right w:w="75" w:type="dxa"/>
            </w:tcMar>
            <w:vAlign w:val="center"/>
          </w:tcPr>
          <w:p w14:paraId="6F6816BA" w14:textId="283358A0" w:rsidR="00002B0D" w:rsidRPr="00002B0D" w:rsidRDefault="00002B0D" w:rsidP="008F14E5">
            <w:pPr>
              <w:spacing w:after="60" w:line="240" w:lineRule="auto"/>
              <w:rPr>
                <w:rFonts w:ascii="Calibri" w:hAnsi="Calibri" w:cs="Calibri"/>
                <w:sz w:val="20"/>
                <w:szCs w:val="20"/>
              </w:rPr>
            </w:pPr>
            <w:r w:rsidRPr="00002B0D">
              <w:rPr>
                <w:rFonts w:ascii="Calibri" w:hAnsi="Calibri" w:cs="Calibri"/>
                <w:sz w:val="20"/>
                <w:szCs w:val="20"/>
              </w:rPr>
              <w:t xml:space="preserve">How do academics perceive AI’s implications and required governance? </w:t>
            </w:r>
          </w:p>
        </w:tc>
        <w:tc>
          <w:tcPr>
            <w:tcW w:w="1559" w:type="dxa"/>
            <w:tcBorders>
              <w:top w:val="single" w:sz="4" w:space="0" w:color="D9D9D9"/>
              <w:left w:val="single" w:sz="4" w:space="0" w:color="D9D9D9"/>
              <w:bottom w:val="single" w:sz="4" w:space="0" w:color="D9D9D9"/>
              <w:right w:val="single" w:sz="4" w:space="0" w:color="D9D9D9"/>
            </w:tcBorders>
            <w:shd w:val="clear" w:color="auto" w:fill="F3F6F8"/>
            <w:tcMar>
              <w:top w:w="75" w:type="dxa"/>
              <w:left w:w="75" w:type="dxa"/>
              <w:bottom w:w="75" w:type="dxa"/>
              <w:right w:w="75" w:type="dxa"/>
            </w:tcMar>
            <w:vAlign w:val="center"/>
          </w:tcPr>
          <w:p w14:paraId="073CC892" w14:textId="77777777" w:rsidR="00002B0D" w:rsidRPr="00002B0D" w:rsidRDefault="00002B0D" w:rsidP="008F14E5">
            <w:pPr>
              <w:spacing w:after="60" w:line="240" w:lineRule="auto"/>
              <w:rPr>
                <w:rFonts w:ascii="Calibri" w:hAnsi="Calibri" w:cs="Calibri"/>
                <w:sz w:val="20"/>
                <w:szCs w:val="20"/>
              </w:rPr>
            </w:pPr>
            <w:r w:rsidRPr="00002B0D">
              <w:rPr>
                <w:rFonts w:ascii="Calibri" w:hAnsi="Calibri" w:cs="Calibri"/>
                <w:sz w:val="20"/>
                <w:szCs w:val="20"/>
              </w:rPr>
              <w:t>Semi-structured interviews with 12 UK academics; six-phase thematic analysis.</w:t>
            </w:r>
          </w:p>
        </w:tc>
        <w:tc>
          <w:tcPr>
            <w:tcW w:w="1701" w:type="dxa"/>
            <w:tcBorders>
              <w:top w:val="single" w:sz="4" w:space="0" w:color="D9D9D9"/>
              <w:left w:val="single" w:sz="4" w:space="0" w:color="D9D9D9"/>
              <w:bottom w:val="single" w:sz="4" w:space="0" w:color="D9D9D9"/>
              <w:right w:val="single" w:sz="4" w:space="0" w:color="D9D9D9"/>
            </w:tcBorders>
            <w:shd w:val="clear" w:color="auto" w:fill="F3F6F8"/>
            <w:tcMar>
              <w:top w:w="75" w:type="dxa"/>
              <w:left w:w="75" w:type="dxa"/>
              <w:bottom w:w="75" w:type="dxa"/>
              <w:right w:w="75" w:type="dxa"/>
            </w:tcMar>
            <w:vAlign w:val="center"/>
          </w:tcPr>
          <w:p w14:paraId="41E74B33" w14:textId="77777777" w:rsidR="00002B0D" w:rsidRPr="00002B0D" w:rsidRDefault="00002B0D" w:rsidP="008F14E5">
            <w:pPr>
              <w:spacing w:after="60" w:line="240" w:lineRule="auto"/>
              <w:rPr>
                <w:rFonts w:ascii="Calibri" w:hAnsi="Calibri" w:cs="Calibri"/>
                <w:sz w:val="20"/>
                <w:szCs w:val="20"/>
              </w:rPr>
            </w:pPr>
            <w:r w:rsidRPr="00002B0D">
              <w:rPr>
                <w:rFonts w:ascii="Calibri" w:hAnsi="Calibri" w:cs="Calibri"/>
                <w:sz w:val="20"/>
                <w:szCs w:val="20"/>
              </w:rPr>
              <w:t>Participants describe unclear guidance, inconsistent practice and concerns about integrity, trust and identity.</w:t>
            </w:r>
          </w:p>
        </w:tc>
        <w:tc>
          <w:tcPr>
            <w:tcW w:w="3467" w:type="dxa"/>
            <w:tcBorders>
              <w:top w:val="single" w:sz="4" w:space="0" w:color="D9D9D9"/>
              <w:left w:val="single" w:sz="4" w:space="0" w:color="D9D9D9"/>
              <w:bottom w:val="single" w:sz="4" w:space="0" w:color="D9D9D9"/>
              <w:right w:val="single" w:sz="4" w:space="0" w:color="D9D9D9"/>
            </w:tcBorders>
            <w:shd w:val="clear" w:color="auto" w:fill="F3F6F8"/>
            <w:tcMar>
              <w:top w:w="75" w:type="dxa"/>
              <w:left w:w="75" w:type="dxa"/>
              <w:bottom w:w="75" w:type="dxa"/>
              <w:right w:w="75" w:type="dxa"/>
            </w:tcMar>
            <w:vAlign w:val="center"/>
          </w:tcPr>
          <w:p w14:paraId="0CDB6828" w14:textId="4DF7B4AF" w:rsidR="005F35C8" w:rsidRPr="005F35C8" w:rsidRDefault="005F35C8" w:rsidP="005F35C8">
            <w:pPr>
              <w:spacing w:after="60" w:line="240" w:lineRule="auto"/>
              <w:rPr>
                <w:rFonts w:ascii="Calibri" w:hAnsi="Calibri" w:cs="Calibri"/>
                <w:sz w:val="20"/>
                <w:szCs w:val="20"/>
              </w:rPr>
            </w:pPr>
            <w:r w:rsidRPr="005F35C8">
              <w:rPr>
                <w:rFonts w:ascii="Calibri" w:hAnsi="Calibri" w:cs="Calibri"/>
                <w:sz w:val="20"/>
                <w:szCs w:val="20"/>
              </w:rPr>
              <w:t>Chauhan, M., Whale, J., &amp; Rahimi, R. (2025). ‘From chalkboards to chatbots: navigating AI adoption, ethics, identity, and governance in UK higher education.' Strategy &amp; Leadership, Advance online publication, pp. 1–22</w:t>
            </w:r>
            <w:r w:rsidR="00DF3594" w:rsidRPr="005F35C8">
              <w:rPr>
                <w:rFonts w:ascii="Calibri" w:hAnsi="Calibri" w:cs="Calibri"/>
                <w:sz w:val="20"/>
                <w:szCs w:val="20"/>
              </w:rPr>
              <w:t>.</w:t>
            </w:r>
            <w:r w:rsidRPr="005F35C8">
              <w:rPr>
                <w:rFonts w:ascii="Calibri" w:hAnsi="Calibri" w:cs="Calibri"/>
                <w:sz w:val="20"/>
                <w:szCs w:val="20"/>
              </w:rPr>
              <w:t xml:space="preserve"> DOI: 10.1108/SL-09-2025-0.</w:t>
            </w:r>
          </w:p>
          <w:p w14:paraId="613CCC47" w14:textId="27FC15C1" w:rsidR="00002B0D" w:rsidRPr="00002B0D" w:rsidRDefault="00002B0D" w:rsidP="008F14E5">
            <w:pPr>
              <w:spacing w:after="60" w:line="240" w:lineRule="auto"/>
              <w:rPr>
                <w:rFonts w:ascii="Calibri" w:hAnsi="Calibri" w:cs="Calibri"/>
                <w:sz w:val="20"/>
                <w:szCs w:val="20"/>
              </w:rPr>
            </w:pPr>
          </w:p>
        </w:tc>
      </w:tr>
      <w:tr w:rsidR="00520DC4" w14:paraId="59595735" w14:textId="77777777" w:rsidTr="00221077">
        <w:trPr>
          <w:cantSplit/>
          <w:jc w:val="center"/>
        </w:trPr>
        <w:tc>
          <w:tcPr>
            <w:tcW w:w="1800" w:type="dxa"/>
            <w:tcBorders>
              <w:top w:val="single" w:sz="4" w:space="0" w:color="D9D9D9"/>
              <w:left w:val="single" w:sz="4" w:space="0" w:color="D9D9D9"/>
              <w:bottom w:val="single" w:sz="4" w:space="0" w:color="D9D9D9"/>
              <w:right w:val="single" w:sz="4" w:space="0" w:color="D9D9D9"/>
            </w:tcBorders>
            <w:shd w:val="clear" w:color="auto" w:fill="F3F6F8"/>
            <w:tcMar>
              <w:top w:w="75" w:type="dxa"/>
              <w:left w:w="75" w:type="dxa"/>
              <w:bottom w:w="75" w:type="dxa"/>
              <w:right w:w="75" w:type="dxa"/>
            </w:tcMar>
            <w:vAlign w:val="center"/>
          </w:tcPr>
          <w:p w14:paraId="580AE3D2" w14:textId="30320994" w:rsidR="00520DC4" w:rsidRPr="00520DC4" w:rsidRDefault="00520DC4" w:rsidP="008F14E5">
            <w:pPr>
              <w:spacing w:after="60" w:line="240" w:lineRule="auto"/>
              <w:rPr>
                <w:rFonts w:ascii="Calibri" w:hAnsi="Calibri" w:cs="Calibri"/>
                <w:sz w:val="20"/>
                <w:szCs w:val="20"/>
              </w:rPr>
            </w:pPr>
            <w:r w:rsidRPr="00520DC4">
              <w:rPr>
                <w:rFonts w:ascii="Calibri" w:hAnsi="Calibri" w:cs="Calibri"/>
                <w:sz w:val="20"/>
                <w:szCs w:val="20"/>
              </w:rPr>
              <w:t>8</w:t>
            </w:r>
            <w:r w:rsidR="005C3160">
              <w:rPr>
                <w:rFonts w:ascii="Calibri" w:hAnsi="Calibri" w:cs="Calibri"/>
                <w:sz w:val="20"/>
                <w:szCs w:val="20"/>
              </w:rPr>
              <w:t>.</w:t>
            </w:r>
            <w:r w:rsidRPr="00520DC4">
              <w:rPr>
                <w:rFonts w:ascii="Calibri" w:hAnsi="Calibri" w:cs="Calibri"/>
                <w:sz w:val="20"/>
                <w:szCs w:val="20"/>
              </w:rPr>
              <w:t xml:space="preserve">  Evangelista, E. and Bukhari, S.</w:t>
            </w:r>
          </w:p>
        </w:tc>
        <w:tc>
          <w:tcPr>
            <w:tcW w:w="576" w:type="dxa"/>
            <w:tcBorders>
              <w:top w:val="single" w:sz="4" w:space="0" w:color="D9D9D9"/>
              <w:left w:val="single" w:sz="4" w:space="0" w:color="D9D9D9"/>
              <w:bottom w:val="single" w:sz="4" w:space="0" w:color="D9D9D9"/>
              <w:right w:val="single" w:sz="4" w:space="0" w:color="D9D9D9"/>
            </w:tcBorders>
            <w:shd w:val="clear" w:color="auto" w:fill="F3F6F8"/>
            <w:tcMar>
              <w:top w:w="75" w:type="dxa"/>
              <w:left w:w="75" w:type="dxa"/>
              <w:bottom w:w="75" w:type="dxa"/>
              <w:right w:w="75" w:type="dxa"/>
            </w:tcMar>
            <w:vAlign w:val="center"/>
          </w:tcPr>
          <w:p w14:paraId="34D2C6A8" w14:textId="77777777" w:rsidR="00520DC4" w:rsidRPr="00520DC4" w:rsidRDefault="00520DC4" w:rsidP="008F14E5">
            <w:pPr>
              <w:spacing w:after="60" w:line="240" w:lineRule="auto"/>
              <w:rPr>
                <w:rFonts w:ascii="Calibri" w:hAnsi="Calibri" w:cs="Calibri"/>
                <w:sz w:val="20"/>
                <w:szCs w:val="20"/>
              </w:rPr>
            </w:pPr>
            <w:r w:rsidRPr="00520DC4">
              <w:rPr>
                <w:rFonts w:ascii="Calibri" w:hAnsi="Calibri" w:cs="Calibri"/>
                <w:sz w:val="20"/>
                <w:szCs w:val="20"/>
              </w:rPr>
              <w:t>2026</w:t>
            </w:r>
          </w:p>
        </w:tc>
        <w:tc>
          <w:tcPr>
            <w:tcW w:w="1440" w:type="dxa"/>
            <w:tcBorders>
              <w:top w:val="single" w:sz="4" w:space="0" w:color="D9D9D9"/>
              <w:left w:val="single" w:sz="4" w:space="0" w:color="D9D9D9"/>
              <w:bottom w:val="single" w:sz="4" w:space="0" w:color="D9D9D9"/>
              <w:right w:val="single" w:sz="4" w:space="0" w:color="D9D9D9"/>
            </w:tcBorders>
            <w:shd w:val="clear" w:color="auto" w:fill="F3F6F8"/>
            <w:tcMar>
              <w:top w:w="75" w:type="dxa"/>
              <w:left w:w="75" w:type="dxa"/>
              <w:bottom w:w="75" w:type="dxa"/>
              <w:right w:w="75" w:type="dxa"/>
            </w:tcMar>
            <w:vAlign w:val="center"/>
          </w:tcPr>
          <w:p w14:paraId="151BECEE" w14:textId="77777777" w:rsidR="00520DC4" w:rsidRPr="00520DC4" w:rsidRDefault="00520DC4" w:rsidP="008F14E5">
            <w:pPr>
              <w:spacing w:after="60" w:line="240" w:lineRule="auto"/>
              <w:rPr>
                <w:rFonts w:ascii="Calibri" w:hAnsi="Calibri" w:cs="Calibri"/>
                <w:sz w:val="20"/>
                <w:szCs w:val="20"/>
              </w:rPr>
            </w:pPr>
            <w:r w:rsidRPr="00520DC4">
              <w:rPr>
                <w:rFonts w:ascii="Calibri" w:hAnsi="Calibri" w:cs="Calibri"/>
                <w:sz w:val="20"/>
                <w:szCs w:val="20"/>
              </w:rPr>
              <w:t>Translate ethics into auditable controls.</w:t>
            </w:r>
          </w:p>
        </w:tc>
        <w:tc>
          <w:tcPr>
            <w:tcW w:w="1512" w:type="dxa"/>
            <w:tcBorders>
              <w:top w:val="single" w:sz="4" w:space="0" w:color="D9D9D9"/>
              <w:left w:val="single" w:sz="4" w:space="0" w:color="D9D9D9"/>
              <w:bottom w:val="single" w:sz="4" w:space="0" w:color="D9D9D9"/>
              <w:right w:val="single" w:sz="4" w:space="0" w:color="D9D9D9"/>
            </w:tcBorders>
            <w:shd w:val="clear" w:color="auto" w:fill="F3F6F8"/>
            <w:tcMar>
              <w:top w:w="75" w:type="dxa"/>
              <w:left w:w="75" w:type="dxa"/>
              <w:bottom w:w="75" w:type="dxa"/>
              <w:right w:w="75" w:type="dxa"/>
            </w:tcMar>
            <w:vAlign w:val="center"/>
          </w:tcPr>
          <w:p w14:paraId="6B5D2E64" w14:textId="77777777" w:rsidR="00520DC4" w:rsidRPr="00520DC4" w:rsidRDefault="00520DC4" w:rsidP="008F14E5">
            <w:pPr>
              <w:spacing w:after="60" w:line="240" w:lineRule="auto"/>
              <w:rPr>
                <w:rFonts w:ascii="Calibri" w:hAnsi="Calibri" w:cs="Calibri"/>
                <w:sz w:val="20"/>
                <w:szCs w:val="20"/>
              </w:rPr>
            </w:pPr>
            <w:r w:rsidRPr="00520DC4">
              <w:rPr>
                <w:rFonts w:ascii="Calibri" w:hAnsi="Calibri" w:cs="Calibri"/>
                <w:sz w:val="20"/>
                <w:szCs w:val="20"/>
              </w:rPr>
              <w:t>Test gates and fairness mitigation for dropout prediction.</w:t>
            </w:r>
          </w:p>
        </w:tc>
        <w:tc>
          <w:tcPr>
            <w:tcW w:w="1755" w:type="dxa"/>
            <w:tcBorders>
              <w:top w:val="single" w:sz="4" w:space="0" w:color="D9D9D9"/>
              <w:left w:val="single" w:sz="4" w:space="0" w:color="D9D9D9"/>
              <w:bottom w:val="single" w:sz="4" w:space="0" w:color="D9D9D9"/>
              <w:right w:val="single" w:sz="4" w:space="0" w:color="D9D9D9"/>
            </w:tcBorders>
            <w:shd w:val="clear" w:color="auto" w:fill="F3F6F8"/>
            <w:tcMar>
              <w:top w:w="75" w:type="dxa"/>
              <w:left w:w="75" w:type="dxa"/>
              <w:bottom w:w="75" w:type="dxa"/>
              <w:right w:w="75" w:type="dxa"/>
            </w:tcMar>
            <w:vAlign w:val="center"/>
          </w:tcPr>
          <w:p w14:paraId="70C99A8D" w14:textId="54DBC897" w:rsidR="00520DC4" w:rsidRPr="00520DC4" w:rsidRDefault="00520DC4" w:rsidP="008F14E5">
            <w:pPr>
              <w:spacing w:after="60" w:line="240" w:lineRule="auto"/>
              <w:rPr>
                <w:rFonts w:ascii="Calibri" w:hAnsi="Calibri" w:cs="Calibri"/>
                <w:sz w:val="20"/>
                <w:szCs w:val="20"/>
              </w:rPr>
            </w:pPr>
            <w:r w:rsidRPr="00520DC4">
              <w:rPr>
                <w:rFonts w:ascii="Calibri" w:hAnsi="Calibri" w:cs="Calibri"/>
                <w:sz w:val="20"/>
                <w:szCs w:val="20"/>
              </w:rPr>
              <w:t xml:space="preserve">Can executable policies enforce trustworthy AI requirements? </w:t>
            </w:r>
          </w:p>
        </w:tc>
        <w:tc>
          <w:tcPr>
            <w:tcW w:w="1559" w:type="dxa"/>
            <w:tcBorders>
              <w:top w:val="single" w:sz="4" w:space="0" w:color="D9D9D9"/>
              <w:left w:val="single" w:sz="4" w:space="0" w:color="D9D9D9"/>
              <w:bottom w:val="single" w:sz="4" w:space="0" w:color="D9D9D9"/>
              <w:right w:val="single" w:sz="4" w:space="0" w:color="D9D9D9"/>
            </w:tcBorders>
            <w:shd w:val="clear" w:color="auto" w:fill="F3F6F8"/>
            <w:tcMar>
              <w:top w:w="75" w:type="dxa"/>
              <w:left w:w="75" w:type="dxa"/>
              <w:bottom w:w="75" w:type="dxa"/>
              <w:right w:w="75" w:type="dxa"/>
            </w:tcMar>
            <w:vAlign w:val="center"/>
          </w:tcPr>
          <w:p w14:paraId="013B068B" w14:textId="77777777" w:rsidR="00520DC4" w:rsidRPr="00520DC4" w:rsidRDefault="00520DC4" w:rsidP="008F14E5">
            <w:pPr>
              <w:spacing w:after="60" w:line="240" w:lineRule="auto"/>
              <w:rPr>
                <w:rFonts w:ascii="Calibri" w:hAnsi="Calibri" w:cs="Calibri"/>
                <w:sz w:val="20"/>
                <w:szCs w:val="20"/>
              </w:rPr>
            </w:pPr>
            <w:r w:rsidRPr="00520DC4">
              <w:rPr>
                <w:rFonts w:ascii="Calibri" w:hAnsi="Calibri" w:cs="Calibri"/>
                <w:sz w:val="20"/>
                <w:szCs w:val="20"/>
              </w:rPr>
              <w:t>Technical validation of 16 model configurations across five policy tiers.</w:t>
            </w:r>
          </w:p>
        </w:tc>
        <w:tc>
          <w:tcPr>
            <w:tcW w:w="1701" w:type="dxa"/>
            <w:tcBorders>
              <w:top w:val="single" w:sz="4" w:space="0" w:color="D9D9D9"/>
              <w:left w:val="single" w:sz="4" w:space="0" w:color="D9D9D9"/>
              <w:bottom w:val="single" w:sz="4" w:space="0" w:color="D9D9D9"/>
              <w:right w:val="single" w:sz="4" w:space="0" w:color="D9D9D9"/>
            </w:tcBorders>
            <w:shd w:val="clear" w:color="auto" w:fill="F3F6F8"/>
            <w:tcMar>
              <w:top w:w="75" w:type="dxa"/>
              <w:left w:w="75" w:type="dxa"/>
              <w:bottom w:w="75" w:type="dxa"/>
              <w:right w:w="75" w:type="dxa"/>
            </w:tcMar>
            <w:vAlign w:val="center"/>
          </w:tcPr>
          <w:p w14:paraId="5076A496" w14:textId="77777777" w:rsidR="00520DC4" w:rsidRPr="00520DC4" w:rsidRDefault="00520DC4" w:rsidP="008F14E5">
            <w:pPr>
              <w:spacing w:after="60" w:line="240" w:lineRule="auto"/>
              <w:rPr>
                <w:rFonts w:ascii="Calibri" w:hAnsi="Calibri" w:cs="Calibri"/>
                <w:sz w:val="20"/>
                <w:szCs w:val="20"/>
              </w:rPr>
            </w:pPr>
            <w:r w:rsidRPr="00520DC4">
              <w:rPr>
                <w:rFonts w:ascii="Calibri" w:hAnsi="Calibri" w:cs="Calibri"/>
                <w:sz w:val="20"/>
                <w:szCs w:val="20"/>
              </w:rPr>
              <w:t>No configuration passed the gates; fairness and calibration trade-offs constrained deployment.</w:t>
            </w:r>
          </w:p>
        </w:tc>
        <w:tc>
          <w:tcPr>
            <w:tcW w:w="3467" w:type="dxa"/>
            <w:tcBorders>
              <w:top w:val="single" w:sz="4" w:space="0" w:color="D9D9D9"/>
              <w:left w:val="single" w:sz="4" w:space="0" w:color="D9D9D9"/>
              <w:bottom w:val="single" w:sz="4" w:space="0" w:color="D9D9D9"/>
              <w:right w:val="single" w:sz="4" w:space="0" w:color="D9D9D9"/>
            </w:tcBorders>
            <w:shd w:val="clear" w:color="auto" w:fill="F3F6F8"/>
            <w:tcMar>
              <w:top w:w="75" w:type="dxa"/>
              <w:left w:w="75" w:type="dxa"/>
              <w:bottom w:w="75" w:type="dxa"/>
              <w:right w:w="75" w:type="dxa"/>
            </w:tcMar>
            <w:vAlign w:val="center"/>
          </w:tcPr>
          <w:p w14:paraId="516CCCE2" w14:textId="77777777" w:rsidR="00236777" w:rsidRPr="00236777" w:rsidRDefault="00236777" w:rsidP="00236777">
            <w:pPr>
              <w:spacing w:after="60" w:line="240" w:lineRule="auto"/>
              <w:rPr>
                <w:rFonts w:ascii="Calibri" w:hAnsi="Calibri" w:cs="Calibri"/>
                <w:sz w:val="20"/>
                <w:szCs w:val="20"/>
              </w:rPr>
            </w:pPr>
            <w:r w:rsidRPr="00236777">
              <w:rPr>
                <w:rFonts w:ascii="Calibri" w:hAnsi="Calibri" w:cs="Calibri"/>
                <w:sz w:val="20"/>
                <w:szCs w:val="20"/>
              </w:rPr>
              <w:t>Evangelista, E., &amp; Bukhari, S. (2026). ‘From ethical principles to executable governance: A policy-as-code framework for trustworthy AI in higher education.' Computers and Education: Artificial Intelligence, 10, article 100594. DOI: 10.1016/j.caeai.2026.100594.</w:t>
            </w:r>
          </w:p>
          <w:p w14:paraId="72950122" w14:textId="088C5DD0" w:rsidR="00520DC4" w:rsidRPr="00520DC4" w:rsidRDefault="00520DC4" w:rsidP="008F14E5">
            <w:pPr>
              <w:spacing w:after="60" w:line="240" w:lineRule="auto"/>
              <w:rPr>
                <w:rFonts w:ascii="Calibri" w:hAnsi="Calibri" w:cs="Calibri"/>
                <w:sz w:val="20"/>
                <w:szCs w:val="20"/>
              </w:rPr>
            </w:pPr>
          </w:p>
        </w:tc>
      </w:tr>
      <w:tr w:rsidR="00520DC4" w14:paraId="38325A11" w14:textId="77777777" w:rsidTr="00221077">
        <w:trPr>
          <w:cantSplit/>
          <w:jc w:val="center"/>
        </w:trPr>
        <w:tc>
          <w:tcPr>
            <w:tcW w:w="1800" w:type="dxa"/>
            <w:tcBorders>
              <w:top w:val="single" w:sz="4" w:space="0" w:color="D9D9D9"/>
              <w:left w:val="single" w:sz="4" w:space="0" w:color="D9D9D9"/>
              <w:bottom w:val="single" w:sz="4" w:space="0" w:color="D9D9D9"/>
              <w:right w:val="single" w:sz="4" w:space="0" w:color="D9D9D9"/>
            </w:tcBorders>
            <w:shd w:val="clear" w:color="auto" w:fill="F3F6F8"/>
            <w:tcMar>
              <w:top w:w="75" w:type="dxa"/>
              <w:left w:w="75" w:type="dxa"/>
              <w:bottom w:w="75" w:type="dxa"/>
              <w:right w:w="75" w:type="dxa"/>
            </w:tcMar>
            <w:vAlign w:val="center"/>
          </w:tcPr>
          <w:p w14:paraId="53736EC9" w14:textId="7134E5D5" w:rsidR="00520DC4" w:rsidRPr="00520DC4" w:rsidRDefault="00520DC4" w:rsidP="008F14E5">
            <w:pPr>
              <w:spacing w:after="60" w:line="240" w:lineRule="auto"/>
              <w:rPr>
                <w:rFonts w:ascii="Calibri" w:hAnsi="Calibri" w:cs="Calibri"/>
                <w:sz w:val="20"/>
                <w:szCs w:val="20"/>
              </w:rPr>
            </w:pPr>
            <w:r w:rsidRPr="00520DC4">
              <w:rPr>
                <w:rFonts w:ascii="Calibri" w:hAnsi="Calibri" w:cs="Calibri"/>
                <w:sz w:val="20"/>
                <w:szCs w:val="20"/>
              </w:rPr>
              <w:t>9</w:t>
            </w:r>
            <w:r w:rsidR="005C3160">
              <w:rPr>
                <w:rFonts w:ascii="Calibri" w:hAnsi="Calibri" w:cs="Calibri"/>
                <w:sz w:val="20"/>
                <w:szCs w:val="20"/>
              </w:rPr>
              <w:t>.</w:t>
            </w:r>
            <w:r w:rsidRPr="00520DC4">
              <w:rPr>
                <w:rFonts w:ascii="Calibri" w:hAnsi="Calibri" w:cs="Calibri"/>
                <w:sz w:val="20"/>
                <w:szCs w:val="20"/>
              </w:rPr>
              <w:t xml:space="preserve">  Nguyen, H.</w:t>
            </w:r>
          </w:p>
        </w:tc>
        <w:tc>
          <w:tcPr>
            <w:tcW w:w="576" w:type="dxa"/>
            <w:tcBorders>
              <w:top w:val="single" w:sz="4" w:space="0" w:color="D9D9D9"/>
              <w:left w:val="single" w:sz="4" w:space="0" w:color="D9D9D9"/>
              <w:bottom w:val="single" w:sz="4" w:space="0" w:color="D9D9D9"/>
              <w:right w:val="single" w:sz="4" w:space="0" w:color="D9D9D9"/>
            </w:tcBorders>
            <w:shd w:val="clear" w:color="auto" w:fill="F3F6F8"/>
            <w:tcMar>
              <w:top w:w="75" w:type="dxa"/>
              <w:left w:w="75" w:type="dxa"/>
              <w:bottom w:w="75" w:type="dxa"/>
              <w:right w:w="75" w:type="dxa"/>
            </w:tcMar>
            <w:vAlign w:val="center"/>
          </w:tcPr>
          <w:p w14:paraId="0E6DE964" w14:textId="77777777" w:rsidR="00520DC4" w:rsidRPr="00520DC4" w:rsidRDefault="00520DC4" w:rsidP="008F14E5">
            <w:pPr>
              <w:spacing w:after="60" w:line="240" w:lineRule="auto"/>
              <w:rPr>
                <w:rFonts w:ascii="Calibri" w:hAnsi="Calibri" w:cs="Calibri"/>
                <w:sz w:val="20"/>
                <w:szCs w:val="20"/>
              </w:rPr>
            </w:pPr>
            <w:r w:rsidRPr="00520DC4">
              <w:rPr>
                <w:rFonts w:ascii="Calibri" w:hAnsi="Calibri" w:cs="Calibri"/>
                <w:sz w:val="20"/>
                <w:szCs w:val="20"/>
              </w:rPr>
              <w:t>2026</w:t>
            </w:r>
          </w:p>
        </w:tc>
        <w:tc>
          <w:tcPr>
            <w:tcW w:w="1440" w:type="dxa"/>
            <w:tcBorders>
              <w:top w:val="single" w:sz="4" w:space="0" w:color="D9D9D9"/>
              <w:left w:val="single" w:sz="4" w:space="0" w:color="D9D9D9"/>
              <w:bottom w:val="single" w:sz="4" w:space="0" w:color="D9D9D9"/>
              <w:right w:val="single" w:sz="4" w:space="0" w:color="D9D9D9"/>
            </w:tcBorders>
            <w:shd w:val="clear" w:color="auto" w:fill="F3F6F8"/>
            <w:tcMar>
              <w:top w:w="75" w:type="dxa"/>
              <w:left w:w="75" w:type="dxa"/>
              <w:bottom w:w="75" w:type="dxa"/>
              <w:right w:w="75" w:type="dxa"/>
            </w:tcMar>
            <w:vAlign w:val="center"/>
          </w:tcPr>
          <w:p w14:paraId="299F6909" w14:textId="77777777" w:rsidR="00520DC4" w:rsidRPr="00520DC4" w:rsidRDefault="00520DC4" w:rsidP="008F14E5">
            <w:pPr>
              <w:spacing w:after="60" w:line="240" w:lineRule="auto"/>
              <w:rPr>
                <w:rFonts w:ascii="Calibri" w:hAnsi="Calibri" w:cs="Calibri"/>
                <w:sz w:val="20"/>
                <w:szCs w:val="20"/>
              </w:rPr>
            </w:pPr>
            <w:r w:rsidRPr="00520DC4">
              <w:rPr>
                <w:rFonts w:ascii="Calibri" w:hAnsi="Calibri" w:cs="Calibri"/>
                <w:sz w:val="20"/>
                <w:szCs w:val="20"/>
              </w:rPr>
              <w:t>Convert use-case evidence into governance.</w:t>
            </w:r>
          </w:p>
        </w:tc>
        <w:tc>
          <w:tcPr>
            <w:tcW w:w="1512" w:type="dxa"/>
            <w:tcBorders>
              <w:top w:val="single" w:sz="4" w:space="0" w:color="D9D9D9"/>
              <w:left w:val="single" w:sz="4" w:space="0" w:color="D9D9D9"/>
              <w:bottom w:val="single" w:sz="4" w:space="0" w:color="D9D9D9"/>
              <w:right w:val="single" w:sz="4" w:space="0" w:color="D9D9D9"/>
            </w:tcBorders>
            <w:shd w:val="clear" w:color="auto" w:fill="F3F6F8"/>
            <w:tcMar>
              <w:top w:w="75" w:type="dxa"/>
              <w:left w:w="75" w:type="dxa"/>
              <w:bottom w:w="75" w:type="dxa"/>
              <w:right w:w="75" w:type="dxa"/>
            </w:tcMar>
            <w:vAlign w:val="center"/>
          </w:tcPr>
          <w:p w14:paraId="638D5197" w14:textId="77777777" w:rsidR="00520DC4" w:rsidRPr="00520DC4" w:rsidRDefault="00520DC4" w:rsidP="008F14E5">
            <w:pPr>
              <w:spacing w:after="60" w:line="240" w:lineRule="auto"/>
              <w:rPr>
                <w:rFonts w:ascii="Calibri" w:hAnsi="Calibri" w:cs="Calibri"/>
                <w:sz w:val="20"/>
                <w:szCs w:val="20"/>
              </w:rPr>
            </w:pPr>
            <w:r w:rsidRPr="00520DC4">
              <w:rPr>
                <w:rFonts w:ascii="Calibri" w:hAnsi="Calibri" w:cs="Calibri"/>
                <w:sz w:val="20"/>
                <w:szCs w:val="20"/>
              </w:rPr>
              <w:t>Specify traceable decisions, safeguards, roles and review.</w:t>
            </w:r>
          </w:p>
        </w:tc>
        <w:tc>
          <w:tcPr>
            <w:tcW w:w="1755" w:type="dxa"/>
            <w:tcBorders>
              <w:top w:val="single" w:sz="4" w:space="0" w:color="D9D9D9"/>
              <w:left w:val="single" w:sz="4" w:space="0" w:color="D9D9D9"/>
              <w:bottom w:val="single" w:sz="4" w:space="0" w:color="D9D9D9"/>
              <w:right w:val="single" w:sz="4" w:space="0" w:color="D9D9D9"/>
            </w:tcBorders>
            <w:shd w:val="clear" w:color="auto" w:fill="F3F6F8"/>
            <w:tcMar>
              <w:top w:w="75" w:type="dxa"/>
              <w:left w:w="75" w:type="dxa"/>
              <w:bottom w:w="75" w:type="dxa"/>
              <w:right w:w="75" w:type="dxa"/>
            </w:tcMar>
            <w:vAlign w:val="center"/>
          </w:tcPr>
          <w:p w14:paraId="3F7FE718" w14:textId="59E56FBA" w:rsidR="00520DC4" w:rsidRPr="00520DC4" w:rsidRDefault="00520DC4" w:rsidP="008F14E5">
            <w:pPr>
              <w:spacing w:after="60" w:line="240" w:lineRule="auto"/>
              <w:rPr>
                <w:rFonts w:ascii="Calibri" w:hAnsi="Calibri" w:cs="Calibri"/>
                <w:sz w:val="20"/>
                <w:szCs w:val="20"/>
              </w:rPr>
            </w:pPr>
            <w:r w:rsidRPr="00520DC4">
              <w:rPr>
                <w:rFonts w:ascii="Calibri" w:hAnsi="Calibri" w:cs="Calibri"/>
                <w:sz w:val="20"/>
                <w:szCs w:val="20"/>
              </w:rPr>
              <w:t xml:space="preserve">How can teams translate AI-use scenarios into governance packages? </w:t>
            </w:r>
          </w:p>
        </w:tc>
        <w:tc>
          <w:tcPr>
            <w:tcW w:w="1559" w:type="dxa"/>
            <w:tcBorders>
              <w:top w:val="single" w:sz="4" w:space="0" w:color="D9D9D9"/>
              <w:left w:val="single" w:sz="4" w:space="0" w:color="D9D9D9"/>
              <w:bottom w:val="single" w:sz="4" w:space="0" w:color="D9D9D9"/>
              <w:right w:val="single" w:sz="4" w:space="0" w:color="D9D9D9"/>
            </w:tcBorders>
            <w:shd w:val="clear" w:color="auto" w:fill="F3F6F8"/>
            <w:tcMar>
              <w:top w:w="75" w:type="dxa"/>
              <w:left w:w="75" w:type="dxa"/>
              <w:bottom w:w="75" w:type="dxa"/>
              <w:right w:w="75" w:type="dxa"/>
            </w:tcMar>
            <w:vAlign w:val="center"/>
          </w:tcPr>
          <w:p w14:paraId="28D16A5F" w14:textId="77777777" w:rsidR="00520DC4" w:rsidRPr="00520DC4" w:rsidRDefault="00520DC4" w:rsidP="008F14E5">
            <w:pPr>
              <w:spacing w:after="60" w:line="240" w:lineRule="auto"/>
              <w:rPr>
                <w:rFonts w:ascii="Calibri" w:hAnsi="Calibri" w:cs="Calibri"/>
                <w:sz w:val="20"/>
                <w:szCs w:val="20"/>
              </w:rPr>
            </w:pPr>
            <w:r w:rsidRPr="00520DC4">
              <w:rPr>
                <w:rFonts w:ascii="Calibri" w:hAnsi="Calibri" w:cs="Calibri"/>
                <w:sz w:val="20"/>
                <w:szCs w:val="20"/>
              </w:rPr>
              <w:t>HE-AIPD method development; content-validity walkthrough with 20 experts.</w:t>
            </w:r>
          </w:p>
        </w:tc>
        <w:tc>
          <w:tcPr>
            <w:tcW w:w="1701" w:type="dxa"/>
            <w:tcBorders>
              <w:top w:val="single" w:sz="4" w:space="0" w:color="D9D9D9"/>
              <w:left w:val="single" w:sz="4" w:space="0" w:color="D9D9D9"/>
              <w:bottom w:val="single" w:sz="4" w:space="0" w:color="D9D9D9"/>
              <w:right w:val="single" w:sz="4" w:space="0" w:color="D9D9D9"/>
            </w:tcBorders>
            <w:shd w:val="clear" w:color="auto" w:fill="F3F6F8"/>
            <w:tcMar>
              <w:top w:w="75" w:type="dxa"/>
              <w:left w:w="75" w:type="dxa"/>
              <w:bottom w:w="75" w:type="dxa"/>
              <w:right w:w="75" w:type="dxa"/>
            </w:tcMar>
            <w:vAlign w:val="center"/>
          </w:tcPr>
          <w:p w14:paraId="04EA9283" w14:textId="3570171C" w:rsidR="00520DC4" w:rsidRPr="00520DC4" w:rsidRDefault="005C3160" w:rsidP="008F14E5">
            <w:pPr>
              <w:spacing w:after="60" w:line="240" w:lineRule="auto"/>
              <w:rPr>
                <w:rFonts w:ascii="Calibri" w:hAnsi="Calibri" w:cs="Calibri"/>
                <w:sz w:val="20"/>
                <w:szCs w:val="20"/>
              </w:rPr>
            </w:pPr>
            <w:r>
              <w:rPr>
                <w:rFonts w:ascii="Calibri" w:hAnsi="Calibri" w:cs="Calibri"/>
                <w:sz w:val="20"/>
                <w:szCs w:val="20"/>
              </w:rPr>
              <w:t>The average expert content validity was 0.882. Outputs link use cases to rules, roles,</w:t>
            </w:r>
            <w:r w:rsidR="00520DC4" w:rsidRPr="00520DC4">
              <w:rPr>
                <w:rFonts w:ascii="Calibri" w:hAnsi="Calibri" w:cs="Calibri"/>
                <w:sz w:val="20"/>
                <w:szCs w:val="20"/>
              </w:rPr>
              <w:t xml:space="preserve"> and tools.</w:t>
            </w:r>
          </w:p>
        </w:tc>
        <w:tc>
          <w:tcPr>
            <w:tcW w:w="3467" w:type="dxa"/>
            <w:tcBorders>
              <w:top w:val="single" w:sz="4" w:space="0" w:color="D9D9D9"/>
              <w:left w:val="single" w:sz="4" w:space="0" w:color="D9D9D9"/>
              <w:bottom w:val="single" w:sz="4" w:space="0" w:color="D9D9D9"/>
              <w:right w:val="single" w:sz="4" w:space="0" w:color="D9D9D9"/>
            </w:tcBorders>
            <w:shd w:val="clear" w:color="auto" w:fill="F3F6F8"/>
            <w:tcMar>
              <w:top w:w="75" w:type="dxa"/>
              <w:left w:w="75" w:type="dxa"/>
              <w:bottom w:w="75" w:type="dxa"/>
              <w:right w:w="75" w:type="dxa"/>
            </w:tcMar>
            <w:vAlign w:val="center"/>
          </w:tcPr>
          <w:p w14:paraId="5A27534B" w14:textId="77777777" w:rsidR="00F424CA" w:rsidRDefault="00F424CA" w:rsidP="00F424CA">
            <w:pPr>
              <w:spacing w:after="60" w:line="240" w:lineRule="auto"/>
              <w:rPr>
                <w:noProof/>
              </w:rPr>
            </w:pPr>
            <w:r w:rsidRPr="00F424CA">
              <w:rPr>
                <w:rFonts w:ascii="Calibri" w:hAnsi="Calibri" w:cs="Calibri"/>
                <w:sz w:val="20"/>
                <w:szCs w:val="20"/>
              </w:rPr>
              <w:t>Nguyen, H. (2026). ‘Operationalising AI governance in higher education: A stepwise policy-development method '. MethodsX, 17, article 104063. DOI: 10.1016/j.mex.2026.104063.</w:t>
            </w:r>
          </w:p>
          <w:p w14:paraId="36035075" w14:textId="0BF7984F" w:rsidR="00520DC4" w:rsidRPr="00520DC4" w:rsidRDefault="00520DC4" w:rsidP="008F14E5">
            <w:pPr>
              <w:spacing w:after="60" w:line="240" w:lineRule="auto"/>
              <w:rPr>
                <w:rFonts w:ascii="Calibri" w:hAnsi="Calibri" w:cs="Calibri"/>
                <w:sz w:val="20"/>
                <w:szCs w:val="20"/>
              </w:rPr>
            </w:pPr>
          </w:p>
        </w:tc>
      </w:tr>
      <w:tr w:rsidR="00520DC4" w14:paraId="6F525FC3" w14:textId="77777777" w:rsidTr="00221077">
        <w:trPr>
          <w:cantSplit/>
          <w:jc w:val="center"/>
        </w:trPr>
        <w:tc>
          <w:tcPr>
            <w:tcW w:w="1800" w:type="dxa"/>
            <w:tcBorders>
              <w:top w:val="single" w:sz="4" w:space="0" w:color="D9D9D9"/>
              <w:left w:val="single" w:sz="4" w:space="0" w:color="D9D9D9"/>
              <w:bottom w:val="single" w:sz="4" w:space="0" w:color="D9D9D9"/>
              <w:right w:val="single" w:sz="4" w:space="0" w:color="D9D9D9"/>
            </w:tcBorders>
            <w:shd w:val="clear" w:color="auto" w:fill="F3F6F8"/>
            <w:tcMar>
              <w:top w:w="75" w:type="dxa"/>
              <w:left w:w="75" w:type="dxa"/>
              <w:bottom w:w="75" w:type="dxa"/>
              <w:right w:w="75" w:type="dxa"/>
            </w:tcMar>
            <w:vAlign w:val="center"/>
          </w:tcPr>
          <w:p w14:paraId="7EB6158A" w14:textId="7308011B" w:rsidR="00520DC4" w:rsidRPr="00520DC4" w:rsidRDefault="00165C25" w:rsidP="008F14E5">
            <w:pPr>
              <w:spacing w:after="60" w:line="240" w:lineRule="auto"/>
              <w:rPr>
                <w:rFonts w:ascii="Calibri" w:hAnsi="Calibri" w:cs="Calibri"/>
                <w:sz w:val="20"/>
                <w:szCs w:val="20"/>
              </w:rPr>
            </w:pPr>
            <w:r>
              <w:rPr>
                <w:rFonts w:ascii="Calibri" w:hAnsi="Calibri" w:cs="Calibri"/>
                <w:sz w:val="20"/>
                <w:szCs w:val="20"/>
              </w:rPr>
              <w:lastRenderedPageBreak/>
              <w:t xml:space="preserve">10. </w:t>
            </w:r>
            <w:r w:rsidRPr="00165C25">
              <w:rPr>
                <w:rFonts w:ascii="Calibri" w:hAnsi="Calibri" w:cs="Calibri"/>
                <w:sz w:val="20"/>
                <w:szCs w:val="20"/>
              </w:rPr>
              <w:t xml:space="preserve">Madlenak, R., Madlenakova, L., Cvacho, V., &amp; Gachulinec, D. </w:t>
            </w:r>
          </w:p>
        </w:tc>
        <w:tc>
          <w:tcPr>
            <w:tcW w:w="576" w:type="dxa"/>
            <w:tcBorders>
              <w:top w:val="single" w:sz="4" w:space="0" w:color="D9D9D9"/>
              <w:left w:val="single" w:sz="4" w:space="0" w:color="D9D9D9"/>
              <w:bottom w:val="single" w:sz="4" w:space="0" w:color="D9D9D9"/>
              <w:right w:val="single" w:sz="4" w:space="0" w:color="D9D9D9"/>
            </w:tcBorders>
            <w:shd w:val="clear" w:color="auto" w:fill="F3F6F8"/>
            <w:tcMar>
              <w:top w:w="75" w:type="dxa"/>
              <w:left w:w="75" w:type="dxa"/>
              <w:bottom w:w="75" w:type="dxa"/>
              <w:right w:w="75" w:type="dxa"/>
            </w:tcMar>
            <w:vAlign w:val="center"/>
          </w:tcPr>
          <w:p w14:paraId="2A654765" w14:textId="77777777" w:rsidR="00520DC4" w:rsidRPr="00520DC4" w:rsidRDefault="00520DC4" w:rsidP="008F14E5">
            <w:pPr>
              <w:spacing w:after="60" w:line="240" w:lineRule="auto"/>
              <w:rPr>
                <w:rFonts w:ascii="Calibri" w:hAnsi="Calibri" w:cs="Calibri"/>
                <w:sz w:val="20"/>
                <w:szCs w:val="20"/>
              </w:rPr>
            </w:pPr>
            <w:r w:rsidRPr="00520DC4">
              <w:rPr>
                <w:rFonts w:ascii="Calibri" w:hAnsi="Calibri" w:cs="Calibri"/>
                <w:sz w:val="20"/>
                <w:szCs w:val="20"/>
              </w:rPr>
              <w:t>2026</w:t>
            </w:r>
          </w:p>
        </w:tc>
        <w:tc>
          <w:tcPr>
            <w:tcW w:w="1440" w:type="dxa"/>
            <w:tcBorders>
              <w:top w:val="single" w:sz="4" w:space="0" w:color="D9D9D9"/>
              <w:left w:val="single" w:sz="4" w:space="0" w:color="D9D9D9"/>
              <w:bottom w:val="single" w:sz="4" w:space="0" w:color="D9D9D9"/>
              <w:right w:val="single" w:sz="4" w:space="0" w:color="D9D9D9"/>
            </w:tcBorders>
            <w:shd w:val="clear" w:color="auto" w:fill="F3F6F8"/>
            <w:tcMar>
              <w:top w:w="75" w:type="dxa"/>
              <w:left w:w="75" w:type="dxa"/>
              <w:bottom w:w="75" w:type="dxa"/>
              <w:right w:w="75" w:type="dxa"/>
            </w:tcMar>
            <w:vAlign w:val="center"/>
          </w:tcPr>
          <w:p w14:paraId="0A70B5B3" w14:textId="77777777" w:rsidR="00520DC4" w:rsidRPr="00520DC4" w:rsidRDefault="00520DC4" w:rsidP="008F14E5">
            <w:pPr>
              <w:spacing w:after="60" w:line="240" w:lineRule="auto"/>
              <w:rPr>
                <w:rFonts w:ascii="Calibri" w:hAnsi="Calibri" w:cs="Calibri"/>
                <w:sz w:val="20"/>
                <w:szCs w:val="20"/>
              </w:rPr>
            </w:pPr>
            <w:r w:rsidRPr="00520DC4">
              <w:rPr>
                <w:rFonts w:ascii="Calibri" w:hAnsi="Calibri" w:cs="Calibri"/>
                <w:sz w:val="20"/>
                <w:szCs w:val="20"/>
              </w:rPr>
              <w:t>Organise AI ethics around student activities.</w:t>
            </w:r>
          </w:p>
        </w:tc>
        <w:tc>
          <w:tcPr>
            <w:tcW w:w="1512" w:type="dxa"/>
            <w:tcBorders>
              <w:top w:val="single" w:sz="4" w:space="0" w:color="D9D9D9"/>
              <w:left w:val="single" w:sz="4" w:space="0" w:color="D9D9D9"/>
              <w:bottom w:val="single" w:sz="4" w:space="0" w:color="D9D9D9"/>
              <w:right w:val="single" w:sz="4" w:space="0" w:color="D9D9D9"/>
            </w:tcBorders>
            <w:shd w:val="clear" w:color="auto" w:fill="F3F6F8"/>
            <w:tcMar>
              <w:top w:w="75" w:type="dxa"/>
              <w:left w:w="75" w:type="dxa"/>
              <w:bottom w:w="75" w:type="dxa"/>
              <w:right w:w="75" w:type="dxa"/>
            </w:tcMar>
            <w:vAlign w:val="center"/>
          </w:tcPr>
          <w:p w14:paraId="20F75CDC" w14:textId="77777777" w:rsidR="00520DC4" w:rsidRPr="00520DC4" w:rsidRDefault="00520DC4" w:rsidP="008F14E5">
            <w:pPr>
              <w:spacing w:after="60" w:line="240" w:lineRule="auto"/>
              <w:rPr>
                <w:rFonts w:ascii="Calibri" w:hAnsi="Calibri" w:cs="Calibri"/>
                <w:sz w:val="20"/>
                <w:szCs w:val="20"/>
              </w:rPr>
            </w:pPr>
            <w:r w:rsidRPr="00520DC4">
              <w:rPr>
                <w:rFonts w:ascii="Calibri" w:hAnsi="Calibri" w:cs="Calibri"/>
                <w:sz w:val="20"/>
                <w:szCs w:val="20"/>
              </w:rPr>
              <w:t>Connect activities, affordances, risks, controls and outcomes.</w:t>
            </w:r>
          </w:p>
        </w:tc>
        <w:tc>
          <w:tcPr>
            <w:tcW w:w="1755" w:type="dxa"/>
            <w:tcBorders>
              <w:top w:val="single" w:sz="4" w:space="0" w:color="D9D9D9"/>
              <w:left w:val="single" w:sz="4" w:space="0" w:color="D9D9D9"/>
              <w:bottom w:val="single" w:sz="4" w:space="0" w:color="D9D9D9"/>
              <w:right w:val="single" w:sz="4" w:space="0" w:color="D9D9D9"/>
            </w:tcBorders>
            <w:shd w:val="clear" w:color="auto" w:fill="F3F6F8"/>
            <w:tcMar>
              <w:top w:w="75" w:type="dxa"/>
              <w:left w:w="75" w:type="dxa"/>
              <w:bottom w:w="75" w:type="dxa"/>
              <w:right w:w="75" w:type="dxa"/>
            </w:tcMar>
            <w:vAlign w:val="center"/>
          </w:tcPr>
          <w:p w14:paraId="4CB22CAD" w14:textId="3776ECA8" w:rsidR="00520DC4" w:rsidRPr="00520DC4" w:rsidRDefault="00520DC4" w:rsidP="008F14E5">
            <w:pPr>
              <w:spacing w:after="60" w:line="240" w:lineRule="auto"/>
              <w:rPr>
                <w:rFonts w:ascii="Calibri" w:hAnsi="Calibri" w:cs="Calibri"/>
                <w:sz w:val="20"/>
                <w:szCs w:val="20"/>
              </w:rPr>
            </w:pPr>
            <w:r w:rsidRPr="00520DC4">
              <w:rPr>
                <w:rFonts w:ascii="Calibri" w:hAnsi="Calibri" w:cs="Calibri"/>
                <w:sz w:val="20"/>
                <w:szCs w:val="20"/>
              </w:rPr>
              <w:t xml:space="preserve">How can </w:t>
            </w:r>
            <w:r w:rsidR="005C3160">
              <w:rPr>
                <w:rFonts w:ascii="Calibri" w:hAnsi="Calibri" w:cs="Calibri"/>
                <w:sz w:val="20"/>
                <w:szCs w:val="20"/>
              </w:rPr>
              <w:t>the structure of student activities inform</w:t>
            </w:r>
            <w:r w:rsidRPr="00520DC4">
              <w:rPr>
                <w:rFonts w:ascii="Calibri" w:hAnsi="Calibri" w:cs="Calibri"/>
                <w:sz w:val="20"/>
                <w:szCs w:val="20"/>
              </w:rPr>
              <w:t xml:space="preserve"> institutional AI ethics analysis? </w:t>
            </w:r>
          </w:p>
        </w:tc>
        <w:tc>
          <w:tcPr>
            <w:tcW w:w="1559" w:type="dxa"/>
            <w:tcBorders>
              <w:top w:val="single" w:sz="4" w:space="0" w:color="D9D9D9"/>
              <w:left w:val="single" w:sz="4" w:space="0" w:color="D9D9D9"/>
              <w:bottom w:val="single" w:sz="4" w:space="0" w:color="D9D9D9"/>
              <w:right w:val="single" w:sz="4" w:space="0" w:color="D9D9D9"/>
            </w:tcBorders>
            <w:shd w:val="clear" w:color="auto" w:fill="F3F6F8"/>
            <w:tcMar>
              <w:top w:w="75" w:type="dxa"/>
              <w:left w:w="75" w:type="dxa"/>
              <w:bottom w:w="75" w:type="dxa"/>
              <w:right w:w="75" w:type="dxa"/>
            </w:tcMar>
            <w:vAlign w:val="center"/>
          </w:tcPr>
          <w:p w14:paraId="6A68D0FF" w14:textId="77777777" w:rsidR="00520DC4" w:rsidRPr="00520DC4" w:rsidRDefault="00520DC4" w:rsidP="008F14E5">
            <w:pPr>
              <w:spacing w:after="60" w:line="240" w:lineRule="auto"/>
              <w:rPr>
                <w:rFonts w:ascii="Calibri" w:hAnsi="Calibri" w:cs="Calibri"/>
                <w:sz w:val="20"/>
                <w:szCs w:val="20"/>
              </w:rPr>
            </w:pPr>
            <w:r w:rsidRPr="00520DC4">
              <w:rPr>
                <w:rFonts w:ascii="Calibri" w:hAnsi="Calibri" w:cs="Calibri"/>
                <w:sz w:val="20"/>
                <w:szCs w:val="20"/>
              </w:rPr>
              <w:t>Narrative review of English-language Web of Science literature from 2022–2025.</w:t>
            </w:r>
          </w:p>
        </w:tc>
        <w:tc>
          <w:tcPr>
            <w:tcW w:w="1701" w:type="dxa"/>
            <w:tcBorders>
              <w:top w:val="single" w:sz="4" w:space="0" w:color="D9D9D9"/>
              <w:left w:val="single" w:sz="4" w:space="0" w:color="D9D9D9"/>
              <w:bottom w:val="single" w:sz="4" w:space="0" w:color="D9D9D9"/>
              <w:right w:val="single" w:sz="4" w:space="0" w:color="D9D9D9"/>
            </w:tcBorders>
            <w:shd w:val="clear" w:color="auto" w:fill="F3F6F8"/>
            <w:tcMar>
              <w:top w:w="75" w:type="dxa"/>
              <w:left w:w="75" w:type="dxa"/>
              <w:bottom w:w="75" w:type="dxa"/>
              <w:right w:w="75" w:type="dxa"/>
            </w:tcMar>
            <w:vAlign w:val="center"/>
          </w:tcPr>
          <w:p w14:paraId="5226B2E8" w14:textId="77777777" w:rsidR="00520DC4" w:rsidRPr="00520DC4" w:rsidRDefault="00520DC4" w:rsidP="008F14E5">
            <w:pPr>
              <w:spacing w:after="60" w:line="240" w:lineRule="auto"/>
              <w:rPr>
                <w:rFonts w:ascii="Calibri" w:hAnsi="Calibri" w:cs="Calibri"/>
                <w:sz w:val="20"/>
                <w:szCs w:val="20"/>
              </w:rPr>
            </w:pPr>
            <w:r w:rsidRPr="00520DC4">
              <w:rPr>
                <w:rFonts w:ascii="Calibri" w:hAnsi="Calibri" w:cs="Calibri"/>
                <w:sz w:val="20"/>
                <w:szCs w:val="20"/>
              </w:rPr>
              <w:t>Proposes four domains: learning, research, career development and campus life.</w:t>
            </w:r>
          </w:p>
        </w:tc>
        <w:tc>
          <w:tcPr>
            <w:tcW w:w="3467" w:type="dxa"/>
            <w:tcBorders>
              <w:top w:val="single" w:sz="4" w:space="0" w:color="D9D9D9"/>
              <w:left w:val="single" w:sz="4" w:space="0" w:color="D9D9D9"/>
              <w:bottom w:val="single" w:sz="4" w:space="0" w:color="D9D9D9"/>
              <w:right w:val="single" w:sz="4" w:space="0" w:color="D9D9D9"/>
            </w:tcBorders>
            <w:shd w:val="clear" w:color="auto" w:fill="F3F6F8"/>
            <w:tcMar>
              <w:top w:w="75" w:type="dxa"/>
              <w:left w:w="75" w:type="dxa"/>
              <w:bottom w:w="75" w:type="dxa"/>
              <w:right w:w="75" w:type="dxa"/>
            </w:tcMar>
            <w:vAlign w:val="center"/>
          </w:tcPr>
          <w:p w14:paraId="6C2E0AAF" w14:textId="77777777" w:rsidR="00165C25" w:rsidRPr="00165C25" w:rsidRDefault="00165C25" w:rsidP="00165C25">
            <w:pPr>
              <w:spacing w:after="60" w:line="240" w:lineRule="auto"/>
              <w:rPr>
                <w:rFonts w:ascii="Calibri" w:hAnsi="Calibri" w:cs="Calibri"/>
                <w:sz w:val="20"/>
                <w:szCs w:val="20"/>
              </w:rPr>
            </w:pPr>
            <w:r w:rsidRPr="00165C25">
              <w:rPr>
                <w:rFonts w:ascii="Calibri" w:hAnsi="Calibri" w:cs="Calibri"/>
                <w:sz w:val="20"/>
                <w:szCs w:val="20"/>
              </w:rPr>
              <w:t xml:space="preserve">Madlenak, R., Madlenakova, L., Cvacho, V., &amp; Gachulinec, D. (2026). ‘Ethical Challenges of Artificial Intelligence in Higher Education: A Four-Pillar Student-Activity Framework for Institutional Governance.’ Education Sciences, 16(4), article 555. DOI: 10.3390/educsci16040555. </w:t>
            </w:r>
          </w:p>
          <w:p w14:paraId="31AA5A2E" w14:textId="349AB477" w:rsidR="00520DC4" w:rsidRPr="00520DC4" w:rsidRDefault="00520DC4" w:rsidP="00165C25">
            <w:pPr>
              <w:spacing w:after="60" w:line="240" w:lineRule="auto"/>
              <w:rPr>
                <w:rFonts w:ascii="Calibri" w:hAnsi="Calibri" w:cs="Calibri"/>
                <w:sz w:val="20"/>
                <w:szCs w:val="20"/>
              </w:rPr>
            </w:pPr>
          </w:p>
        </w:tc>
      </w:tr>
    </w:tbl>
    <w:p w14:paraId="3BA477A5" w14:textId="701BA46A" w:rsidR="00140F53" w:rsidRDefault="00140F53">
      <w:pPr>
        <w:rPr>
          <w:rFonts w:ascii="Calibri" w:hAnsi="Calibri" w:cs="Calibri"/>
          <w:b/>
          <w:color w:val="5B9BD5" w:themeColor="accent5"/>
          <w:sz w:val="24"/>
          <w:szCs w:val="24"/>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p>
    <w:p w14:paraId="12BCB60F" w14:textId="77777777" w:rsidR="00140F53" w:rsidRDefault="00140F53">
      <w:pPr>
        <w:rPr>
          <w:rFonts w:ascii="Calibri" w:hAnsi="Calibri" w:cs="Calibri"/>
          <w:b/>
          <w:color w:val="5B9BD5" w:themeColor="accent5"/>
          <w:sz w:val="52"/>
          <w:szCs w:val="5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p>
    <w:p w14:paraId="05E79566" w14:textId="77777777" w:rsidR="00976EA2" w:rsidRDefault="00976EA2">
      <w:pPr>
        <w:rPr>
          <w:rFonts w:ascii="Calibri" w:hAnsi="Calibri" w:cs="Calibri"/>
          <w:b/>
          <w:color w:val="5B9BD5" w:themeColor="accent5"/>
          <w:sz w:val="52"/>
          <w:szCs w:val="5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p>
    <w:p w14:paraId="61272BFC" w14:textId="77777777" w:rsidR="00976EA2" w:rsidRDefault="00976EA2">
      <w:pPr>
        <w:rPr>
          <w:rFonts w:ascii="Calibri" w:hAnsi="Calibri" w:cs="Calibri"/>
          <w:b/>
          <w:color w:val="5B9BD5" w:themeColor="accent5"/>
          <w:sz w:val="52"/>
          <w:szCs w:val="5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p>
    <w:p w14:paraId="48748651" w14:textId="77777777" w:rsidR="00976EA2" w:rsidRDefault="00976EA2">
      <w:pPr>
        <w:rPr>
          <w:rFonts w:ascii="Calibri" w:hAnsi="Calibri" w:cs="Calibri"/>
          <w:b/>
          <w:color w:val="5B9BD5" w:themeColor="accent5"/>
          <w:sz w:val="52"/>
          <w:szCs w:val="5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p>
    <w:p w14:paraId="0CB4066C" w14:textId="77777777" w:rsidR="00976EA2" w:rsidRDefault="00976EA2">
      <w:pPr>
        <w:rPr>
          <w:rFonts w:ascii="Calibri" w:hAnsi="Calibri" w:cs="Calibri"/>
          <w:b/>
          <w:color w:val="5B9BD5" w:themeColor="accent5"/>
          <w:sz w:val="52"/>
          <w:szCs w:val="5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p>
    <w:p w14:paraId="1AFE7C06" w14:textId="77777777" w:rsidR="00976EA2" w:rsidRDefault="00976EA2">
      <w:pPr>
        <w:rPr>
          <w:rFonts w:ascii="Calibri" w:hAnsi="Calibri" w:cs="Calibri"/>
          <w:b/>
          <w:color w:val="5B9BD5" w:themeColor="accent5"/>
          <w:sz w:val="52"/>
          <w:szCs w:val="5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p>
    <w:p w14:paraId="0C64217B" w14:textId="2CF3C90E" w:rsidR="00976EA2" w:rsidRDefault="00F85B0C" w:rsidP="00F85B0C">
      <w:pPr>
        <w:pStyle w:val="Heading1"/>
      </w:pPr>
      <w:r>
        <w:lastRenderedPageBreak/>
        <w:t xml:space="preserve">Proposed Governance Model and Research Design </w:t>
      </w:r>
    </w:p>
    <w:tbl>
      <w:tblPr>
        <w:tblW w:w="0" w:type="auto"/>
        <w:jc w:val="center"/>
        <w:tblLayout w:type="fixed"/>
        <w:tblLook w:val="04A0" w:firstRow="1" w:lastRow="0" w:firstColumn="1" w:lastColumn="0" w:noHBand="0" w:noVBand="1"/>
      </w:tblPr>
      <w:tblGrid>
        <w:gridCol w:w="2880"/>
        <w:gridCol w:w="4320"/>
        <w:gridCol w:w="8050"/>
      </w:tblGrid>
      <w:tr w:rsidR="00190A63" w14:paraId="4E26B923" w14:textId="77777777" w:rsidTr="008F14E5">
        <w:trPr>
          <w:cantSplit/>
          <w:tblHeader/>
          <w:jc w:val="center"/>
        </w:trPr>
        <w:tc>
          <w:tcPr>
            <w:tcW w:w="2880" w:type="dxa"/>
            <w:tcBorders>
              <w:top w:val="single" w:sz="4" w:space="0" w:color="D9D9D9"/>
              <w:left w:val="single" w:sz="4" w:space="0" w:color="D9D9D9"/>
              <w:bottom w:val="single" w:sz="4" w:space="0" w:color="D9D9D9"/>
              <w:right w:val="single" w:sz="4" w:space="0" w:color="D9D9D9"/>
            </w:tcBorders>
            <w:shd w:val="clear" w:color="auto" w:fill="D9EAF2"/>
            <w:tcMar>
              <w:top w:w="75" w:type="dxa"/>
              <w:left w:w="75" w:type="dxa"/>
              <w:bottom w:w="75" w:type="dxa"/>
              <w:right w:w="75" w:type="dxa"/>
            </w:tcMar>
            <w:vAlign w:val="center"/>
          </w:tcPr>
          <w:p w14:paraId="207C43F1" w14:textId="77777777" w:rsidR="00190A63" w:rsidRPr="00B42709" w:rsidRDefault="00190A63" w:rsidP="008F14E5">
            <w:pPr>
              <w:spacing w:after="60" w:line="240" w:lineRule="auto"/>
              <w:rPr>
                <w:sz w:val="24"/>
                <w:szCs w:val="24"/>
              </w:rPr>
            </w:pPr>
            <w:r w:rsidRPr="00B42709">
              <w:rPr>
                <w:b/>
                <w:sz w:val="24"/>
                <w:szCs w:val="24"/>
              </w:rPr>
              <w:t>Governance component</w:t>
            </w:r>
          </w:p>
        </w:tc>
        <w:tc>
          <w:tcPr>
            <w:tcW w:w="4320" w:type="dxa"/>
            <w:tcBorders>
              <w:top w:val="single" w:sz="4" w:space="0" w:color="D9D9D9"/>
              <w:left w:val="single" w:sz="4" w:space="0" w:color="D9D9D9"/>
              <w:bottom w:val="single" w:sz="4" w:space="0" w:color="D9D9D9"/>
              <w:right w:val="single" w:sz="4" w:space="0" w:color="D9D9D9"/>
            </w:tcBorders>
            <w:shd w:val="clear" w:color="auto" w:fill="D9EAF2"/>
            <w:tcMar>
              <w:top w:w="75" w:type="dxa"/>
              <w:left w:w="75" w:type="dxa"/>
              <w:bottom w:w="75" w:type="dxa"/>
              <w:right w:w="75" w:type="dxa"/>
            </w:tcMar>
            <w:vAlign w:val="center"/>
          </w:tcPr>
          <w:p w14:paraId="5A472C4C" w14:textId="77777777" w:rsidR="00190A63" w:rsidRPr="00B42709" w:rsidRDefault="00190A63" w:rsidP="008F14E5">
            <w:pPr>
              <w:spacing w:after="60" w:line="240" w:lineRule="auto"/>
              <w:rPr>
                <w:sz w:val="24"/>
                <w:szCs w:val="24"/>
              </w:rPr>
            </w:pPr>
            <w:r w:rsidRPr="00B42709">
              <w:rPr>
                <w:b/>
                <w:sz w:val="24"/>
                <w:szCs w:val="24"/>
              </w:rPr>
              <w:t>Proposed responsibility</w:t>
            </w:r>
          </w:p>
        </w:tc>
        <w:tc>
          <w:tcPr>
            <w:tcW w:w="8050" w:type="dxa"/>
            <w:tcBorders>
              <w:top w:val="single" w:sz="4" w:space="0" w:color="D9D9D9"/>
              <w:left w:val="single" w:sz="4" w:space="0" w:color="D9D9D9"/>
              <w:bottom w:val="single" w:sz="4" w:space="0" w:color="D9D9D9"/>
              <w:right w:val="single" w:sz="4" w:space="0" w:color="D9D9D9"/>
            </w:tcBorders>
            <w:shd w:val="clear" w:color="auto" w:fill="D9EAF2"/>
            <w:tcMar>
              <w:top w:w="75" w:type="dxa"/>
              <w:left w:w="75" w:type="dxa"/>
              <w:bottom w:w="75" w:type="dxa"/>
              <w:right w:w="75" w:type="dxa"/>
            </w:tcMar>
            <w:vAlign w:val="center"/>
          </w:tcPr>
          <w:p w14:paraId="777B3ED7" w14:textId="77777777" w:rsidR="00190A63" w:rsidRPr="00B42709" w:rsidRDefault="00190A63" w:rsidP="008F14E5">
            <w:pPr>
              <w:spacing w:after="60" w:line="240" w:lineRule="auto"/>
              <w:rPr>
                <w:sz w:val="24"/>
                <w:szCs w:val="24"/>
              </w:rPr>
            </w:pPr>
            <w:r w:rsidRPr="00B42709">
              <w:rPr>
                <w:b/>
                <w:sz w:val="24"/>
                <w:szCs w:val="24"/>
              </w:rPr>
              <w:t>Proposed activity</w:t>
            </w:r>
          </w:p>
        </w:tc>
      </w:tr>
      <w:tr w:rsidR="00190A63" w14:paraId="1B260A24" w14:textId="77777777" w:rsidTr="008F14E5">
        <w:trPr>
          <w:cantSplit/>
          <w:jc w:val="center"/>
        </w:trPr>
        <w:tc>
          <w:tcPr>
            <w:tcW w:w="2880" w:type="dxa"/>
            <w:tcBorders>
              <w:top w:val="single" w:sz="4" w:space="0" w:color="D9D9D9"/>
              <w:left w:val="single" w:sz="4" w:space="0" w:color="D9D9D9"/>
              <w:bottom w:val="single" w:sz="4" w:space="0" w:color="D9D9D9"/>
              <w:right w:val="single" w:sz="4" w:space="0" w:color="D9D9D9"/>
            </w:tcBorders>
            <w:shd w:val="clear" w:color="auto" w:fill="FFFFFF"/>
            <w:tcMar>
              <w:top w:w="75" w:type="dxa"/>
              <w:left w:w="75" w:type="dxa"/>
              <w:bottom w:w="75" w:type="dxa"/>
              <w:right w:w="75" w:type="dxa"/>
            </w:tcMar>
            <w:vAlign w:val="center"/>
          </w:tcPr>
          <w:p w14:paraId="3E995772" w14:textId="77777777" w:rsidR="00190A63" w:rsidRPr="00B42709" w:rsidRDefault="00190A63" w:rsidP="008F14E5">
            <w:pPr>
              <w:spacing w:after="60" w:line="240" w:lineRule="auto"/>
              <w:rPr>
                <w:sz w:val="24"/>
                <w:szCs w:val="24"/>
              </w:rPr>
            </w:pPr>
            <w:r w:rsidRPr="00B42709">
              <w:rPr>
                <w:sz w:val="24"/>
                <w:szCs w:val="24"/>
              </w:rPr>
              <w:t>Strategic oversight</w:t>
            </w:r>
          </w:p>
        </w:tc>
        <w:tc>
          <w:tcPr>
            <w:tcW w:w="4320" w:type="dxa"/>
            <w:tcBorders>
              <w:top w:val="single" w:sz="4" w:space="0" w:color="D9D9D9"/>
              <w:left w:val="single" w:sz="4" w:space="0" w:color="D9D9D9"/>
              <w:bottom w:val="single" w:sz="4" w:space="0" w:color="D9D9D9"/>
              <w:right w:val="single" w:sz="4" w:space="0" w:color="D9D9D9"/>
            </w:tcBorders>
            <w:shd w:val="clear" w:color="auto" w:fill="FFFFFF"/>
            <w:tcMar>
              <w:top w:w="75" w:type="dxa"/>
              <w:left w:w="75" w:type="dxa"/>
              <w:bottom w:w="75" w:type="dxa"/>
              <w:right w:w="75" w:type="dxa"/>
            </w:tcMar>
            <w:vAlign w:val="center"/>
          </w:tcPr>
          <w:p w14:paraId="1BBC8130" w14:textId="77777777" w:rsidR="00190A63" w:rsidRPr="00B42709" w:rsidRDefault="00190A63" w:rsidP="008F14E5">
            <w:pPr>
              <w:spacing w:after="60" w:line="240" w:lineRule="auto"/>
              <w:rPr>
                <w:sz w:val="24"/>
                <w:szCs w:val="24"/>
              </w:rPr>
            </w:pPr>
            <w:r w:rsidRPr="00B42709">
              <w:rPr>
                <w:sz w:val="24"/>
                <w:szCs w:val="24"/>
              </w:rPr>
              <w:t>Governing body sponsor and AI committee</w:t>
            </w:r>
          </w:p>
        </w:tc>
        <w:tc>
          <w:tcPr>
            <w:tcW w:w="8050" w:type="dxa"/>
            <w:tcBorders>
              <w:top w:val="single" w:sz="4" w:space="0" w:color="D9D9D9"/>
              <w:left w:val="single" w:sz="4" w:space="0" w:color="D9D9D9"/>
              <w:bottom w:val="single" w:sz="4" w:space="0" w:color="D9D9D9"/>
              <w:right w:val="single" w:sz="4" w:space="0" w:color="D9D9D9"/>
            </w:tcBorders>
            <w:shd w:val="clear" w:color="auto" w:fill="FFFFFF"/>
            <w:tcMar>
              <w:top w:w="75" w:type="dxa"/>
              <w:left w:w="75" w:type="dxa"/>
              <w:bottom w:w="75" w:type="dxa"/>
              <w:right w:w="75" w:type="dxa"/>
            </w:tcMar>
            <w:vAlign w:val="center"/>
          </w:tcPr>
          <w:p w14:paraId="29B4E0EF" w14:textId="77777777" w:rsidR="00190A63" w:rsidRPr="00B42709" w:rsidRDefault="00190A63" w:rsidP="008F14E5">
            <w:pPr>
              <w:spacing w:after="60" w:line="240" w:lineRule="auto"/>
              <w:rPr>
                <w:sz w:val="24"/>
                <w:szCs w:val="24"/>
              </w:rPr>
            </w:pPr>
            <w:r w:rsidRPr="00B42709">
              <w:rPr>
                <w:sz w:val="24"/>
                <w:szCs w:val="24"/>
              </w:rPr>
              <w:t>Approve objectives, risk appetite, resources and annual assurance.</w:t>
            </w:r>
          </w:p>
        </w:tc>
      </w:tr>
      <w:tr w:rsidR="00190A63" w14:paraId="048785FC" w14:textId="77777777" w:rsidTr="008F14E5">
        <w:trPr>
          <w:cantSplit/>
          <w:jc w:val="center"/>
        </w:trPr>
        <w:tc>
          <w:tcPr>
            <w:tcW w:w="2880" w:type="dxa"/>
            <w:tcBorders>
              <w:top w:val="single" w:sz="4" w:space="0" w:color="D9D9D9"/>
              <w:left w:val="single" w:sz="4" w:space="0" w:color="D9D9D9"/>
              <w:bottom w:val="single" w:sz="4" w:space="0" w:color="D9D9D9"/>
              <w:right w:val="single" w:sz="4" w:space="0" w:color="D9D9D9"/>
            </w:tcBorders>
            <w:shd w:val="clear" w:color="auto" w:fill="F3F6F8"/>
            <w:tcMar>
              <w:top w:w="75" w:type="dxa"/>
              <w:left w:w="75" w:type="dxa"/>
              <w:bottom w:w="75" w:type="dxa"/>
              <w:right w:w="75" w:type="dxa"/>
            </w:tcMar>
            <w:vAlign w:val="center"/>
          </w:tcPr>
          <w:p w14:paraId="1D5FCE56" w14:textId="77777777" w:rsidR="00190A63" w:rsidRPr="00B42709" w:rsidRDefault="00190A63" w:rsidP="008F14E5">
            <w:pPr>
              <w:spacing w:after="60" w:line="240" w:lineRule="auto"/>
              <w:rPr>
                <w:sz w:val="24"/>
                <w:szCs w:val="24"/>
              </w:rPr>
            </w:pPr>
            <w:r w:rsidRPr="00B42709">
              <w:rPr>
                <w:sz w:val="24"/>
                <w:szCs w:val="24"/>
              </w:rPr>
              <w:t>Decision ownership</w:t>
            </w:r>
          </w:p>
        </w:tc>
        <w:tc>
          <w:tcPr>
            <w:tcW w:w="4320" w:type="dxa"/>
            <w:tcBorders>
              <w:top w:val="single" w:sz="4" w:space="0" w:color="D9D9D9"/>
              <w:left w:val="single" w:sz="4" w:space="0" w:color="D9D9D9"/>
              <w:bottom w:val="single" w:sz="4" w:space="0" w:color="D9D9D9"/>
              <w:right w:val="single" w:sz="4" w:space="0" w:color="D9D9D9"/>
            </w:tcBorders>
            <w:shd w:val="clear" w:color="auto" w:fill="F3F6F8"/>
            <w:tcMar>
              <w:top w:w="75" w:type="dxa"/>
              <w:left w:w="75" w:type="dxa"/>
              <w:bottom w:w="75" w:type="dxa"/>
              <w:right w:w="75" w:type="dxa"/>
            </w:tcMar>
            <w:vAlign w:val="center"/>
          </w:tcPr>
          <w:p w14:paraId="7F7B891D" w14:textId="77777777" w:rsidR="00190A63" w:rsidRPr="00B42709" w:rsidRDefault="00190A63" w:rsidP="008F14E5">
            <w:pPr>
              <w:spacing w:after="60" w:line="240" w:lineRule="auto"/>
              <w:rPr>
                <w:sz w:val="24"/>
                <w:szCs w:val="24"/>
              </w:rPr>
            </w:pPr>
            <w:r w:rsidRPr="00B42709">
              <w:rPr>
                <w:sz w:val="24"/>
                <w:szCs w:val="24"/>
              </w:rPr>
              <w:t>Named system owner and academic review</w:t>
            </w:r>
          </w:p>
        </w:tc>
        <w:tc>
          <w:tcPr>
            <w:tcW w:w="8050" w:type="dxa"/>
            <w:tcBorders>
              <w:top w:val="single" w:sz="4" w:space="0" w:color="D9D9D9"/>
              <w:left w:val="single" w:sz="4" w:space="0" w:color="D9D9D9"/>
              <w:bottom w:val="single" w:sz="4" w:space="0" w:color="D9D9D9"/>
              <w:right w:val="single" w:sz="4" w:space="0" w:color="D9D9D9"/>
            </w:tcBorders>
            <w:shd w:val="clear" w:color="auto" w:fill="F3F6F8"/>
            <w:tcMar>
              <w:top w:w="75" w:type="dxa"/>
              <w:left w:w="75" w:type="dxa"/>
              <w:bottom w:w="75" w:type="dxa"/>
              <w:right w:w="75" w:type="dxa"/>
            </w:tcMar>
            <w:vAlign w:val="center"/>
          </w:tcPr>
          <w:p w14:paraId="41480F80" w14:textId="77777777" w:rsidR="00190A63" w:rsidRPr="00B42709" w:rsidRDefault="00190A63" w:rsidP="008F14E5">
            <w:pPr>
              <w:spacing w:after="60" w:line="240" w:lineRule="auto"/>
              <w:rPr>
                <w:sz w:val="24"/>
                <w:szCs w:val="24"/>
              </w:rPr>
            </w:pPr>
            <w:r w:rsidRPr="00B42709">
              <w:rPr>
                <w:sz w:val="24"/>
                <w:szCs w:val="24"/>
              </w:rPr>
              <w:t>Record purpose, authority, accountable owner and appeal routes.</w:t>
            </w:r>
          </w:p>
        </w:tc>
      </w:tr>
      <w:tr w:rsidR="00190A63" w14:paraId="4127781F" w14:textId="77777777" w:rsidTr="008F14E5">
        <w:trPr>
          <w:cantSplit/>
          <w:jc w:val="center"/>
        </w:trPr>
        <w:tc>
          <w:tcPr>
            <w:tcW w:w="2880" w:type="dxa"/>
            <w:tcBorders>
              <w:top w:val="single" w:sz="4" w:space="0" w:color="D9D9D9"/>
              <w:left w:val="single" w:sz="4" w:space="0" w:color="D9D9D9"/>
              <w:bottom w:val="single" w:sz="4" w:space="0" w:color="D9D9D9"/>
              <w:right w:val="single" w:sz="4" w:space="0" w:color="D9D9D9"/>
            </w:tcBorders>
            <w:shd w:val="clear" w:color="auto" w:fill="FFFFFF"/>
            <w:tcMar>
              <w:top w:w="75" w:type="dxa"/>
              <w:left w:w="75" w:type="dxa"/>
              <w:bottom w:w="75" w:type="dxa"/>
              <w:right w:w="75" w:type="dxa"/>
            </w:tcMar>
            <w:vAlign w:val="center"/>
          </w:tcPr>
          <w:p w14:paraId="5E2BB7E9" w14:textId="77777777" w:rsidR="00190A63" w:rsidRPr="00B42709" w:rsidRDefault="00190A63" w:rsidP="008F14E5">
            <w:pPr>
              <w:spacing w:after="60" w:line="240" w:lineRule="auto"/>
              <w:rPr>
                <w:sz w:val="24"/>
                <w:szCs w:val="24"/>
              </w:rPr>
            </w:pPr>
            <w:r w:rsidRPr="00B42709">
              <w:rPr>
                <w:sz w:val="24"/>
                <w:szCs w:val="24"/>
              </w:rPr>
              <w:t>Risk and approval</w:t>
            </w:r>
          </w:p>
        </w:tc>
        <w:tc>
          <w:tcPr>
            <w:tcW w:w="4320" w:type="dxa"/>
            <w:tcBorders>
              <w:top w:val="single" w:sz="4" w:space="0" w:color="D9D9D9"/>
              <w:left w:val="single" w:sz="4" w:space="0" w:color="D9D9D9"/>
              <w:bottom w:val="single" w:sz="4" w:space="0" w:color="D9D9D9"/>
              <w:right w:val="single" w:sz="4" w:space="0" w:color="D9D9D9"/>
            </w:tcBorders>
            <w:shd w:val="clear" w:color="auto" w:fill="FFFFFF"/>
            <w:tcMar>
              <w:top w:w="75" w:type="dxa"/>
              <w:left w:w="75" w:type="dxa"/>
              <w:bottom w:w="75" w:type="dxa"/>
              <w:right w:w="75" w:type="dxa"/>
            </w:tcMar>
            <w:vAlign w:val="center"/>
          </w:tcPr>
          <w:p w14:paraId="4E3B5BA8" w14:textId="77777777" w:rsidR="00190A63" w:rsidRPr="00B42709" w:rsidRDefault="00190A63" w:rsidP="008F14E5">
            <w:pPr>
              <w:spacing w:after="60" w:line="240" w:lineRule="auto"/>
              <w:rPr>
                <w:sz w:val="24"/>
                <w:szCs w:val="24"/>
              </w:rPr>
            </w:pPr>
            <w:r w:rsidRPr="00B42709">
              <w:rPr>
                <w:sz w:val="24"/>
                <w:szCs w:val="24"/>
              </w:rPr>
              <w:t>Cross-functional review</w:t>
            </w:r>
          </w:p>
        </w:tc>
        <w:tc>
          <w:tcPr>
            <w:tcW w:w="8050" w:type="dxa"/>
            <w:tcBorders>
              <w:top w:val="single" w:sz="4" w:space="0" w:color="D9D9D9"/>
              <w:left w:val="single" w:sz="4" w:space="0" w:color="D9D9D9"/>
              <w:bottom w:val="single" w:sz="4" w:space="0" w:color="D9D9D9"/>
              <w:right w:val="single" w:sz="4" w:space="0" w:color="D9D9D9"/>
            </w:tcBorders>
            <w:shd w:val="clear" w:color="auto" w:fill="FFFFFF"/>
            <w:tcMar>
              <w:top w:w="75" w:type="dxa"/>
              <w:left w:w="75" w:type="dxa"/>
              <w:bottom w:w="75" w:type="dxa"/>
              <w:right w:w="75" w:type="dxa"/>
            </w:tcMar>
            <w:vAlign w:val="center"/>
          </w:tcPr>
          <w:p w14:paraId="56381917" w14:textId="77777777" w:rsidR="00190A63" w:rsidRPr="00B42709" w:rsidRDefault="00190A63" w:rsidP="008F14E5">
            <w:pPr>
              <w:spacing w:after="60" w:line="240" w:lineRule="auto"/>
              <w:rPr>
                <w:sz w:val="24"/>
                <w:szCs w:val="24"/>
              </w:rPr>
            </w:pPr>
            <w:r w:rsidRPr="00B42709">
              <w:rPr>
                <w:sz w:val="24"/>
                <w:szCs w:val="24"/>
              </w:rPr>
              <w:t>Assess privacy, bias, accessibility, learning impact and supplier assurances.</w:t>
            </w:r>
          </w:p>
        </w:tc>
      </w:tr>
      <w:tr w:rsidR="00190A63" w14:paraId="0517356F" w14:textId="77777777" w:rsidTr="008F14E5">
        <w:trPr>
          <w:cantSplit/>
          <w:jc w:val="center"/>
        </w:trPr>
        <w:tc>
          <w:tcPr>
            <w:tcW w:w="2880" w:type="dxa"/>
            <w:tcBorders>
              <w:top w:val="single" w:sz="4" w:space="0" w:color="D9D9D9"/>
              <w:left w:val="single" w:sz="4" w:space="0" w:color="D9D9D9"/>
              <w:bottom w:val="single" w:sz="4" w:space="0" w:color="D9D9D9"/>
              <w:right w:val="single" w:sz="4" w:space="0" w:color="D9D9D9"/>
            </w:tcBorders>
            <w:shd w:val="clear" w:color="auto" w:fill="F3F6F8"/>
            <w:tcMar>
              <w:top w:w="75" w:type="dxa"/>
              <w:left w:w="75" w:type="dxa"/>
              <w:bottom w:w="75" w:type="dxa"/>
              <w:right w:w="75" w:type="dxa"/>
            </w:tcMar>
            <w:vAlign w:val="center"/>
          </w:tcPr>
          <w:p w14:paraId="22382544" w14:textId="77777777" w:rsidR="00190A63" w:rsidRPr="00B42709" w:rsidRDefault="00190A63" w:rsidP="008F14E5">
            <w:pPr>
              <w:spacing w:after="60" w:line="240" w:lineRule="auto"/>
              <w:rPr>
                <w:sz w:val="24"/>
                <w:szCs w:val="24"/>
              </w:rPr>
            </w:pPr>
            <w:r w:rsidRPr="00B42709">
              <w:rPr>
                <w:sz w:val="24"/>
                <w:szCs w:val="24"/>
              </w:rPr>
              <w:t>Participation and capability</w:t>
            </w:r>
          </w:p>
        </w:tc>
        <w:tc>
          <w:tcPr>
            <w:tcW w:w="4320" w:type="dxa"/>
            <w:tcBorders>
              <w:top w:val="single" w:sz="4" w:space="0" w:color="D9D9D9"/>
              <w:left w:val="single" w:sz="4" w:space="0" w:color="D9D9D9"/>
              <w:bottom w:val="single" w:sz="4" w:space="0" w:color="D9D9D9"/>
              <w:right w:val="single" w:sz="4" w:space="0" w:color="D9D9D9"/>
            </w:tcBorders>
            <w:shd w:val="clear" w:color="auto" w:fill="F3F6F8"/>
            <w:tcMar>
              <w:top w:w="75" w:type="dxa"/>
              <w:left w:w="75" w:type="dxa"/>
              <w:bottom w:w="75" w:type="dxa"/>
              <w:right w:w="75" w:type="dxa"/>
            </w:tcMar>
            <w:vAlign w:val="center"/>
          </w:tcPr>
          <w:p w14:paraId="5EFA59AC" w14:textId="77777777" w:rsidR="00190A63" w:rsidRPr="00B42709" w:rsidRDefault="00190A63" w:rsidP="008F14E5">
            <w:pPr>
              <w:spacing w:after="60" w:line="240" w:lineRule="auto"/>
              <w:rPr>
                <w:sz w:val="24"/>
                <w:szCs w:val="24"/>
              </w:rPr>
            </w:pPr>
            <w:r w:rsidRPr="00B42709">
              <w:rPr>
                <w:sz w:val="24"/>
                <w:szCs w:val="24"/>
              </w:rPr>
              <w:t>Student and staff representatives</w:t>
            </w:r>
          </w:p>
        </w:tc>
        <w:tc>
          <w:tcPr>
            <w:tcW w:w="8050" w:type="dxa"/>
            <w:tcBorders>
              <w:top w:val="single" w:sz="4" w:space="0" w:color="D9D9D9"/>
              <w:left w:val="single" w:sz="4" w:space="0" w:color="D9D9D9"/>
              <w:bottom w:val="single" w:sz="4" w:space="0" w:color="D9D9D9"/>
              <w:right w:val="single" w:sz="4" w:space="0" w:color="D9D9D9"/>
            </w:tcBorders>
            <w:shd w:val="clear" w:color="auto" w:fill="F3F6F8"/>
            <w:tcMar>
              <w:top w:w="75" w:type="dxa"/>
              <w:left w:w="75" w:type="dxa"/>
              <w:bottom w:w="75" w:type="dxa"/>
              <w:right w:w="75" w:type="dxa"/>
            </w:tcMar>
            <w:vAlign w:val="center"/>
          </w:tcPr>
          <w:p w14:paraId="454F0FA0" w14:textId="77777777" w:rsidR="00190A63" w:rsidRPr="00B42709" w:rsidRDefault="00190A63" w:rsidP="008F14E5">
            <w:pPr>
              <w:spacing w:after="60" w:line="240" w:lineRule="auto"/>
              <w:rPr>
                <w:sz w:val="24"/>
                <w:szCs w:val="24"/>
              </w:rPr>
            </w:pPr>
            <w:r w:rsidRPr="00B42709">
              <w:rPr>
                <w:sz w:val="24"/>
                <w:szCs w:val="24"/>
              </w:rPr>
              <w:t>Co-design guidance, training and accessible alternatives.</w:t>
            </w:r>
          </w:p>
        </w:tc>
      </w:tr>
      <w:tr w:rsidR="00190A63" w14:paraId="193DC328" w14:textId="77777777" w:rsidTr="008F14E5">
        <w:trPr>
          <w:cantSplit/>
          <w:jc w:val="center"/>
        </w:trPr>
        <w:tc>
          <w:tcPr>
            <w:tcW w:w="2880" w:type="dxa"/>
            <w:tcBorders>
              <w:top w:val="single" w:sz="4" w:space="0" w:color="D9D9D9"/>
              <w:left w:val="single" w:sz="4" w:space="0" w:color="D9D9D9"/>
              <w:bottom w:val="single" w:sz="4" w:space="0" w:color="D9D9D9"/>
              <w:right w:val="single" w:sz="4" w:space="0" w:color="D9D9D9"/>
            </w:tcBorders>
            <w:shd w:val="clear" w:color="auto" w:fill="FFFFFF"/>
            <w:tcMar>
              <w:top w:w="75" w:type="dxa"/>
              <w:left w:w="75" w:type="dxa"/>
              <w:bottom w:w="75" w:type="dxa"/>
              <w:right w:w="75" w:type="dxa"/>
            </w:tcMar>
            <w:vAlign w:val="center"/>
          </w:tcPr>
          <w:p w14:paraId="6669A1AA" w14:textId="77777777" w:rsidR="00190A63" w:rsidRPr="00B42709" w:rsidRDefault="00190A63" w:rsidP="008F14E5">
            <w:pPr>
              <w:spacing w:after="60" w:line="240" w:lineRule="auto"/>
              <w:rPr>
                <w:sz w:val="24"/>
                <w:szCs w:val="24"/>
              </w:rPr>
            </w:pPr>
            <w:r w:rsidRPr="00B42709">
              <w:rPr>
                <w:sz w:val="24"/>
                <w:szCs w:val="24"/>
              </w:rPr>
              <w:t>Operational assurance</w:t>
            </w:r>
          </w:p>
        </w:tc>
        <w:tc>
          <w:tcPr>
            <w:tcW w:w="4320" w:type="dxa"/>
            <w:tcBorders>
              <w:top w:val="single" w:sz="4" w:space="0" w:color="D9D9D9"/>
              <w:left w:val="single" w:sz="4" w:space="0" w:color="D9D9D9"/>
              <w:bottom w:val="single" w:sz="4" w:space="0" w:color="D9D9D9"/>
              <w:right w:val="single" w:sz="4" w:space="0" w:color="D9D9D9"/>
            </w:tcBorders>
            <w:shd w:val="clear" w:color="auto" w:fill="FFFFFF"/>
            <w:tcMar>
              <w:top w:w="75" w:type="dxa"/>
              <w:left w:w="75" w:type="dxa"/>
              <w:bottom w:w="75" w:type="dxa"/>
              <w:right w:w="75" w:type="dxa"/>
            </w:tcMar>
            <w:vAlign w:val="center"/>
          </w:tcPr>
          <w:p w14:paraId="7D6BD564" w14:textId="77777777" w:rsidR="00190A63" w:rsidRPr="00B42709" w:rsidRDefault="00190A63" w:rsidP="008F14E5">
            <w:pPr>
              <w:spacing w:after="60" w:line="240" w:lineRule="auto"/>
              <w:rPr>
                <w:sz w:val="24"/>
                <w:szCs w:val="24"/>
              </w:rPr>
            </w:pPr>
            <w:r w:rsidRPr="00B42709">
              <w:rPr>
                <w:sz w:val="24"/>
                <w:szCs w:val="24"/>
              </w:rPr>
              <w:t>System owners with data and IT specialists</w:t>
            </w:r>
          </w:p>
        </w:tc>
        <w:tc>
          <w:tcPr>
            <w:tcW w:w="8050" w:type="dxa"/>
            <w:tcBorders>
              <w:top w:val="single" w:sz="4" w:space="0" w:color="D9D9D9"/>
              <w:left w:val="single" w:sz="4" w:space="0" w:color="D9D9D9"/>
              <w:bottom w:val="single" w:sz="4" w:space="0" w:color="D9D9D9"/>
              <w:right w:val="single" w:sz="4" w:space="0" w:color="D9D9D9"/>
            </w:tcBorders>
            <w:shd w:val="clear" w:color="auto" w:fill="FFFFFF"/>
            <w:tcMar>
              <w:top w:w="75" w:type="dxa"/>
              <w:left w:w="75" w:type="dxa"/>
              <w:bottom w:w="75" w:type="dxa"/>
              <w:right w:w="75" w:type="dxa"/>
            </w:tcMar>
            <w:vAlign w:val="center"/>
          </w:tcPr>
          <w:p w14:paraId="2CE646FB" w14:textId="71309C85" w:rsidR="00190A63" w:rsidRPr="00B42709" w:rsidRDefault="00190A63" w:rsidP="008F14E5">
            <w:pPr>
              <w:spacing w:after="60" w:line="240" w:lineRule="auto"/>
              <w:rPr>
                <w:sz w:val="24"/>
                <w:szCs w:val="24"/>
              </w:rPr>
            </w:pPr>
            <w:r w:rsidRPr="00B42709">
              <w:rPr>
                <w:sz w:val="24"/>
                <w:szCs w:val="24"/>
              </w:rPr>
              <w:t>Maintain an AI register, approval evidence, an audit trail, and incident reporting.</w:t>
            </w:r>
          </w:p>
        </w:tc>
      </w:tr>
      <w:tr w:rsidR="00190A63" w14:paraId="22C84FAF" w14:textId="77777777" w:rsidTr="008F14E5">
        <w:trPr>
          <w:cantSplit/>
          <w:jc w:val="center"/>
        </w:trPr>
        <w:tc>
          <w:tcPr>
            <w:tcW w:w="2880" w:type="dxa"/>
            <w:tcBorders>
              <w:top w:val="single" w:sz="4" w:space="0" w:color="D9D9D9"/>
              <w:left w:val="single" w:sz="4" w:space="0" w:color="D9D9D9"/>
              <w:bottom w:val="single" w:sz="4" w:space="0" w:color="D9D9D9"/>
              <w:right w:val="single" w:sz="4" w:space="0" w:color="D9D9D9"/>
            </w:tcBorders>
            <w:shd w:val="clear" w:color="auto" w:fill="F3F6F8"/>
            <w:tcMar>
              <w:top w:w="75" w:type="dxa"/>
              <w:left w:w="75" w:type="dxa"/>
              <w:bottom w:w="75" w:type="dxa"/>
              <w:right w:w="75" w:type="dxa"/>
            </w:tcMar>
            <w:vAlign w:val="center"/>
          </w:tcPr>
          <w:p w14:paraId="7174A34E" w14:textId="77777777" w:rsidR="00190A63" w:rsidRPr="00B42709" w:rsidRDefault="00190A63" w:rsidP="008F14E5">
            <w:pPr>
              <w:spacing w:after="60" w:line="240" w:lineRule="auto"/>
              <w:rPr>
                <w:sz w:val="24"/>
                <w:szCs w:val="24"/>
              </w:rPr>
            </w:pPr>
            <w:r w:rsidRPr="00B42709">
              <w:rPr>
                <w:sz w:val="24"/>
                <w:szCs w:val="24"/>
              </w:rPr>
              <w:t>Evaluation and revision</w:t>
            </w:r>
          </w:p>
        </w:tc>
        <w:tc>
          <w:tcPr>
            <w:tcW w:w="4320" w:type="dxa"/>
            <w:tcBorders>
              <w:top w:val="single" w:sz="4" w:space="0" w:color="D9D9D9"/>
              <w:left w:val="single" w:sz="4" w:space="0" w:color="D9D9D9"/>
              <w:bottom w:val="single" w:sz="4" w:space="0" w:color="D9D9D9"/>
              <w:right w:val="single" w:sz="4" w:space="0" w:color="D9D9D9"/>
            </w:tcBorders>
            <w:shd w:val="clear" w:color="auto" w:fill="F3F6F8"/>
            <w:tcMar>
              <w:top w:w="75" w:type="dxa"/>
              <w:left w:w="75" w:type="dxa"/>
              <w:bottom w:w="75" w:type="dxa"/>
              <w:right w:w="75" w:type="dxa"/>
            </w:tcMar>
            <w:vAlign w:val="center"/>
          </w:tcPr>
          <w:p w14:paraId="22A9D602" w14:textId="77777777" w:rsidR="00190A63" w:rsidRPr="00B42709" w:rsidRDefault="00190A63" w:rsidP="008F14E5">
            <w:pPr>
              <w:spacing w:after="60" w:line="240" w:lineRule="auto"/>
              <w:rPr>
                <w:sz w:val="24"/>
                <w:szCs w:val="24"/>
              </w:rPr>
            </w:pPr>
            <w:r w:rsidRPr="00B42709">
              <w:rPr>
                <w:sz w:val="24"/>
                <w:szCs w:val="24"/>
              </w:rPr>
              <w:t>Independent review with committee oversight</w:t>
            </w:r>
          </w:p>
        </w:tc>
        <w:tc>
          <w:tcPr>
            <w:tcW w:w="8050" w:type="dxa"/>
            <w:tcBorders>
              <w:top w:val="single" w:sz="4" w:space="0" w:color="D9D9D9"/>
              <w:left w:val="single" w:sz="4" w:space="0" w:color="D9D9D9"/>
              <w:bottom w:val="single" w:sz="4" w:space="0" w:color="D9D9D9"/>
              <w:right w:val="single" w:sz="4" w:space="0" w:color="D9D9D9"/>
            </w:tcBorders>
            <w:shd w:val="clear" w:color="auto" w:fill="F3F6F8"/>
            <w:tcMar>
              <w:top w:w="75" w:type="dxa"/>
              <w:left w:w="75" w:type="dxa"/>
              <w:bottom w:w="75" w:type="dxa"/>
              <w:right w:w="75" w:type="dxa"/>
            </w:tcMar>
            <w:vAlign w:val="center"/>
          </w:tcPr>
          <w:p w14:paraId="6883C924" w14:textId="77777777" w:rsidR="00190A63" w:rsidRPr="00B42709" w:rsidRDefault="00190A63" w:rsidP="008F14E5">
            <w:pPr>
              <w:spacing w:after="60" w:line="240" w:lineRule="auto"/>
              <w:rPr>
                <w:sz w:val="24"/>
                <w:szCs w:val="24"/>
              </w:rPr>
            </w:pPr>
            <w:r w:rsidRPr="00B42709">
              <w:rPr>
                <w:sz w:val="24"/>
                <w:szCs w:val="24"/>
              </w:rPr>
              <w:t>Review outcomes, complaints and exceptions; revise or withdraw systems.</w:t>
            </w:r>
          </w:p>
        </w:tc>
      </w:tr>
    </w:tbl>
    <w:p w14:paraId="61E2B89A" w14:textId="77777777" w:rsidR="00F85B0C" w:rsidRDefault="00F85B0C">
      <w:pPr>
        <w:rPr>
          <w:rFonts w:ascii="Calibri" w:hAnsi="Calibri" w:cs="Calibri"/>
          <w:b/>
          <w:color w:val="5B9BD5" w:themeColor="accent5"/>
          <w:sz w:val="52"/>
          <w:szCs w:val="5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p>
    <w:p w14:paraId="51ADBCC7" w14:textId="77777777" w:rsidR="00F85B0C" w:rsidRDefault="00F85B0C">
      <w:pPr>
        <w:rPr>
          <w:rFonts w:ascii="Calibri" w:hAnsi="Calibri" w:cs="Calibri"/>
          <w:b/>
          <w:color w:val="5B9BD5" w:themeColor="accent5"/>
          <w:sz w:val="52"/>
          <w:szCs w:val="5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p>
    <w:p w14:paraId="610DF125" w14:textId="77777777" w:rsidR="001E052D" w:rsidRDefault="001E052D">
      <w:pPr>
        <w:rPr>
          <w:rFonts w:ascii="Calibri" w:hAnsi="Calibri" w:cs="Calibri"/>
          <w:b/>
          <w:color w:val="5B9BD5" w:themeColor="accent5"/>
          <w:sz w:val="52"/>
          <w:szCs w:val="5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p>
    <w:p w14:paraId="7BBA2DC5" w14:textId="77777777" w:rsidR="001E052D" w:rsidRDefault="001E052D">
      <w:pPr>
        <w:rPr>
          <w:rFonts w:ascii="Calibri" w:hAnsi="Calibri" w:cs="Calibri"/>
          <w:b/>
          <w:color w:val="5B9BD5" w:themeColor="accent5"/>
          <w:sz w:val="52"/>
          <w:szCs w:val="5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p>
    <w:p w14:paraId="74CC7CCB" w14:textId="77777777" w:rsidR="001E052D" w:rsidRDefault="001E052D">
      <w:pPr>
        <w:rPr>
          <w:rFonts w:ascii="Calibri" w:hAnsi="Calibri" w:cs="Calibri"/>
          <w:b/>
          <w:color w:val="5B9BD5" w:themeColor="accent5"/>
          <w:sz w:val="52"/>
          <w:szCs w:val="5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p>
    <w:p w14:paraId="1A74284D" w14:textId="2B74C252" w:rsidR="001E052D" w:rsidRDefault="00E53241" w:rsidP="00E53241">
      <w:pPr>
        <w:pStyle w:val="Heading1"/>
      </w:pPr>
      <w:r>
        <w:lastRenderedPageBreak/>
        <w:t xml:space="preserve">Literature gap and supporting evidence </w:t>
      </w:r>
    </w:p>
    <w:tbl>
      <w:tblPr>
        <w:tblW w:w="0" w:type="auto"/>
        <w:jc w:val="center"/>
        <w:tblLayout w:type="fixed"/>
        <w:tblLook w:val="04A0" w:firstRow="1" w:lastRow="0" w:firstColumn="1" w:lastColumn="0" w:noHBand="0" w:noVBand="1"/>
      </w:tblPr>
      <w:tblGrid>
        <w:gridCol w:w="1872"/>
        <w:gridCol w:w="3168"/>
        <w:gridCol w:w="3744"/>
        <w:gridCol w:w="1296"/>
        <w:gridCol w:w="3730"/>
      </w:tblGrid>
      <w:tr w:rsidR="002302EA" w14:paraId="48E2B27C" w14:textId="77777777" w:rsidTr="008F14E5">
        <w:trPr>
          <w:cantSplit/>
          <w:tblHeader/>
          <w:jc w:val="center"/>
        </w:trPr>
        <w:tc>
          <w:tcPr>
            <w:tcW w:w="1872" w:type="dxa"/>
            <w:tcBorders>
              <w:top w:val="single" w:sz="4" w:space="0" w:color="D9D9D9"/>
              <w:left w:val="single" w:sz="4" w:space="0" w:color="D9D9D9"/>
              <w:bottom w:val="single" w:sz="4" w:space="0" w:color="D9D9D9"/>
              <w:right w:val="single" w:sz="4" w:space="0" w:color="D9D9D9"/>
            </w:tcBorders>
            <w:shd w:val="clear" w:color="auto" w:fill="D9EAF2"/>
            <w:tcMar>
              <w:top w:w="75" w:type="dxa"/>
              <w:left w:w="75" w:type="dxa"/>
              <w:bottom w:w="75" w:type="dxa"/>
              <w:right w:w="75" w:type="dxa"/>
            </w:tcMar>
            <w:vAlign w:val="center"/>
          </w:tcPr>
          <w:p w14:paraId="0A072C0E" w14:textId="77777777" w:rsidR="002302EA" w:rsidRPr="002302EA" w:rsidRDefault="002302EA" w:rsidP="008F14E5">
            <w:pPr>
              <w:spacing w:after="60" w:line="240" w:lineRule="auto"/>
            </w:pPr>
            <w:r w:rsidRPr="002302EA">
              <w:rPr>
                <w:b/>
              </w:rPr>
              <w:t>Gap</w:t>
            </w:r>
          </w:p>
        </w:tc>
        <w:tc>
          <w:tcPr>
            <w:tcW w:w="3168" w:type="dxa"/>
            <w:tcBorders>
              <w:top w:val="single" w:sz="4" w:space="0" w:color="D9D9D9"/>
              <w:left w:val="single" w:sz="4" w:space="0" w:color="D9D9D9"/>
              <w:bottom w:val="single" w:sz="4" w:space="0" w:color="D9D9D9"/>
              <w:right w:val="single" w:sz="4" w:space="0" w:color="D9D9D9"/>
            </w:tcBorders>
            <w:shd w:val="clear" w:color="auto" w:fill="D9EAF2"/>
            <w:tcMar>
              <w:top w:w="75" w:type="dxa"/>
              <w:left w:w="75" w:type="dxa"/>
              <w:bottom w:w="75" w:type="dxa"/>
              <w:right w:w="75" w:type="dxa"/>
            </w:tcMar>
            <w:vAlign w:val="center"/>
          </w:tcPr>
          <w:p w14:paraId="5031BC6C" w14:textId="77777777" w:rsidR="002302EA" w:rsidRPr="002302EA" w:rsidRDefault="002302EA" w:rsidP="008F14E5">
            <w:pPr>
              <w:spacing w:after="60" w:line="240" w:lineRule="auto"/>
            </w:pPr>
            <w:r w:rsidRPr="002302EA">
              <w:rPr>
                <w:b/>
              </w:rPr>
              <w:t>Evidence in the selected literature</w:t>
            </w:r>
          </w:p>
        </w:tc>
        <w:tc>
          <w:tcPr>
            <w:tcW w:w="3744" w:type="dxa"/>
            <w:tcBorders>
              <w:top w:val="single" w:sz="4" w:space="0" w:color="D9D9D9"/>
              <w:left w:val="single" w:sz="4" w:space="0" w:color="D9D9D9"/>
              <w:bottom w:val="single" w:sz="4" w:space="0" w:color="D9D9D9"/>
              <w:right w:val="single" w:sz="4" w:space="0" w:color="D9D9D9"/>
            </w:tcBorders>
            <w:shd w:val="clear" w:color="auto" w:fill="D9EAF2"/>
            <w:tcMar>
              <w:top w:w="75" w:type="dxa"/>
              <w:left w:w="75" w:type="dxa"/>
              <w:bottom w:w="75" w:type="dxa"/>
              <w:right w:w="75" w:type="dxa"/>
            </w:tcMar>
            <w:vAlign w:val="center"/>
          </w:tcPr>
          <w:p w14:paraId="1F1662F0" w14:textId="77777777" w:rsidR="002302EA" w:rsidRPr="002302EA" w:rsidRDefault="002302EA" w:rsidP="008F14E5">
            <w:pPr>
              <w:spacing w:after="60" w:line="240" w:lineRule="auto"/>
            </w:pPr>
            <w:r w:rsidRPr="002302EA">
              <w:rPr>
                <w:b/>
              </w:rPr>
              <w:t>Unresolved issue</w:t>
            </w:r>
          </w:p>
        </w:tc>
        <w:tc>
          <w:tcPr>
            <w:tcW w:w="1296" w:type="dxa"/>
            <w:tcBorders>
              <w:top w:val="single" w:sz="4" w:space="0" w:color="D9D9D9"/>
              <w:left w:val="single" w:sz="4" w:space="0" w:color="D9D9D9"/>
              <w:bottom w:val="single" w:sz="4" w:space="0" w:color="D9D9D9"/>
              <w:right w:val="single" w:sz="4" w:space="0" w:color="D9D9D9"/>
            </w:tcBorders>
            <w:shd w:val="clear" w:color="auto" w:fill="D9EAF2"/>
            <w:tcMar>
              <w:top w:w="75" w:type="dxa"/>
              <w:left w:w="75" w:type="dxa"/>
              <w:bottom w:w="75" w:type="dxa"/>
              <w:right w:w="75" w:type="dxa"/>
            </w:tcMar>
            <w:vAlign w:val="center"/>
          </w:tcPr>
          <w:p w14:paraId="38DE53A6" w14:textId="77777777" w:rsidR="002302EA" w:rsidRPr="002302EA" w:rsidRDefault="002302EA" w:rsidP="008F14E5">
            <w:pPr>
              <w:spacing w:after="60" w:line="240" w:lineRule="auto"/>
            </w:pPr>
            <w:r w:rsidRPr="002302EA">
              <w:rPr>
                <w:b/>
              </w:rPr>
              <w:t>Question</w:t>
            </w:r>
          </w:p>
        </w:tc>
        <w:tc>
          <w:tcPr>
            <w:tcW w:w="3730" w:type="dxa"/>
            <w:tcBorders>
              <w:top w:val="single" w:sz="4" w:space="0" w:color="D9D9D9"/>
              <w:left w:val="single" w:sz="4" w:space="0" w:color="D9D9D9"/>
              <w:bottom w:val="single" w:sz="4" w:space="0" w:color="D9D9D9"/>
              <w:right w:val="single" w:sz="4" w:space="0" w:color="D9D9D9"/>
            </w:tcBorders>
            <w:shd w:val="clear" w:color="auto" w:fill="D9EAF2"/>
            <w:tcMar>
              <w:top w:w="75" w:type="dxa"/>
              <w:left w:w="75" w:type="dxa"/>
              <w:bottom w:w="75" w:type="dxa"/>
              <w:right w:w="75" w:type="dxa"/>
            </w:tcMar>
            <w:vAlign w:val="center"/>
          </w:tcPr>
          <w:p w14:paraId="443BE591" w14:textId="77777777" w:rsidR="002302EA" w:rsidRPr="002302EA" w:rsidRDefault="002302EA" w:rsidP="008F14E5">
            <w:pPr>
              <w:spacing w:after="60" w:line="240" w:lineRule="auto"/>
            </w:pPr>
            <w:r w:rsidRPr="002302EA">
              <w:rPr>
                <w:b/>
              </w:rPr>
              <w:t>Evidence to collect</w:t>
            </w:r>
          </w:p>
        </w:tc>
      </w:tr>
      <w:tr w:rsidR="002302EA" w14:paraId="3CE36334" w14:textId="77777777" w:rsidTr="008F14E5">
        <w:trPr>
          <w:cantSplit/>
          <w:jc w:val="center"/>
        </w:trPr>
        <w:tc>
          <w:tcPr>
            <w:tcW w:w="1872" w:type="dxa"/>
            <w:tcBorders>
              <w:top w:val="single" w:sz="4" w:space="0" w:color="D9D9D9"/>
              <w:left w:val="single" w:sz="4" w:space="0" w:color="D9D9D9"/>
              <w:bottom w:val="single" w:sz="4" w:space="0" w:color="D9D9D9"/>
              <w:right w:val="single" w:sz="4" w:space="0" w:color="D9D9D9"/>
            </w:tcBorders>
            <w:shd w:val="clear" w:color="auto" w:fill="FFFFFF"/>
            <w:tcMar>
              <w:top w:w="75" w:type="dxa"/>
              <w:left w:w="75" w:type="dxa"/>
              <w:bottom w:w="75" w:type="dxa"/>
              <w:right w:w="75" w:type="dxa"/>
            </w:tcMar>
            <w:vAlign w:val="center"/>
          </w:tcPr>
          <w:p w14:paraId="3BE60B79" w14:textId="77777777" w:rsidR="002302EA" w:rsidRPr="002302EA" w:rsidRDefault="002302EA" w:rsidP="008F14E5">
            <w:pPr>
              <w:spacing w:after="60" w:line="240" w:lineRule="auto"/>
            </w:pPr>
            <w:r w:rsidRPr="002302EA">
              <w:t>England-specific validation</w:t>
            </w:r>
          </w:p>
        </w:tc>
        <w:tc>
          <w:tcPr>
            <w:tcW w:w="3168" w:type="dxa"/>
            <w:tcBorders>
              <w:top w:val="single" w:sz="4" w:space="0" w:color="D9D9D9"/>
              <w:left w:val="single" w:sz="4" w:space="0" w:color="D9D9D9"/>
              <w:bottom w:val="single" w:sz="4" w:space="0" w:color="D9D9D9"/>
              <w:right w:val="single" w:sz="4" w:space="0" w:color="D9D9D9"/>
            </w:tcBorders>
            <w:shd w:val="clear" w:color="auto" w:fill="FFFFFF"/>
            <w:tcMar>
              <w:top w:w="75" w:type="dxa"/>
              <w:left w:w="75" w:type="dxa"/>
              <w:bottom w:w="75" w:type="dxa"/>
              <w:right w:w="75" w:type="dxa"/>
            </w:tcMar>
            <w:vAlign w:val="center"/>
          </w:tcPr>
          <w:p w14:paraId="0353054A" w14:textId="16A6C1C0" w:rsidR="002302EA" w:rsidRPr="002302EA" w:rsidRDefault="002302EA" w:rsidP="008F14E5">
            <w:pPr>
              <w:spacing w:after="60" w:line="240" w:lineRule="auto"/>
            </w:pPr>
            <w:r w:rsidRPr="002302EA">
              <w:t>UK studies analyse policies or experiences; other studies use overseas settings.</w:t>
            </w:r>
          </w:p>
        </w:tc>
        <w:tc>
          <w:tcPr>
            <w:tcW w:w="3744" w:type="dxa"/>
            <w:tcBorders>
              <w:top w:val="single" w:sz="4" w:space="0" w:color="D9D9D9"/>
              <w:left w:val="single" w:sz="4" w:space="0" w:color="D9D9D9"/>
              <w:bottom w:val="single" w:sz="4" w:space="0" w:color="D9D9D9"/>
              <w:right w:val="single" w:sz="4" w:space="0" w:color="D9D9D9"/>
            </w:tcBorders>
            <w:shd w:val="clear" w:color="auto" w:fill="FFFFFF"/>
            <w:tcMar>
              <w:top w:w="75" w:type="dxa"/>
              <w:left w:w="75" w:type="dxa"/>
              <w:bottom w:w="75" w:type="dxa"/>
              <w:right w:w="75" w:type="dxa"/>
            </w:tcMar>
            <w:vAlign w:val="center"/>
          </w:tcPr>
          <w:p w14:paraId="22FEA3AD" w14:textId="5CC2EAF9" w:rsidR="002302EA" w:rsidRPr="002302EA" w:rsidRDefault="002302EA" w:rsidP="008F14E5">
            <w:pPr>
              <w:spacing w:after="60" w:line="240" w:lineRule="auto"/>
            </w:pPr>
            <w:r w:rsidRPr="002302EA">
              <w:t>No whole-university model in this selected corpus is validated specifically for English public universities.</w:t>
            </w:r>
          </w:p>
        </w:tc>
        <w:tc>
          <w:tcPr>
            <w:tcW w:w="1296" w:type="dxa"/>
            <w:tcBorders>
              <w:top w:val="single" w:sz="4" w:space="0" w:color="D9D9D9"/>
              <w:left w:val="single" w:sz="4" w:space="0" w:color="D9D9D9"/>
              <w:bottom w:val="single" w:sz="4" w:space="0" w:color="D9D9D9"/>
              <w:right w:val="single" w:sz="4" w:space="0" w:color="D9D9D9"/>
            </w:tcBorders>
            <w:shd w:val="clear" w:color="auto" w:fill="FFFFFF"/>
            <w:tcMar>
              <w:top w:w="75" w:type="dxa"/>
              <w:left w:w="75" w:type="dxa"/>
              <w:bottom w:w="75" w:type="dxa"/>
              <w:right w:w="75" w:type="dxa"/>
            </w:tcMar>
            <w:vAlign w:val="center"/>
          </w:tcPr>
          <w:p w14:paraId="1DD9FBBE" w14:textId="77777777" w:rsidR="002302EA" w:rsidRPr="002302EA" w:rsidRDefault="002302EA" w:rsidP="008F14E5">
            <w:pPr>
              <w:spacing w:after="60" w:line="240" w:lineRule="auto"/>
            </w:pPr>
            <w:r w:rsidRPr="002302EA">
              <w:t>RQ1 and RQ4</w:t>
            </w:r>
          </w:p>
        </w:tc>
        <w:tc>
          <w:tcPr>
            <w:tcW w:w="3730" w:type="dxa"/>
            <w:tcBorders>
              <w:top w:val="single" w:sz="4" w:space="0" w:color="D9D9D9"/>
              <w:left w:val="single" w:sz="4" w:space="0" w:color="D9D9D9"/>
              <w:bottom w:val="single" w:sz="4" w:space="0" w:color="D9D9D9"/>
              <w:right w:val="single" w:sz="4" w:space="0" w:color="D9D9D9"/>
            </w:tcBorders>
            <w:shd w:val="clear" w:color="auto" w:fill="FFFFFF"/>
            <w:tcMar>
              <w:top w:w="75" w:type="dxa"/>
              <w:left w:w="75" w:type="dxa"/>
              <w:bottom w:w="75" w:type="dxa"/>
              <w:right w:w="75" w:type="dxa"/>
            </w:tcMar>
            <w:vAlign w:val="center"/>
          </w:tcPr>
          <w:p w14:paraId="4E9B74F9" w14:textId="77777777" w:rsidR="002302EA" w:rsidRPr="002302EA" w:rsidRDefault="002302EA" w:rsidP="008F14E5">
            <w:pPr>
              <w:spacing w:after="60" w:line="240" w:lineRule="auto"/>
            </w:pPr>
            <w:r w:rsidRPr="002302EA">
              <w:t>Compare 6–8 English universities across mission, size and resources.</w:t>
            </w:r>
          </w:p>
        </w:tc>
      </w:tr>
      <w:tr w:rsidR="002302EA" w14:paraId="2EBCD8C3" w14:textId="77777777" w:rsidTr="008F14E5">
        <w:trPr>
          <w:cantSplit/>
          <w:jc w:val="center"/>
        </w:trPr>
        <w:tc>
          <w:tcPr>
            <w:tcW w:w="1872" w:type="dxa"/>
            <w:tcBorders>
              <w:top w:val="single" w:sz="4" w:space="0" w:color="D9D9D9"/>
              <w:left w:val="single" w:sz="4" w:space="0" w:color="D9D9D9"/>
              <w:bottom w:val="single" w:sz="4" w:space="0" w:color="D9D9D9"/>
              <w:right w:val="single" w:sz="4" w:space="0" w:color="D9D9D9"/>
            </w:tcBorders>
            <w:shd w:val="clear" w:color="auto" w:fill="F3F6F8"/>
            <w:tcMar>
              <w:top w:w="75" w:type="dxa"/>
              <w:left w:w="75" w:type="dxa"/>
              <w:bottom w:w="75" w:type="dxa"/>
              <w:right w:w="75" w:type="dxa"/>
            </w:tcMar>
            <w:vAlign w:val="center"/>
          </w:tcPr>
          <w:p w14:paraId="7A618732" w14:textId="77777777" w:rsidR="002302EA" w:rsidRPr="002302EA" w:rsidRDefault="002302EA" w:rsidP="008F14E5">
            <w:pPr>
              <w:spacing w:after="60" w:line="240" w:lineRule="auto"/>
            </w:pPr>
            <w:r w:rsidRPr="002302EA">
              <w:t>Implementation and accountability</w:t>
            </w:r>
          </w:p>
        </w:tc>
        <w:tc>
          <w:tcPr>
            <w:tcW w:w="3168" w:type="dxa"/>
            <w:tcBorders>
              <w:top w:val="single" w:sz="4" w:space="0" w:color="D9D9D9"/>
              <w:left w:val="single" w:sz="4" w:space="0" w:color="D9D9D9"/>
              <w:bottom w:val="single" w:sz="4" w:space="0" w:color="D9D9D9"/>
              <w:right w:val="single" w:sz="4" w:space="0" w:color="D9D9D9"/>
            </w:tcBorders>
            <w:shd w:val="clear" w:color="auto" w:fill="F3F6F8"/>
            <w:tcMar>
              <w:top w:w="75" w:type="dxa"/>
              <w:left w:w="75" w:type="dxa"/>
              <w:bottom w:w="75" w:type="dxa"/>
              <w:right w:w="75" w:type="dxa"/>
            </w:tcMar>
            <w:vAlign w:val="center"/>
          </w:tcPr>
          <w:p w14:paraId="0A8C8A0B" w14:textId="53648980" w:rsidR="002302EA" w:rsidRPr="002302EA" w:rsidRDefault="002302EA" w:rsidP="008F14E5">
            <w:pPr>
              <w:spacing w:after="60" w:line="240" w:lineRule="auto"/>
            </w:pPr>
            <w:r w:rsidRPr="002302EA">
              <w:t xml:space="preserve">Policy analyses describe guidance; </w:t>
            </w:r>
            <w:r w:rsidR="00A55739">
              <w:t>Some studies show</w:t>
            </w:r>
            <w:r w:rsidRPr="002302EA">
              <w:t xml:space="preserve"> differing faculty authority.</w:t>
            </w:r>
          </w:p>
        </w:tc>
        <w:tc>
          <w:tcPr>
            <w:tcW w:w="3744" w:type="dxa"/>
            <w:tcBorders>
              <w:top w:val="single" w:sz="4" w:space="0" w:color="D9D9D9"/>
              <w:left w:val="single" w:sz="4" w:space="0" w:color="D9D9D9"/>
              <w:bottom w:val="single" w:sz="4" w:space="0" w:color="D9D9D9"/>
              <w:right w:val="single" w:sz="4" w:space="0" w:color="D9D9D9"/>
            </w:tcBorders>
            <w:shd w:val="clear" w:color="auto" w:fill="F3F6F8"/>
            <w:tcMar>
              <w:top w:w="75" w:type="dxa"/>
              <w:left w:w="75" w:type="dxa"/>
              <w:bottom w:w="75" w:type="dxa"/>
              <w:right w:w="75" w:type="dxa"/>
            </w:tcMar>
            <w:vAlign w:val="center"/>
          </w:tcPr>
          <w:p w14:paraId="4C988BA8" w14:textId="77777777" w:rsidR="002302EA" w:rsidRPr="002302EA" w:rsidRDefault="002302EA" w:rsidP="008F14E5">
            <w:pPr>
              <w:spacing w:after="60" w:line="240" w:lineRule="auto"/>
            </w:pPr>
            <w:r w:rsidRPr="002302EA">
              <w:t>Which decision rights, escalation routes and resources make policy work remains unresolved.</w:t>
            </w:r>
          </w:p>
        </w:tc>
        <w:tc>
          <w:tcPr>
            <w:tcW w:w="1296" w:type="dxa"/>
            <w:tcBorders>
              <w:top w:val="single" w:sz="4" w:space="0" w:color="D9D9D9"/>
              <w:left w:val="single" w:sz="4" w:space="0" w:color="D9D9D9"/>
              <w:bottom w:val="single" w:sz="4" w:space="0" w:color="D9D9D9"/>
              <w:right w:val="single" w:sz="4" w:space="0" w:color="D9D9D9"/>
            </w:tcBorders>
            <w:shd w:val="clear" w:color="auto" w:fill="F3F6F8"/>
            <w:tcMar>
              <w:top w:w="75" w:type="dxa"/>
              <w:left w:w="75" w:type="dxa"/>
              <w:bottom w:w="75" w:type="dxa"/>
              <w:right w:w="75" w:type="dxa"/>
            </w:tcMar>
            <w:vAlign w:val="center"/>
          </w:tcPr>
          <w:p w14:paraId="133286B3" w14:textId="77777777" w:rsidR="002302EA" w:rsidRPr="002302EA" w:rsidRDefault="002302EA" w:rsidP="008F14E5">
            <w:pPr>
              <w:spacing w:after="60" w:line="240" w:lineRule="auto"/>
            </w:pPr>
            <w:r w:rsidRPr="002302EA">
              <w:t>RQ1 and RQ2</w:t>
            </w:r>
          </w:p>
        </w:tc>
        <w:tc>
          <w:tcPr>
            <w:tcW w:w="3730" w:type="dxa"/>
            <w:tcBorders>
              <w:top w:val="single" w:sz="4" w:space="0" w:color="D9D9D9"/>
              <w:left w:val="single" w:sz="4" w:space="0" w:color="D9D9D9"/>
              <w:bottom w:val="single" w:sz="4" w:space="0" w:color="D9D9D9"/>
              <w:right w:val="single" w:sz="4" w:space="0" w:color="D9D9D9"/>
            </w:tcBorders>
            <w:shd w:val="clear" w:color="auto" w:fill="F3F6F8"/>
            <w:tcMar>
              <w:top w:w="75" w:type="dxa"/>
              <w:left w:w="75" w:type="dxa"/>
              <w:bottom w:w="75" w:type="dxa"/>
              <w:right w:w="75" w:type="dxa"/>
            </w:tcMar>
            <w:vAlign w:val="center"/>
          </w:tcPr>
          <w:p w14:paraId="14662C44" w14:textId="77777777" w:rsidR="002302EA" w:rsidRPr="002302EA" w:rsidRDefault="002302EA" w:rsidP="008F14E5">
            <w:pPr>
              <w:spacing w:after="60" w:line="240" w:lineRule="auto"/>
            </w:pPr>
            <w:r w:rsidRPr="002302EA">
              <w:t>Triangulate policies, interviews, minutes and approval records.</w:t>
            </w:r>
          </w:p>
        </w:tc>
      </w:tr>
      <w:tr w:rsidR="002302EA" w14:paraId="27934736" w14:textId="77777777" w:rsidTr="008F14E5">
        <w:trPr>
          <w:cantSplit/>
          <w:jc w:val="center"/>
        </w:trPr>
        <w:tc>
          <w:tcPr>
            <w:tcW w:w="1872" w:type="dxa"/>
            <w:tcBorders>
              <w:top w:val="single" w:sz="4" w:space="0" w:color="D9D9D9"/>
              <w:left w:val="single" w:sz="4" w:space="0" w:color="D9D9D9"/>
              <w:bottom w:val="single" w:sz="4" w:space="0" w:color="D9D9D9"/>
              <w:right w:val="single" w:sz="4" w:space="0" w:color="D9D9D9"/>
            </w:tcBorders>
            <w:shd w:val="clear" w:color="auto" w:fill="FFFFFF"/>
            <w:tcMar>
              <w:top w:w="75" w:type="dxa"/>
              <w:left w:w="75" w:type="dxa"/>
              <w:bottom w:w="75" w:type="dxa"/>
              <w:right w:w="75" w:type="dxa"/>
            </w:tcMar>
            <w:vAlign w:val="center"/>
          </w:tcPr>
          <w:p w14:paraId="1DD48330" w14:textId="77777777" w:rsidR="002302EA" w:rsidRPr="002302EA" w:rsidRDefault="002302EA" w:rsidP="008F14E5">
            <w:pPr>
              <w:spacing w:after="60" w:line="240" w:lineRule="auto"/>
            </w:pPr>
            <w:r w:rsidRPr="002302EA">
              <w:t>Operational ethical controls</w:t>
            </w:r>
          </w:p>
        </w:tc>
        <w:tc>
          <w:tcPr>
            <w:tcW w:w="3168" w:type="dxa"/>
            <w:tcBorders>
              <w:top w:val="single" w:sz="4" w:space="0" w:color="D9D9D9"/>
              <w:left w:val="single" w:sz="4" w:space="0" w:color="D9D9D9"/>
              <w:bottom w:val="single" w:sz="4" w:space="0" w:color="D9D9D9"/>
              <w:right w:val="single" w:sz="4" w:space="0" w:color="D9D9D9"/>
            </w:tcBorders>
            <w:shd w:val="clear" w:color="auto" w:fill="FFFFFF"/>
            <w:tcMar>
              <w:top w:w="75" w:type="dxa"/>
              <w:left w:w="75" w:type="dxa"/>
              <w:bottom w:w="75" w:type="dxa"/>
              <w:right w:w="75" w:type="dxa"/>
            </w:tcMar>
            <w:vAlign w:val="center"/>
          </w:tcPr>
          <w:p w14:paraId="7CB993D0" w14:textId="6C8B4061" w:rsidR="002302EA" w:rsidRPr="002302EA" w:rsidRDefault="00A55739" w:rsidP="008F14E5">
            <w:pPr>
              <w:spacing w:after="60" w:line="240" w:lineRule="auto"/>
            </w:pPr>
            <w:r>
              <w:t xml:space="preserve">Some studies </w:t>
            </w:r>
            <w:r w:rsidR="002302EA" w:rsidRPr="002302EA">
              <w:t xml:space="preserve">test executable gates; </w:t>
            </w:r>
            <w:r>
              <w:t xml:space="preserve">Other studies </w:t>
            </w:r>
            <w:r w:rsidR="00D20C44">
              <w:t>validate</w:t>
            </w:r>
            <w:r w:rsidR="002302EA" w:rsidRPr="002302EA">
              <w:t xml:space="preserve"> </w:t>
            </w:r>
            <w:r w:rsidR="00D20C44">
              <w:t xml:space="preserve">the </w:t>
            </w:r>
            <w:r w:rsidR="002302EA" w:rsidRPr="002302EA">
              <w:t>method with experts.</w:t>
            </w:r>
          </w:p>
        </w:tc>
        <w:tc>
          <w:tcPr>
            <w:tcW w:w="3744" w:type="dxa"/>
            <w:tcBorders>
              <w:top w:val="single" w:sz="4" w:space="0" w:color="D9D9D9"/>
              <w:left w:val="single" w:sz="4" w:space="0" w:color="D9D9D9"/>
              <w:bottom w:val="single" w:sz="4" w:space="0" w:color="D9D9D9"/>
              <w:right w:val="single" w:sz="4" w:space="0" w:color="D9D9D9"/>
            </w:tcBorders>
            <w:shd w:val="clear" w:color="auto" w:fill="FFFFFF"/>
            <w:tcMar>
              <w:top w:w="75" w:type="dxa"/>
              <w:left w:w="75" w:type="dxa"/>
              <w:bottom w:w="75" w:type="dxa"/>
              <w:right w:w="75" w:type="dxa"/>
            </w:tcMar>
            <w:vAlign w:val="center"/>
          </w:tcPr>
          <w:p w14:paraId="7668886C" w14:textId="77777777" w:rsidR="002302EA" w:rsidRPr="002302EA" w:rsidRDefault="002302EA" w:rsidP="008F14E5">
            <w:pPr>
              <w:spacing w:after="60" w:line="240" w:lineRule="auto"/>
            </w:pPr>
            <w:r w:rsidRPr="002302EA">
              <w:t>Technical and content validation do not establish sustained organisational effectiveness.</w:t>
            </w:r>
          </w:p>
        </w:tc>
        <w:tc>
          <w:tcPr>
            <w:tcW w:w="1296" w:type="dxa"/>
            <w:tcBorders>
              <w:top w:val="single" w:sz="4" w:space="0" w:color="D9D9D9"/>
              <w:left w:val="single" w:sz="4" w:space="0" w:color="D9D9D9"/>
              <w:bottom w:val="single" w:sz="4" w:space="0" w:color="D9D9D9"/>
              <w:right w:val="single" w:sz="4" w:space="0" w:color="D9D9D9"/>
            </w:tcBorders>
            <w:shd w:val="clear" w:color="auto" w:fill="FFFFFF"/>
            <w:tcMar>
              <w:top w:w="75" w:type="dxa"/>
              <w:left w:w="75" w:type="dxa"/>
              <w:bottom w:w="75" w:type="dxa"/>
              <w:right w:w="75" w:type="dxa"/>
            </w:tcMar>
            <w:vAlign w:val="center"/>
          </w:tcPr>
          <w:p w14:paraId="23468CCD" w14:textId="77777777" w:rsidR="002302EA" w:rsidRPr="002302EA" w:rsidRDefault="002302EA" w:rsidP="008F14E5">
            <w:pPr>
              <w:spacing w:after="60" w:line="240" w:lineRule="auto"/>
            </w:pPr>
            <w:r w:rsidRPr="002302EA">
              <w:t>RQ2 and RQ5</w:t>
            </w:r>
          </w:p>
        </w:tc>
        <w:tc>
          <w:tcPr>
            <w:tcW w:w="3730" w:type="dxa"/>
            <w:tcBorders>
              <w:top w:val="single" w:sz="4" w:space="0" w:color="D9D9D9"/>
              <w:left w:val="single" w:sz="4" w:space="0" w:color="D9D9D9"/>
              <w:bottom w:val="single" w:sz="4" w:space="0" w:color="D9D9D9"/>
              <w:right w:val="single" w:sz="4" w:space="0" w:color="D9D9D9"/>
            </w:tcBorders>
            <w:shd w:val="clear" w:color="auto" w:fill="FFFFFF"/>
            <w:tcMar>
              <w:top w:w="75" w:type="dxa"/>
              <w:left w:w="75" w:type="dxa"/>
              <w:bottom w:w="75" w:type="dxa"/>
              <w:right w:w="75" w:type="dxa"/>
            </w:tcMar>
            <w:vAlign w:val="center"/>
          </w:tcPr>
          <w:p w14:paraId="649447CC" w14:textId="77777777" w:rsidR="002302EA" w:rsidRPr="002302EA" w:rsidRDefault="002302EA" w:rsidP="008F14E5">
            <w:pPr>
              <w:spacing w:after="60" w:line="240" w:lineRule="auto"/>
            </w:pPr>
            <w:r w:rsidRPr="002302EA">
              <w:t>Pilot controls; track audit completeness, exceptions and corrective actions.</w:t>
            </w:r>
          </w:p>
        </w:tc>
      </w:tr>
      <w:tr w:rsidR="002302EA" w14:paraId="2AAEB77F" w14:textId="77777777" w:rsidTr="008F14E5">
        <w:trPr>
          <w:cantSplit/>
          <w:jc w:val="center"/>
        </w:trPr>
        <w:tc>
          <w:tcPr>
            <w:tcW w:w="1872" w:type="dxa"/>
            <w:tcBorders>
              <w:top w:val="single" w:sz="4" w:space="0" w:color="D9D9D9"/>
              <w:left w:val="single" w:sz="4" w:space="0" w:color="D9D9D9"/>
              <w:bottom w:val="single" w:sz="4" w:space="0" w:color="D9D9D9"/>
              <w:right w:val="single" w:sz="4" w:space="0" w:color="D9D9D9"/>
            </w:tcBorders>
            <w:shd w:val="clear" w:color="auto" w:fill="F3F6F8"/>
            <w:tcMar>
              <w:top w:w="75" w:type="dxa"/>
              <w:left w:w="75" w:type="dxa"/>
              <w:bottom w:w="75" w:type="dxa"/>
              <w:right w:w="75" w:type="dxa"/>
            </w:tcMar>
            <w:vAlign w:val="center"/>
          </w:tcPr>
          <w:p w14:paraId="581F9DE2" w14:textId="77777777" w:rsidR="002302EA" w:rsidRPr="002302EA" w:rsidRDefault="002302EA" w:rsidP="008F14E5">
            <w:pPr>
              <w:spacing w:after="60" w:line="240" w:lineRule="auto"/>
            </w:pPr>
            <w:r w:rsidRPr="002302EA">
              <w:t>Participation and equity</w:t>
            </w:r>
          </w:p>
        </w:tc>
        <w:tc>
          <w:tcPr>
            <w:tcW w:w="3168" w:type="dxa"/>
            <w:tcBorders>
              <w:top w:val="single" w:sz="4" w:space="0" w:color="D9D9D9"/>
              <w:left w:val="single" w:sz="4" w:space="0" w:color="D9D9D9"/>
              <w:bottom w:val="single" w:sz="4" w:space="0" w:color="D9D9D9"/>
              <w:right w:val="single" w:sz="4" w:space="0" w:color="D9D9D9"/>
            </w:tcBorders>
            <w:shd w:val="clear" w:color="auto" w:fill="F3F6F8"/>
            <w:tcMar>
              <w:top w:w="75" w:type="dxa"/>
              <w:left w:w="75" w:type="dxa"/>
              <w:bottom w:w="75" w:type="dxa"/>
              <w:right w:w="75" w:type="dxa"/>
            </w:tcMar>
            <w:vAlign w:val="center"/>
          </w:tcPr>
          <w:p w14:paraId="4FF8DAF1" w14:textId="57129555" w:rsidR="002302EA" w:rsidRPr="002302EA" w:rsidRDefault="002302EA" w:rsidP="008F14E5">
            <w:pPr>
              <w:spacing w:after="60" w:line="240" w:lineRule="auto"/>
            </w:pPr>
            <w:r w:rsidRPr="002302EA">
              <w:t xml:space="preserve">Student evidence requests guidance; </w:t>
            </w:r>
            <w:r w:rsidR="00D20C44">
              <w:t>S</w:t>
            </w:r>
            <w:r w:rsidRPr="002302EA">
              <w:t>taff evidence</w:t>
            </w:r>
            <w:r w:rsidR="00D20C44">
              <w:t xml:space="preserve"> </w:t>
            </w:r>
            <w:r w:rsidRPr="002302EA">
              <w:t>identifies inconsistency.</w:t>
            </w:r>
          </w:p>
        </w:tc>
        <w:tc>
          <w:tcPr>
            <w:tcW w:w="3744" w:type="dxa"/>
            <w:tcBorders>
              <w:top w:val="single" w:sz="4" w:space="0" w:color="D9D9D9"/>
              <w:left w:val="single" w:sz="4" w:space="0" w:color="D9D9D9"/>
              <w:bottom w:val="single" w:sz="4" w:space="0" w:color="D9D9D9"/>
              <w:right w:val="single" w:sz="4" w:space="0" w:color="D9D9D9"/>
            </w:tcBorders>
            <w:shd w:val="clear" w:color="auto" w:fill="F3F6F8"/>
            <w:tcMar>
              <w:top w:w="75" w:type="dxa"/>
              <w:left w:w="75" w:type="dxa"/>
              <w:bottom w:w="75" w:type="dxa"/>
              <w:right w:w="75" w:type="dxa"/>
            </w:tcMar>
            <w:vAlign w:val="center"/>
          </w:tcPr>
          <w:p w14:paraId="18F42259" w14:textId="77777777" w:rsidR="002302EA" w:rsidRPr="002302EA" w:rsidRDefault="002302EA" w:rsidP="008F14E5">
            <w:pPr>
              <w:spacing w:after="60" w:line="240" w:lineRule="auto"/>
            </w:pPr>
            <w:r w:rsidRPr="002302EA">
              <w:t>Limited evidence on participation changing decisions or distributing benefits fairly.</w:t>
            </w:r>
          </w:p>
        </w:tc>
        <w:tc>
          <w:tcPr>
            <w:tcW w:w="1296" w:type="dxa"/>
            <w:tcBorders>
              <w:top w:val="single" w:sz="4" w:space="0" w:color="D9D9D9"/>
              <w:left w:val="single" w:sz="4" w:space="0" w:color="D9D9D9"/>
              <w:bottom w:val="single" w:sz="4" w:space="0" w:color="D9D9D9"/>
              <w:right w:val="single" w:sz="4" w:space="0" w:color="D9D9D9"/>
            </w:tcBorders>
            <w:shd w:val="clear" w:color="auto" w:fill="F3F6F8"/>
            <w:tcMar>
              <w:top w:w="75" w:type="dxa"/>
              <w:left w:w="75" w:type="dxa"/>
              <w:bottom w:w="75" w:type="dxa"/>
              <w:right w:w="75" w:type="dxa"/>
            </w:tcMar>
            <w:vAlign w:val="center"/>
          </w:tcPr>
          <w:p w14:paraId="68D67F28" w14:textId="77777777" w:rsidR="002302EA" w:rsidRPr="002302EA" w:rsidRDefault="002302EA" w:rsidP="008F14E5">
            <w:pPr>
              <w:spacing w:after="60" w:line="240" w:lineRule="auto"/>
            </w:pPr>
            <w:r w:rsidRPr="002302EA">
              <w:t>RQ3 and RQ5</w:t>
            </w:r>
          </w:p>
        </w:tc>
        <w:tc>
          <w:tcPr>
            <w:tcW w:w="3730" w:type="dxa"/>
            <w:tcBorders>
              <w:top w:val="single" w:sz="4" w:space="0" w:color="D9D9D9"/>
              <w:left w:val="single" w:sz="4" w:space="0" w:color="D9D9D9"/>
              <w:bottom w:val="single" w:sz="4" w:space="0" w:color="D9D9D9"/>
              <w:right w:val="single" w:sz="4" w:space="0" w:color="D9D9D9"/>
            </w:tcBorders>
            <w:shd w:val="clear" w:color="auto" w:fill="F3F6F8"/>
            <w:tcMar>
              <w:top w:w="75" w:type="dxa"/>
              <w:left w:w="75" w:type="dxa"/>
              <w:bottom w:w="75" w:type="dxa"/>
              <w:right w:w="75" w:type="dxa"/>
            </w:tcMar>
            <w:vAlign w:val="center"/>
          </w:tcPr>
          <w:p w14:paraId="07D8FEAC" w14:textId="77777777" w:rsidR="002302EA" w:rsidRPr="002302EA" w:rsidRDefault="002302EA" w:rsidP="008F14E5">
            <w:pPr>
              <w:spacing w:after="60" w:line="240" w:lineRule="auto"/>
            </w:pPr>
            <w:r w:rsidRPr="002302EA">
              <w:t>Include affected groups; examine accessibility, access costs and appeals.</w:t>
            </w:r>
          </w:p>
        </w:tc>
      </w:tr>
      <w:tr w:rsidR="002302EA" w14:paraId="4186958F" w14:textId="77777777" w:rsidTr="008F14E5">
        <w:trPr>
          <w:cantSplit/>
          <w:jc w:val="center"/>
        </w:trPr>
        <w:tc>
          <w:tcPr>
            <w:tcW w:w="1872" w:type="dxa"/>
            <w:tcBorders>
              <w:top w:val="single" w:sz="4" w:space="0" w:color="D9D9D9"/>
              <w:left w:val="single" w:sz="4" w:space="0" w:color="D9D9D9"/>
              <w:bottom w:val="single" w:sz="4" w:space="0" w:color="D9D9D9"/>
              <w:right w:val="single" w:sz="4" w:space="0" w:color="D9D9D9"/>
            </w:tcBorders>
            <w:shd w:val="clear" w:color="auto" w:fill="FFFFFF"/>
            <w:tcMar>
              <w:top w:w="75" w:type="dxa"/>
              <w:left w:w="75" w:type="dxa"/>
              <w:bottom w:w="75" w:type="dxa"/>
              <w:right w:w="75" w:type="dxa"/>
            </w:tcMar>
            <w:vAlign w:val="center"/>
          </w:tcPr>
          <w:p w14:paraId="0BC240A8" w14:textId="77777777" w:rsidR="002302EA" w:rsidRPr="002302EA" w:rsidRDefault="002302EA" w:rsidP="008F14E5">
            <w:pPr>
              <w:spacing w:after="60" w:line="240" w:lineRule="auto"/>
            </w:pPr>
            <w:r w:rsidRPr="002302EA">
              <w:t>Whole-university coverage</w:t>
            </w:r>
          </w:p>
        </w:tc>
        <w:tc>
          <w:tcPr>
            <w:tcW w:w="3168" w:type="dxa"/>
            <w:tcBorders>
              <w:top w:val="single" w:sz="4" w:space="0" w:color="D9D9D9"/>
              <w:left w:val="single" w:sz="4" w:space="0" w:color="D9D9D9"/>
              <w:bottom w:val="single" w:sz="4" w:space="0" w:color="D9D9D9"/>
              <w:right w:val="single" w:sz="4" w:space="0" w:color="D9D9D9"/>
            </w:tcBorders>
            <w:shd w:val="clear" w:color="auto" w:fill="FFFFFF"/>
            <w:tcMar>
              <w:top w:w="75" w:type="dxa"/>
              <w:left w:w="75" w:type="dxa"/>
              <w:bottom w:w="75" w:type="dxa"/>
              <w:right w:w="75" w:type="dxa"/>
            </w:tcMar>
            <w:vAlign w:val="center"/>
          </w:tcPr>
          <w:p w14:paraId="36372561" w14:textId="39CEA107" w:rsidR="002302EA" w:rsidRPr="002302EA" w:rsidRDefault="004B7EB9" w:rsidP="008F14E5">
            <w:pPr>
              <w:spacing w:after="60" w:line="240" w:lineRule="auto"/>
            </w:pPr>
            <w:r>
              <w:t>Some studies identify</w:t>
            </w:r>
            <w:r w:rsidR="002302EA" w:rsidRPr="002302EA">
              <w:t xml:space="preserve"> weak research and administrative guidance; </w:t>
            </w:r>
            <w:r>
              <w:t>Other studies</w:t>
            </w:r>
            <w:r w:rsidR="002302EA" w:rsidRPr="002302EA">
              <w:t xml:space="preserve"> </w:t>
            </w:r>
            <w:r>
              <w:t>broaden</w:t>
            </w:r>
            <w:r w:rsidR="002302EA" w:rsidRPr="002302EA">
              <w:t xml:space="preserve"> student activities.</w:t>
            </w:r>
          </w:p>
        </w:tc>
        <w:tc>
          <w:tcPr>
            <w:tcW w:w="3744" w:type="dxa"/>
            <w:tcBorders>
              <w:top w:val="single" w:sz="4" w:space="0" w:color="D9D9D9"/>
              <w:left w:val="single" w:sz="4" w:space="0" w:color="D9D9D9"/>
              <w:bottom w:val="single" w:sz="4" w:space="0" w:color="D9D9D9"/>
              <w:right w:val="single" w:sz="4" w:space="0" w:color="D9D9D9"/>
            </w:tcBorders>
            <w:shd w:val="clear" w:color="auto" w:fill="FFFFFF"/>
            <w:tcMar>
              <w:top w:w="75" w:type="dxa"/>
              <w:left w:w="75" w:type="dxa"/>
              <w:bottom w:w="75" w:type="dxa"/>
              <w:right w:w="75" w:type="dxa"/>
            </w:tcMar>
            <w:vAlign w:val="center"/>
          </w:tcPr>
          <w:p w14:paraId="7CA1C47D" w14:textId="77777777" w:rsidR="002302EA" w:rsidRPr="002302EA" w:rsidRDefault="002302EA" w:rsidP="008F14E5">
            <w:pPr>
              <w:spacing w:after="60" w:line="240" w:lineRule="auto"/>
            </w:pPr>
            <w:r w:rsidRPr="002302EA">
              <w:t>An integrated model for teaching, research, procurement and administration needs testing.</w:t>
            </w:r>
          </w:p>
        </w:tc>
        <w:tc>
          <w:tcPr>
            <w:tcW w:w="1296" w:type="dxa"/>
            <w:tcBorders>
              <w:top w:val="single" w:sz="4" w:space="0" w:color="D9D9D9"/>
              <w:left w:val="single" w:sz="4" w:space="0" w:color="D9D9D9"/>
              <w:bottom w:val="single" w:sz="4" w:space="0" w:color="D9D9D9"/>
              <w:right w:val="single" w:sz="4" w:space="0" w:color="D9D9D9"/>
            </w:tcBorders>
            <w:shd w:val="clear" w:color="auto" w:fill="FFFFFF"/>
            <w:tcMar>
              <w:top w:w="75" w:type="dxa"/>
              <w:left w:w="75" w:type="dxa"/>
              <w:bottom w:w="75" w:type="dxa"/>
              <w:right w:w="75" w:type="dxa"/>
            </w:tcMar>
            <w:vAlign w:val="center"/>
          </w:tcPr>
          <w:p w14:paraId="64FBEFD6" w14:textId="77777777" w:rsidR="002302EA" w:rsidRPr="002302EA" w:rsidRDefault="002302EA" w:rsidP="008F14E5">
            <w:pPr>
              <w:spacing w:after="60" w:line="240" w:lineRule="auto"/>
            </w:pPr>
            <w:r w:rsidRPr="002302EA">
              <w:t>RQ2 and RQ4</w:t>
            </w:r>
          </w:p>
        </w:tc>
        <w:tc>
          <w:tcPr>
            <w:tcW w:w="3730" w:type="dxa"/>
            <w:tcBorders>
              <w:top w:val="single" w:sz="4" w:space="0" w:color="D9D9D9"/>
              <w:left w:val="single" w:sz="4" w:space="0" w:color="D9D9D9"/>
              <w:bottom w:val="single" w:sz="4" w:space="0" w:color="D9D9D9"/>
              <w:right w:val="single" w:sz="4" w:space="0" w:color="D9D9D9"/>
            </w:tcBorders>
            <w:shd w:val="clear" w:color="auto" w:fill="FFFFFF"/>
            <w:tcMar>
              <w:top w:w="75" w:type="dxa"/>
              <w:left w:w="75" w:type="dxa"/>
              <w:bottom w:w="75" w:type="dxa"/>
              <w:right w:w="75" w:type="dxa"/>
            </w:tcMar>
            <w:vAlign w:val="center"/>
          </w:tcPr>
          <w:p w14:paraId="302CCB78" w14:textId="77777777" w:rsidR="002302EA" w:rsidRPr="002302EA" w:rsidRDefault="002302EA" w:rsidP="008F14E5">
            <w:pPr>
              <w:spacing w:after="60" w:line="240" w:lineRule="auto"/>
            </w:pPr>
            <w:r w:rsidRPr="002302EA">
              <w:t>Sample GenAI and predictive AI; assess suppliers, data handling and oversight.</w:t>
            </w:r>
          </w:p>
        </w:tc>
      </w:tr>
      <w:tr w:rsidR="002302EA" w14:paraId="3279B925" w14:textId="77777777" w:rsidTr="008F14E5">
        <w:trPr>
          <w:cantSplit/>
          <w:jc w:val="center"/>
        </w:trPr>
        <w:tc>
          <w:tcPr>
            <w:tcW w:w="1872" w:type="dxa"/>
            <w:tcBorders>
              <w:top w:val="single" w:sz="4" w:space="0" w:color="D9D9D9"/>
              <w:left w:val="single" w:sz="4" w:space="0" w:color="D9D9D9"/>
              <w:bottom w:val="single" w:sz="4" w:space="0" w:color="D9D9D9"/>
              <w:right w:val="single" w:sz="4" w:space="0" w:color="D9D9D9"/>
            </w:tcBorders>
            <w:shd w:val="clear" w:color="auto" w:fill="F3F6F8"/>
            <w:tcMar>
              <w:top w:w="75" w:type="dxa"/>
              <w:left w:w="75" w:type="dxa"/>
              <w:bottom w:w="75" w:type="dxa"/>
              <w:right w:w="75" w:type="dxa"/>
            </w:tcMar>
            <w:vAlign w:val="center"/>
          </w:tcPr>
          <w:p w14:paraId="6324560E" w14:textId="77777777" w:rsidR="002302EA" w:rsidRPr="002302EA" w:rsidRDefault="002302EA" w:rsidP="008F14E5">
            <w:pPr>
              <w:spacing w:after="60" w:line="240" w:lineRule="auto"/>
            </w:pPr>
            <w:r w:rsidRPr="002302EA">
              <w:t>Longitudinal outcomes</w:t>
            </w:r>
          </w:p>
        </w:tc>
        <w:tc>
          <w:tcPr>
            <w:tcW w:w="3168" w:type="dxa"/>
            <w:tcBorders>
              <w:top w:val="single" w:sz="4" w:space="0" w:color="D9D9D9"/>
              <w:left w:val="single" w:sz="4" w:space="0" w:color="D9D9D9"/>
              <w:bottom w:val="single" w:sz="4" w:space="0" w:color="D9D9D9"/>
              <w:right w:val="single" w:sz="4" w:space="0" w:color="D9D9D9"/>
            </w:tcBorders>
            <w:shd w:val="clear" w:color="auto" w:fill="F3F6F8"/>
            <w:tcMar>
              <w:top w:w="75" w:type="dxa"/>
              <w:left w:w="75" w:type="dxa"/>
              <w:bottom w:w="75" w:type="dxa"/>
              <w:right w:w="75" w:type="dxa"/>
            </w:tcMar>
            <w:vAlign w:val="center"/>
          </w:tcPr>
          <w:p w14:paraId="04063F64" w14:textId="75722B2B" w:rsidR="002302EA" w:rsidRPr="002302EA" w:rsidRDefault="004B7EB9" w:rsidP="008F14E5">
            <w:pPr>
              <w:spacing w:after="60" w:line="240" w:lineRule="auto"/>
            </w:pPr>
            <w:r>
              <w:t>Some studies</w:t>
            </w:r>
            <w:r w:rsidR="002302EA" w:rsidRPr="002302EA">
              <w:t xml:space="preserve"> </w:t>
            </w:r>
            <w:r>
              <w:t xml:space="preserve">focus on </w:t>
            </w:r>
            <w:r w:rsidR="002302EA" w:rsidRPr="002302EA">
              <w:t xml:space="preserve">policies or perceptions; </w:t>
            </w:r>
            <w:r>
              <w:t>Others</w:t>
            </w:r>
            <w:r w:rsidR="002302EA" w:rsidRPr="002302EA">
              <w:t xml:space="preserve"> offer technical, </w:t>
            </w:r>
            <w:r w:rsidR="002302EA">
              <w:t>methodological,</w:t>
            </w:r>
            <w:r w:rsidR="002302EA" w:rsidRPr="002302EA">
              <w:t xml:space="preserve"> or conceptual contributions.</w:t>
            </w:r>
          </w:p>
        </w:tc>
        <w:tc>
          <w:tcPr>
            <w:tcW w:w="3744" w:type="dxa"/>
            <w:tcBorders>
              <w:top w:val="single" w:sz="4" w:space="0" w:color="D9D9D9"/>
              <w:left w:val="single" w:sz="4" w:space="0" w:color="D9D9D9"/>
              <w:bottom w:val="single" w:sz="4" w:space="0" w:color="D9D9D9"/>
              <w:right w:val="single" w:sz="4" w:space="0" w:color="D9D9D9"/>
            </w:tcBorders>
            <w:shd w:val="clear" w:color="auto" w:fill="F3F6F8"/>
            <w:tcMar>
              <w:top w:w="75" w:type="dxa"/>
              <w:left w:w="75" w:type="dxa"/>
              <w:bottom w:w="75" w:type="dxa"/>
              <w:right w:w="75" w:type="dxa"/>
            </w:tcMar>
            <w:vAlign w:val="center"/>
          </w:tcPr>
          <w:p w14:paraId="7EBA8CCE" w14:textId="77777777" w:rsidR="002302EA" w:rsidRPr="002302EA" w:rsidRDefault="002302EA" w:rsidP="008F14E5">
            <w:pPr>
              <w:spacing w:after="60" w:line="240" w:lineRule="auto"/>
            </w:pPr>
            <w:r w:rsidRPr="002302EA">
              <w:t>Longitudinal and causal outcome evidence is limited in this selection.</w:t>
            </w:r>
          </w:p>
        </w:tc>
        <w:tc>
          <w:tcPr>
            <w:tcW w:w="1296" w:type="dxa"/>
            <w:tcBorders>
              <w:top w:val="single" w:sz="4" w:space="0" w:color="D9D9D9"/>
              <w:left w:val="single" w:sz="4" w:space="0" w:color="D9D9D9"/>
              <w:bottom w:val="single" w:sz="4" w:space="0" w:color="D9D9D9"/>
              <w:right w:val="single" w:sz="4" w:space="0" w:color="D9D9D9"/>
            </w:tcBorders>
            <w:shd w:val="clear" w:color="auto" w:fill="F3F6F8"/>
            <w:tcMar>
              <w:top w:w="75" w:type="dxa"/>
              <w:left w:w="75" w:type="dxa"/>
              <w:bottom w:w="75" w:type="dxa"/>
              <w:right w:w="75" w:type="dxa"/>
            </w:tcMar>
            <w:vAlign w:val="center"/>
          </w:tcPr>
          <w:p w14:paraId="55B8C4DA" w14:textId="77777777" w:rsidR="002302EA" w:rsidRPr="002302EA" w:rsidRDefault="002302EA" w:rsidP="008F14E5">
            <w:pPr>
              <w:spacing w:after="60" w:line="240" w:lineRule="auto"/>
            </w:pPr>
            <w:r w:rsidRPr="002302EA">
              <w:t>RQ5</w:t>
            </w:r>
          </w:p>
        </w:tc>
        <w:tc>
          <w:tcPr>
            <w:tcW w:w="3730" w:type="dxa"/>
            <w:tcBorders>
              <w:top w:val="single" w:sz="4" w:space="0" w:color="D9D9D9"/>
              <w:left w:val="single" w:sz="4" w:space="0" w:color="D9D9D9"/>
              <w:bottom w:val="single" w:sz="4" w:space="0" w:color="D9D9D9"/>
              <w:right w:val="single" w:sz="4" w:space="0" w:color="D9D9D9"/>
            </w:tcBorders>
            <w:shd w:val="clear" w:color="auto" w:fill="F3F6F8"/>
            <w:tcMar>
              <w:top w:w="75" w:type="dxa"/>
              <w:left w:w="75" w:type="dxa"/>
              <w:bottom w:w="75" w:type="dxa"/>
              <w:right w:w="75" w:type="dxa"/>
            </w:tcMar>
            <w:vAlign w:val="center"/>
          </w:tcPr>
          <w:p w14:paraId="2C64CF84" w14:textId="01429685" w:rsidR="002302EA" w:rsidRPr="002302EA" w:rsidRDefault="002302EA" w:rsidP="008F14E5">
            <w:pPr>
              <w:spacing w:after="60" w:line="240" w:lineRule="auto"/>
            </w:pPr>
            <w:r w:rsidRPr="002302EA">
              <w:t>Collect baseline and 6–12-month follow-up evidence with comparison cases.</w:t>
            </w:r>
          </w:p>
        </w:tc>
      </w:tr>
    </w:tbl>
    <w:p w14:paraId="3EC67681" w14:textId="77777777" w:rsidR="00E53241" w:rsidRDefault="00E53241">
      <w:pPr>
        <w:rPr>
          <w:rFonts w:ascii="Calibri" w:hAnsi="Calibri" w:cs="Calibri"/>
          <w:b/>
          <w:color w:val="5B9BD5" w:themeColor="accent5"/>
          <w:sz w:val="52"/>
          <w:szCs w:val="5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p>
    <w:p w14:paraId="6E619428" w14:textId="3AC38A66" w:rsidR="001E052D" w:rsidRDefault="00BB5172">
      <w:pPr>
        <w:rPr>
          <w:rFonts w:ascii="Calibri" w:hAnsi="Calibri" w:cs="Calibri"/>
          <w:b/>
          <w:color w:val="5B9BD5" w:themeColor="accent5"/>
          <w:sz w:val="52"/>
          <w:szCs w:val="5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sidRPr="00BB5172">
        <w:rPr>
          <w:rFonts w:ascii="Calibri" w:hAnsi="Calibri" w:cs="Calibri"/>
          <w:b/>
          <w:noProof/>
          <w:color w:val="5B9BD5" w:themeColor="accent5"/>
          <w:sz w:val="52"/>
          <w:szCs w:val="5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lastRenderedPageBreak/>
        <w:drawing>
          <wp:inline distT="0" distB="0" distL="0" distR="0" wp14:anchorId="4396643F" wp14:editId="7B908C5D">
            <wp:extent cx="4854361" cy="5197290"/>
            <wp:effectExtent l="0" t="0" r="3810" b="3810"/>
            <wp:docPr id="19851743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5174324" name=""/>
                    <pic:cNvPicPr/>
                  </pic:nvPicPr>
                  <pic:blipFill>
                    <a:blip r:embed="rId10"/>
                    <a:stretch>
                      <a:fillRect/>
                    </a:stretch>
                  </pic:blipFill>
                  <pic:spPr>
                    <a:xfrm>
                      <a:off x="0" y="0"/>
                      <a:ext cx="4854361" cy="5197290"/>
                    </a:xfrm>
                    <a:prstGeom prst="rect">
                      <a:avLst/>
                    </a:prstGeom>
                  </pic:spPr>
                </pic:pic>
              </a:graphicData>
            </a:graphic>
          </wp:inline>
        </w:drawing>
      </w:r>
      <w:r w:rsidR="00B83EE3">
        <w:rPr>
          <w:rFonts w:ascii="Calibri" w:hAnsi="Calibri" w:cs="Calibri"/>
          <w:b/>
          <w:color w:val="5B9BD5" w:themeColor="accent5"/>
          <w:sz w:val="52"/>
          <w:szCs w:val="5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 xml:space="preserve"> - Source: Barus, et al., 2025</w:t>
      </w:r>
    </w:p>
    <w:p w14:paraId="7F0FD0AC" w14:textId="6111B19B" w:rsidR="00E26BF5" w:rsidRDefault="00E26BF5">
      <w:pPr>
        <w:rPr>
          <w:rFonts w:ascii="Calibri" w:hAnsi="Calibri" w:cs="Calibri"/>
          <w:b/>
          <w:color w:val="5B9BD5" w:themeColor="accent5"/>
          <w:sz w:val="52"/>
          <w:szCs w:val="5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Pr>
          <w:noProof/>
        </w:rPr>
        <w:lastRenderedPageBreak/>
        <w:drawing>
          <wp:inline distT="0" distB="0" distL="0" distR="0" wp14:anchorId="7ED76677" wp14:editId="1864CDE8">
            <wp:extent cx="8863330" cy="4495632"/>
            <wp:effectExtent l="0" t="0" r="0" b="63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8863330" cy="4495632"/>
                    </a:xfrm>
                    <a:prstGeom prst="rect">
                      <a:avLst/>
                    </a:prstGeom>
                    <a:noFill/>
                    <a:ln>
                      <a:noFill/>
                    </a:ln>
                  </pic:spPr>
                </pic:pic>
              </a:graphicData>
            </a:graphic>
          </wp:inline>
        </w:drawing>
      </w:r>
    </w:p>
    <w:p w14:paraId="0192D581" w14:textId="113F967C" w:rsidR="00E26BF5" w:rsidRDefault="00E26BF5">
      <w:pPr>
        <w:rPr>
          <w:rFonts w:ascii="Calibri" w:hAnsi="Calibri" w:cs="Calibri"/>
          <w:b/>
          <w:color w:val="5B9BD5" w:themeColor="accent5"/>
          <w:sz w:val="52"/>
          <w:szCs w:val="5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Pr>
          <w:rFonts w:ascii="Calibri" w:hAnsi="Calibri" w:cs="Calibri"/>
          <w:b/>
          <w:color w:val="5B9BD5" w:themeColor="accent5"/>
          <w:sz w:val="52"/>
          <w:szCs w:val="5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Source: Evangelista and Bu</w:t>
      </w:r>
      <w:r w:rsidR="00E42BDA">
        <w:rPr>
          <w:rFonts w:ascii="Calibri" w:hAnsi="Calibri" w:cs="Calibri"/>
          <w:b/>
          <w:color w:val="5B9BD5" w:themeColor="accent5"/>
          <w:sz w:val="52"/>
          <w:szCs w:val="5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khari, 2026, Fig. 1</w:t>
      </w:r>
    </w:p>
    <w:p w14:paraId="73467E86" w14:textId="77777777" w:rsidR="00773F15" w:rsidRDefault="00773F15">
      <w:pPr>
        <w:rPr>
          <w:rFonts w:ascii="Calibri" w:hAnsi="Calibri" w:cs="Calibri"/>
          <w:b/>
          <w:color w:val="5B9BD5" w:themeColor="accent5"/>
          <w:sz w:val="52"/>
          <w:szCs w:val="5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p>
    <w:p w14:paraId="6A4592FD" w14:textId="564E5E11" w:rsidR="00773F15" w:rsidRDefault="008220C8">
      <w:pPr>
        <w:rPr>
          <w:rFonts w:ascii="Calibri" w:hAnsi="Calibri" w:cs="Calibri"/>
          <w:b/>
          <w:color w:val="5B9BD5" w:themeColor="accent5"/>
          <w:sz w:val="52"/>
          <w:szCs w:val="5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Pr>
          <w:noProof/>
        </w:rPr>
        <w:lastRenderedPageBreak/>
        <w:drawing>
          <wp:inline distT="0" distB="0" distL="0" distR="0" wp14:anchorId="177B9695" wp14:editId="1FB3851E">
            <wp:extent cx="8863330" cy="3473861"/>
            <wp:effectExtent l="0" t="0" r="0" b="0"/>
            <wp:docPr id="147103209" name="Picture 14710320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8863330" cy="3473861"/>
                    </a:xfrm>
                    <a:prstGeom prst="rect">
                      <a:avLst/>
                    </a:prstGeom>
                    <a:noFill/>
                    <a:ln>
                      <a:noFill/>
                    </a:ln>
                  </pic:spPr>
                </pic:pic>
              </a:graphicData>
            </a:graphic>
          </wp:inline>
        </w:drawing>
      </w:r>
    </w:p>
    <w:p w14:paraId="46AA4EB9" w14:textId="070681F0" w:rsidR="00773F15" w:rsidRDefault="008220C8">
      <w:pPr>
        <w:rPr>
          <w:rFonts w:ascii="Calibri" w:hAnsi="Calibri" w:cs="Calibri"/>
          <w:b/>
          <w:color w:val="5B9BD5" w:themeColor="accent5"/>
          <w:sz w:val="52"/>
          <w:szCs w:val="5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Pr>
          <w:rFonts w:ascii="Calibri" w:hAnsi="Calibri" w:cs="Calibri"/>
          <w:b/>
          <w:color w:val="5B9BD5" w:themeColor="accent5"/>
          <w:sz w:val="52"/>
          <w:szCs w:val="5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Source: Nguyen, 2026</w:t>
      </w:r>
    </w:p>
    <w:p w14:paraId="03620AB5" w14:textId="77777777" w:rsidR="00C56158" w:rsidRDefault="00C56158">
      <w:pPr>
        <w:rPr>
          <w:rFonts w:ascii="Calibri" w:hAnsi="Calibri" w:cs="Calibri"/>
          <w:b/>
          <w:color w:val="5B9BD5" w:themeColor="accent5"/>
          <w:sz w:val="52"/>
          <w:szCs w:val="5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p>
    <w:p w14:paraId="605AF431" w14:textId="77777777" w:rsidR="00C56158" w:rsidRDefault="00C56158">
      <w:pPr>
        <w:rPr>
          <w:rFonts w:ascii="Calibri" w:hAnsi="Calibri" w:cs="Calibri"/>
          <w:b/>
          <w:color w:val="5B9BD5" w:themeColor="accent5"/>
          <w:sz w:val="52"/>
          <w:szCs w:val="5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p>
    <w:p w14:paraId="4C6B2DF0" w14:textId="77777777" w:rsidR="00C56158" w:rsidRDefault="00C56158">
      <w:pPr>
        <w:rPr>
          <w:rFonts w:ascii="Calibri" w:hAnsi="Calibri" w:cs="Calibri"/>
          <w:b/>
          <w:color w:val="5B9BD5" w:themeColor="accent5"/>
          <w:sz w:val="52"/>
          <w:szCs w:val="5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p>
    <w:p w14:paraId="6CFE6DEC" w14:textId="4AA054B7" w:rsidR="00C56158" w:rsidRDefault="00C56158">
      <w:pPr>
        <w:rPr>
          <w:rFonts w:ascii="Calibri" w:hAnsi="Calibri" w:cs="Calibri"/>
          <w:b/>
          <w:color w:val="5B9BD5" w:themeColor="accent5"/>
          <w:sz w:val="52"/>
          <w:szCs w:val="5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Pr>
          <w:noProof/>
        </w:rPr>
        <w:lastRenderedPageBreak/>
        <w:drawing>
          <wp:inline distT="0" distB="0" distL="0" distR="0" wp14:anchorId="03DEC587" wp14:editId="4C91BCB6">
            <wp:extent cx="8863330" cy="3328003"/>
            <wp:effectExtent l="0" t="0" r="0" b="6350"/>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8863330" cy="3328003"/>
                    </a:xfrm>
                    <a:prstGeom prst="rect">
                      <a:avLst/>
                    </a:prstGeom>
                    <a:noFill/>
                    <a:ln>
                      <a:noFill/>
                    </a:ln>
                  </pic:spPr>
                </pic:pic>
              </a:graphicData>
            </a:graphic>
          </wp:inline>
        </w:drawing>
      </w:r>
    </w:p>
    <w:p w14:paraId="2FC14EC3" w14:textId="7A98A227" w:rsidR="00C56158" w:rsidRDefault="00C56158">
      <w:pPr>
        <w:rPr>
          <w:rFonts w:ascii="Calibri" w:hAnsi="Calibri" w:cs="Calibri"/>
          <w:b/>
          <w:color w:val="5B9BD5" w:themeColor="accent5"/>
          <w:sz w:val="52"/>
          <w:szCs w:val="5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Pr>
          <w:rFonts w:ascii="Calibri" w:hAnsi="Calibri" w:cs="Calibri"/>
          <w:b/>
          <w:color w:val="5B9BD5" w:themeColor="accent5"/>
          <w:sz w:val="52"/>
          <w:szCs w:val="5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Source: Nguyen, 2026</w:t>
      </w:r>
    </w:p>
    <w:p w14:paraId="57184119" w14:textId="77777777" w:rsidR="00580938" w:rsidRDefault="00580938">
      <w:pPr>
        <w:rPr>
          <w:rFonts w:ascii="Calibri" w:hAnsi="Calibri" w:cs="Calibri"/>
          <w:b/>
          <w:color w:val="5B9BD5" w:themeColor="accent5"/>
          <w:sz w:val="52"/>
          <w:szCs w:val="5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p>
    <w:p w14:paraId="32677288" w14:textId="77777777" w:rsidR="00580938" w:rsidRDefault="00580938">
      <w:pPr>
        <w:rPr>
          <w:rFonts w:ascii="Calibri" w:hAnsi="Calibri" w:cs="Calibri"/>
          <w:b/>
          <w:color w:val="5B9BD5" w:themeColor="accent5"/>
          <w:sz w:val="52"/>
          <w:szCs w:val="5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p>
    <w:p w14:paraId="664D080C" w14:textId="77777777" w:rsidR="00580938" w:rsidRDefault="00580938">
      <w:pPr>
        <w:rPr>
          <w:rFonts w:ascii="Calibri" w:hAnsi="Calibri" w:cs="Calibri"/>
          <w:b/>
          <w:color w:val="5B9BD5" w:themeColor="accent5"/>
          <w:sz w:val="52"/>
          <w:szCs w:val="5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p>
    <w:p w14:paraId="47E38FE0" w14:textId="7C1E55B1" w:rsidR="00580938" w:rsidRDefault="00580938">
      <w:pPr>
        <w:rPr>
          <w:rFonts w:ascii="Calibri" w:hAnsi="Calibri" w:cs="Calibri"/>
          <w:b/>
          <w:color w:val="5B9BD5" w:themeColor="accent5"/>
          <w:sz w:val="52"/>
          <w:szCs w:val="5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Pr>
          <w:noProof/>
        </w:rPr>
        <w:lastRenderedPageBreak/>
        <w:drawing>
          <wp:inline distT="0" distB="0" distL="0" distR="0" wp14:anchorId="32CA6003" wp14:editId="52486C23">
            <wp:extent cx="8579238" cy="4808220"/>
            <wp:effectExtent l="0" t="0" r="0" b="0"/>
            <wp:docPr id="2002829495" name="Picture 2002829495" descr="Education 16 00555 g0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Education 16 00555 g001"/>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8628745" cy="4835966"/>
                    </a:xfrm>
                    <a:prstGeom prst="rect">
                      <a:avLst/>
                    </a:prstGeom>
                    <a:noFill/>
                    <a:ln>
                      <a:noFill/>
                    </a:ln>
                  </pic:spPr>
                </pic:pic>
              </a:graphicData>
            </a:graphic>
          </wp:inline>
        </w:drawing>
      </w:r>
    </w:p>
    <w:p w14:paraId="5A2BCCC2" w14:textId="37527AC3" w:rsidR="00580938" w:rsidRDefault="00580938">
      <w:pPr>
        <w:rPr>
          <w:rFonts w:ascii="Calibri" w:hAnsi="Calibri" w:cs="Calibri"/>
          <w:b/>
          <w:color w:val="5B9BD5" w:themeColor="accent5"/>
          <w:sz w:val="52"/>
          <w:szCs w:val="5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Pr>
          <w:rFonts w:ascii="Calibri" w:hAnsi="Calibri" w:cs="Calibri"/>
          <w:b/>
          <w:color w:val="5B9BD5" w:themeColor="accent5"/>
          <w:sz w:val="52"/>
          <w:szCs w:val="5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 xml:space="preserve">Source: </w:t>
      </w:r>
      <w:r w:rsidR="00D94985">
        <w:rPr>
          <w:rFonts w:ascii="Calibri" w:hAnsi="Calibri" w:cs="Calibri"/>
          <w:b/>
          <w:color w:val="5B9BD5" w:themeColor="accent5"/>
          <w:sz w:val="52"/>
          <w:szCs w:val="5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 xml:space="preserve">Madlenak et al. 2026 </w:t>
      </w:r>
    </w:p>
    <w:p w14:paraId="53C007F2" w14:textId="261F073D" w:rsidR="005024DC" w:rsidRDefault="005024DC">
      <w:pPr>
        <w:rPr>
          <w:rFonts w:ascii="Calibri" w:hAnsi="Calibri" w:cs="Calibri"/>
          <w:b/>
          <w:color w:val="5B9BD5" w:themeColor="accent5"/>
          <w:sz w:val="52"/>
          <w:szCs w:val="5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Pr>
          <w:noProof/>
        </w:rPr>
        <w:lastRenderedPageBreak/>
        <w:drawing>
          <wp:inline distT="0" distB="0" distL="0" distR="0" wp14:anchorId="0F658601" wp14:editId="324AE017">
            <wp:extent cx="8275320" cy="4321360"/>
            <wp:effectExtent l="0" t="0" r="0" b="3175"/>
            <wp:docPr id="330478714" name="Picture 1" descr="Education 16 00555 g00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Education 16 00555 g005"/>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8297110" cy="4332738"/>
                    </a:xfrm>
                    <a:prstGeom prst="rect">
                      <a:avLst/>
                    </a:prstGeom>
                    <a:noFill/>
                    <a:ln>
                      <a:noFill/>
                    </a:ln>
                  </pic:spPr>
                </pic:pic>
              </a:graphicData>
            </a:graphic>
          </wp:inline>
        </w:drawing>
      </w:r>
    </w:p>
    <w:p w14:paraId="6916FF3E" w14:textId="77777777" w:rsidR="005024DC" w:rsidRDefault="005024DC" w:rsidP="005024DC">
      <w:pPr>
        <w:rPr>
          <w:rFonts w:ascii="Calibri" w:hAnsi="Calibri" w:cs="Calibri"/>
          <w:b/>
          <w:color w:val="5B9BD5" w:themeColor="accent5"/>
          <w:sz w:val="52"/>
          <w:szCs w:val="5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Pr>
          <w:rFonts w:ascii="Calibri" w:hAnsi="Calibri" w:cs="Calibri"/>
          <w:b/>
          <w:color w:val="5B9BD5" w:themeColor="accent5"/>
          <w:sz w:val="52"/>
          <w:szCs w:val="5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 xml:space="preserve">Source: Madlenak et al. 2026 </w:t>
      </w:r>
    </w:p>
    <w:p w14:paraId="060C081E" w14:textId="77777777" w:rsidR="005024DC" w:rsidRPr="000E7B9B" w:rsidRDefault="005024DC">
      <w:pPr>
        <w:rPr>
          <w:rFonts w:ascii="Calibri" w:hAnsi="Calibri" w:cs="Calibri"/>
          <w:b/>
          <w:color w:val="5B9BD5" w:themeColor="accent5"/>
          <w:sz w:val="52"/>
          <w:szCs w:val="5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p>
    <w:sectPr w:rsidR="005024DC" w:rsidRPr="000E7B9B" w:rsidSect="00140F53">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40BF0AF" w14:textId="77777777" w:rsidR="00185244" w:rsidRDefault="00185244" w:rsidP="00CE0D24">
      <w:pPr>
        <w:spacing w:after="0" w:line="240" w:lineRule="auto"/>
      </w:pPr>
      <w:r>
        <w:separator/>
      </w:r>
    </w:p>
  </w:endnote>
  <w:endnote w:type="continuationSeparator" w:id="0">
    <w:p w14:paraId="37E00F6F" w14:textId="77777777" w:rsidR="00185244" w:rsidRDefault="00185244" w:rsidP="00CE0D2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00537741"/>
      <w:docPartObj>
        <w:docPartGallery w:val="Page Numbers (Bottom of Page)"/>
        <w:docPartUnique/>
      </w:docPartObj>
    </w:sdtPr>
    <w:sdtEndPr/>
    <w:sdtContent>
      <w:p w14:paraId="4AA851E3" w14:textId="41D3D7D3" w:rsidR="00E76674" w:rsidRDefault="00E76674">
        <w:pPr>
          <w:pStyle w:val="Footer"/>
          <w:jc w:val="right"/>
        </w:pPr>
        <w:r>
          <w:fldChar w:fldCharType="begin"/>
        </w:r>
        <w:r>
          <w:instrText>PAGE   \* MERGEFORMAT</w:instrText>
        </w:r>
        <w:r>
          <w:fldChar w:fldCharType="separate"/>
        </w:r>
        <w:r>
          <w:t>2</w:t>
        </w:r>
        <w:r>
          <w:fldChar w:fldCharType="end"/>
        </w:r>
      </w:p>
    </w:sdtContent>
  </w:sdt>
  <w:p w14:paraId="5AC0C65B" w14:textId="77777777" w:rsidR="00CE0D24" w:rsidRDefault="00CE0D2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EA1ECAD" w14:textId="77777777" w:rsidR="00185244" w:rsidRDefault="00185244" w:rsidP="00CE0D24">
      <w:pPr>
        <w:spacing w:after="0" w:line="240" w:lineRule="auto"/>
      </w:pPr>
      <w:r>
        <w:separator/>
      </w:r>
    </w:p>
  </w:footnote>
  <w:footnote w:type="continuationSeparator" w:id="0">
    <w:p w14:paraId="03C36559" w14:textId="77777777" w:rsidR="00185244" w:rsidRDefault="00185244" w:rsidP="00CE0D2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EEF6989"/>
    <w:multiLevelType w:val="multilevel"/>
    <w:tmpl w:val="BE348308"/>
    <w:lvl w:ilvl="0">
      <w:start w:val="1"/>
      <w:numFmt w:val="decimal"/>
      <w:lvlText w:val="%1."/>
      <w:lvlJc w:val="left"/>
      <w:pPr>
        <w:ind w:left="862" w:hanging="360"/>
      </w:pPr>
      <w:rPr>
        <w:rFonts w:hint="default"/>
      </w:rPr>
    </w:lvl>
    <w:lvl w:ilvl="1">
      <w:start w:val="1"/>
      <w:numFmt w:val="decimal"/>
      <w:isLgl/>
      <w:lvlText w:val="%1.%2"/>
      <w:lvlJc w:val="left"/>
      <w:pPr>
        <w:ind w:left="1222" w:hanging="360"/>
      </w:pPr>
      <w:rPr>
        <w:rFonts w:hint="default"/>
      </w:rPr>
    </w:lvl>
    <w:lvl w:ilvl="2">
      <w:start w:val="1"/>
      <w:numFmt w:val="decimal"/>
      <w:isLgl/>
      <w:lvlText w:val="%1.%2.%3"/>
      <w:lvlJc w:val="left"/>
      <w:pPr>
        <w:ind w:left="1942" w:hanging="720"/>
      </w:pPr>
      <w:rPr>
        <w:rFonts w:hint="default"/>
      </w:rPr>
    </w:lvl>
    <w:lvl w:ilvl="3">
      <w:start w:val="1"/>
      <w:numFmt w:val="decimal"/>
      <w:isLgl/>
      <w:lvlText w:val="%1.%2.%3.%4"/>
      <w:lvlJc w:val="left"/>
      <w:pPr>
        <w:ind w:left="2302" w:hanging="720"/>
      </w:pPr>
      <w:rPr>
        <w:rFonts w:hint="default"/>
      </w:rPr>
    </w:lvl>
    <w:lvl w:ilvl="4">
      <w:start w:val="1"/>
      <w:numFmt w:val="decimal"/>
      <w:isLgl/>
      <w:lvlText w:val="%1.%2.%3.%4.%5"/>
      <w:lvlJc w:val="left"/>
      <w:pPr>
        <w:ind w:left="3022" w:hanging="1080"/>
      </w:pPr>
      <w:rPr>
        <w:rFonts w:hint="default"/>
      </w:rPr>
    </w:lvl>
    <w:lvl w:ilvl="5">
      <w:start w:val="1"/>
      <w:numFmt w:val="decimal"/>
      <w:isLgl/>
      <w:lvlText w:val="%1.%2.%3.%4.%5.%6"/>
      <w:lvlJc w:val="left"/>
      <w:pPr>
        <w:ind w:left="3382" w:hanging="1080"/>
      </w:pPr>
      <w:rPr>
        <w:rFonts w:hint="default"/>
      </w:rPr>
    </w:lvl>
    <w:lvl w:ilvl="6">
      <w:start w:val="1"/>
      <w:numFmt w:val="decimal"/>
      <w:isLgl/>
      <w:lvlText w:val="%1.%2.%3.%4.%5.%6.%7"/>
      <w:lvlJc w:val="left"/>
      <w:pPr>
        <w:ind w:left="4102" w:hanging="1440"/>
      </w:pPr>
      <w:rPr>
        <w:rFonts w:hint="default"/>
      </w:rPr>
    </w:lvl>
    <w:lvl w:ilvl="7">
      <w:start w:val="1"/>
      <w:numFmt w:val="decimal"/>
      <w:isLgl/>
      <w:lvlText w:val="%1.%2.%3.%4.%5.%6.%7.%8"/>
      <w:lvlJc w:val="left"/>
      <w:pPr>
        <w:ind w:left="4462" w:hanging="1440"/>
      </w:pPr>
      <w:rPr>
        <w:rFonts w:hint="default"/>
      </w:rPr>
    </w:lvl>
    <w:lvl w:ilvl="8">
      <w:start w:val="1"/>
      <w:numFmt w:val="decimal"/>
      <w:isLgl/>
      <w:lvlText w:val="%1.%2.%3.%4.%5.%6.%7.%8.%9"/>
      <w:lvlJc w:val="left"/>
      <w:pPr>
        <w:ind w:left="5182" w:hanging="1800"/>
      </w:pPr>
      <w:rPr>
        <w:rFonts w:hint="default"/>
      </w:rPr>
    </w:lvl>
  </w:abstractNum>
  <w:abstractNum w:abstractNumId="1" w15:restartNumberingAfterBreak="0">
    <w:nsid w:val="238610A3"/>
    <w:multiLevelType w:val="multilevel"/>
    <w:tmpl w:val="E12AB49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4B2744C"/>
    <w:multiLevelType w:val="hybridMultilevel"/>
    <w:tmpl w:val="A3547B40"/>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9530919"/>
    <w:multiLevelType w:val="hybridMultilevel"/>
    <w:tmpl w:val="67CC6F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9A2640A"/>
    <w:multiLevelType w:val="multilevel"/>
    <w:tmpl w:val="BE348308"/>
    <w:lvl w:ilvl="0">
      <w:start w:val="1"/>
      <w:numFmt w:val="decimal"/>
      <w:lvlText w:val="%1."/>
      <w:lvlJc w:val="left"/>
      <w:pPr>
        <w:ind w:left="720" w:hanging="360"/>
      </w:pPr>
      <w:rPr>
        <w:rFonts w:hint="default"/>
      </w:r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5040" w:hanging="1800"/>
      </w:pPr>
      <w:rPr>
        <w:rFonts w:hint="default"/>
      </w:rPr>
    </w:lvl>
  </w:abstractNum>
  <w:abstractNum w:abstractNumId="5" w15:restartNumberingAfterBreak="0">
    <w:nsid w:val="2B1508CA"/>
    <w:multiLevelType w:val="hybridMultilevel"/>
    <w:tmpl w:val="C07ABE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0A532B5"/>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7" w15:restartNumberingAfterBreak="0">
    <w:nsid w:val="68A00FC9"/>
    <w:multiLevelType w:val="multilevel"/>
    <w:tmpl w:val="CD7A57A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74DA1081"/>
    <w:multiLevelType w:val="multilevel"/>
    <w:tmpl w:val="BE348308"/>
    <w:lvl w:ilvl="0">
      <w:start w:val="1"/>
      <w:numFmt w:val="decimal"/>
      <w:lvlText w:val="%1."/>
      <w:lvlJc w:val="left"/>
      <w:pPr>
        <w:ind w:left="720" w:hanging="360"/>
      </w:pPr>
      <w:rPr>
        <w:rFonts w:hint="default"/>
      </w:r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5040" w:hanging="1800"/>
      </w:pPr>
      <w:rPr>
        <w:rFonts w:hint="default"/>
      </w:rPr>
    </w:lvl>
  </w:abstractNum>
  <w:num w:numId="1" w16cid:durableId="341398987">
    <w:abstractNumId w:val="7"/>
  </w:num>
  <w:num w:numId="2" w16cid:durableId="16665037">
    <w:abstractNumId w:val="1"/>
  </w:num>
  <w:num w:numId="3" w16cid:durableId="1105077540">
    <w:abstractNumId w:val="8"/>
  </w:num>
  <w:num w:numId="4" w16cid:durableId="1656101389">
    <w:abstractNumId w:val="0"/>
  </w:num>
  <w:num w:numId="5" w16cid:durableId="432357754">
    <w:abstractNumId w:val="4"/>
  </w:num>
  <w:num w:numId="6" w16cid:durableId="1649746005">
    <w:abstractNumId w:val="2"/>
  </w:num>
  <w:num w:numId="7" w16cid:durableId="1188447027">
    <w:abstractNumId w:val="6"/>
  </w:num>
  <w:num w:numId="8" w16cid:durableId="2031027190">
    <w:abstractNumId w:val="6"/>
    <w:lvlOverride w:ilvl="0">
      <w:startOverride w:val="2"/>
    </w:lvlOverride>
    <w:lvlOverride w:ilvl="1">
      <w:startOverride w:val="1"/>
    </w:lvlOverride>
  </w:num>
  <w:num w:numId="9" w16cid:durableId="1768770897">
    <w:abstractNumId w:val="6"/>
    <w:lvlOverride w:ilvl="0">
      <w:startOverride w:val="2"/>
    </w:lvlOverride>
    <w:lvlOverride w:ilvl="1">
      <w:startOverride w:val="1"/>
    </w:lvlOverride>
  </w:num>
  <w:num w:numId="10" w16cid:durableId="1938520726">
    <w:abstractNumId w:val="6"/>
    <w:lvlOverride w:ilvl="0">
      <w:startOverride w:val="2"/>
    </w:lvlOverride>
    <w:lvlOverride w:ilvl="1">
      <w:startOverride w:val="1"/>
    </w:lvlOverride>
  </w:num>
  <w:num w:numId="11" w16cid:durableId="176962631">
    <w:abstractNumId w:val="6"/>
  </w:num>
  <w:num w:numId="12" w16cid:durableId="1403984761">
    <w:abstractNumId w:val="6"/>
    <w:lvlOverride w:ilvl="0">
      <w:startOverride w:val="2"/>
    </w:lvlOverride>
    <w:lvlOverride w:ilvl="1">
      <w:startOverride w:val="1"/>
    </w:lvlOverride>
  </w:num>
  <w:num w:numId="13" w16cid:durableId="427698061">
    <w:abstractNumId w:val="6"/>
  </w:num>
  <w:num w:numId="14" w16cid:durableId="1602028948">
    <w:abstractNumId w:val="3"/>
  </w:num>
  <w:num w:numId="15" w16cid:durableId="1127890584">
    <w:abstractNumId w:val="6"/>
  </w:num>
  <w:num w:numId="16" w16cid:durableId="1464882364">
    <w:abstractNumId w:val="6"/>
  </w:num>
  <w:num w:numId="17" w16cid:durableId="1319269611">
    <w:abstractNumId w:val="5"/>
  </w:num>
  <w:num w:numId="18" w16cid:durableId="179628683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E7B9B"/>
    <w:rsid w:val="00002B0D"/>
    <w:rsid w:val="0000693E"/>
    <w:rsid w:val="00015E78"/>
    <w:rsid w:val="00021DE9"/>
    <w:rsid w:val="00023045"/>
    <w:rsid w:val="000370F5"/>
    <w:rsid w:val="00046B95"/>
    <w:rsid w:val="00051109"/>
    <w:rsid w:val="000613F9"/>
    <w:rsid w:val="00070CEF"/>
    <w:rsid w:val="00083956"/>
    <w:rsid w:val="00084367"/>
    <w:rsid w:val="000B45A1"/>
    <w:rsid w:val="000C2D1A"/>
    <w:rsid w:val="000C3494"/>
    <w:rsid w:val="000E314B"/>
    <w:rsid w:val="000E7B9B"/>
    <w:rsid w:val="000F2CF7"/>
    <w:rsid w:val="001116A6"/>
    <w:rsid w:val="00113D85"/>
    <w:rsid w:val="0012325E"/>
    <w:rsid w:val="00140F53"/>
    <w:rsid w:val="001554BB"/>
    <w:rsid w:val="00161366"/>
    <w:rsid w:val="00165C25"/>
    <w:rsid w:val="00172911"/>
    <w:rsid w:val="00185244"/>
    <w:rsid w:val="00187716"/>
    <w:rsid w:val="00190A63"/>
    <w:rsid w:val="001A7ABC"/>
    <w:rsid w:val="001B4EE9"/>
    <w:rsid w:val="001B6BB4"/>
    <w:rsid w:val="001C461C"/>
    <w:rsid w:val="001C5D17"/>
    <w:rsid w:val="001E052D"/>
    <w:rsid w:val="00221077"/>
    <w:rsid w:val="002302EA"/>
    <w:rsid w:val="00236777"/>
    <w:rsid w:val="00264A24"/>
    <w:rsid w:val="00273781"/>
    <w:rsid w:val="00292524"/>
    <w:rsid w:val="00294BF2"/>
    <w:rsid w:val="00295604"/>
    <w:rsid w:val="002A084A"/>
    <w:rsid w:val="002C6692"/>
    <w:rsid w:val="002C7DED"/>
    <w:rsid w:val="002D36BE"/>
    <w:rsid w:val="002E350F"/>
    <w:rsid w:val="002E4022"/>
    <w:rsid w:val="002E599D"/>
    <w:rsid w:val="002F47C9"/>
    <w:rsid w:val="003069BC"/>
    <w:rsid w:val="00312087"/>
    <w:rsid w:val="00312F63"/>
    <w:rsid w:val="00317D59"/>
    <w:rsid w:val="0032127B"/>
    <w:rsid w:val="003343C6"/>
    <w:rsid w:val="003475B9"/>
    <w:rsid w:val="003523EB"/>
    <w:rsid w:val="00373447"/>
    <w:rsid w:val="003B164A"/>
    <w:rsid w:val="003C1CAB"/>
    <w:rsid w:val="003C529C"/>
    <w:rsid w:val="003E1DAA"/>
    <w:rsid w:val="003F7D58"/>
    <w:rsid w:val="00400ED8"/>
    <w:rsid w:val="00401753"/>
    <w:rsid w:val="004021C0"/>
    <w:rsid w:val="00405682"/>
    <w:rsid w:val="00413687"/>
    <w:rsid w:val="004157FA"/>
    <w:rsid w:val="00432815"/>
    <w:rsid w:val="00460044"/>
    <w:rsid w:val="004726EC"/>
    <w:rsid w:val="00480D25"/>
    <w:rsid w:val="00490BBC"/>
    <w:rsid w:val="00491A6C"/>
    <w:rsid w:val="004B410A"/>
    <w:rsid w:val="004B6C95"/>
    <w:rsid w:val="004B7EB9"/>
    <w:rsid w:val="004D36E0"/>
    <w:rsid w:val="005024DC"/>
    <w:rsid w:val="00513B71"/>
    <w:rsid w:val="00520DC4"/>
    <w:rsid w:val="00531A64"/>
    <w:rsid w:val="005534C9"/>
    <w:rsid w:val="00580938"/>
    <w:rsid w:val="005818D1"/>
    <w:rsid w:val="0059003E"/>
    <w:rsid w:val="005A4E6A"/>
    <w:rsid w:val="005B292D"/>
    <w:rsid w:val="005B5720"/>
    <w:rsid w:val="005B6A68"/>
    <w:rsid w:val="005C0EDD"/>
    <w:rsid w:val="005C3160"/>
    <w:rsid w:val="005D0BFA"/>
    <w:rsid w:val="005D6F25"/>
    <w:rsid w:val="005E19C1"/>
    <w:rsid w:val="005E3FDA"/>
    <w:rsid w:val="005F2C9A"/>
    <w:rsid w:val="005F35C8"/>
    <w:rsid w:val="00606886"/>
    <w:rsid w:val="00611BA1"/>
    <w:rsid w:val="00615511"/>
    <w:rsid w:val="00616EFE"/>
    <w:rsid w:val="006364C8"/>
    <w:rsid w:val="00636F4D"/>
    <w:rsid w:val="00654FCF"/>
    <w:rsid w:val="00664636"/>
    <w:rsid w:val="00665B2B"/>
    <w:rsid w:val="00665EE0"/>
    <w:rsid w:val="00675D99"/>
    <w:rsid w:val="006832B0"/>
    <w:rsid w:val="006964EB"/>
    <w:rsid w:val="006B444C"/>
    <w:rsid w:val="006B7206"/>
    <w:rsid w:val="006C2BB9"/>
    <w:rsid w:val="006C2CB8"/>
    <w:rsid w:val="006D7A03"/>
    <w:rsid w:val="006F6FF4"/>
    <w:rsid w:val="00713C20"/>
    <w:rsid w:val="007146E9"/>
    <w:rsid w:val="00752124"/>
    <w:rsid w:val="00752888"/>
    <w:rsid w:val="007714CE"/>
    <w:rsid w:val="007728B2"/>
    <w:rsid w:val="00773F15"/>
    <w:rsid w:val="007A1A4B"/>
    <w:rsid w:val="007A6F84"/>
    <w:rsid w:val="007C4E4B"/>
    <w:rsid w:val="007C7FC9"/>
    <w:rsid w:val="007D0E8F"/>
    <w:rsid w:val="007D195C"/>
    <w:rsid w:val="007D35FB"/>
    <w:rsid w:val="007F21DC"/>
    <w:rsid w:val="00802530"/>
    <w:rsid w:val="008208EE"/>
    <w:rsid w:val="00820C9F"/>
    <w:rsid w:val="008220C8"/>
    <w:rsid w:val="00855717"/>
    <w:rsid w:val="00866B92"/>
    <w:rsid w:val="0087749E"/>
    <w:rsid w:val="00893E6F"/>
    <w:rsid w:val="008940DE"/>
    <w:rsid w:val="008A4409"/>
    <w:rsid w:val="008A7719"/>
    <w:rsid w:val="008B0FF3"/>
    <w:rsid w:val="008E1FCB"/>
    <w:rsid w:val="0090135A"/>
    <w:rsid w:val="0090150E"/>
    <w:rsid w:val="00902C9F"/>
    <w:rsid w:val="009120B0"/>
    <w:rsid w:val="00924881"/>
    <w:rsid w:val="009248B0"/>
    <w:rsid w:val="00927889"/>
    <w:rsid w:val="00936DD0"/>
    <w:rsid w:val="00946C0E"/>
    <w:rsid w:val="00961006"/>
    <w:rsid w:val="009679D3"/>
    <w:rsid w:val="0097234B"/>
    <w:rsid w:val="00976EA2"/>
    <w:rsid w:val="00991296"/>
    <w:rsid w:val="009B23C0"/>
    <w:rsid w:val="009B4743"/>
    <w:rsid w:val="009E5FA2"/>
    <w:rsid w:val="00A05D8F"/>
    <w:rsid w:val="00A4098C"/>
    <w:rsid w:val="00A42ED4"/>
    <w:rsid w:val="00A55739"/>
    <w:rsid w:val="00A676F5"/>
    <w:rsid w:val="00A67790"/>
    <w:rsid w:val="00A84F8F"/>
    <w:rsid w:val="00AA0F80"/>
    <w:rsid w:val="00AE6735"/>
    <w:rsid w:val="00AF2816"/>
    <w:rsid w:val="00AF70C5"/>
    <w:rsid w:val="00B019E0"/>
    <w:rsid w:val="00B0386A"/>
    <w:rsid w:val="00B13E25"/>
    <w:rsid w:val="00B42709"/>
    <w:rsid w:val="00B47B65"/>
    <w:rsid w:val="00B51038"/>
    <w:rsid w:val="00B83DCF"/>
    <w:rsid w:val="00B83EE3"/>
    <w:rsid w:val="00B90A0E"/>
    <w:rsid w:val="00B92E49"/>
    <w:rsid w:val="00B939C5"/>
    <w:rsid w:val="00BA4881"/>
    <w:rsid w:val="00BB20C0"/>
    <w:rsid w:val="00BB2B7E"/>
    <w:rsid w:val="00BB5172"/>
    <w:rsid w:val="00BE4C07"/>
    <w:rsid w:val="00BE53E7"/>
    <w:rsid w:val="00C045BD"/>
    <w:rsid w:val="00C13203"/>
    <w:rsid w:val="00C30BB1"/>
    <w:rsid w:val="00C35A8F"/>
    <w:rsid w:val="00C56158"/>
    <w:rsid w:val="00C84787"/>
    <w:rsid w:val="00C9718D"/>
    <w:rsid w:val="00CB18ED"/>
    <w:rsid w:val="00CB70E4"/>
    <w:rsid w:val="00CC1775"/>
    <w:rsid w:val="00CD25EC"/>
    <w:rsid w:val="00CD7881"/>
    <w:rsid w:val="00CE0D24"/>
    <w:rsid w:val="00CF0283"/>
    <w:rsid w:val="00D05D38"/>
    <w:rsid w:val="00D1601F"/>
    <w:rsid w:val="00D20C44"/>
    <w:rsid w:val="00D27EA5"/>
    <w:rsid w:val="00D3329B"/>
    <w:rsid w:val="00D50215"/>
    <w:rsid w:val="00D542EF"/>
    <w:rsid w:val="00D561D4"/>
    <w:rsid w:val="00D6772C"/>
    <w:rsid w:val="00D7135E"/>
    <w:rsid w:val="00D83BC3"/>
    <w:rsid w:val="00D86363"/>
    <w:rsid w:val="00D94985"/>
    <w:rsid w:val="00DA5C05"/>
    <w:rsid w:val="00DB0453"/>
    <w:rsid w:val="00DB1FD0"/>
    <w:rsid w:val="00DC0712"/>
    <w:rsid w:val="00DC4504"/>
    <w:rsid w:val="00DD0D71"/>
    <w:rsid w:val="00DD5779"/>
    <w:rsid w:val="00DD5C40"/>
    <w:rsid w:val="00DE7880"/>
    <w:rsid w:val="00DF3594"/>
    <w:rsid w:val="00E035D2"/>
    <w:rsid w:val="00E12918"/>
    <w:rsid w:val="00E26BF5"/>
    <w:rsid w:val="00E3108E"/>
    <w:rsid w:val="00E42BDA"/>
    <w:rsid w:val="00E53241"/>
    <w:rsid w:val="00E570CF"/>
    <w:rsid w:val="00E627FD"/>
    <w:rsid w:val="00E76674"/>
    <w:rsid w:val="00EA54DA"/>
    <w:rsid w:val="00EB23FE"/>
    <w:rsid w:val="00EC1D66"/>
    <w:rsid w:val="00EC6B5D"/>
    <w:rsid w:val="00EE2927"/>
    <w:rsid w:val="00EF21BF"/>
    <w:rsid w:val="00EF6ED8"/>
    <w:rsid w:val="00F126BE"/>
    <w:rsid w:val="00F13C02"/>
    <w:rsid w:val="00F23AAA"/>
    <w:rsid w:val="00F3172E"/>
    <w:rsid w:val="00F319D9"/>
    <w:rsid w:val="00F37A02"/>
    <w:rsid w:val="00F424CA"/>
    <w:rsid w:val="00F42A44"/>
    <w:rsid w:val="00F457ED"/>
    <w:rsid w:val="00F51A5B"/>
    <w:rsid w:val="00F85B0C"/>
    <w:rsid w:val="00F9446B"/>
    <w:rsid w:val="00FE26D9"/>
    <w:rsid w:val="00FF1D12"/>
    <w:rsid w:val="00FF393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ACADBD"/>
  <w15:chartTrackingRefBased/>
  <w15:docId w15:val="{E3E41693-67A6-46AC-8580-A03813C273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E7B9B"/>
    <w:pPr>
      <w:keepNext/>
      <w:keepLines/>
      <w:numPr>
        <w:numId w:val="7"/>
      </w:numPr>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0E7B9B"/>
    <w:pPr>
      <w:keepNext/>
      <w:keepLines/>
      <w:numPr>
        <w:ilvl w:val="1"/>
        <w:numId w:val="7"/>
      </w:numPr>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0E7B9B"/>
    <w:pPr>
      <w:keepNext/>
      <w:keepLines/>
      <w:numPr>
        <w:ilvl w:val="2"/>
        <w:numId w:val="7"/>
      </w:numPr>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0E7B9B"/>
    <w:pPr>
      <w:keepNext/>
      <w:keepLines/>
      <w:numPr>
        <w:ilvl w:val="3"/>
        <w:numId w:val="7"/>
      </w:numPr>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0E7B9B"/>
    <w:pPr>
      <w:keepNext/>
      <w:keepLines/>
      <w:numPr>
        <w:ilvl w:val="4"/>
        <w:numId w:val="7"/>
      </w:numPr>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0E7B9B"/>
    <w:pPr>
      <w:keepNext/>
      <w:keepLines/>
      <w:numPr>
        <w:ilvl w:val="5"/>
        <w:numId w:val="7"/>
      </w:numPr>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E7B9B"/>
    <w:pPr>
      <w:keepNext/>
      <w:keepLines/>
      <w:numPr>
        <w:ilvl w:val="6"/>
        <w:numId w:val="7"/>
      </w:numPr>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E7B9B"/>
    <w:pPr>
      <w:keepNext/>
      <w:keepLines/>
      <w:numPr>
        <w:ilvl w:val="7"/>
        <w:numId w:val="7"/>
      </w:numPr>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E7B9B"/>
    <w:pPr>
      <w:keepNext/>
      <w:keepLines/>
      <w:numPr>
        <w:ilvl w:val="8"/>
        <w:numId w:val="7"/>
      </w:numPr>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E7B9B"/>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0E7B9B"/>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0E7B9B"/>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0E7B9B"/>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0E7B9B"/>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0E7B9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E7B9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E7B9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E7B9B"/>
    <w:rPr>
      <w:rFonts w:eastAsiaTheme="majorEastAsia" w:cstheme="majorBidi"/>
      <w:color w:val="272727" w:themeColor="text1" w:themeTint="D8"/>
    </w:rPr>
  </w:style>
  <w:style w:type="paragraph" w:styleId="Title">
    <w:name w:val="Title"/>
    <w:basedOn w:val="Normal"/>
    <w:next w:val="Normal"/>
    <w:link w:val="TitleChar"/>
    <w:uiPriority w:val="10"/>
    <w:qFormat/>
    <w:rsid w:val="000E7B9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E7B9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E7B9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E7B9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E7B9B"/>
    <w:pPr>
      <w:spacing w:before="160"/>
      <w:jc w:val="center"/>
    </w:pPr>
    <w:rPr>
      <w:i/>
      <w:iCs/>
      <w:color w:val="404040" w:themeColor="text1" w:themeTint="BF"/>
    </w:rPr>
  </w:style>
  <w:style w:type="character" w:customStyle="1" w:styleId="QuoteChar">
    <w:name w:val="Quote Char"/>
    <w:basedOn w:val="DefaultParagraphFont"/>
    <w:link w:val="Quote"/>
    <w:uiPriority w:val="29"/>
    <w:rsid w:val="000E7B9B"/>
    <w:rPr>
      <w:i/>
      <w:iCs/>
      <w:color w:val="404040" w:themeColor="text1" w:themeTint="BF"/>
    </w:rPr>
  </w:style>
  <w:style w:type="paragraph" w:styleId="ListParagraph">
    <w:name w:val="List Paragraph"/>
    <w:basedOn w:val="Normal"/>
    <w:uiPriority w:val="34"/>
    <w:qFormat/>
    <w:rsid w:val="000E7B9B"/>
    <w:pPr>
      <w:ind w:left="720"/>
      <w:contextualSpacing/>
    </w:pPr>
  </w:style>
  <w:style w:type="character" w:styleId="IntenseEmphasis">
    <w:name w:val="Intense Emphasis"/>
    <w:basedOn w:val="DefaultParagraphFont"/>
    <w:uiPriority w:val="21"/>
    <w:qFormat/>
    <w:rsid w:val="000E7B9B"/>
    <w:rPr>
      <w:i/>
      <w:iCs/>
      <w:color w:val="2F5496" w:themeColor="accent1" w:themeShade="BF"/>
    </w:rPr>
  </w:style>
  <w:style w:type="paragraph" w:styleId="IntenseQuote">
    <w:name w:val="Intense Quote"/>
    <w:basedOn w:val="Normal"/>
    <w:next w:val="Normal"/>
    <w:link w:val="IntenseQuoteChar"/>
    <w:uiPriority w:val="30"/>
    <w:qFormat/>
    <w:rsid w:val="000E7B9B"/>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0E7B9B"/>
    <w:rPr>
      <w:i/>
      <w:iCs/>
      <w:color w:val="2F5496" w:themeColor="accent1" w:themeShade="BF"/>
    </w:rPr>
  </w:style>
  <w:style w:type="character" w:styleId="IntenseReference">
    <w:name w:val="Intense Reference"/>
    <w:basedOn w:val="DefaultParagraphFont"/>
    <w:uiPriority w:val="32"/>
    <w:qFormat/>
    <w:rsid w:val="000E7B9B"/>
    <w:rPr>
      <w:b/>
      <w:bCs/>
      <w:smallCaps/>
      <w:color w:val="2F5496" w:themeColor="accent1" w:themeShade="BF"/>
      <w:spacing w:val="5"/>
    </w:rPr>
  </w:style>
  <w:style w:type="paragraph" w:styleId="Bibliography">
    <w:name w:val="Bibliography"/>
    <w:basedOn w:val="Normal"/>
    <w:next w:val="Normal"/>
    <w:uiPriority w:val="37"/>
    <w:unhideWhenUsed/>
    <w:rsid w:val="008208EE"/>
  </w:style>
  <w:style w:type="paragraph" w:styleId="Header">
    <w:name w:val="header"/>
    <w:basedOn w:val="Normal"/>
    <w:link w:val="HeaderChar"/>
    <w:uiPriority w:val="99"/>
    <w:unhideWhenUsed/>
    <w:rsid w:val="00CE0D24"/>
    <w:pPr>
      <w:tabs>
        <w:tab w:val="center" w:pos="4513"/>
        <w:tab w:val="right" w:pos="9026"/>
      </w:tabs>
      <w:spacing w:after="0" w:line="240" w:lineRule="auto"/>
    </w:pPr>
  </w:style>
  <w:style w:type="character" w:customStyle="1" w:styleId="HeaderChar">
    <w:name w:val="Header Char"/>
    <w:basedOn w:val="DefaultParagraphFont"/>
    <w:link w:val="Header"/>
    <w:uiPriority w:val="99"/>
    <w:rsid w:val="00CE0D24"/>
  </w:style>
  <w:style w:type="paragraph" w:styleId="Footer">
    <w:name w:val="footer"/>
    <w:basedOn w:val="Normal"/>
    <w:link w:val="FooterChar"/>
    <w:uiPriority w:val="99"/>
    <w:unhideWhenUsed/>
    <w:rsid w:val="00CE0D24"/>
    <w:pPr>
      <w:tabs>
        <w:tab w:val="center" w:pos="4513"/>
        <w:tab w:val="right" w:pos="9026"/>
      </w:tabs>
      <w:spacing w:after="0" w:line="240" w:lineRule="auto"/>
    </w:pPr>
  </w:style>
  <w:style w:type="character" w:customStyle="1" w:styleId="FooterChar">
    <w:name w:val="Footer Char"/>
    <w:basedOn w:val="DefaultParagraphFont"/>
    <w:link w:val="Footer"/>
    <w:uiPriority w:val="99"/>
    <w:rsid w:val="00CE0D24"/>
  </w:style>
  <w:style w:type="table" w:styleId="TableGrid">
    <w:name w:val="Table Grid"/>
    <w:basedOn w:val="TableNormal"/>
    <w:uiPriority w:val="59"/>
    <w:rsid w:val="000C349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5882301">
      <w:bodyDiv w:val="1"/>
      <w:marLeft w:val="0"/>
      <w:marRight w:val="0"/>
      <w:marTop w:val="0"/>
      <w:marBottom w:val="0"/>
      <w:divBdr>
        <w:top w:val="none" w:sz="0" w:space="0" w:color="auto"/>
        <w:left w:val="none" w:sz="0" w:space="0" w:color="auto"/>
        <w:bottom w:val="none" w:sz="0" w:space="0" w:color="auto"/>
        <w:right w:val="none" w:sz="0" w:space="0" w:color="auto"/>
      </w:divBdr>
    </w:div>
    <w:div w:id="182256628">
      <w:bodyDiv w:val="1"/>
      <w:marLeft w:val="0"/>
      <w:marRight w:val="0"/>
      <w:marTop w:val="0"/>
      <w:marBottom w:val="0"/>
      <w:divBdr>
        <w:top w:val="none" w:sz="0" w:space="0" w:color="auto"/>
        <w:left w:val="none" w:sz="0" w:space="0" w:color="auto"/>
        <w:bottom w:val="none" w:sz="0" w:space="0" w:color="auto"/>
        <w:right w:val="none" w:sz="0" w:space="0" w:color="auto"/>
      </w:divBdr>
    </w:div>
    <w:div w:id="271086659">
      <w:bodyDiv w:val="1"/>
      <w:marLeft w:val="0"/>
      <w:marRight w:val="0"/>
      <w:marTop w:val="0"/>
      <w:marBottom w:val="0"/>
      <w:divBdr>
        <w:top w:val="none" w:sz="0" w:space="0" w:color="auto"/>
        <w:left w:val="none" w:sz="0" w:space="0" w:color="auto"/>
        <w:bottom w:val="none" w:sz="0" w:space="0" w:color="auto"/>
        <w:right w:val="none" w:sz="0" w:space="0" w:color="auto"/>
      </w:divBdr>
    </w:div>
    <w:div w:id="389813544">
      <w:bodyDiv w:val="1"/>
      <w:marLeft w:val="0"/>
      <w:marRight w:val="0"/>
      <w:marTop w:val="0"/>
      <w:marBottom w:val="0"/>
      <w:divBdr>
        <w:top w:val="none" w:sz="0" w:space="0" w:color="auto"/>
        <w:left w:val="none" w:sz="0" w:space="0" w:color="auto"/>
        <w:bottom w:val="none" w:sz="0" w:space="0" w:color="auto"/>
        <w:right w:val="none" w:sz="0" w:space="0" w:color="auto"/>
      </w:divBdr>
    </w:div>
    <w:div w:id="400644025">
      <w:bodyDiv w:val="1"/>
      <w:marLeft w:val="0"/>
      <w:marRight w:val="0"/>
      <w:marTop w:val="0"/>
      <w:marBottom w:val="0"/>
      <w:divBdr>
        <w:top w:val="none" w:sz="0" w:space="0" w:color="auto"/>
        <w:left w:val="none" w:sz="0" w:space="0" w:color="auto"/>
        <w:bottom w:val="none" w:sz="0" w:space="0" w:color="auto"/>
        <w:right w:val="none" w:sz="0" w:space="0" w:color="auto"/>
      </w:divBdr>
    </w:div>
    <w:div w:id="419134424">
      <w:bodyDiv w:val="1"/>
      <w:marLeft w:val="0"/>
      <w:marRight w:val="0"/>
      <w:marTop w:val="0"/>
      <w:marBottom w:val="0"/>
      <w:divBdr>
        <w:top w:val="none" w:sz="0" w:space="0" w:color="auto"/>
        <w:left w:val="none" w:sz="0" w:space="0" w:color="auto"/>
        <w:bottom w:val="none" w:sz="0" w:space="0" w:color="auto"/>
        <w:right w:val="none" w:sz="0" w:space="0" w:color="auto"/>
      </w:divBdr>
    </w:div>
    <w:div w:id="427385218">
      <w:bodyDiv w:val="1"/>
      <w:marLeft w:val="0"/>
      <w:marRight w:val="0"/>
      <w:marTop w:val="0"/>
      <w:marBottom w:val="0"/>
      <w:divBdr>
        <w:top w:val="none" w:sz="0" w:space="0" w:color="auto"/>
        <w:left w:val="none" w:sz="0" w:space="0" w:color="auto"/>
        <w:bottom w:val="none" w:sz="0" w:space="0" w:color="auto"/>
        <w:right w:val="none" w:sz="0" w:space="0" w:color="auto"/>
      </w:divBdr>
    </w:div>
    <w:div w:id="474225261">
      <w:bodyDiv w:val="1"/>
      <w:marLeft w:val="0"/>
      <w:marRight w:val="0"/>
      <w:marTop w:val="0"/>
      <w:marBottom w:val="0"/>
      <w:divBdr>
        <w:top w:val="none" w:sz="0" w:space="0" w:color="auto"/>
        <w:left w:val="none" w:sz="0" w:space="0" w:color="auto"/>
        <w:bottom w:val="none" w:sz="0" w:space="0" w:color="auto"/>
        <w:right w:val="none" w:sz="0" w:space="0" w:color="auto"/>
      </w:divBdr>
    </w:div>
    <w:div w:id="476342816">
      <w:bodyDiv w:val="1"/>
      <w:marLeft w:val="0"/>
      <w:marRight w:val="0"/>
      <w:marTop w:val="0"/>
      <w:marBottom w:val="0"/>
      <w:divBdr>
        <w:top w:val="none" w:sz="0" w:space="0" w:color="auto"/>
        <w:left w:val="none" w:sz="0" w:space="0" w:color="auto"/>
        <w:bottom w:val="none" w:sz="0" w:space="0" w:color="auto"/>
        <w:right w:val="none" w:sz="0" w:space="0" w:color="auto"/>
      </w:divBdr>
    </w:div>
    <w:div w:id="564294786">
      <w:bodyDiv w:val="1"/>
      <w:marLeft w:val="0"/>
      <w:marRight w:val="0"/>
      <w:marTop w:val="0"/>
      <w:marBottom w:val="0"/>
      <w:divBdr>
        <w:top w:val="none" w:sz="0" w:space="0" w:color="auto"/>
        <w:left w:val="none" w:sz="0" w:space="0" w:color="auto"/>
        <w:bottom w:val="none" w:sz="0" w:space="0" w:color="auto"/>
        <w:right w:val="none" w:sz="0" w:space="0" w:color="auto"/>
      </w:divBdr>
    </w:div>
    <w:div w:id="567956154">
      <w:bodyDiv w:val="1"/>
      <w:marLeft w:val="0"/>
      <w:marRight w:val="0"/>
      <w:marTop w:val="0"/>
      <w:marBottom w:val="0"/>
      <w:divBdr>
        <w:top w:val="none" w:sz="0" w:space="0" w:color="auto"/>
        <w:left w:val="none" w:sz="0" w:space="0" w:color="auto"/>
        <w:bottom w:val="none" w:sz="0" w:space="0" w:color="auto"/>
        <w:right w:val="none" w:sz="0" w:space="0" w:color="auto"/>
      </w:divBdr>
    </w:div>
    <w:div w:id="761268513">
      <w:bodyDiv w:val="1"/>
      <w:marLeft w:val="0"/>
      <w:marRight w:val="0"/>
      <w:marTop w:val="0"/>
      <w:marBottom w:val="0"/>
      <w:divBdr>
        <w:top w:val="none" w:sz="0" w:space="0" w:color="auto"/>
        <w:left w:val="none" w:sz="0" w:space="0" w:color="auto"/>
        <w:bottom w:val="none" w:sz="0" w:space="0" w:color="auto"/>
        <w:right w:val="none" w:sz="0" w:space="0" w:color="auto"/>
      </w:divBdr>
    </w:div>
    <w:div w:id="820387323">
      <w:bodyDiv w:val="1"/>
      <w:marLeft w:val="0"/>
      <w:marRight w:val="0"/>
      <w:marTop w:val="0"/>
      <w:marBottom w:val="0"/>
      <w:divBdr>
        <w:top w:val="none" w:sz="0" w:space="0" w:color="auto"/>
        <w:left w:val="none" w:sz="0" w:space="0" w:color="auto"/>
        <w:bottom w:val="none" w:sz="0" w:space="0" w:color="auto"/>
        <w:right w:val="none" w:sz="0" w:space="0" w:color="auto"/>
      </w:divBdr>
    </w:div>
    <w:div w:id="878904215">
      <w:bodyDiv w:val="1"/>
      <w:marLeft w:val="0"/>
      <w:marRight w:val="0"/>
      <w:marTop w:val="0"/>
      <w:marBottom w:val="0"/>
      <w:divBdr>
        <w:top w:val="none" w:sz="0" w:space="0" w:color="auto"/>
        <w:left w:val="none" w:sz="0" w:space="0" w:color="auto"/>
        <w:bottom w:val="none" w:sz="0" w:space="0" w:color="auto"/>
        <w:right w:val="none" w:sz="0" w:space="0" w:color="auto"/>
      </w:divBdr>
    </w:div>
    <w:div w:id="970551725">
      <w:bodyDiv w:val="1"/>
      <w:marLeft w:val="0"/>
      <w:marRight w:val="0"/>
      <w:marTop w:val="0"/>
      <w:marBottom w:val="0"/>
      <w:divBdr>
        <w:top w:val="none" w:sz="0" w:space="0" w:color="auto"/>
        <w:left w:val="none" w:sz="0" w:space="0" w:color="auto"/>
        <w:bottom w:val="none" w:sz="0" w:space="0" w:color="auto"/>
        <w:right w:val="none" w:sz="0" w:space="0" w:color="auto"/>
      </w:divBdr>
    </w:div>
    <w:div w:id="980310615">
      <w:bodyDiv w:val="1"/>
      <w:marLeft w:val="0"/>
      <w:marRight w:val="0"/>
      <w:marTop w:val="0"/>
      <w:marBottom w:val="0"/>
      <w:divBdr>
        <w:top w:val="none" w:sz="0" w:space="0" w:color="auto"/>
        <w:left w:val="none" w:sz="0" w:space="0" w:color="auto"/>
        <w:bottom w:val="none" w:sz="0" w:space="0" w:color="auto"/>
        <w:right w:val="none" w:sz="0" w:space="0" w:color="auto"/>
      </w:divBdr>
    </w:div>
    <w:div w:id="1036807633">
      <w:bodyDiv w:val="1"/>
      <w:marLeft w:val="0"/>
      <w:marRight w:val="0"/>
      <w:marTop w:val="0"/>
      <w:marBottom w:val="0"/>
      <w:divBdr>
        <w:top w:val="none" w:sz="0" w:space="0" w:color="auto"/>
        <w:left w:val="none" w:sz="0" w:space="0" w:color="auto"/>
        <w:bottom w:val="none" w:sz="0" w:space="0" w:color="auto"/>
        <w:right w:val="none" w:sz="0" w:space="0" w:color="auto"/>
      </w:divBdr>
    </w:div>
    <w:div w:id="1328170812">
      <w:bodyDiv w:val="1"/>
      <w:marLeft w:val="0"/>
      <w:marRight w:val="0"/>
      <w:marTop w:val="0"/>
      <w:marBottom w:val="0"/>
      <w:divBdr>
        <w:top w:val="none" w:sz="0" w:space="0" w:color="auto"/>
        <w:left w:val="none" w:sz="0" w:space="0" w:color="auto"/>
        <w:bottom w:val="none" w:sz="0" w:space="0" w:color="auto"/>
        <w:right w:val="none" w:sz="0" w:space="0" w:color="auto"/>
      </w:divBdr>
    </w:div>
    <w:div w:id="1330520825">
      <w:bodyDiv w:val="1"/>
      <w:marLeft w:val="0"/>
      <w:marRight w:val="0"/>
      <w:marTop w:val="0"/>
      <w:marBottom w:val="0"/>
      <w:divBdr>
        <w:top w:val="none" w:sz="0" w:space="0" w:color="auto"/>
        <w:left w:val="none" w:sz="0" w:space="0" w:color="auto"/>
        <w:bottom w:val="none" w:sz="0" w:space="0" w:color="auto"/>
        <w:right w:val="none" w:sz="0" w:space="0" w:color="auto"/>
      </w:divBdr>
    </w:div>
    <w:div w:id="1388646788">
      <w:bodyDiv w:val="1"/>
      <w:marLeft w:val="0"/>
      <w:marRight w:val="0"/>
      <w:marTop w:val="0"/>
      <w:marBottom w:val="0"/>
      <w:divBdr>
        <w:top w:val="none" w:sz="0" w:space="0" w:color="auto"/>
        <w:left w:val="none" w:sz="0" w:space="0" w:color="auto"/>
        <w:bottom w:val="none" w:sz="0" w:space="0" w:color="auto"/>
        <w:right w:val="none" w:sz="0" w:space="0" w:color="auto"/>
      </w:divBdr>
    </w:div>
    <w:div w:id="1397170184">
      <w:bodyDiv w:val="1"/>
      <w:marLeft w:val="0"/>
      <w:marRight w:val="0"/>
      <w:marTop w:val="0"/>
      <w:marBottom w:val="0"/>
      <w:divBdr>
        <w:top w:val="none" w:sz="0" w:space="0" w:color="auto"/>
        <w:left w:val="none" w:sz="0" w:space="0" w:color="auto"/>
        <w:bottom w:val="none" w:sz="0" w:space="0" w:color="auto"/>
        <w:right w:val="none" w:sz="0" w:space="0" w:color="auto"/>
      </w:divBdr>
    </w:div>
    <w:div w:id="1557740124">
      <w:bodyDiv w:val="1"/>
      <w:marLeft w:val="0"/>
      <w:marRight w:val="0"/>
      <w:marTop w:val="0"/>
      <w:marBottom w:val="0"/>
      <w:divBdr>
        <w:top w:val="none" w:sz="0" w:space="0" w:color="auto"/>
        <w:left w:val="none" w:sz="0" w:space="0" w:color="auto"/>
        <w:bottom w:val="none" w:sz="0" w:space="0" w:color="auto"/>
        <w:right w:val="none" w:sz="0" w:space="0" w:color="auto"/>
      </w:divBdr>
    </w:div>
    <w:div w:id="16071507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jpe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eg"/><Relationship Id="rId5" Type="http://schemas.openxmlformats.org/officeDocument/2006/relationships/webSettings" Target="webSettings.xml"/><Relationship Id="rId15" Type="http://schemas.openxmlformats.org/officeDocument/2006/relationships/image" Target="media/image7.png"/><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Wil251</b:Tag>
    <b:SourceType>JournalArticle</b:SourceType>
    <b:Guid>{F6A36DB8-3869-4FD4-A287-4E57BDDF510A}</b:Guid>
    <b:Author>
      <b:Author>
        <b:NameList>
          <b:Person>
            <b:Last>Wilson</b:Last>
          </b:Person>
        </b:NameList>
      </b:Author>
    </b:Author>
    <b:Title>‘The development of policies on generative artificial intelligence in UK universities’, </b:Title>
    <b:JournalName>IFLA Journal, 51(3), pp. 722–734. </b:JournalName>
    <b:Year>2025</b:Year>
    <b:Pages>DOI: 10.1177/03400352251333796</b:Pages>
    <b:RefOrder>1</b:RefOrder>
  </b:Source>
  <b:Source>
    <b:Tag>Orf25</b:Tag>
    <b:SourceType>JournalArticle</b:SourceType>
    <b:Guid>{313E32BC-155A-41EE-B517-336C0C8D5818}</b:Guid>
    <b:Author>
      <b:Author>
        <b:NameList>
          <b:Person>
            <b:Last>Orfanidis</b:Last>
          </b:Person>
        </b:NameList>
      </b:Author>
    </b:Author>
    <b:Title>‘Moral Diversity in Institutional Policies Governing the Student Usage of Generative AI: An International Comparison’</b:Title>
    <b:JournalName>Higher Education Quarterly, 79(4), e70051. </b:JournalName>
    <b:Year>2025</b:Year>
    <b:Pages>DOI: 10.1111/hequ.70051</b:Pages>
    <b:RefOrder>2</b:RefOrder>
  </b:Source>
  <b:Source>
    <b:Tag>AnY</b:Tag>
    <b:SourceType>JournalArticle</b:SourceType>
    <b:Guid>{9EE04EC9-13D2-4E58-AC4F-CFD06F331DCF}</b:Guid>
    <b:Author>
      <b:Author>
        <b:NameList>
          <b:Person>
            <b:Last>An</b:Last>
          </b:Person>
          <b:Person>
            <b:Last>Yu</b:Last>
          </b:Person>
          <b:Person>
            <b:Last>James</b:Last>
          </b:Person>
        </b:NameList>
      </b:Author>
    </b:Author>
    <b:Title>‘Investigating the higher education institutions’ guidelines and policies regarding the use of generative AI in teaching, learning, research, and administration.'</b:Title>
    <b:JournalName>International Journal of Educational Technology in Higher Education, 22, article 10.</b:JournalName>
    <b:Year>2025</b:Year>
    <b:Pages>DOI: 10.1186/s41239-025-00507-3</b:Pages>
    <b:RefOrder>3</b:RefOrder>
  </b:Source>
  <b:Source>
    <b:Tag>McD251</b:Tag>
    <b:SourceType>JournalArticle</b:SourceType>
    <b:Guid>{DF68BAA8-D06E-4F88-A032-B3A5FEDAEB36}</b:Guid>
    <b:Author>
      <b:Author>
        <b:NameList>
          <b:Person>
            <b:Last>McDonald</b:Last>
          </b:Person>
          <b:Person>
            <b:Last>Johri</b:Last>
          </b:Person>
          <b:Person>
            <b:Last>Ali</b:Last>
          </b:Person>
          <b:Person>
            <b:Last>Collier</b:Last>
            <b:First>Hingle</b:First>
          </b:Person>
        </b:NameList>
      </b:Author>
    </b:Author>
    <b:Title>McDonald, N‘Generative artificial intelligence in higher education: Evidence from an analysis of institutional policies and guidelines’, </b:Title>
    <b:JournalName>Computers in Human Behavior: Artificial Humans, 3, article 100121.</b:JournalName>
    <b:Year>2025</b:Year>
    <b:RefOrder>4</b:RefOrder>
  </b:Source>
  <b:Source>
    <b:Tag>Bar25</b:Tag>
    <b:SourceType>JournalArticle</b:SourceType>
    <b:Guid>{396465D4-7B69-4D29-9368-597D32B0C804}</b:Guid>
    <b:Author>
      <b:Author>
        <b:NameList>
          <b:Person>
            <b:Last>Barus</b:Last>
          </b:Person>
          <b:Person>
            <b:Last>Hidayanto</b:Last>
          </b:Person>
          <b:Person>
            <b:Last>Handri</b:Last>
          </b:Person>
          <b:Person>
            <b:Last>Sensuse</b:Last>
          </b:Person>
          <b:Person>
            <b:Last>Yaiprasert</b:Last>
          </b:Person>
        </b:NameList>
      </b:Author>
    </b:Author>
    <b:Title>Barus, O.P., Hidayanto, A.N., Handr‘Shaping generative AI governance in higher education: Insights from student perception.'</b:Title>
    <b:JournalName>International Journal of Educational Research Open, 8, article 100452. </b:JournalName>
    <b:Year>2025</b:Year>
    <b:RefOrder>5</b:RefOrder>
  </b:Source>
  <b:Source>
    <b:Tag>ODe25</b:Tag>
    <b:SourceType>JournalArticle</b:SourceType>
    <b:Guid>{22642B5E-CFB8-4250-998A-6777465BBA7F}</b:Guid>
    <b:Author>
      <b:Author>
        <b:NameList>
          <b:Person>
            <b:Last>O’Dea</b:Last>
          </b:Person>
          <b:Person>
            <b:Last>Bale</b:Last>
          </b:Person>
          <b:Person>
            <b:Last>Chiu</b:Last>
          </b:Person>
          <b:Person>
            <b:Last>Suleymenova</b:Last>
          </b:Person>
          <b:Person>
            <b:Last>Tinker</b:Last>
            <b:First>Stoker</b:First>
          </b:Person>
        </b:NameList>
      </b:Author>
    </b:Author>
    <b:Title> ‘Ethical Uses of Generative AI in Assessment: Student Perceptions in UK Contexts.'</b:Title>
    <b:JournalName>Evaluation Review, Advance online publication.</b:JournalName>
    <b:Year>2025</b:Year>
    <b:Pages>O’Dea, X., Bale, R., Chiu, Y.-L.T., Suleymenova, K., Tinker, A. and Stoker, R. (2025) ‘Ethical Uses of Generative DOI: 10.1177/0193841X2513997</b:Pages>
    <b:RefOrder>6</b:RefOrder>
  </b:Source>
  <b:Source>
    <b:Tag>Cha25</b:Tag>
    <b:SourceType>JournalArticle</b:SourceType>
    <b:Guid>{0AA0720D-03C7-403A-83F2-352A432FE7D1}</b:Guid>
    <b:Author>
      <b:Author>
        <b:NameList>
          <b:Person>
            <b:Last>Chauhan</b:Last>
          </b:Person>
          <b:Person>
            <b:Last>Whale</b:Last>
          </b:Person>
          <b:Person>
            <b:Last>Rahimi</b:Last>
          </b:Person>
        </b:NameList>
      </b:Author>
    </b:Author>
    <b:Title> ‘From chalkboards to chatbots: navigating AI adoption, ethics, identity, and governance in UK higher education.'</b:Title>
    <b:JournalName>Strategy &amp; Leadership, Advance online publication, pp. 1–22. </b:JournalName>
    <b:Year>2025</b:Year>
    <b:Pages>DOI: 10.1108/SL-09-2025-0</b:Pages>
    <b:RefOrder>7</b:RefOrder>
  </b:Source>
  <b:Source>
    <b:Tag>Eva26</b:Tag>
    <b:SourceType>JournalArticle</b:SourceType>
    <b:Guid>{5948E09D-DF76-4354-8182-AF26CFEB5D9D}</b:Guid>
    <b:Author>
      <b:Author>
        <b:NameList>
          <b:Person>
            <b:Last>Evangelista</b:Last>
          </b:Person>
          <b:Person>
            <b:Last>Bukhari</b:Last>
          </b:Person>
        </b:NameList>
      </b:Author>
    </b:Author>
    <b:Title>‘From ethical principles to executable governance: A policy-as-code framework for trustworthy AI in higher education.'</b:Title>
    <b:JournalName>Computers and Education: Artificial Intelligence, 10, article 100594. </b:JournalName>
    <b:Year>2026</b:Year>
    <b:Pages>DOI: 10.1016/j.caeai.2026.100594</b:Pages>
    <b:RefOrder>8</b:RefOrder>
  </b:Source>
  <b:Source>
    <b:Tag>Ngu26</b:Tag>
    <b:SourceType>JournalArticle</b:SourceType>
    <b:Guid>{2A9B0061-1AF9-4B6C-9CB9-93FB5D1D30C2}</b:Guid>
    <b:Author>
      <b:Author>
        <b:NameList>
          <b:Person>
            <b:Last>Nguyen</b:Last>
          </b:Person>
        </b:NameList>
      </b:Author>
    </b:Author>
    <b:Title>‘Operationalising AI governance in higher education: A stepwise policy-development method.'</b:Title>
    <b:JournalName> MethodsX, 17, article 104063. </b:JournalName>
    <b:Year>2026</b:Year>
    <b:Pages>DOI: 10.1016/j.mex.2026.104063</b:Pages>
    <b:RefOrder>9</b:RefOrder>
  </b:Source>
  <b:Source>
    <b:Tag>Mad26</b:Tag>
    <b:SourceType>JournalArticle</b:SourceType>
    <b:Guid>{122299CD-DFBA-40D4-A7FA-5ED8EF98E08D}</b:Guid>
    <b:Author>
      <b:Author>
        <b:NameList>
          <b:Person>
            <b:Last>Madlenak</b:Last>
          </b:Person>
          <b:Person>
            <b:Last>Madlenakova</b:Last>
          </b:Person>
          <b:Person>
            <b:Last>Cvacho</b:Last>
          </b:Person>
          <b:Person>
            <b:Last>Gachulinec</b:Last>
          </b:Person>
        </b:NameList>
      </b:Author>
    </b:Author>
    <b:Title>‘Ethical Challenges of Artificial Intelligence in Higher Education: A Four-Pillar Student-Activity Framework for Institutional Governance.'</b:Title>
    <b:JournalName>Education Sciences, 16(4), article 555. </b:JournalName>
    <b:Year>2026</b:Year>
    <b:RefOrder>10</b:RefOrder>
  </b:Source>
</b:Sources>
</file>

<file path=customXml/itemProps1.xml><?xml version="1.0" encoding="utf-8"?>
<ds:datastoreItem xmlns:ds="http://schemas.openxmlformats.org/officeDocument/2006/customXml" ds:itemID="{D53BE47E-7C5C-460A-86A8-6B5487C198B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24</Pages>
  <Words>3095</Words>
  <Characters>17644</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20698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Maya Hadzhieva</dc:creator>
  <cp:keywords/>
  <dc:description/>
  <cp:lastModifiedBy>Maya Hadzhieva</cp:lastModifiedBy>
  <cp:revision>2</cp:revision>
  <dcterms:created xsi:type="dcterms:W3CDTF">2026-10-17T22:28:00Z</dcterms:created>
  <dcterms:modified xsi:type="dcterms:W3CDTF">2026-10-17T22:28:00Z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489c6ce8-eede-44ab-a6db-1ae0ff257af9</vt:lpwstr>
  </property>
</Properties>
</file>