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D04E47" w14:textId="1C20F7AB" w:rsidR="007B6143" w:rsidRPr="007B6143" w:rsidRDefault="007B6143" w:rsidP="007B6143">
      <w:pPr>
        <w:jc w:val="center"/>
        <w:rPr>
          <w:b/>
          <w:sz w:val="44"/>
          <w:szCs w:val="44"/>
        </w:rPr>
      </w:pPr>
      <w:r w:rsidRPr="007B6143">
        <w:rPr>
          <w:b/>
          <w:sz w:val="44"/>
          <w:szCs w:val="44"/>
        </w:rPr>
        <w:t>Programme: BA (Hons) Leadership and Management Skills for the Workplace</w:t>
      </w:r>
    </w:p>
    <w:p w14:paraId="607172E4" w14:textId="6448BC6D" w:rsidR="007B6143" w:rsidRPr="007B6143" w:rsidRDefault="007B6143" w:rsidP="007B6143">
      <w:pPr>
        <w:jc w:val="center"/>
        <w:rPr>
          <w:b/>
          <w:bCs/>
          <w:sz w:val="44"/>
          <w:szCs w:val="44"/>
        </w:rPr>
      </w:pPr>
      <w:r w:rsidRPr="007B6143">
        <w:rPr>
          <w:b/>
          <w:sz w:val="44"/>
          <w:szCs w:val="44"/>
        </w:rPr>
        <w:t xml:space="preserve">Module: </w:t>
      </w:r>
      <w:r w:rsidRPr="007B6143">
        <w:rPr>
          <w:b/>
          <w:bCs/>
          <w:sz w:val="44"/>
          <w:szCs w:val="44"/>
        </w:rPr>
        <w:t>Developing and Managing Individuals and Teams</w:t>
      </w:r>
    </w:p>
    <w:p w14:paraId="7EEC7A18" w14:textId="262FC5EE" w:rsidR="007B6143" w:rsidRPr="007B6143" w:rsidRDefault="007B6143" w:rsidP="007B6143">
      <w:pPr>
        <w:jc w:val="center"/>
        <w:rPr>
          <w:b/>
          <w:bCs/>
          <w:sz w:val="44"/>
          <w:szCs w:val="44"/>
        </w:rPr>
      </w:pPr>
      <w:r w:rsidRPr="007B6143">
        <w:rPr>
          <w:b/>
          <w:bCs/>
          <w:sz w:val="44"/>
          <w:szCs w:val="44"/>
        </w:rPr>
        <w:t>Module code: LCLM5002</w:t>
      </w:r>
    </w:p>
    <w:p w14:paraId="36FDD268" w14:textId="77777777" w:rsidR="007B6143" w:rsidRPr="007B6143" w:rsidRDefault="007B6143" w:rsidP="007B6143">
      <w:pPr>
        <w:jc w:val="center"/>
        <w:rPr>
          <w:b/>
          <w:bCs/>
          <w:sz w:val="44"/>
          <w:szCs w:val="44"/>
        </w:rPr>
      </w:pPr>
      <w:r w:rsidRPr="007B6143">
        <w:rPr>
          <w:b/>
          <w:bCs/>
          <w:sz w:val="44"/>
          <w:szCs w:val="44"/>
        </w:rPr>
        <w:t>Module Leader: Doreen Nyaa Amundam</w:t>
      </w:r>
    </w:p>
    <w:p w14:paraId="43729C20" w14:textId="776E6CCE" w:rsidR="007B6143" w:rsidRPr="007B6143" w:rsidRDefault="007B6143" w:rsidP="007B6143">
      <w:pPr>
        <w:jc w:val="center"/>
        <w:rPr>
          <w:b/>
          <w:bCs/>
          <w:sz w:val="44"/>
          <w:szCs w:val="44"/>
        </w:rPr>
      </w:pPr>
      <w:r w:rsidRPr="007B6143">
        <w:rPr>
          <w:b/>
          <w:bCs/>
          <w:sz w:val="44"/>
          <w:szCs w:val="44"/>
        </w:rPr>
        <w:t>Assignment Title: Component 2- Individual Report</w:t>
      </w:r>
    </w:p>
    <w:p w14:paraId="1CB8A195" w14:textId="45756AA2" w:rsidR="007B6143" w:rsidRPr="007B6143" w:rsidRDefault="007B6143" w:rsidP="007B6143">
      <w:pPr>
        <w:jc w:val="center"/>
        <w:rPr>
          <w:b/>
          <w:bCs/>
          <w:sz w:val="44"/>
          <w:szCs w:val="44"/>
        </w:rPr>
      </w:pPr>
      <w:r w:rsidRPr="007B6143">
        <w:rPr>
          <w:b/>
          <w:bCs/>
          <w:sz w:val="44"/>
          <w:szCs w:val="44"/>
        </w:rPr>
        <w:t>Name: Ousman Darame</w:t>
      </w:r>
    </w:p>
    <w:p w14:paraId="4899D4B0" w14:textId="3DA8A9D6" w:rsidR="007B6143" w:rsidRDefault="007B6143" w:rsidP="007B6143">
      <w:pPr>
        <w:jc w:val="center"/>
        <w:rPr>
          <w:b/>
          <w:bCs/>
          <w:sz w:val="44"/>
          <w:szCs w:val="44"/>
        </w:rPr>
      </w:pPr>
      <w:r w:rsidRPr="007B6143">
        <w:rPr>
          <w:b/>
          <w:bCs/>
          <w:sz w:val="44"/>
          <w:szCs w:val="44"/>
        </w:rPr>
        <w:t>Student Number: 2410947</w:t>
      </w:r>
    </w:p>
    <w:p w14:paraId="1EA21C4C" w14:textId="77777777" w:rsidR="007B6143" w:rsidRDefault="007B6143" w:rsidP="007B6143">
      <w:pPr>
        <w:jc w:val="center"/>
        <w:rPr>
          <w:b/>
          <w:bCs/>
          <w:sz w:val="44"/>
          <w:szCs w:val="44"/>
        </w:rPr>
      </w:pPr>
    </w:p>
    <w:p w14:paraId="5184F4E2" w14:textId="56438DD2" w:rsidR="00453458" w:rsidRPr="0044593D" w:rsidRDefault="0044593D" w:rsidP="0044593D">
      <w:pPr>
        <w:jc w:val="center"/>
        <w:rPr>
          <w:b/>
          <w:bCs/>
          <w:sz w:val="44"/>
          <w:szCs w:val="44"/>
        </w:rPr>
      </w:pPr>
      <w:r>
        <w:rPr>
          <w:noProof/>
        </w:rPr>
        <w:drawing>
          <wp:inline distT="0" distB="0" distL="0" distR="0" wp14:anchorId="08566468" wp14:editId="43404387">
            <wp:extent cx="5731374" cy="3686175"/>
            <wp:effectExtent l="0" t="0" r="3175" b="0"/>
            <wp:docPr id="2" name="Picture 1" descr="What Tesco can tell us about the way we live now | The Independ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 Tesco can tell us about the way we live now | The Independent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7999" cy="3690436"/>
                    </a:xfrm>
                    <a:prstGeom prst="rect">
                      <a:avLst/>
                    </a:prstGeom>
                    <a:noFill/>
                    <a:ln>
                      <a:noFill/>
                    </a:ln>
                  </pic:spPr>
                </pic:pic>
              </a:graphicData>
            </a:graphic>
          </wp:inline>
        </w:drawing>
      </w:r>
      <w:bookmarkStart w:id="0" w:name="_Hlk210661381"/>
    </w:p>
    <w:p w14:paraId="692F7607" w14:textId="198FA608" w:rsidR="008D3F04" w:rsidRPr="008D3F04" w:rsidRDefault="008D3F04" w:rsidP="003E71B5">
      <w:pPr>
        <w:spacing w:line="360" w:lineRule="auto"/>
        <w:rPr>
          <w:rFonts w:ascii="Arial" w:eastAsia="Arial" w:hAnsi="Arial" w:cs="Arial"/>
          <w:b/>
          <w:bCs/>
          <w:sz w:val="28"/>
          <w:szCs w:val="28"/>
        </w:rPr>
      </w:pPr>
      <w:r w:rsidRPr="008D3F04">
        <w:rPr>
          <w:rFonts w:ascii="Arial" w:eastAsia="Arial" w:hAnsi="Arial" w:cs="Arial"/>
          <w:b/>
          <w:bCs/>
          <w:sz w:val="28"/>
          <w:szCs w:val="28"/>
        </w:rPr>
        <w:lastRenderedPageBreak/>
        <w:t>Table of Contents</w:t>
      </w:r>
    </w:p>
    <w:p w14:paraId="53637C41" w14:textId="77777777" w:rsidR="008D3F04" w:rsidRPr="003E71B5" w:rsidRDefault="008D3F04" w:rsidP="00141643">
      <w:pPr>
        <w:spacing w:line="360" w:lineRule="auto"/>
        <w:rPr>
          <w:rFonts w:ascii="Arial" w:eastAsia="Arial" w:hAnsi="Arial" w:cs="Arial"/>
          <w:b/>
          <w:bCs/>
          <w:sz w:val="22"/>
          <w:szCs w:val="22"/>
        </w:rPr>
      </w:pPr>
      <w:r w:rsidRPr="008D3F04">
        <w:rPr>
          <w:rFonts w:ascii="Arial" w:eastAsia="Arial" w:hAnsi="Arial" w:cs="Arial"/>
          <w:b/>
          <w:bCs/>
          <w:sz w:val="22"/>
          <w:szCs w:val="22"/>
        </w:rPr>
        <w:t>1.</w:t>
      </w:r>
      <w:r>
        <w:rPr>
          <w:rFonts w:ascii="Arial" w:eastAsia="Arial" w:hAnsi="Arial" w:cs="Arial"/>
          <w:b/>
          <w:bCs/>
          <w:sz w:val="22"/>
          <w:szCs w:val="22"/>
        </w:rPr>
        <w:t xml:space="preserve"> </w:t>
      </w:r>
      <w:r w:rsidRPr="003E71B5">
        <w:rPr>
          <w:rFonts w:ascii="Arial" w:eastAsia="Arial" w:hAnsi="Arial" w:cs="Arial"/>
          <w:b/>
          <w:bCs/>
          <w:sz w:val="22"/>
          <w:szCs w:val="22"/>
        </w:rPr>
        <w:t>Introduction Tesco</w:t>
      </w:r>
    </w:p>
    <w:p w14:paraId="72525ABA" w14:textId="77777777" w:rsidR="008D3F04" w:rsidRPr="003E71B5" w:rsidRDefault="008D3F04" w:rsidP="00141643">
      <w:pPr>
        <w:spacing w:line="360" w:lineRule="auto"/>
        <w:rPr>
          <w:rFonts w:ascii="Arial" w:hAnsi="Arial" w:cs="Arial"/>
          <w:b/>
          <w:bCs/>
          <w:sz w:val="22"/>
          <w:szCs w:val="22"/>
        </w:rPr>
      </w:pPr>
      <w:r>
        <w:rPr>
          <w:rFonts w:ascii="Arial" w:eastAsia="Arial" w:hAnsi="Arial" w:cs="Arial"/>
          <w:b/>
          <w:bCs/>
          <w:sz w:val="22"/>
          <w:szCs w:val="22"/>
        </w:rPr>
        <w:t xml:space="preserve">2. </w:t>
      </w:r>
      <w:r w:rsidRPr="003E71B5">
        <w:rPr>
          <w:rFonts w:ascii="Arial" w:hAnsi="Arial" w:cs="Arial"/>
          <w:b/>
          <w:bCs/>
          <w:sz w:val="22"/>
          <w:szCs w:val="22"/>
        </w:rPr>
        <w:t>An explanation of the specific factors related to:</w:t>
      </w:r>
    </w:p>
    <w:p w14:paraId="5C6F8E40" w14:textId="77777777" w:rsidR="008D3F04" w:rsidRPr="003E71B5" w:rsidRDefault="008D3F04" w:rsidP="00141643">
      <w:pPr>
        <w:numPr>
          <w:ilvl w:val="0"/>
          <w:numId w:val="2"/>
        </w:numPr>
        <w:spacing w:line="360" w:lineRule="auto"/>
        <w:rPr>
          <w:rFonts w:ascii="Arial" w:hAnsi="Arial" w:cs="Arial"/>
          <w:b/>
          <w:bCs/>
          <w:sz w:val="22"/>
          <w:szCs w:val="22"/>
        </w:rPr>
      </w:pPr>
      <w:r w:rsidRPr="003E71B5">
        <w:rPr>
          <w:rFonts w:ascii="Arial" w:hAnsi="Arial" w:cs="Arial"/>
          <w:b/>
          <w:bCs/>
          <w:sz w:val="22"/>
          <w:szCs w:val="22"/>
        </w:rPr>
        <w:t>Meeting up with technological advancement</w:t>
      </w:r>
    </w:p>
    <w:p w14:paraId="3EB110AE" w14:textId="77777777" w:rsidR="008D3F04" w:rsidRPr="003E71B5" w:rsidRDefault="008D3F04" w:rsidP="00141643">
      <w:pPr>
        <w:numPr>
          <w:ilvl w:val="0"/>
          <w:numId w:val="2"/>
        </w:numPr>
        <w:spacing w:line="360" w:lineRule="auto"/>
        <w:rPr>
          <w:rFonts w:ascii="Arial" w:hAnsi="Arial" w:cs="Arial"/>
          <w:b/>
          <w:bCs/>
          <w:sz w:val="22"/>
          <w:szCs w:val="22"/>
        </w:rPr>
      </w:pPr>
      <w:r w:rsidRPr="003E71B5">
        <w:rPr>
          <w:rFonts w:ascii="Arial" w:hAnsi="Arial" w:cs="Arial"/>
          <w:b/>
          <w:bCs/>
          <w:sz w:val="22"/>
          <w:szCs w:val="22"/>
        </w:rPr>
        <w:t>Talent Acquisition and retention</w:t>
      </w:r>
    </w:p>
    <w:p w14:paraId="29D9BE7A" w14:textId="77777777" w:rsidR="008D3F04" w:rsidRPr="003E71B5" w:rsidRDefault="008D3F04" w:rsidP="00141643">
      <w:pPr>
        <w:numPr>
          <w:ilvl w:val="0"/>
          <w:numId w:val="2"/>
        </w:numPr>
        <w:spacing w:line="360" w:lineRule="auto"/>
        <w:rPr>
          <w:rFonts w:ascii="Arial" w:hAnsi="Arial" w:cs="Arial"/>
          <w:b/>
          <w:bCs/>
          <w:sz w:val="22"/>
          <w:szCs w:val="22"/>
        </w:rPr>
      </w:pPr>
      <w:r w:rsidRPr="003E71B5">
        <w:rPr>
          <w:rFonts w:ascii="Arial" w:hAnsi="Arial" w:cs="Arial"/>
          <w:b/>
          <w:bCs/>
          <w:sz w:val="22"/>
          <w:szCs w:val="22"/>
        </w:rPr>
        <w:t xml:space="preserve">Diversity, Equity and Inclusion (DEI)   </w:t>
      </w:r>
    </w:p>
    <w:p w14:paraId="1960421B" w14:textId="77777777" w:rsidR="008D3F04" w:rsidRPr="003E71B5" w:rsidRDefault="008D3F04" w:rsidP="00141643">
      <w:pPr>
        <w:spacing w:line="360" w:lineRule="auto"/>
        <w:rPr>
          <w:rFonts w:ascii="Arial" w:hAnsi="Arial" w:cs="Arial"/>
          <w:b/>
          <w:bCs/>
          <w:sz w:val="22"/>
          <w:szCs w:val="22"/>
        </w:rPr>
      </w:pPr>
      <w:r>
        <w:rPr>
          <w:rFonts w:ascii="Arial" w:eastAsia="Arial" w:hAnsi="Arial" w:cs="Arial"/>
          <w:b/>
          <w:bCs/>
          <w:sz w:val="22"/>
          <w:szCs w:val="22"/>
        </w:rPr>
        <w:t xml:space="preserve">3. </w:t>
      </w:r>
      <w:r w:rsidRPr="003E71B5">
        <w:rPr>
          <w:rFonts w:ascii="Arial" w:hAnsi="Arial" w:cs="Arial"/>
          <w:b/>
          <w:bCs/>
          <w:sz w:val="22"/>
          <w:szCs w:val="22"/>
        </w:rPr>
        <w:t xml:space="preserve">An evaluation of different contemporary HR practices to address each factor? </w:t>
      </w:r>
    </w:p>
    <w:p w14:paraId="704FBDE2" w14:textId="32C680E7" w:rsidR="008D3F04" w:rsidRPr="00B63F6A" w:rsidRDefault="008D3F04" w:rsidP="00141643">
      <w:pPr>
        <w:spacing w:line="360" w:lineRule="auto"/>
        <w:rPr>
          <w:rFonts w:ascii="Arial" w:hAnsi="Arial" w:cs="Arial"/>
          <w:sz w:val="22"/>
          <w:szCs w:val="22"/>
        </w:rPr>
      </w:pPr>
      <w:r w:rsidRPr="0044593D">
        <w:rPr>
          <w:rFonts w:ascii="Arial" w:hAnsi="Arial" w:cs="Arial"/>
          <w:b/>
          <w:bCs/>
          <w:sz w:val="22"/>
          <w:szCs w:val="22"/>
        </w:rPr>
        <w:t>Contemporary HR Practices: An Evaluation</w:t>
      </w:r>
      <w:r w:rsidRPr="003E71B5">
        <w:rPr>
          <w:rFonts w:ascii="Arial" w:hAnsi="Arial" w:cs="Arial"/>
          <w:sz w:val="22"/>
          <w:szCs w:val="22"/>
        </w:rPr>
        <w:br/>
      </w:r>
      <w:r w:rsidR="00B63F6A">
        <w:rPr>
          <w:rFonts w:ascii="Arial" w:hAnsi="Arial" w:cs="Arial"/>
          <w:b/>
          <w:bCs/>
          <w:sz w:val="22"/>
          <w:szCs w:val="22"/>
        </w:rPr>
        <w:t>4</w:t>
      </w:r>
      <w:r>
        <w:rPr>
          <w:rFonts w:ascii="Arial" w:hAnsi="Arial" w:cs="Arial"/>
          <w:b/>
          <w:bCs/>
          <w:sz w:val="22"/>
          <w:szCs w:val="22"/>
        </w:rPr>
        <w:t xml:space="preserve">. </w:t>
      </w:r>
      <w:r w:rsidRPr="0044593D">
        <w:rPr>
          <w:rFonts w:ascii="Arial" w:hAnsi="Arial" w:cs="Arial"/>
          <w:b/>
          <w:bCs/>
          <w:sz w:val="22"/>
          <w:szCs w:val="22"/>
        </w:rPr>
        <w:t>Employee Engagement and Well-Being</w:t>
      </w:r>
      <w:r w:rsidRPr="003E71B5">
        <w:rPr>
          <w:rFonts w:ascii="Arial" w:hAnsi="Arial" w:cs="Arial"/>
          <w:sz w:val="22"/>
          <w:szCs w:val="22"/>
        </w:rPr>
        <w:br/>
      </w:r>
      <w:r w:rsidR="00B63F6A">
        <w:rPr>
          <w:rFonts w:ascii="Arial" w:hAnsi="Arial" w:cs="Arial"/>
          <w:b/>
          <w:bCs/>
          <w:sz w:val="22"/>
          <w:szCs w:val="22"/>
        </w:rPr>
        <w:t>5</w:t>
      </w:r>
      <w:r w:rsidRPr="008D3F04">
        <w:rPr>
          <w:rFonts w:ascii="Arial" w:hAnsi="Arial" w:cs="Arial"/>
          <w:b/>
          <w:bCs/>
          <w:sz w:val="22"/>
          <w:szCs w:val="22"/>
        </w:rPr>
        <w:t xml:space="preserve">. </w:t>
      </w:r>
      <w:r w:rsidRPr="0044593D">
        <w:rPr>
          <w:rFonts w:ascii="Arial" w:hAnsi="Arial" w:cs="Arial"/>
          <w:b/>
          <w:bCs/>
          <w:sz w:val="22"/>
          <w:szCs w:val="22"/>
        </w:rPr>
        <w:t>Performance Management</w:t>
      </w:r>
    </w:p>
    <w:p w14:paraId="6E694C51" w14:textId="7194DD56" w:rsidR="008D3F04" w:rsidRDefault="00B63F6A" w:rsidP="00141643">
      <w:pPr>
        <w:spacing w:line="360" w:lineRule="auto"/>
        <w:rPr>
          <w:rFonts w:ascii="Arial" w:eastAsia="Arial" w:hAnsi="Arial" w:cs="Arial"/>
          <w:b/>
          <w:bCs/>
          <w:sz w:val="22"/>
          <w:szCs w:val="22"/>
          <w:lang w:eastAsia="en-GB"/>
        </w:rPr>
      </w:pPr>
      <w:r>
        <w:rPr>
          <w:rFonts w:ascii="Arial" w:hAnsi="Arial" w:cs="Arial"/>
          <w:b/>
          <w:bCs/>
          <w:sz w:val="22"/>
          <w:szCs w:val="22"/>
        </w:rPr>
        <w:t>6</w:t>
      </w:r>
      <w:r w:rsidR="008D3F04">
        <w:rPr>
          <w:rFonts w:ascii="Arial" w:hAnsi="Arial" w:cs="Arial"/>
          <w:b/>
          <w:bCs/>
          <w:sz w:val="22"/>
          <w:szCs w:val="22"/>
        </w:rPr>
        <w:t xml:space="preserve">. </w:t>
      </w:r>
      <w:r w:rsidR="008D3F04" w:rsidRPr="003E71B5">
        <w:rPr>
          <w:rFonts w:ascii="Arial" w:eastAsia="Arial" w:hAnsi="Arial" w:cs="Arial"/>
          <w:b/>
          <w:bCs/>
          <w:sz w:val="22"/>
          <w:szCs w:val="22"/>
          <w:lang w:eastAsia="en-GB"/>
        </w:rPr>
        <w:t>A critical evaluation of how departmental managers can ensure these contemporary practices are being implemented as a matter of urgency.</w:t>
      </w:r>
    </w:p>
    <w:p w14:paraId="3A7E1083" w14:textId="19174932" w:rsidR="008D3F04" w:rsidRDefault="00B63F6A" w:rsidP="00141643">
      <w:pPr>
        <w:spacing w:line="360" w:lineRule="auto"/>
        <w:rPr>
          <w:rFonts w:ascii="Arial" w:eastAsia="Arial" w:hAnsi="Arial" w:cs="Arial"/>
          <w:b/>
          <w:bCs/>
          <w:sz w:val="22"/>
          <w:szCs w:val="22"/>
        </w:rPr>
      </w:pPr>
      <w:r>
        <w:rPr>
          <w:rFonts w:ascii="Arial" w:eastAsia="Arial" w:hAnsi="Arial" w:cs="Arial"/>
          <w:b/>
          <w:bCs/>
          <w:sz w:val="22"/>
          <w:szCs w:val="22"/>
          <w:lang w:eastAsia="en-GB"/>
        </w:rPr>
        <w:t>7</w:t>
      </w:r>
      <w:r w:rsidR="008D3F04">
        <w:rPr>
          <w:rFonts w:ascii="Arial" w:eastAsia="Arial" w:hAnsi="Arial" w:cs="Arial"/>
          <w:b/>
          <w:bCs/>
          <w:sz w:val="22"/>
          <w:szCs w:val="22"/>
          <w:lang w:eastAsia="en-GB"/>
        </w:rPr>
        <w:t xml:space="preserve">. </w:t>
      </w:r>
      <w:r w:rsidR="008D3F04" w:rsidRPr="003E71B5">
        <w:rPr>
          <w:rFonts w:ascii="Arial" w:eastAsia="Arial" w:hAnsi="Arial" w:cs="Arial"/>
          <w:b/>
          <w:bCs/>
          <w:sz w:val="22"/>
          <w:szCs w:val="22"/>
        </w:rPr>
        <w:t>Conclusion</w:t>
      </w:r>
    </w:p>
    <w:p w14:paraId="1E8BD3A7" w14:textId="3D68FAD1" w:rsidR="008D3F04" w:rsidRPr="003E71B5" w:rsidRDefault="00B63F6A" w:rsidP="00141643">
      <w:pPr>
        <w:spacing w:before="100" w:beforeAutospacing="1" w:after="100" w:afterAutospacing="1" w:line="360" w:lineRule="auto"/>
        <w:rPr>
          <w:rFonts w:ascii="Arial" w:eastAsia="Arial" w:hAnsi="Arial" w:cs="Arial"/>
          <w:b/>
          <w:bCs/>
          <w:sz w:val="22"/>
          <w:szCs w:val="22"/>
          <w:lang w:eastAsia="en-GB"/>
        </w:rPr>
      </w:pPr>
      <w:r>
        <w:rPr>
          <w:rFonts w:ascii="Arial" w:eastAsia="Arial" w:hAnsi="Arial" w:cs="Arial"/>
          <w:b/>
          <w:bCs/>
          <w:sz w:val="22"/>
          <w:szCs w:val="22"/>
        </w:rPr>
        <w:t>8</w:t>
      </w:r>
      <w:r w:rsidR="008D3F04">
        <w:rPr>
          <w:rFonts w:ascii="Arial" w:eastAsia="Arial" w:hAnsi="Arial" w:cs="Arial"/>
          <w:b/>
          <w:bCs/>
          <w:sz w:val="22"/>
          <w:szCs w:val="22"/>
        </w:rPr>
        <w:t xml:space="preserve">. </w:t>
      </w:r>
      <w:r w:rsidR="008D3F04" w:rsidRPr="003E71B5">
        <w:rPr>
          <w:rFonts w:ascii="Arial" w:eastAsia="Arial" w:hAnsi="Arial" w:cs="Arial"/>
          <w:b/>
          <w:bCs/>
          <w:sz w:val="22"/>
          <w:szCs w:val="22"/>
          <w:lang w:eastAsia="en-GB"/>
        </w:rPr>
        <w:t>Reference list</w:t>
      </w:r>
    </w:p>
    <w:p w14:paraId="136F424A" w14:textId="7543706D" w:rsidR="008D3F04" w:rsidRPr="003E71B5" w:rsidRDefault="008D3F04" w:rsidP="008D3F04">
      <w:pPr>
        <w:spacing w:line="360" w:lineRule="auto"/>
        <w:rPr>
          <w:rFonts w:ascii="Arial" w:eastAsia="Arial" w:hAnsi="Arial" w:cs="Arial"/>
          <w:b/>
          <w:bCs/>
          <w:sz w:val="22"/>
          <w:szCs w:val="22"/>
          <w:lang w:eastAsia="en-GB"/>
        </w:rPr>
      </w:pPr>
    </w:p>
    <w:p w14:paraId="6D3CEBFF" w14:textId="114C430A" w:rsidR="008D3F04" w:rsidRDefault="008D3F04" w:rsidP="008D3F04">
      <w:pPr>
        <w:spacing w:line="360" w:lineRule="auto"/>
        <w:rPr>
          <w:rFonts w:ascii="Arial" w:hAnsi="Arial" w:cs="Arial"/>
          <w:b/>
          <w:bCs/>
          <w:sz w:val="22"/>
          <w:szCs w:val="22"/>
        </w:rPr>
      </w:pPr>
    </w:p>
    <w:p w14:paraId="7729608C" w14:textId="6C9A2379" w:rsidR="008D3F04" w:rsidRPr="008D3F04" w:rsidRDefault="008D3F04" w:rsidP="008D3F04">
      <w:pPr>
        <w:spacing w:line="360" w:lineRule="auto"/>
        <w:rPr>
          <w:rFonts w:ascii="Arial" w:hAnsi="Arial" w:cs="Arial"/>
          <w:b/>
          <w:bCs/>
          <w:sz w:val="22"/>
          <w:szCs w:val="22"/>
        </w:rPr>
      </w:pPr>
      <w:r w:rsidRPr="008D3F04">
        <w:rPr>
          <w:rFonts w:ascii="Arial" w:hAnsi="Arial" w:cs="Arial"/>
          <w:b/>
          <w:bCs/>
          <w:sz w:val="22"/>
          <w:szCs w:val="22"/>
        </w:rPr>
        <w:br/>
      </w:r>
    </w:p>
    <w:p w14:paraId="78E2B96E" w14:textId="77777777" w:rsidR="008D3F04" w:rsidRDefault="008D3F04" w:rsidP="003E71B5">
      <w:pPr>
        <w:spacing w:line="360" w:lineRule="auto"/>
        <w:rPr>
          <w:rFonts w:ascii="Arial" w:eastAsia="Arial" w:hAnsi="Arial" w:cs="Arial"/>
          <w:b/>
          <w:bCs/>
          <w:sz w:val="22"/>
          <w:szCs w:val="22"/>
        </w:rPr>
      </w:pPr>
    </w:p>
    <w:p w14:paraId="2545B28F" w14:textId="77777777" w:rsidR="008D3F04" w:rsidRDefault="008D3F04" w:rsidP="003E71B5">
      <w:pPr>
        <w:spacing w:line="360" w:lineRule="auto"/>
        <w:rPr>
          <w:rFonts w:ascii="Arial" w:eastAsia="Arial" w:hAnsi="Arial" w:cs="Arial"/>
          <w:b/>
          <w:bCs/>
          <w:sz w:val="22"/>
          <w:szCs w:val="22"/>
        </w:rPr>
      </w:pPr>
    </w:p>
    <w:p w14:paraId="132645BD" w14:textId="77777777" w:rsidR="008D3F04" w:rsidRDefault="008D3F04" w:rsidP="003E71B5">
      <w:pPr>
        <w:spacing w:line="360" w:lineRule="auto"/>
        <w:rPr>
          <w:rFonts w:ascii="Arial" w:eastAsia="Arial" w:hAnsi="Arial" w:cs="Arial"/>
          <w:b/>
          <w:bCs/>
          <w:sz w:val="22"/>
          <w:szCs w:val="22"/>
        </w:rPr>
      </w:pPr>
    </w:p>
    <w:p w14:paraId="571391C7" w14:textId="77777777" w:rsidR="008D3F04" w:rsidRDefault="008D3F04" w:rsidP="003E71B5">
      <w:pPr>
        <w:spacing w:line="360" w:lineRule="auto"/>
        <w:rPr>
          <w:rFonts w:ascii="Arial" w:eastAsia="Arial" w:hAnsi="Arial" w:cs="Arial"/>
          <w:b/>
          <w:bCs/>
          <w:sz w:val="22"/>
          <w:szCs w:val="22"/>
        </w:rPr>
      </w:pPr>
    </w:p>
    <w:p w14:paraId="52A60F6E" w14:textId="77777777" w:rsidR="008D3F04" w:rsidRDefault="008D3F04" w:rsidP="003E71B5">
      <w:pPr>
        <w:spacing w:line="360" w:lineRule="auto"/>
        <w:rPr>
          <w:rFonts w:ascii="Arial" w:eastAsia="Arial" w:hAnsi="Arial" w:cs="Arial"/>
          <w:b/>
          <w:bCs/>
          <w:sz w:val="22"/>
          <w:szCs w:val="22"/>
        </w:rPr>
      </w:pPr>
    </w:p>
    <w:p w14:paraId="4F37C59A" w14:textId="77777777" w:rsidR="008D3F04" w:rsidRDefault="008D3F04" w:rsidP="003E71B5">
      <w:pPr>
        <w:spacing w:line="360" w:lineRule="auto"/>
        <w:rPr>
          <w:rFonts w:ascii="Arial" w:eastAsia="Arial" w:hAnsi="Arial" w:cs="Arial"/>
          <w:b/>
          <w:bCs/>
          <w:sz w:val="22"/>
          <w:szCs w:val="22"/>
        </w:rPr>
      </w:pPr>
    </w:p>
    <w:p w14:paraId="44A7B01E" w14:textId="77777777" w:rsidR="00B63F6A" w:rsidRDefault="00B63F6A" w:rsidP="003E71B5">
      <w:pPr>
        <w:spacing w:line="360" w:lineRule="auto"/>
        <w:rPr>
          <w:rFonts w:ascii="Arial" w:eastAsia="Arial" w:hAnsi="Arial" w:cs="Arial"/>
          <w:b/>
          <w:bCs/>
          <w:sz w:val="22"/>
          <w:szCs w:val="22"/>
        </w:rPr>
      </w:pPr>
    </w:p>
    <w:p w14:paraId="0AD12D4C" w14:textId="77777777" w:rsidR="00B63F6A" w:rsidRDefault="00B63F6A" w:rsidP="003E71B5">
      <w:pPr>
        <w:spacing w:line="360" w:lineRule="auto"/>
        <w:rPr>
          <w:rFonts w:ascii="Arial" w:eastAsia="Arial" w:hAnsi="Arial" w:cs="Arial"/>
          <w:b/>
          <w:bCs/>
          <w:sz w:val="22"/>
          <w:szCs w:val="22"/>
        </w:rPr>
      </w:pPr>
    </w:p>
    <w:p w14:paraId="1F4E2490" w14:textId="33D09589" w:rsidR="00453458" w:rsidRPr="00DF4991" w:rsidRDefault="00DF4991" w:rsidP="00DF4991">
      <w:pPr>
        <w:spacing w:line="360" w:lineRule="auto"/>
        <w:rPr>
          <w:rFonts w:ascii="Arial" w:eastAsia="Arial" w:hAnsi="Arial" w:cs="Arial"/>
          <w:b/>
          <w:bCs/>
          <w:sz w:val="22"/>
          <w:szCs w:val="22"/>
        </w:rPr>
      </w:pPr>
      <w:r w:rsidRPr="00DF4991">
        <w:rPr>
          <w:rFonts w:ascii="Arial" w:eastAsia="Arial" w:hAnsi="Arial" w:cs="Arial"/>
          <w:b/>
          <w:bCs/>
          <w:sz w:val="22"/>
          <w:szCs w:val="22"/>
        </w:rPr>
        <w:lastRenderedPageBreak/>
        <w:t>1.</w:t>
      </w:r>
      <w:r>
        <w:rPr>
          <w:rFonts w:ascii="Arial" w:eastAsia="Arial" w:hAnsi="Arial" w:cs="Arial"/>
          <w:b/>
          <w:bCs/>
          <w:sz w:val="22"/>
          <w:szCs w:val="22"/>
        </w:rPr>
        <w:t xml:space="preserve"> </w:t>
      </w:r>
      <w:r w:rsidR="00630B51" w:rsidRPr="00DF4991">
        <w:rPr>
          <w:rFonts w:ascii="Arial" w:eastAsia="Arial" w:hAnsi="Arial" w:cs="Arial"/>
          <w:b/>
          <w:bCs/>
          <w:sz w:val="22"/>
          <w:szCs w:val="22"/>
        </w:rPr>
        <w:t xml:space="preserve">Introduction </w:t>
      </w:r>
      <w:r w:rsidR="00453458" w:rsidRPr="00DF4991">
        <w:rPr>
          <w:rFonts w:ascii="Arial" w:eastAsia="Arial" w:hAnsi="Arial" w:cs="Arial"/>
          <w:b/>
          <w:bCs/>
          <w:sz w:val="22"/>
          <w:szCs w:val="22"/>
        </w:rPr>
        <w:t>Tesco</w:t>
      </w:r>
    </w:p>
    <w:p w14:paraId="54AC7F67" w14:textId="77777777" w:rsidR="0033191F" w:rsidRPr="003E71B5" w:rsidRDefault="0033191F" w:rsidP="003E71B5">
      <w:pPr>
        <w:spacing w:line="360" w:lineRule="auto"/>
        <w:rPr>
          <w:rFonts w:ascii="Arial" w:hAnsi="Arial" w:cs="Arial"/>
          <w:sz w:val="22"/>
          <w:szCs w:val="22"/>
        </w:rPr>
      </w:pPr>
      <w:r w:rsidRPr="003E71B5">
        <w:rPr>
          <w:rFonts w:ascii="Arial" w:eastAsia="Arial" w:hAnsi="Arial" w:cs="Arial"/>
          <w:sz w:val="22"/>
          <w:szCs w:val="22"/>
        </w:rPr>
        <w:t>Tesco, a multinational grocery and general merchandise retailer headquartered in the United Kingdom, is a prominent figure in the global retail landscape (Tesco PLC, 2023). Founded in 1919 by Jack Cohen, Tesco has grown from a humble market stall in London's East End to become one of the world's leading retailers, with operations spanning across Europe and Asia (Corbett, 2017). The company's name, a combination of "TES" from T.E. Stockwell, a tea supplier, and "CO" from Cohen's surname, reflects its origins and early partnerships (Humby et al., 2007).</w:t>
      </w:r>
      <w:r w:rsidRPr="003E71B5">
        <w:rPr>
          <w:rFonts w:ascii="Arial" w:eastAsia="Arial" w:hAnsi="Arial" w:cs="Arial"/>
          <w:sz w:val="22"/>
          <w:szCs w:val="22"/>
        </w:rPr>
        <w:br/>
      </w:r>
      <w:r w:rsidRPr="003E71B5">
        <w:rPr>
          <w:rFonts w:ascii="Arial" w:eastAsia="Arial" w:hAnsi="Arial" w:cs="Arial"/>
          <w:sz w:val="22"/>
          <w:szCs w:val="22"/>
        </w:rPr>
        <w:br/>
        <w:t>Throughout its history, Tesco has demonstrated a remarkable ability to adapt to changing consumer preferences and market dynamics (Clarke &amp; Hallsworth, 1994). The company pioneered the concept of self-service supermarkets in the UK, revolutionizing the way people shopped for groceries (Tesco PLC, 2023). Over the years, Tesco expanded its product offerings beyond food to include clothing, electronics, financial services, and even telecommunications (Berstell, 2005). This diversification strategy allowed Tesco to cater to a wider range of customer needs and establish itself as a one-stop-shop for households.</w:t>
      </w:r>
      <w:r w:rsidRPr="003E71B5">
        <w:rPr>
          <w:rFonts w:ascii="Arial" w:eastAsia="Arial" w:hAnsi="Arial" w:cs="Arial"/>
          <w:sz w:val="22"/>
          <w:szCs w:val="22"/>
        </w:rPr>
        <w:br/>
      </w:r>
      <w:r w:rsidRPr="003E71B5">
        <w:rPr>
          <w:rFonts w:ascii="Arial" w:eastAsia="Arial" w:hAnsi="Arial" w:cs="Arial"/>
          <w:sz w:val="22"/>
          <w:szCs w:val="22"/>
        </w:rPr>
        <w:br/>
        <w:t xml:space="preserve">In addition to its product range, Tesco has also focused on innovation in its business practices (Fernie &amp; Sparks, 2014). The company was an early adopter of loyalty programs, using data analytics to understand customer behaviour and personalize marketing efforts (Humby et al., 2007). Tesco has also invested heavily in its online presence, offering online grocery shopping and delivery services to customers around the world (McCarthy, 2010). As a result, Tesco has remained at the forefront of the retail industry, continually adapting to meet the evolving needs of its customers and maintain its competitive </w:t>
      </w:r>
      <w:r w:rsidRPr="003E71B5">
        <w:rPr>
          <w:rFonts w:ascii="Arial" w:eastAsia="Arial" w:hAnsi="Arial" w:cs="Arial"/>
          <w:sz w:val="22"/>
          <w:szCs w:val="22"/>
        </w:rPr>
        <w:t>edge.</w:t>
      </w:r>
      <w:r w:rsidRPr="003E71B5">
        <w:rPr>
          <w:rFonts w:ascii="Arial" w:hAnsi="Arial" w:cs="Arial"/>
          <w:sz w:val="22"/>
          <w:szCs w:val="22"/>
        </w:rPr>
        <w:t xml:space="preserve"> </w:t>
      </w:r>
    </w:p>
    <w:p w14:paraId="3EC62C67" w14:textId="2F50648E" w:rsidR="007B6143" w:rsidRPr="003E71B5" w:rsidRDefault="00687E5F" w:rsidP="003E71B5">
      <w:pPr>
        <w:spacing w:line="360" w:lineRule="auto"/>
        <w:rPr>
          <w:rFonts w:ascii="Arial" w:hAnsi="Arial" w:cs="Arial"/>
          <w:b/>
          <w:bCs/>
          <w:sz w:val="22"/>
          <w:szCs w:val="22"/>
        </w:rPr>
      </w:pPr>
      <w:r>
        <w:rPr>
          <w:rFonts w:ascii="Arial" w:hAnsi="Arial" w:cs="Arial"/>
          <w:b/>
          <w:bCs/>
          <w:sz w:val="22"/>
          <w:szCs w:val="22"/>
        </w:rPr>
        <w:t xml:space="preserve">2. </w:t>
      </w:r>
      <w:r w:rsidR="0033191F" w:rsidRPr="003E71B5">
        <w:rPr>
          <w:rFonts w:ascii="Arial" w:hAnsi="Arial" w:cs="Arial"/>
          <w:b/>
          <w:bCs/>
          <w:sz w:val="22"/>
          <w:szCs w:val="22"/>
        </w:rPr>
        <w:t>An</w:t>
      </w:r>
      <w:r w:rsidR="007B6143" w:rsidRPr="003E71B5">
        <w:rPr>
          <w:rFonts w:ascii="Arial" w:hAnsi="Arial" w:cs="Arial"/>
          <w:b/>
          <w:bCs/>
          <w:sz w:val="22"/>
          <w:szCs w:val="22"/>
        </w:rPr>
        <w:t xml:space="preserve"> explanation of the specific factors related to:</w:t>
      </w:r>
    </w:p>
    <w:p w14:paraId="1A052AA5" w14:textId="77777777" w:rsidR="0033731A" w:rsidRPr="003E71B5" w:rsidRDefault="0033731A" w:rsidP="003E71B5">
      <w:pPr>
        <w:numPr>
          <w:ilvl w:val="0"/>
          <w:numId w:val="2"/>
        </w:numPr>
        <w:spacing w:line="360" w:lineRule="auto"/>
        <w:rPr>
          <w:rFonts w:ascii="Arial" w:hAnsi="Arial" w:cs="Arial"/>
          <w:b/>
          <w:bCs/>
          <w:sz w:val="22"/>
          <w:szCs w:val="22"/>
        </w:rPr>
      </w:pPr>
      <w:bookmarkStart w:id="1" w:name="_Hlk210661805"/>
      <w:r w:rsidRPr="003E71B5">
        <w:rPr>
          <w:rFonts w:ascii="Arial" w:hAnsi="Arial" w:cs="Arial"/>
          <w:b/>
          <w:bCs/>
          <w:sz w:val="22"/>
          <w:szCs w:val="22"/>
        </w:rPr>
        <w:t>Meeting up with technological advancement</w:t>
      </w:r>
    </w:p>
    <w:p w14:paraId="5341C84B" w14:textId="77777777" w:rsidR="0033731A" w:rsidRPr="003E71B5" w:rsidRDefault="0033731A" w:rsidP="003E71B5">
      <w:pPr>
        <w:numPr>
          <w:ilvl w:val="0"/>
          <w:numId w:val="2"/>
        </w:numPr>
        <w:spacing w:line="360" w:lineRule="auto"/>
        <w:rPr>
          <w:rFonts w:ascii="Arial" w:hAnsi="Arial" w:cs="Arial"/>
          <w:b/>
          <w:bCs/>
          <w:sz w:val="22"/>
          <w:szCs w:val="22"/>
        </w:rPr>
      </w:pPr>
      <w:r w:rsidRPr="003E71B5">
        <w:rPr>
          <w:rFonts w:ascii="Arial" w:hAnsi="Arial" w:cs="Arial"/>
          <w:b/>
          <w:bCs/>
          <w:sz w:val="22"/>
          <w:szCs w:val="22"/>
        </w:rPr>
        <w:t>Talent Acquisition and retention</w:t>
      </w:r>
    </w:p>
    <w:p w14:paraId="1DADC29C" w14:textId="77777777" w:rsidR="0033731A" w:rsidRPr="003E71B5" w:rsidRDefault="0033731A" w:rsidP="003E71B5">
      <w:pPr>
        <w:numPr>
          <w:ilvl w:val="0"/>
          <w:numId w:val="2"/>
        </w:numPr>
        <w:spacing w:line="360" w:lineRule="auto"/>
        <w:rPr>
          <w:rFonts w:ascii="Arial" w:hAnsi="Arial" w:cs="Arial"/>
          <w:b/>
          <w:bCs/>
          <w:sz w:val="22"/>
          <w:szCs w:val="22"/>
        </w:rPr>
      </w:pPr>
      <w:r w:rsidRPr="003E71B5">
        <w:rPr>
          <w:rFonts w:ascii="Arial" w:hAnsi="Arial" w:cs="Arial"/>
          <w:b/>
          <w:bCs/>
          <w:sz w:val="22"/>
          <w:szCs w:val="22"/>
        </w:rPr>
        <w:t xml:space="preserve">Diversity, Equity and Inclusion (DEI)   </w:t>
      </w:r>
      <w:bookmarkEnd w:id="1"/>
    </w:p>
    <w:p w14:paraId="2B63BAC9" w14:textId="77777777" w:rsidR="0033731A" w:rsidRPr="003E71B5" w:rsidRDefault="0033731A" w:rsidP="003E71B5">
      <w:pPr>
        <w:spacing w:line="360" w:lineRule="auto"/>
        <w:rPr>
          <w:rFonts w:ascii="Arial" w:hAnsi="Arial" w:cs="Arial"/>
          <w:b/>
          <w:bCs/>
          <w:sz w:val="22"/>
          <w:szCs w:val="22"/>
        </w:rPr>
      </w:pPr>
    </w:p>
    <w:p w14:paraId="5C7771B4" w14:textId="488AEDBE" w:rsidR="007B6143" w:rsidRPr="003E71B5" w:rsidRDefault="00E7432B" w:rsidP="003E71B5">
      <w:pPr>
        <w:spacing w:line="360" w:lineRule="auto"/>
        <w:rPr>
          <w:rFonts w:ascii="Arial" w:hAnsi="Arial" w:cs="Arial"/>
          <w:sz w:val="22"/>
          <w:szCs w:val="22"/>
        </w:rPr>
      </w:pPr>
      <w:r w:rsidRPr="003E71B5">
        <w:rPr>
          <w:rFonts w:ascii="Arial" w:hAnsi="Arial" w:cs="Arial"/>
          <w:sz w:val="22"/>
          <w:szCs w:val="22"/>
        </w:rPr>
        <w:t>Tesco, like many large UK-based companies, faces a dynamic and complex set of HR challenges in today's rapidly evolving business landscape. This report identifies and addresses specific factors related to technological advancement, talent acquisition and retention, and Diversity, Equity, and Inclusion (DEI) within Tesco.</w:t>
      </w:r>
      <w:r w:rsidRPr="003E71B5">
        <w:rPr>
          <w:rFonts w:ascii="Arial" w:hAnsi="Arial" w:cs="Arial"/>
          <w:sz w:val="22"/>
          <w:szCs w:val="22"/>
        </w:rPr>
        <w:br/>
      </w:r>
      <w:r w:rsidRPr="003E71B5">
        <w:rPr>
          <w:rFonts w:ascii="Arial" w:hAnsi="Arial" w:cs="Arial"/>
          <w:sz w:val="22"/>
          <w:szCs w:val="22"/>
        </w:rPr>
        <w:br/>
      </w:r>
      <w:r w:rsidRPr="0044593D">
        <w:rPr>
          <w:rFonts w:ascii="Arial" w:hAnsi="Arial" w:cs="Arial"/>
          <w:b/>
          <w:bCs/>
          <w:sz w:val="22"/>
          <w:szCs w:val="22"/>
        </w:rPr>
        <w:lastRenderedPageBreak/>
        <w:t>Technological Advancement</w:t>
      </w:r>
      <w:r w:rsidRPr="0044593D">
        <w:rPr>
          <w:rFonts w:ascii="Arial" w:hAnsi="Arial" w:cs="Arial"/>
          <w:b/>
          <w:bCs/>
          <w:sz w:val="22"/>
          <w:szCs w:val="22"/>
        </w:rPr>
        <w:br/>
      </w:r>
      <w:r w:rsidRPr="003E71B5">
        <w:rPr>
          <w:rFonts w:ascii="Arial" w:hAnsi="Arial" w:cs="Arial"/>
          <w:sz w:val="22"/>
          <w:szCs w:val="22"/>
        </w:rPr>
        <w:br/>
        <w:t>Tesco's HR department must address the increasing need for employees skilled in technology. This includes upskilling the existing workforce to use new systems and attracting digitally literate talent (Smith, 2023). Automation in warehouses and self-service checkouts in stores requires fewer but more skilled employees who can manage and maintain these technologies. HR must invest in training programs that equip employees with the necessary technical skills, such as data analysis, software proficiency, and IT support. Furthermore, the rise of e-commerce and online grocery services necessitates a workforce capable of managing digital platforms, customer data, and online marketing strategies. HR must also ensure that technological advancements do not exacerbate the digital divide, providing support and training for employees who may struggle with new technologies.</w:t>
      </w:r>
      <w:r w:rsidRPr="003E71B5">
        <w:rPr>
          <w:rFonts w:ascii="Arial" w:hAnsi="Arial" w:cs="Arial"/>
          <w:sz w:val="22"/>
          <w:szCs w:val="22"/>
        </w:rPr>
        <w:br/>
      </w:r>
      <w:r w:rsidRPr="003E71B5">
        <w:rPr>
          <w:rFonts w:ascii="Arial" w:hAnsi="Arial" w:cs="Arial"/>
          <w:sz w:val="22"/>
          <w:szCs w:val="22"/>
        </w:rPr>
        <w:br/>
      </w:r>
      <w:r w:rsidRPr="0044593D">
        <w:rPr>
          <w:rFonts w:ascii="Arial" w:hAnsi="Arial" w:cs="Arial"/>
          <w:b/>
          <w:bCs/>
          <w:sz w:val="22"/>
          <w:szCs w:val="22"/>
        </w:rPr>
        <w:t>Talent Acquisition and Retention</w:t>
      </w:r>
      <w:r w:rsidRPr="0044593D">
        <w:rPr>
          <w:rFonts w:ascii="Arial" w:hAnsi="Arial" w:cs="Arial"/>
          <w:sz w:val="22"/>
          <w:szCs w:val="22"/>
        </w:rPr>
        <w:br/>
      </w:r>
      <w:r w:rsidRPr="003E71B5">
        <w:rPr>
          <w:rFonts w:ascii="Arial" w:hAnsi="Arial" w:cs="Arial"/>
          <w:sz w:val="22"/>
          <w:szCs w:val="22"/>
        </w:rPr>
        <w:br/>
        <w:t>Attracting and retaining top talent is crucial for Tesco to maintain its competitive edge. The retail sector often struggles with high turnover rates, making it essential for HR to implement strategies that enhance employee satisfaction and loyalty. Competitive compensation packages, including benefits and bonuses, are necessary to attract skilled workers. Tesco must also focus on creating a positive work environment that promotes employee well-being and work-life balance (Jones, 2024). Offering opportunities for career advancement and professional development can motivate employees to stay with the company long-term. Implementing employee recognition programs and fostering a culture of appreciation can further enhance retention rates. Additionally, Tesco should leverage its employer brand to attract talent, highlighting its commitment to employee development, community involvement, and ethical business practices.</w:t>
      </w:r>
      <w:r w:rsidRPr="003E71B5">
        <w:rPr>
          <w:rFonts w:ascii="Arial" w:hAnsi="Arial" w:cs="Arial"/>
          <w:sz w:val="22"/>
          <w:szCs w:val="22"/>
        </w:rPr>
        <w:br/>
      </w:r>
      <w:r w:rsidRPr="003E71B5">
        <w:rPr>
          <w:rFonts w:ascii="Arial" w:hAnsi="Arial" w:cs="Arial"/>
          <w:sz w:val="22"/>
          <w:szCs w:val="22"/>
        </w:rPr>
        <w:br/>
      </w:r>
      <w:r w:rsidRPr="0044593D">
        <w:rPr>
          <w:rFonts w:ascii="Arial" w:hAnsi="Arial" w:cs="Arial"/>
          <w:b/>
          <w:bCs/>
          <w:sz w:val="22"/>
          <w:szCs w:val="22"/>
        </w:rPr>
        <w:t>Diversity, Equity, and Inclusion (DEI)</w:t>
      </w:r>
      <w:r w:rsidRPr="003E71B5">
        <w:rPr>
          <w:rFonts w:ascii="Arial" w:hAnsi="Arial" w:cs="Arial"/>
          <w:sz w:val="22"/>
          <w:szCs w:val="22"/>
        </w:rPr>
        <w:br/>
      </w:r>
      <w:r w:rsidRPr="003E71B5">
        <w:rPr>
          <w:rFonts w:ascii="Arial" w:hAnsi="Arial" w:cs="Arial"/>
          <w:sz w:val="22"/>
          <w:szCs w:val="22"/>
        </w:rPr>
        <w:br/>
        <w:t xml:space="preserve">DEI is increasingly important for fostering a fair and inclusive workplace. Tesco's HR department must ensure that its policies and practices promote diversity across all levels of the organization. This includes implementing inclusive recruitment strategies that attract candidates from diverse backgrounds. HR should also conduct regular audits to identify and address any disparities in pay, promotion, and career development opportunities. Creating employee resource groups and diversity councils can provide platforms for employees to share their experiences and contribute to DEI initiatives. Furthermore, Tesco must invest in training programs that raise awareness of unconscious biases and promote inclusive </w:t>
      </w:r>
      <w:r w:rsidRPr="003E71B5">
        <w:rPr>
          <w:rFonts w:ascii="Arial" w:hAnsi="Arial" w:cs="Arial"/>
          <w:sz w:val="22"/>
          <w:szCs w:val="22"/>
        </w:rPr>
        <w:lastRenderedPageBreak/>
        <w:t>leadership (Williams, 2025). By fostering a culture of inclusion, Tesco can enhance employee engagement, improve innovation, and strengthen its reputation as an employer of choice.</w:t>
      </w:r>
      <w:r w:rsidRPr="003E71B5">
        <w:rPr>
          <w:rFonts w:ascii="Arial" w:hAnsi="Arial" w:cs="Arial"/>
          <w:sz w:val="22"/>
          <w:szCs w:val="22"/>
        </w:rPr>
        <w:br/>
      </w:r>
      <w:r w:rsidRPr="003E71B5">
        <w:rPr>
          <w:rFonts w:ascii="Arial" w:hAnsi="Arial" w:cs="Arial"/>
          <w:sz w:val="22"/>
          <w:szCs w:val="22"/>
        </w:rPr>
        <w:br/>
        <w:t>In conclusion, addressing these challenges requires a strategic and proactive approach from Tesco's HR department. By focusing on technological advancement, talent acquisition and retention, and DEI, Tesco can build a resilient and engaged workforce that drives the company's success in a competitive market.</w:t>
      </w:r>
    </w:p>
    <w:p w14:paraId="6D51FE20" w14:textId="77CD269C" w:rsidR="007B6143" w:rsidRPr="003E71B5" w:rsidRDefault="00687E5F" w:rsidP="003E71B5">
      <w:pPr>
        <w:spacing w:line="360" w:lineRule="auto"/>
        <w:rPr>
          <w:rFonts w:ascii="Arial" w:hAnsi="Arial" w:cs="Arial"/>
          <w:b/>
          <w:bCs/>
          <w:sz w:val="22"/>
          <w:szCs w:val="22"/>
        </w:rPr>
      </w:pPr>
      <w:r>
        <w:rPr>
          <w:rFonts w:ascii="Arial" w:hAnsi="Arial" w:cs="Arial"/>
          <w:b/>
          <w:bCs/>
          <w:sz w:val="22"/>
          <w:szCs w:val="22"/>
        </w:rPr>
        <w:t xml:space="preserve">3. </w:t>
      </w:r>
      <w:r w:rsidR="00DF4991">
        <w:rPr>
          <w:rFonts w:ascii="Arial" w:hAnsi="Arial" w:cs="Arial"/>
          <w:b/>
          <w:bCs/>
          <w:sz w:val="22"/>
          <w:szCs w:val="22"/>
        </w:rPr>
        <w:t xml:space="preserve"> </w:t>
      </w:r>
      <w:r w:rsidR="007B6143" w:rsidRPr="003E71B5">
        <w:rPr>
          <w:rFonts w:ascii="Arial" w:hAnsi="Arial" w:cs="Arial"/>
          <w:b/>
          <w:bCs/>
          <w:sz w:val="22"/>
          <w:szCs w:val="22"/>
        </w:rPr>
        <w:t xml:space="preserve">An evaluation of different contemporary HR practices to address each </w:t>
      </w:r>
      <w:r w:rsidR="00453458" w:rsidRPr="003E71B5">
        <w:rPr>
          <w:rFonts w:ascii="Arial" w:hAnsi="Arial" w:cs="Arial"/>
          <w:b/>
          <w:bCs/>
          <w:sz w:val="22"/>
          <w:szCs w:val="22"/>
        </w:rPr>
        <w:t>factor</w:t>
      </w:r>
      <w:r w:rsidR="007B6143" w:rsidRPr="003E71B5">
        <w:rPr>
          <w:rFonts w:ascii="Arial" w:hAnsi="Arial" w:cs="Arial"/>
          <w:b/>
          <w:bCs/>
          <w:sz w:val="22"/>
          <w:szCs w:val="22"/>
        </w:rPr>
        <w:t xml:space="preserve">? </w:t>
      </w:r>
      <w:bookmarkEnd w:id="0"/>
    </w:p>
    <w:p w14:paraId="19F18D90" w14:textId="598DA287" w:rsidR="003C0E4A" w:rsidRPr="003E71B5" w:rsidRDefault="003C0E4A" w:rsidP="003E71B5">
      <w:pPr>
        <w:spacing w:line="360" w:lineRule="auto"/>
        <w:rPr>
          <w:rFonts w:ascii="Arial" w:hAnsi="Arial" w:cs="Arial"/>
          <w:sz w:val="22"/>
          <w:szCs w:val="22"/>
        </w:rPr>
      </w:pPr>
      <w:r w:rsidRPr="0044593D">
        <w:rPr>
          <w:rFonts w:ascii="Arial" w:hAnsi="Arial" w:cs="Arial"/>
          <w:b/>
          <w:bCs/>
          <w:sz w:val="22"/>
          <w:szCs w:val="22"/>
        </w:rPr>
        <w:t>Contemporary HR Practices: An Evaluation</w:t>
      </w:r>
      <w:r w:rsidRPr="0044593D">
        <w:rPr>
          <w:rFonts w:ascii="Arial" w:hAnsi="Arial" w:cs="Arial"/>
          <w:b/>
          <w:bCs/>
          <w:sz w:val="22"/>
          <w:szCs w:val="22"/>
        </w:rPr>
        <w:br/>
      </w:r>
      <w:r w:rsidRPr="003E71B5">
        <w:rPr>
          <w:rFonts w:ascii="Arial" w:hAnsi="Arial" w:cs="Arial"/>
          <w:sz w:val="22"/>
          <w:szCs w:val="22"/>
        </w:rPr>
        <w:br/>
        <w:t>Contemporary Human Resources (HR) practices have undergone a significant transformation to address the evolving challenges of the modern workforce. These practices now focus on attracting, retaining, engaging, and developing employees in ways that align with organizational goals and values. This evaluation will explore key factors such as talent acquisition and retention, employee engagement and well-being, and performance management, highlighting contemporary HR practices designed to address each.</w:t>
      </w:r>
      <w:r w:rsidRPr="003E71B5">
        <w:rPr>
          <w:rFonts w:ascii="Arial" w:hAnsi="Arial" w:cs="Arial"/>
          <w:sz w:val="22"/>
          <w:szCs w:val="22"/>
        </w:rPr>
        <w:br/>
      </w:r>
      <w:r w:rsidRPr="003E71B5">
        <w:rPr>
          <w:rFonts w:ascii="Arial" w:hAnsi="Arial" w:cs="Arial"/>
          <w:sz w:val="22"/>
          <w:szCs w:val="22"/>
        </w:rPr>
        <w:br/>
      </w:r>
      <w:r w:rsidRPr="0044593D">
        <w:rPr>
          <w:rFonts w:ascii="Arial" w:hAnsi="Arial" w:cs="Arial"/>
          <w:b/>
          <w:bCs/>
          <w:sz w:val="22"/>
          <w:szCs w:val="22"/>
        </w:rPr>
        <w:t>Talent Acquisition and Retention</w:t>
      </w:r>
      <w:r w:rsidRPr="0044593D">
        <w:rPr>
          <w:rFonts w:ascii="Arial" w:hAnsi="Arial" w:cs="Arial"/>
          <w:b/>
          <w:bCs/>
          <w:sz w:val="22"/>
          <w:szCs w:val="22"/>
        </w:rPr>
        <w:br/>
      </w:r>
      <w:r w:rsidRPr="003E71B5">
        <w:rPr>
          <w:rFonts w:ascii="Arial" w:hAnsi="Arial" w:cs="Arial"/>
          <w:sz w:val="22"/>
          <w:szCs w:val="22"/>
        </w:rPr>
        <w:br/>
        <w:t xml:space="preserve">Talent acquisition and retention are critical for organizational success. Modern HR departments are leveraging data analytics to identify skill gaps and predict future talent needs (Bersin, 2019). By </w:t>
      </w:r>
      <w:r w:rsidR="0044593D" w:rsidRPr="003E71B5">
        <w:rPr>
          <w:rFonts w:ascii="Arial" w:hAnsi="Arial" w:cs="Arial"/>
          <w:sz w:val="22"/>
          <w:szCs w:val="22"/>
        </w:rPr>
        <w:t>analysing</w:t>
      </w:r>
      <w:r w:rsidRPr="003E71B5">
        <w:rPr>
          <w:rFonts w:ascii="Arial" w:hAnsi="Arial" w:cs="Arial"/>
          <w:sz w:val="22"/>
          <w:szCs w:val="22"/>
        </w:rPr>
        <w:t xml:space="preserve"> workforce data, HR can proactively identify areas where the organization may face shortages and develop targeted recruitment strategies. Employer branding has also become a key focus, with companies showcasing their culture, values, and growth opportunities to attract top talent. For example, companies like Google and Netflix invest heavily in creating a positive employer brand to attract skilled individuals (Smith, 2020).</w:t>
      </w:r>
      <w:r w:rsidRPr="003E71B5">
        <w:rPr>
          <w:rFonts w:ascii="Arial" w:hAnsi="Arial" w:cs="Arial"/>
          <w:sz w:val="22"/>
          <w:szCs w:val="22"/>
        </w:rPr>
        <w:br/>
      </w:r>
      <w:r w:rsidRPr="003E71B5">
        <w:rPr>
          <w:rFonts w:ascii="Arial" w:hAnsi="Arial" w:cs="Arial"/>
          <w:sz w:val="22"/>
          <w:szCs w:val="22"/>
        </w:rPr>
        <w:br/>
        <w:t>To retain employees, organizations are implementing personalized development plans and offering continuous learning opportunities. These initiatives ensure that employees feel valued and supported, increasing their commitment to the organization. Inclusive work environments, where employees feel a sense of belonging, are also crucial for retention. Companies that prioritize diversity and inclusion tend to have higher retention rates and a more engaged workforce (Johnson, 2018).</w:t>
      </w:r>
      <w:r w:rsidRPr="003E71B5">
        <w:rPr>
          <w:rFonts w:ascii="Arial" w:hAnsi="Arial" w:cs="Arial"/>
          <w:sz w:val="22"/>
          <w:szCs w:val="22"/>
        </w:rPr>
        <w:br/>
      </w:r>
      <w:r w:rsidRPr="003E71B5">
        <w:rPr>
          <w:rFonts w:ascii="Arial" w:hAnsi="Arial" w:cs="Arial"/>
          <w:sz w:val="22"/>
          <w:szCs w:val="22"/>
        </w:rPr>
        <w:br/>
      </w:r>
      <w:r w:rsidR="00687E5F">
        <w:rPr>
          <w:rFonts w:ascii="Arial" w:hAnsi="Arial" w:cs="Arial"/>
          <w:b/>
          <w:bCs/>
          <w:sz w:val="22"/>
          <w:szCs w:val="22"/>
        </w:rPr>
        <w:lastRenderedPageBreak/>
        <w:t xml:space="preserve">4. </w:t>
      </w:r>
      <w:r w:rsidRPr="0044593D">
        <w:rPr>
          <w:rFonts w:ascii="Arial" w:hAnsi="Arial" w:cs="Arial"/>
          <w:b/>
          <w:bCs/>
          <w:sz w:val="22"/>
          <w:szCs w:val="22"/>
        </w:rPr>
        <w:t>Employee Engagement and Well-Being</w:t>
      </w:r>
      <w:r w:rsidRPr="003E71B5">
        <w:rPr>
          <w:rFonts w:ascii="Arial" w:hAnsi="Arial" w:cs="Arial"/>
          <w:sz w:val="22"/>
          <w:szCs w:val="22"/>
        </w:rPr>
        <w:br/>
      </w:r>
      <w:r w:rsidRPr="003E71B5">
        <w:rPr>
          <w:rFonts w:ascii="Arial" w:hAnsi="Arial" w:cs="Arial"/>
          <w:sz w:val="22"/>
          <w:szCs w:val="22"/>
        </w:rPr>
        <w:br/>
        <w:t xml:space="preserve">Employee engagement and well-being are essential for productivity and innovation. HR is adopting practices that promote a positive work-life balance, such as flexible work arrangements. Remote work options and flexible hours are becoming increasingly common, allowing employees to better manage their personal and professional lives (Grant, 2021). Companies are also investing in wellness programs that address physical, mental, and financial health. These programs may include on-site fitness </w:t>
      </w:r>
      <w:proofErr w:type="spellStart"/>
      <w:r w:rsidRPr="003E71B5">
        <w:rPr>
          <w:rFonts w:ascii="Arial" w:hAnsi="Arial" w:cs="Arial"/>
          <w:sz w:val="22"/>
          <w:szCs w:val="22"/>
        </w:rPr>
        <w:t>centers</w:t>
      </w:r>
      <w:proofErr w:type="spellEnd"/>
      <w:r w:rsidRPr="003E71B5">
        <w:rPr>
          <w:rFonts w:ascii="Arial" w:hAnsi="Arial" w:cs="Arial"/>
          <w:sz w:val="22"/>
          <w:szCs w:val="22"/>
        </w:rPr>
        <w:t>, mental health resources, and financial planning workshops.</w:t>
      </w:r>
      <w:r w:rsidRPr="003E71B5">
        <w:rPr>
          <w:rFonts w:ascii="Arial" w:hAnsi="Arial" w:cs="Arial"/>
          <w:sz w:val="22"/>
          <w:szCs w:val="22"/>
        </w:rPr>
        <w:br/>
      </w:r>
      <w:r w:rsidRPr="003E71B5">
        <w:rPr>
          <w:rFonts w:ascii="Arial" w:hAnsi="Arial" w:cs="Arial"/>
          <w:sz w:val="22"/>
          <w:szCs w:val="22"/>
        </w:rPr>
        <w:br/>
        <w:t>Regular employee surveys and feedback sessions are used to gauge employee satisfaction and identify areas for improvement. By actively listening to employee feedback, organizations can address concerns and create a more supportive work environment. This approach ensures that the organization remains responsive to its employees' needs and concerns, fostering a culture of engagement and well-being.</w:t>
      </w:r>
      <w:r w:rsidRPr="003E71B5">
        <w:rPr>
          <w:rFonts w:ascii="Arial" w:hAnsi="Arial" w:cs="Arial"/>
          <w:sz w:val="22"/>
          <w:szCs w:val="22"/>
        </w:rPr>
        <w:br/>
      </w:r>
      <w:r w:rsidRPr="003E71B5">
        <w:rPr>
          <w:rFonts w:ascii="Arial" w:hAnsi="Arial" w:cs="Arial"/>
          <w:sz w:val="22"/>
          <w:szCs w:val="22"/>
        </w:rPr>
        <w:br/>
      </w:r>
      <w:r w:rsidR="00687E5F">
        <w:rPr>
          <w:rFonts w:ascii="Arial" w:hAnsi="Arial" w:cs="Arial"/>
          <w:b/>
          <w:bCs/>
          <w:sz w:val="22"/>
          <w:szCs w:val="22"/>
        </w:rPr>
        <w:t xml:space="preserve">5. </w:t>
      </w:r>
      <w:r w:rsidRPr="0044593D">
        <w:rPr>
          <w:rFonts w:ascii="Arial" w:hAnsi="Arial" w:cs="Arial"/>
          <w:b/>
          <w:bCs/>
          <w:sz w:val="22"/>
          <w:szCs w:val="22"/>
        </w:rPr>
        <w:t>Performance Management</w:t>
      </w:r>
      <w:r w:rsidRPr="0044593D">
        <w:rPr>
          <w:rFonts w:ascii="Arial" w:hAnsi="Arial" w:cs="Arial"/>
          <w:sz w:val="22"/>
          <w:szCs w:val="22"/>
        </w:rPr>
        <w:br/>
      </w:r>
      <w:r w:rsidRPr="003E71B5">
        <w:rPr>
          <w:rFonts w:ascii="Arial" w:hAnsi="Arial" w:cs="Arial"/>
          <w:sz w:val="22"/>
          <w:szCs w:val="22"/>
        </w:rPr>
        <w:br/>
        <w:t>Performance management is evolving from traditional annual reviews to continuous feedback and development. Many companies are adopting performance management systems that emphasize regular check-ins, goal setting, and real-time feedback. These systems often incorporate 360-degree feedback, allowing employees to receive input from peers, managers, and subordinates. This comprehensive feedback helps employees understand their strengths and areas for improvement, promoting continuous growth and development (Aguinis, 2019).</w:t>
      </w:r>
      <w:r w:rsidRPr="003E71B5">
        <w:rPr>
          <w:rFonts w:ascii="Arial" w:hAnsi="Arial" w:cs="Arial"/>
          <w:sz w:val="22"/>
          <w:szCs w:val="22"/>
        </w:rPr>
        <w:br/>
      </w:r>
      <w:r w:rsidRPr="003E71B5">
        <w:rPr>
          <w:rFonts w:ascii="Arial" w:hAnsi="Arial" w:cs="Arial"/>
          <w:sz w:val="22"/>
          <w:szCs w:val="22"/>
        </w:rPr>
        <w:br/>
        <w:t>HR plays a crucial role in fostering a culture of continuous learning by providing employees with access to training and development resources. By focusing on ongoing development and feedback, organizations can help employees reach their full potential and drive organizational performance. This approach not only enhances individual performance but also contributes to the overall success of the organization.</w:t>
      </w:r>
      <w:r w:rsidRPr="003E71B5">
        <w:rPr>
          <w:rFonts w:ascii="Arial" w:hAnsi="Arial" w:cs="Arial"/>
          <w:sz w:val="22"/>
          <w:szCs w:val="22"/>
        </w:rPr>
        <w:br/>
      </w:r>
      <w:r w:rsidRPr="003E71B5">
        <w:rPr>
          <w:rFonts w:ascii="Arial" w:hAnsi="Arial" w:cs="Arial"/>
          <w:sz w:val="22"/>
          <w:szCs w:val="22"/>
        </w:rPr>
        <w:br/>
        <w:t>In conclusion, contemporary HR practices are multifaceted and designed to address the diverse needs of today's workforce. By focusing on talent acquisition and retention, employee engagement and well-being, and performance management, organizations can create a thriving work environment that attracts, retains, and develops top talent.</w:t>
      </w:r>
    </w:p>
    <w:p w14:paraId="19BDA47E" w14:textId="1E46C249" w:rsidR="007B6143" w:rsidRPr="003E71B5" w:rsidRDefault="00687E5F" w:rsidP="003E71B5">
      <w:pPr>
        <w:spacing w:before="100" w:beforeAutospacing="1" w:after="100" w:afterAutospacing="1" w:line="360" w:lineRule="auto"/>
        <w:rPr>
          <w:rFonts w:ascii="Arial" w:eastAsia="Arial" w:hAnsi="Arial" w:cs="Arial"/>
          <w:b/>
          <w:bCs/>
          <w:sz w:val="22"/>
          <w:szCs w:val="22"/>
          <w:lang w:eastAsia="en-GB"/>
        </w:rPr>
      </w:pPr>
      <w:r>
        <w:rPr>
          <w:rFonts w:ascii="Arial" w:eastAsia="Arial" w:hAnsi="Arial" w:cs="Arial"/>
          <w:b/>
          <w:bCs/>
          <w:sz w:val="22"/>
          <w:szCs w:val="22"/>
          <w:lang w:eastAsia="en-GB"/>
        </w:rPr>
        <w:lastRenderedPageBreak/>
        <w:t xml:space="preserve">6. </w:t>
      </w:r>
      <w:r w:rsidR="007B6143" w:rsidRPr="003E71B5">
        <w:rPr>
          <w:rFonts w:ascii="Arial" w:eastAsia="Arial" w:hAnsi="Arial" w:cs="Arial"/>
          <w:b/>
          <w:bCs/>
          <w:sz w:val="22"/>
          <w:szCs w:val="22"/>
          <w:lang w:eastAsia="en-GB"/>
        </w:rPr>
        <w:t>A critical evaluation of how departmental managers can ensure these contemporary practices are being implemented as a matter of urgency</w:t>
      </w:r>
      <w:r w:rsidR="00630B51" w:rsidRPr="003E71B5">
        <w:rPr>
          <w:rFonts w:ascii="Arial" w:eastAsia="Arial" w:hAnsi="Arial" w:cs="Arial"/>
          <w:b/>
          <w:bCs/>
          <w:sz w:val="22"/>
          <w:szCs w:val="22"/>
          <w:lang w:eastAsia="en-GB"/>
        </w:rPr>
        <w:t>.</w:t>
      </w:r>
    </w:p>
    <w:p w14:paraId="0E436E7F" w14:textId="5ED2DC1F" w:rsidR="003C0E4A" w:rsidRPr="003E71B5" w:rsidRDefault="00385EF0" w:rsidP="003E71B5">
      <w:pPr>
        <w:spacing w:before="100" w:beforeAutospacing="1" w:after="100" w:afterAutospacing="1" w:line="360" w:lineRule="auto"/>
        <w:rPr>
          <w:rFonts w:ascii="Arial" w:eastAsia="Arial" w:hAnsi="Arial" w:cs="Arial"/>
          <w:sz w:val="22"/>
          <w:szCs w:val="22"/>
          <w:lang w:eastAsia="en-GB"/>
        </w:rPr>
      </w:pPr>
      <w:r w:rsidRPr="003E71B5">
        <w:rPr>
          <w:rFonts w:ascii="Arial" w:eastAsia="Arial" w:hAnsi="Arial" w:cs="Arial"/>
          <w:sz w:val="22"/>
          <w:szCs w:val="22"/>
          <w:lang w:eastAsia="en-GB"/>
        </w:rPr>
        <w:t>Departmental managers are at the forefront of implementing contemporary HR practices, making their role crucial for ensuring rapid and effective adoption. These practices, which may include performance management, talent development, and employee engagement initiatives, require a hands-on approach from managers to translate organizational goals into actionable team strategies (Armstrong &amp; Taylor, 2020). To begin, managers must champion these new practices by clearly understanding and communicating their value, aligning them with company objectives, and fostering an adaptable, open culture. Leading by example and demonstrating commitment can inspire teams to embrace change and new work methods. However, this also requires managers to be critically aware of potential resistance, addressing concerns proactively and ensuring that the benefits of these practices are tangible and well-understood by all team members.</w:t>
      </w:r>
      <w:r w:rsidRPr="003E71B5">
        <w:rPr>
          <w:rFonts w:ascii="Arial" w:eastAsia="Arial" w:hAnsi="Arial" w:cs="Arial"/>
          <w:sz w:val="22"/>
          <w:szCs w:val="22"/>
          <w:lang w:eastAsia="en-GB"/>
        </w:rPr>
        <w:br/>
      </w:r>
      <w:r w:rsidRPr="003E71B5">
        <w:rPr>
          <w:rFonts w:ascii="Arial" w:eastAsia="Arial" w:hAnsi="Arial" w:cs="Arial"/>
          <w:sz w:val="22"/>
          <w:szCs w:val="22"/>
          <w:lang w:eastAsia="en-GB"/>
        </w:rPr>
        <w:br/>
        <w:t xml:space="preserve">Providing adequate training and resources is another critical step. Managers need to collaborate with HR to identify specific training needs and ensure employees have access to essential tools and information (Aguinis, 2019). This might involve workshops, online courses, or personalized coaching. Creating a supportive environment where employees feel comfortable seeking assistance and asking questions is also vital. Investing in employee development and offering continuous support empowers teams to implement new practices effectively and overcome challenges. </w:t>
      </w:r>
      <w:proofErr w:type="gramStart"/>
      <w:r w:rsidRPr="003E71B5">
        <w:rPr>
          <w:rFonts w:ascii="Arial" w:eastAsia="Arial" w:hAnsi="Arial" w:cs="Arial"/>
          <w:sz w:val="22"/>
          <w:szCs w:val="22"/>
          <w:lang w:eastAsia="en-GB"/>
        </w:rPr>
        <w:t>Yet,</w:t>
      </w:r>
      <w:proofErr w:type="gramEnd"/>
      <w:r w:rsidRPr="003E71B5">
        <w:rPr>
          <w:rFonts w:ascii="Arial" w:eastAsia="Arial" w:hAnsi="Arial" w:cs="Arial"/>
          <w:sz w:val="22"/>
          <w:szCs w:val="22"/>
          <w:lang w:eastAsia="en-GB"/>
        </w:rPr>
        <w:t xml:space="preserve"> the effectiveness of these resources must be continuously evaluated to ensure they are meeting the evolving needs of the employees and the organization. Managers must be proactive in seeking feedback on the training programs and making necessary adjustments to maximize their impact.</w:t>
      </w:r>
      <w:r w:rsidRPr="003E71B5">
        <w:rPr>
          <w:rFonts w:ascii="Arial" w:eastAsia="Arial" w:hAnsi="Arial" w:cs="Arial"/>
          <w:sz w:val="22"/>
          <w:szCs w:val="22"/>
          <w:lang w:eastAsia="en-GB"/>
        </w:rPr>
        <w:br/>
      </w:r>
      <w:r w:rsidRPr="003E71B5">
        <w:rPr>
          <w:rFonts w:ascii="Arial" w:eastAsia="Arial" w:hAnsi="Arial" w:cs="Arial"/>
          <w:sz w:val="22"/>
          <w:szCs w:val="22"/>
          <w:lang w:eastAsia="en-GB"/>
        </w:rPr>
        <w:br/>
        <w:t xml:space="preserve">Regular monitoring and feedback are essential for successful implementation. Managers should establish clear metrics to track progress and identify areas needing adjustment. This includes conducting regular team check-ins, soliciting feedback, and analysing data to assess the impact of new practices </w:t>
      </w:r>
      <w:r w:rsidR="0044593D" w:rsidRPr="003E71B5">
        <w:rPr>
          <w:rFonts w:ascii="Arial" w:eastAsia="Arial" w:hAnsi="Arial" w:cs="Arial"/>
          <w:sz w:val="22"/>
          <w:szCs w:val="22"/>
          <w:lang w:eastAsia="en-GB"/>
        </w:rPr>
        <w:t>(готовы</w:t>
      </w:r>
      <w:r w:rsidRPr="003E71B5">
        <w:rPr>
          <w:rFonts w:ascii="Arial" w:eastAsia="Arial" w:hAnsi="Arial" w:cs="Arial"/>
          <w:sz w:val="22"/>
          <w:szCs w:val="22"/>
          <w:lang w:eastAsia="en-GB"/>
        </w:rPr>
        <w:t>, 2018). By actively monitoring performance and providing timely feedback, managers can address issues early and keep the implementation process on track. Recognizing and rewarding employees who demonstrate exceptional performance or contribute to successful implementation reinforces desired behaviours and creates ownership and accountability. Furthermore, fostering collaboration and knowledge sharing across teams is crucial. This can involve organizing cross-functional meetings, creating online forums, or encouraging participation in internal communities.</w:t>
      </w:r>
    </w:p>
    <w:p w14:paraId="1B5C3FF4" w14:textId="0D0AFA2C" w:rsidR="007B6143" w:rsidRPr="003E71B5" w:rsidRDefault="00687E5F" w:rsidP="003E71B5">
      <w:pPr>
        <w:spacing w:before="100" w:beforeAutospacing="1" w:after="100" w:afterAutospacing="1" w:line="360" w:lineRule="auto"/>
        <w:rPr>
          <w:rFonts w:ascii="Arial" w:eastAsia="Arial" w:hAnsi="Arial" w:cs="Arial"/>
          <w:b/>
          <w:bCs/>
          <w:sz w:val="22"/>
          <w:szCs w:val="22"/>
        </w:rPr>
      </w:pPr>
      <w:r>
        <w:rPr>
          <w:rFonts w:ascii="Arial" w:eastAsia="Arial" w:hAnsi="Arial" w:cs="Arial"/>
          <w:b/>
          <w:bCs/>
          <w:sz w:val="22"/>
          <w:szCs w:val="22"/>
        </w:rPr>
        <w:lastRenderedPageBreak/>
        <w:t xml:space="preserve">7. </w:t>
      </w:r>
      <w:r w:rsidR="00630B51" w:rsidRPr="003E71B5">
        <w:rPr>
          <w:rFonts w:ascii="Arial" w:eastAsia="Arial" w:hAnsi="Arial" w:cs="Arial"/>
          <w:b/>
          <w:bCs/>
          <w:sz w:val="22"/>
          <w:szCs w:val="22"/>
        </w:rPr>
        <w:t>C</w:t>
      </w:r>
      <w:r w:rsidR="007B6143" w:rsidRPr="003E71B5">
        <w:rPr>
          <w:rFonts w:ascii="Arial" w:eastAsia="Arial" w:hAnsi="Arial" w:cs="Arial"/>
          <w:b/>
          <w:bCs/>
          <w:sz w:val="22"/>
          <w:szCs w:val="22"/>
        </w:rPr>
        <w:t>onclusion</w:t>
      </w:r>
    </w:p>
    <w:p w14:paraId="16FDF850" w14:textId="2CDFDC35" w:rsidR="00385EF0" w:rsidRPr="003E71B5" w:rsidRDefault="00385EF0" w:rsidP="003E71B5">
      <w:pPr>
        <w:spacing w:before="100" w:beforeAutospacing="1" w:after="100" w:afterAutospacing="1" w:line="360" w:lineRule="auto"/>
        <w:rPr>
          <w:rFonts w:ascii="Arial" w:eastAsia="Arial" w:hAnsi="Arial" w:cs="Arial"/>
          <w:sz w:val="22"/>
          <w:szCs w:val="22"/>
        </w:rPr>
      </w:pPr>
      <w:r w:rsidRPr="003E71B5">
        <w:rPr>
          <w:rFonts w:ascii="Arial" w:eastAsia="Arial" w:hAnsi="Arial" w:cs="Arial"/>
          <w:sz w:val="22"/>
          <w:szCs w:val="22"/>
        </w:rPr>
        <w:t>In conclusion, as an HR practitioner at Tesco, I've emphasized the crucial need to champion employee well-being and development. Our employees are the foundation of Tesco, and investing in their health, skills, and career progression is essential. By cultivating a supportive and inclusive work environment, we not only boost employee satisfaction but also drive productivity and innovation.</w:t>
      </w:r>
      <w:r w:rsidRPr="003E71B5">
        <w:rPr>
          <w:rFonts w:ascii="Arial" w:eastAsia="Arial" w:hAnsi="Arial" w:cs="Arial"/>
          <w:sz w:val="22"/>
          <w:szCs w:val="22"/>
        </w:rPr>
        <w:br/>
      </w:r>
      <w:r w:rsidRPr="003E71B5">
        <w:rPr>
          <w:rFonts w:ascii="Arial" w:eastAsia="Arial" w:hAnsi="Arial" w:cs="Arial"/>
          <w:sz w:val="22"/>
          <w:szCs w:val="22"/>
        </w:rPr>
        <w:br/>
        <w:t>We've discussed the significance of flexible work arrangements, mental health resources, and comprehensive training programs. These initiatives are vital components of a modern workplace that values its employees (Guest, 2017). By offering flexibility, we empower our colleagues to balance their personal and professional lives, reducing stress and boosting engagement. Mental health resources ensure our employees have access to necessary support, promoting a healthy and resilient workforce. Through targeted training programs, we equip our teams with the skills and knowledge to excel and advance (Aguinis &amp; Kraiger, 2009).</w:t>
      </w:r>
      <w:r w:rsidRPr="003E71B5">
        <w:rPr>
          <w:rFonts w:ascii="Arial" w:eastAsia="Arial" w:hAnsi="Arial" w:cs="Arial"/>
          <w:sz w:val="22"/>
          <w:szCs w:val="22"/>
        </w:rPr>
        <w:br/>
      </w:r>
      <w:r w:rsidRPr="003E71B5">
        <w:rPr>
          <w:rFonts w:ascii="Arial" w:eastAsia="Arial" w:hAnsi="Arial" w:cs="Arial"/>
          <w:sz w:val="22"/>
          <w:szCs w:val="22"/>
        </w:rPr>
        <w:br/>
        <w:t>Ultimately, our goal is to create a workplace where every Tesco employee feels valued, supported, and empowered to reach their full potential. By prioritizing employee well-being and development, we strengthen our workforce and enhance our reputation as an employer of choice (Bratton &amp; Gold, 2017). This commitment will drive Tesco's success, ensuring we continue to serve our customers and communities with excellence. Let's work together to make Tesco a place where people thrive, innovate, and contribute to a brighter future.</w:t>
      </w:r>
    </w:p>
    <w:p w14:paraId="2E63EB90" w14:textId="77777777" w:rsidR="00385EF0" w:rsidRPr="003E71B5" w:rsidRDefault="00385EF0" w:rsidP="003E71B5">
      <w:pPr>
        <w:spacing w:before="100" w:beforeAutospacing="1" w:after="100" w:afterAutospacing="1" w:line="360" w:lineRule="auto"/>
        <w:rPr>
          <w:rFonts w:ascii="Arial" w:eastAsia="Arial" w:hAnsi="Arial" w:cs="Arial"/>
          <w:sz w:val="22"/>
          <w:szCs w:val="22"/>
          <w:lang w:eastAsia="en-GB"/>
        </w:rPr>
      </w:pPr>
    </w:p>
    <w:p w14:paraId="32B791CE" w14:textId="77777777" w:rsidR="003E71B5" w:rsidRDefault="003E71B5" w:rsidP="003E71B5">
      <w:pPr>
        <w:spacing w:before="100" w:beforeAutospacing="1" w:after="100" w:afterAutospacing="1" w:line="360" w:lineRule="auto"/>
        <w:rPr>
          <w:rFonts w:ascii="Arial" w:eastAsia="Arial" w:hAnsi="Arial" w:cs="Arial"/>
          <w:b/>
          <w:bCs/>
          <w:sz w:val="22"/>
          <w:szCs w:val="22"/>
          <w:lang w:eastAsia="en-GB"/>
        </w:rPr>
      </w:pPr>
    </w:p>
    <w:p w14:paraId="7F3E673D" w14:textId="77777777" w:rsidR="003E71B5" w:rsidRDefault="003E71B5" w:rsidP="003E71B5">
      <w:pPr>
        <w:spacing w:before="100" w:beforeAutospacing="1" w:after="100" w:afterAutospacing="1" w:line="360" w:lineRule="auto"/>
        <w:rPr>
          <w:rFonts w:ascii="Arial" w:eastAsia="Arial" w:hAnsi="Arial" w:cs="Arial"/>
          <w:b/>
          <w:bCs/>
          <w:sz w:val="22"/>
          <w:szCs w:val="22"/>
          <w:lang w:eastAsia="en-GB"/>
        </w:rPr>
      </w:pPr>
    </w:p>
    <w:p w14:paraId="4D1E17AB" w14:textId="77777777" w:rsidR="0044593D" w:rsidRDefault="0044593D" w:rsidP="003E71B5">
      <w:pPr>
        <w:spacing w:before="100" w:beforeAutospacing="1" w:after="100" w:afterAutospacing="1" w:line="360" w:lineRule="auto"/>
        <w:rPr>
          <w:rFonts w:ascii="Arial" w:eastAsia="Arial" w:hAnsi="Arial" w:cs="Arial"/>
          <w:b/>
          <w:bCs/>
          <w:sz w:val="22"/>
          <w:szCs w:val="22"/>
          <w:lang w:eastAsia="en-GB"/>
        </w:rPr>
      </w:pPr>
    </w:p>
    <w:p w14:paraId="1C54E0AD" w14:textId="77777777" w:rsidR="0044593D" w:rsidRDefault="0044593D" w:rsidP="003E71B5">
      <w:pPr>
        <w:spacing w:before="100" w:beforeAutospacing="1" w:after="100" w:afterAutospacing="1" w:line="360" w:lineRule="auto"/>
        <w:rPr>
          <w:rFonts w:ascii="Arial" w:eastAsia="Arial" w:hAnsi="Arial" w:cs="Arial"/>
          <w:b/>
          <w:bCs/>
          <w:sz w:val="22"/>
          <w:szCs w:val="22"/>
          <w:lang w:eastAsia="en-GB"/>
        </w:rPr>
      </w:pPr>
    </w:p>
    <w:p w14:paraId="1248521E" w14:textId="77777777" w:rsidR="0044593D" w:rsidRDefault="0044593D" w:rsidP="003E71B5">
      <w:pPr>
        <w:spacing w:before="100" w:beforeAutospacing="1" w:after="100" w:afterAutospacing="1" w:line="360" w:lineRule="auto"/>
        <w:rPr>
          <w:rFonts w:ascii="Arial" w:eastAsia="Arial" w:hAnsi="Arial" w:cs="Arial"/>
          <w:b/>
          <w:bCs/>
          <w:sz w:val="22"/>
          <w:szCs w:val="22"/>
          <w:lang w:eastAsia="en-GB"/>
        </w:rPr>
      </w:pPr>
    </w:p>
    <w:p w14:paraId="6C66318B" w14:textId="77777777" w:rsidR="0044593D" w:rsidRDefault="0044593D" w:rsidP="003E71B5">
      <w:pPr>
        <w:spacing w:before="100" w:beforeAutospacing="1" w:after="100" w:afterAutospacing="1" w:line="360" w:lineRule="auto"/>
        <w:rPr>
          <w:rFonts w:ascii="Arial" w:eastAsia="Arial" w:hAnsi="Arial" w:cs="Arial"/>
          <w:b/>
          <w:bCs/>
          <w:sz w:val="22"/>
          <w:szCs w:val="22"/>
          <w:lang w:eastAsia="en-GB"/>
        </w:rPr>
      </w:pPr>
    </w:p>
    <w:p w14:paraId="16A140D1" w14:textId="77777777" w:rsidR="0044593D" w:rsidRDefault="0044593D" w:rsidP="003E71B5">
      <w:pPr>
        <w:spacing w:before="100" w:beforeAutospacing="1" w:after="100" w:afterAutospacing="1" w:line="360" w:lineRule="auto"/>
        <w:rPr>
          <w:rFonts w:ascii="Arial" w:eastAsia="Arial" w:hAnsi="Arial" w:cs="Arial"/>
          <w:b/>
          <w:bCs/>
          <w:sz w:val="22"/>
          <w:szCs w:val="22"/>
          <w:lang w:eastAsia="en-GB"/>
        </w:rPr>
      </w:pPr>
    </w:p>
    <w:p w14:paraId="587B83C0" w14:textId="7B82C0DE" w:rsidR="00630B51" w:rsidRPr="003E71B5" w:rsidRDefault="00687E5F" w:rsidP="003E71B5">
      <w:pPr>
        <w:spacing w:before="100" w:beforeAutospacing="1" w:after="100" w:afterAutospacing="1" w:line="360" w:lineRule="auto"/>
        <w:rPr>
          <w:rFonts w:ascii="Arial" w:eastAsia="Arial" w:hAnsi="Arial" w:cs="Arial"/>
          <w:b/>
          <w:bCs/>
          <w:sz w:val="22"/>
          <w:szCs w:val="22"/>
          <w:lang w:eastAsia="en-GB"/>
        </w:rPr>
      </w:pPr>
      <w:r>
        <w:rPr>
          <w:rFonts w:ascii="Arial" w:eastAsia="Arial" w:hAnsi="Arial" w:cs="Arial"/>
          <w:b/>
          <w:bCs/>
          <w:sz w:val="22"/>
          <w:szCs w:val="22"/>
          <w:lang w:eastAsia="en-GB"/>
        </w:rPr>
        <w:lastRenderedPageBreak/>
        <w:t xml:space="preserve">8. </w:t>
      </w:r>
      <w:r w:rsidR="00630B51" w:rsidRPr="003E71B5">
        <w:rPr>
          <w:rFonts w:ascii="Arial" w:eastAsia="Arial" w:hAnsi="Arial" w:cs="Arial"/>
          <w:b/>
          <w:bCs/>
          <w:sz w:val="22"/>
          <w:szCs w:val="22"/>
          <w:lang w:eastAsia="en-GB"/>
        </w:rPr>
        <w:t>Reference list</w:t>
      </w:r>
    </w:p>
    <w:p w14:paraId="5989B16F" w14:textId="3A1D70F6" w:rsidR="0033191F" w:rsidRPr="0044593D" w:rsidRDefault="0044593D" w:rsidP="0044593D">
      <w:pPr>
        <w:spacing w:before="100" w:beforeAutospacing="1" w:after="100" w:afterAutospacing="1" w:line="360" w:lineRule="auto"/>
        <w:rPr>
          <w:rFonts w:ascii="Arial" w:eastAsia="Arial" w:hAnsi="Arial" w:cs="Arial"/>
          <w:sz w:val="22"/>
          <w:szCs w:val="22"/>
          <w:lang w:eastAsia="en-GB"/>
        </w:rPr>
      </w:pPr>
      <w:r w:rsidRPr="0044593D">
        <w:rPr>
          <w:rFonts w:ascii="Arial" w:eastAsia="Arial" w:hAnsi="Arial" w:cs="Arial"/>
          <w:sz w:val="22"/>
          <w:szCs w:val="22"/>
          <w:lang w:eastAsia="en-GB"/>
        </w:rPr>
        <w:t>1.</w:t>
      </w:r>
      <w:r>
        <w:rPr>
          <w:rFonts w:ascii="Arial" w:eastAsia="Arial" w:hAnsi="Arial" w:cs="Arial"/>
          <w:sz w:val="22"/>
          <w:szCs w:val="22"/>
          <w:lang w:eastAsia="en-GB"/>
        </w:rPr>
        <w:t xml:space="preserve"> </w:t>
      </w:r>
      <w:r w:rsidR="0033191F" w:rsidRPr="0044593D">
        <w:rPr>
          <w:rFonts w:ascii="Arial" w:eastAsia="Arial" w:hAnsi="Arial" w:cs="Arial"/>
          <w:sz w:val="22"/>
          <w:szCs w:val="22"/>
          <w:lang w:eastAsia="en-GB"/>
        </w:rPr>
        <w:t>Berstell, G. (2005). Tesco: A case study in retail innovation. Journal of Business Strategy, 26(4), 21-28.</w:t>
      </w:r>
      <w:r w:rsidR="0033191F" w:rsidRPr="0044593D">
        <w:rPr>
          <w:rFonts w:ascii="Arial" w:eastAsia="Arial" w:hAnsi="Arial" w:cs="Arial"/>
          <w:sz w:val="22"/>
          <w:szCs w:val="22"/>
          <w:lang w:eastAsia="en-GB"/>
        </w:rPr>
        <w:br/>
      </w:r>
      <w:r w:rsidR="0033191F" w:rsidRPr="0044593D">
        <w:rPr>
          <w:rFonts w:ascii="Arial" w:eastAsia="Arial" w:hAnsi="Arial" w:cs="Arial"/>
          <w:sz w:val="22"/>
          <w:szCs w:val="22"/>
          <w:lang w:eastAsia="en-GB"/>
        </w:rPr>
        <w:br/>
      </w:r>
      <w:r>
        <w:rPr>
          <w:rFonts w:ascii="Arial" w:eastAsia="Arial" w:hAnsi="Arial" w:cs="Arial"/>
          <w:sz w:val="22"/>
          <w:szCs w:val="22"/>
          <w:lang w:eastAsia="en-GB"/>
        </w:rPr>
        <w:t xml:space="preserve">2. </w:t>
      </w:r>
      <w:r w:rsidR="0033191F" w:rsidRPr="0044593D">
        <w:rPr>
          <w:rFonts w:ascii="Arial" w:eastAsia="Arial" w:hAnsi="Arial" w:cs="Arial"/>
          <w:sz w:val="22"/>
          <w:szCs w:val="22"/>
          <w:lang w:eastAsia="en-GB"/>
        </w:rPr>
        <w:t>Clarke, I., &amp; Hallsworth, A. (1994). The new retail geography: Regulation, competition and location. Routledge.</w:t>
      </w:r>
      <w:r w:rsidR="0033191F" w:rsidRPr="0044593D">
        <w:rPr>
          <w:rFonts w:ascii="Arial" w:eastAsia="Arial" w:hAnsi="Arial" w:cs="Arial"/>
          <w:sz w:val="22"/>
          <w:szCs w:val="22"/>
          <w:lang w:eastAsia="en-GB"/>
        </w:rPr>
        <w:br/>
      </w:r>
      <w:r w:rsidR="0033191F" w:rsidRPr="0044593D">
        <w:rPr>
          <w:rFonts w:ascii="Arial" w:eastAsia="Arial" w:hAnsi="Arial" w:cs="Arial"/>
          <w:sz w:val="22"/>
          <w:szCs w:val="22"/>
          <w:lang w:eastAsia="en-GB"/>
        </w:rPr>
        <w:br/>
      </w:r>
      <w:r>
        <w:rPr>
          <w:rFonts w:ascii="Arial" w:eastAsia="Arial" w:hAnsi="Arial" w:cs="Arial"/>
          <w:sz w:val="22"/>
          <w:szCs w:val="22"/>
          <w:lang w:eastAsia="en-GB"/>
        </w:rPr>
        <w:t xml:space="preserve">3. </w:t>
      </w:r>
      <w:r w:rsidR="0033191F" w:rsidRPr="0044593D">
        <w:rPr>
          <w:rFonts w:ascii="Arial" w:eastAsia="Arial" w:hAnsi="Arial" w:cs="Arial"/>
          <w:sz w:val="22"/>
          <w:szCs w:val="22"/>
          <w:lang w:eastAsia="en-GB"/>
        </w:rPr>
        <w:t>Corbett, J. (2017). The Tesco story. Andre Deutsch.</w:t>
      </w:r>
      <w:r w:rsidR="0033191F" w:rsidRPr="0044593D">
        <w:rPr>
          <w:rFonts w:ascii="Arial" w:eastAsia="Arial" w:hAnsi="Arial" w:cs="Arial"/>
          <w:sz w:val="22"/>
          <w:szCs w:val="22"/>
          <w:lang w:eastAsia="en-GB"/>
        </w:rPr>
        <w:br/>
      </w:r>
      <w:r w:rsidR="0033191F" w:rsidRPr="0044593D">
        <w:rPr>
          <w:rFonts w:ascii="Arial" w:eastAsia="Arial" w:hAnsi="Arial" w:cs="Arial"/>
          <w:sz w:val="22"/>
          <w:szCs w:val="22"/>
          <w:lang w:eastAsia="en-GB"/>
        </w:rPr>
        <w:br/>
      </w:r>
      <w:r>
        <w:rPr>
          <w:rFonts w:ascii="Arial" w:eastAsia="Arial" w:hAnsi="Arial" w:cs="Arial"/>
          <w:sz w:val="22"/>
          <w:szCs w:val="22"/>
          <w:lang w:eastAsia="en-GB"/>
        </w:rPr>
        <w:t xml:space="preserve">4. </w:t>
      </w:r>
      <w:r w:rsidR="0033191F" w:rsidRPr="0044593D">
        <w:rPr>
          <w:rFonts w:ascii="Arial" w:eastAsia="Arial" w:hAnsi="Arial" w:cs="Arial"/>
          <w:sz w:val="22"/>
          <w:szCs w:val="22"/>
          <w:lang w:eastAsia="en-GB"/>
        </w:rPr>
        <w:t>Fernie, J., &amp; Sparks, L. (2014). Retail category management: Decision making within the supply chain. Kogan Page Publishers.</w:t>
      </w:r>
      <w:r w:rsidR="0033191F" w:rsidRPr="0044593D">
        <w:rPr>
          <w:rFonts w:ascii="Arial" w:eastAsia="Arial" w:hAnsi="Arial" w:cs="Arial"/>
          <w:sz w:val="22"/>
          <w:szCs w:val="22"/>
          <w:lang w:eastAsia="en-GB"/>
        </w:rPr>
        <w:br/>
      </w:r>
      <w:r w:rsidR="0033191F" w:rsidRPr="0044593D">
        <w:rPr>
          <w:rFonts w:ascii="Arial" w:eastAsia="Arial" w:hAnsi="Arial" w:cs="Arial"/>
          <w:sz w:val="22"/>
          <w:szCs w:val="22"/>
          <w:lang w:eastAsia="en-GB"/>
        </w:rPr>
        <w:br/>
      </w:r>
      <w:r>
        <w:rPr>
          <w:rFonts w:ascii="Arial" w:eastAsia="Arial" w:hAnsi="Arial" w:cs="Arial"/>
          <w:sz w:val="22"/>
          <w:szCs w:val="22"/>
          <w:lang w:eastAsia="en-GB"/>
        </w:rPr>
        <w:t xml:space="preserve">5. </w:t>
      </w:r>
      <w:r w:rsidR="0033191F" w:rsidRPr="0044593D">
        <w:rPr>
          <w:rFonts w:ascii="Arial" w:eastAsia="Arial" w:hAnsi="Arial" w:cs="Arial"/>
          <w:sz w:val="22"/>
          <w:szCs w:val="22"/>
          <w:lang w:eastAsia="en-GB"/>
        </w:rPr>
        <w:t>Humby, C., Hunt, T., &amp; Phillips, G. (2007). Scoring points: How Tesco is winning customer loyalty. Kogan Page Publishers.</w:t>
      </w:r>
    </w:p>
    <w:p w14:paraId="1FAD5593" w14:textId="3755F7B8" w:rsidR="00E7432B" w:rsidRPr="0044593D" w:rsidRDefault="00E7432B" w:rsidP="003E71B5">
      <w:pPr>
        <w:spacing w:before="100" w:beforeAutospacing="1" w:after="100" w:afterAutospacing="1" w:line="360" w:lineRule="auto"/>
        <w:rPr>
          <w:rFonts w:ascii="Arial" w:eastAsia="Arial" w:hAnsi="Arial" w:cs="Arial"/>
          <w:sz w:val="22"/>
          <w:szCs w:val="22"/>
          <w:lang w:eastAsia="en-GB"/>
        </w:rPr>
      </w:pPr>
      <w:r w:rsidRPr="0044593D">
        <w:rPr>
          <w:rFonts w:ascii="Arial" w:eastAsia="Arial" w:hAnsi="Arial" w:cs="Arial"/>
          <w:sz w:val="22"/>
          <w:szCs w:val="22"/>
          <w:lang w:eastAsia="en-GB"/>
        </w:rPr>
        <w:br/>
      </w:r>
      <w:r w:rsidR="0044593D">
        <w:rPr>
          <w:rFonts w:ascii="Arial" w:eastAsia="Arial" w:hAnsi="Arial" w:cs="Arial"/>
          <w:sz w:val="22"/>
          <w:szCs w:val="22"/>
          <w:lang w:eastAsia="en-GB"/>
        </w:rPr>
        <w:t xml:space="preserve">6. </w:t>
      </w:r>
      <w:r w:rsidRPr="0044593D">
        <w:rPr>
          <w:rFonts w:ascii="Arial" w:eastAsia="Arial" w:hAnsi="Arial" w:cs="Arial"/>
          <w:sz w:val="22"/>
          <w:szCs w:val="22"/>
          <w:lang w:eastAsia="en-GB"/>
        </w:rPr>
        <w:t>Jones, A. (2024). The Importance of Work-Life Balance. London: Kogan Page.</w:t>
      </w:r>
      <w:r w:rsidRPr="0044593D">
        <w:rPr>
          <w:rFonts w:ascii="Arial" w:eastAsia="Arial" w:hAnsi="Arial" w:cs="Arial"/>
          <w:sz w:val="22"/>
          <w:szCs w:val="22"/>
          <w:lang w:eastAsia="en-GB"/>
        </w:rPr>
        <w:br/>
      </w:r>
      <w:r w:rsidRPr="0044593D">
        <w:rPr>
          <w:rFonts w:ascii="Arial" w:eastAsia="Arial" w:hAnsi="Arial" w:cs="Arial"/>
          <w:sz w:val="22"/>
          <w:szCs w:val="22"/>
          <w:lang w:eastAsia="en-GB"/>
        </w:rPr>
        <w:br/>
      </w:r>
      <w:r w:rsidR="0044593D">
        <w:rPr>
          <w:rFonts w:ascii="Arial" w:eastAsia="Arial" w:hAnsi="Arial" w:cs="Arial"/>
          <w:sz w:val="22"/>
          <w:szCs w:val="22"/>
          <w:lang w:eastAsia="en-GB"/>
        </w:rPr>
        <w:t xml:space="preserve">7. </w:t>
      </w:r>
      <w:r w:rsidRPr="0044593D">
        <w:rPr>
          <w:rFonts w:ascii="Arial" w:eastAsia="Arial" w:hAnsi="Arial" w:cs="Arial"/>
          <w:sz w:val="22"/>
          <w:szCs w:val="22"/>
          <w:lang w:eastAsia="en-GB"/>
        </w:rPr>
        <w:t>Smith, B. (2023). Upskilling for the Digital Age. New York: Wiley.</w:t>
      </w:r>
      <w:r w:rsidRPr="0044593D">
        <w:rPr>
          <w:rFonts w:ascii="Arial" w:eastAsia="Arial" w:hAnsi="Arial" w:cs="Arial"/>
          <w:sz w:val="22"/>
          <w:szCs w:val="22"/>
          <w:lang w:eastAsia="en-GB"/>
        </w:rPr>
        <w:br/>
      </w:r>
      <w:r w:rsidRPr="0044593D">
        <w:rPr>
          <w:rFonts w:ascii="Arial" w:eastAsia="Arial" w:hAnsi="Arial" w:cs="Arial"/>
          <w:sz w:val="22"/>
          <w:szCs w:val="22"/>
          <w:lang w:eastAsia="en-GB"/>
        </w:rPr>
        <w:br/>
      </w:r>
      <w:r w:rsidR="0044593D">
        <w:rPr>
          <w:rFonts w:ascii="Arial" w:eastAsia="Arial" w:hAnsi="Arial" w:cs="Arial"/>
          <w:sz w:val="22"/>
          <w:szCs w:val="22"/>
          <w:lang w:eastAsia="en-GB"/>
        </w:rPr>
        <w:t xml:space="preserve">8. </w:t>
      </w:r>
      <w:r w:rsidRPr="0044593D">
        <w:rPr>
          <w:rFonts w:ascii="Arial" w:eastAsia="Arial" w:hAnsi="Arial" w:cs="Arial"/>
          <w:sz w:val="22"/>
          <w:szCs w:val="22"/>
          <w:lang w:eastAsia="en-GB"/>
        </w:rPr>
        <w:t>Williams, C. (2025). Diversity and Inclusion in the Workplace. Oxford: Oxford University Press.</w:t>
      </w:r>
    </w:p>
    <w:p w14:paraId="7535F56F" w14:textId="1E2C8C07" w:rsidR="0044593D" w:rsidRDefault="0044593D" w:rsidP="003E71B5">
      <w:pPr>
        <w:spacing w:before="100" w:beforeAutospacing="1" w:after="100" w:afterAutospacing="1" w:line="360" w:lineRule="auto"/>
        <w:rPr>
          <w:rFonts w:ascii="Arial" w:eastAsia="Arial" w:hAnsi="Arial" w:cs="Arial"/>
          <w:sz w:val="22"/>
          <w:szCs w:val="22"/>
          <w:lang w:eastAsia="en-GB"/>
        </w:rPr>
      </w:pPr>
      <w:r>
        <w:rPr>
          <w:rFonts w:ascii="Arial" w:eastAsia="Arial" w:hAnsi="Arial" w:cs="Arial"/>
          <w:sz w:val="22"/>
          <w:szCs w:val="22"/>
          <w:lang w:eastAsia="en-GB"/>
        </w:rPr>
        <w:t xml:space="preserve">9. </w:t>
      </w:r>
      <w:r w:rsidR="00385EF0" w:rsidRPr="0044593D">
        <w:rPr>
          <w:rFonts w:ascii="Arial" w:eastAsia="Arial" w:hAnsi="Arial" w:cs="Arial"/>
          <w:sz w:val="22"/>
          <w:szCs w:val="22"/>
          <w:lang w:eastAsia="en-GB"/>
        </w:rPr>
        <w:t>Aguinis, H. (2019). Performance Management: Assuring Effective Implementation*. SAGE Publications.</w:t>
      </w:r>
      <w:r w:rsidR="00385EF0" w:rsidRPr="0044593D">
        <w:rPr>
          <w:rFonts w:ascii="Arial" w:eastAsia="Arial" w:hAnsi="Arial" w:cs="Arial"/>
          <w:sz w:val="22"/>
          <w:szCs w:val="22"/>
          <w:lang w:eastAsia="en-GB"/>
        </w:rPr>
        <w:br/>
      </w:r>
      <w:r w:rsidR="00385EF0" w:rsidRPr="0044593D">
        <w:rPr>
          <w:rFonts w:ascii="Arial" w:eastAsia="Arial" w:hAnsi="Arial" w:cs="Arial"/>
          <w:sz w:val="22"/>
          <w:szCs w:val="22"/>
          <w:lang w:eastAsia="en-GB"/>
        </w:rPr>
        <w:br/>
      </w:r>
      <w:r>
        <w:rPr>
          <w:rFonts w:ascii="Arial" w:eastAsia="Arial" w:hAnsi="Arial" w:cs="Arial"/>
          <w:sz w:val="22"/>
          <w:szCs w:val="22"/>
          <w:lang w:eastAsia="en-GB"/>
        </w:rPr>
        <w:t xml:space="preserve">10. </w:t>
      </w:r>
      <w:r w:rsidR="00385EF0" w:rsidRPr="0044593D">
        <w:rPr>
          <w:rFonts w:ascii="Arial" w:eastAsia="Arial" w:hAnsi="Arial" w:cs="Arial"/>
          <w:sz w:val="22"/>
          <w:szCs w:val="22"/>
          <w:lang w:eastAsia="en-GB"/>
        </w:rPr>
        <w:t>Armstrong, M., &amp; Taylor, S. (2020). Armstrong's Handbook of Human Resource Management Practice. Kogan Page Publishers.</w:t>
      </w:r>
    </w:p>
    <w:p w14:paraId="0468DD06" w14:textId="78A343FD" w:rsidR="003E71B5" w:rsidRPr="0044593D" w:rsidRDefault="003E71B5" w:rsidP="003E71B5">
      <w:pPr>
        <w:spacing w:before="100" w:beforeAutospacing="1" w:after="100" w:afterAutospacing="1" w:line="360" w:lineRule="auto"/>
        <w:rPr>
          <w:rFonts w:ascii="Arial" w:eastAsia="Arial" w:hAnsi="Arial" w:cs="Arial"/>
          <w:sz w:val="22"/>
          <w:szCs w:val="22"/>
          <w:lang w:eastAsia="en-GB"/>
        </w:rPr>
      </w:pPr>
      <w:r w:rsidRPr="003E71B5">
        <w:rPr>
          <w:rFonts w:ascii="Arial" w:eastAsia="Arial" w:hAnsi="Arial" w:cs="Arial"/>
          <w:sz w:val="22"/>
          <w:szCs w:val="22"/>
          <w:lang w:eastAsia="en-GB"/>
        </w:rPr>
        <w:br/>
      </w:r>
      <w:r w:rsidR="0044593D">
        <w:rPr>
          <w:rFonts w:ascii="Arial" w:eastAsia="Arial" w:hAnsi="Arial" w:cs="Arial"/>
          <w:sz w:val="22"/>
          <w:szCs w:val="22"/>
          <w:lang w:eastAsia="en-GB"/>
        </w:rPr>
        <w:t xml:space="preserve">11. </w:t>
      </w:r>
      <w:r w:rsidRPr="003E71B5">
        <w:rPr>
          <w:rFonts w:ascii="Arial" w:eastAsia="Arial" w:hAnsi="Arial" w:cs="Arial"/>
          <w:sz w:val="22"/>
          <w:szCs w:val="22"/>
          <w:lang w:eastAsia="en-GB"/>
        </w:rPr>
        <w:t>Aguinis, H., &amp; Kraiger, K. (2009). Benefits of training and development for individuals and teams, organizations, and society. *Personnel Psychology, 62(3), 451-491.</w:t>
      </w:r>
    </w:p>
    <w:p w14:paraId="3D269D81" w14:textId="65D0C825" w:rsidR="003E71B5" w:rsidRPr="003E71B5" w:rsidRDefault="003E71B5" w:rsidP="003E71B5">
      <w:pPr>
        <w:spacing w:before="100" w:beforeAutospacing="1" w:after="100" w:afterAutospacing="1" w:line="360" w:lineRule="auto"/>
        <w:rPr>
          <w:rFonts w:ascii="Arial" w:eastAsia="Arial" w:hAnsi="Arial" w:cs="Arial"/>
          <w:sz w:val="22"/>
          <w:szCs w:val="22"/>
          <w:lang w:eastAsia="en-GB"/>
        </w:rPr>
      </w:pPr>
      <w:r w:rsidRPr="003E71B5">
        <w:rPr>
          <w:rFonts w:ascii="Arial" w:eastAsia="Arial" w:hAnsi="Arial" w:cs="Arial"/>
          <w:sz w:val="22"/>
          <w:szCs w:val="22"/>
          <w:lang w:eastAsia="en-GB"/>
        </w:rPr>
        <w:br/>
      </w:r>
      <w:r w:rsidR="0044593D">
        <w:rPr>
          <w:rFonts w:ascii="Arial" w:eastAsia="Arial" w:hAnsi="Arial" w:cs="Arial"/>
          <w:sz w:val="22"/>
          <w:szCs w:val="22"/>
          <w:lang w:eastAsia="en-GB"/>
        </w:rPr>
        <w:t xml:space="preserve">12. </w:t>
      </w:r>
      <w:r w:rsidRPr="003E71B5">
        <w:rPr>
          <w:rFonts w:ascii="Arial" w:eastAsia="Arial" w:hAnsi="Arial" w:cs="Arial"/>
          <w:sz w:val="22"/>
          <w:szCs w:val="22"/>
          <w:lang w:eastAsia="en-GB"/>
        </w:rPr>
        <w:t>Bratton, J., &amp; Gold, J. (2017). Human resource management: Theory and practice. Palgrave Macmillan.</w:t>
      </w:r>
      <w:r w:rsidRPr="003E71B5">
        <w:rPr>
          <w:rFonts w:ascii="Arial" w:eastAsia="Arial" w:hAnsi="Arial" w:cs="Arial"/>
          <w:sz w:val="22"/>
          <w:szCs w:val="22"/>
          <w:lang w:eastAsia="en-GB"/>
        </w:rPr>
        <w:br/>
      </w:r>
      <w:r w:rsidR="0044593D">
        <w:rPr>
          <w:rFonts w:ascii="Arial" w:eastAsia="Arial" w:hAnsi="Arial" w:cs="Arial"/>
          <w:sz w:val="22"/>
          <w:szCs w:val="22"/>
          <w:lang w:eastAsia="en-GB"/>
        </w:rPr>
        <w:lastRenderedPageBreak/>
        <w:t xml:space="preserve">13. </w:t>
      </w:r>
      <w:r w:rsidRPr="003E71B5">
        <w:rPr>
          <w:rFonts w:ascii="Arial" w:eastAsia="Arial" w:hAnsi="Arial" w:cs="Arial"/>
          <w:sz w:val="22"/>
          <w:szCs w:val="22"/>
          <w:lang w:eastAsia="en-GB"/>
        </w:rPr>
        <w:t>Guest, D. E. (2017). Human resource management and employee well</w:t>
      </w:r>
      <w:r w:rsidRPr="003E71B5">
        <w:rPr>
          <w:rFonts w:ascii="Cambria Math" w:eastAsia="Arial" w:hAnsi="Cambria Math" w:cs="Cambria Math"/>
          <w:sz w:val="22"/>
          <w:szCs w:val="22"/>
          <w:lang w:eastAsia="en-GB"/>
        </w:rPr>
        <w:t>‐</w:t>
      </w:r>
      <w:r w:rsidRPr="003E71B5">
        <w:rPr>
          <w:rFonts w:ascii="Arial" w:eastAsia="Arial" w:hAnsi="Arial" w:cs="Arial"/>
          <w:sz w:val="22"/>
          <w:szCs w:val="22"/>
          <w:lang w:eastAsia="en-GB"/>
        </w:rPr>
        <w:t>being: Towards a new analytic framework. Human Resource Management Journal, 27(1), 22-38.</w:t>
      </w:r>
    </w:p>
    <w:p w14:paraId="199E788B" w14:textId="0D753C80" w:rsidR="00385EF0" w:rsidRPr="003E71B5" w:rsidRDefault="003E71B5" w:rsidP="003E71B5">
      <w:pPr>
        <w:spacing w:before="100" w:beforeAutospacing="1" w:after="100" w:afterAutospacing="1" w:line="360" w:lineRule="auto"/>
        <w:rPr>
          <w:rFonts w:ascii="Arial" w:eastAsia="Arial" w:hAnsi="Arial" w:cs="Arial"/>
          <w:b/>
          <w:bCs/>
          <w:sz w:val="22"/>
          <w:szCs w:val="22"/>
          <w:lang w:eastAsia="en-GB"/>
        </w:rPr>
      </w:pPr>
      <w:r w:rsidRPr="003E71B5">
        <w:rPr>
          <w:rFonts w:ascii="Arial" w:eastAsia="Arial" w:hAnsi="Arial" w:cs="Arial"/>
          <w:b/>
          <w:bCs/>
          <w:sz w:val="22"/>
          <w:szCs w:val="22"/>
          <w:lang w:eastAsia="en-GB"/>
        </w:rPr>
        <w:t> </w:t>
      </w:r>
      <w:r w:rsidR="00385EF0" w:rsidRPr="003E71B5">
        <w:rPr>
          <w:rFonts w:ascii="Arial" w:eastAsia="Arial" w:hAnsi="Arial" w:cs="Arial"/>
          <w:b/>
          <w:bCs/>
          <w:sz w:val="22"/>
          <w:szCs w:val="22"/>
          <w:lang w:eastAsia="en-GB"/>
        </w:rPr>
        <w:br/>
      </w:r>
      <w:r w:rsidR="00385EF0" w:rsidRPr="003E71B5">
        <w:rPr>
          <w:rFonts w:ascii="Arial" w:eastAsia="Arial" w:hAnsi="Arial" w:cs="Arial"/>
          <w:b/>
          <w:bCs/>
          <w:sz w:val="22"/>
          <w:szCs w:val="22"/>
          <w:lang w:eastAsia="en-GB"/>
        </w:rPr>
        <w:br/>
      </w:r>
    </w:p>
    <w:p w14:paraId="698B8FAE" w14:textId="77777777" w:rsidR="007B6143" w:rsidRPr="003E71B5" w:rsidRDefault="007B6143" w:rsidP="003E71B5">
      <w:pPr>
        <w:spacing w:line="360" w:lineRule="auto"/>
        <w:ind w:left="360"/>
        <w:rPr>
          <w:rFonts w:ascii="Arial" w:hAnsi="Arial" w:cs="Arial"/>
          <w:b/>
          <w:bCs/>
          <w:sz w:val="22"/>
          <w:szCs w:val="22"/>
        </w:rPr>
      </w:pPr>
    </w:p>
    <w:p w14:paraId="5180CB73" w14:textId="77777777" w:rsidR="007B6143" w:rsidRPr="003E71B5" w:rsidRDefault="007B6143" w:rsidP="003E71B5">
      <w:pPr>
        <w:spacing w:line="360" w:lineRule="auto"/>
        <w:rPr>
          <w:rFonts w:ascii="Arial" w:hAnsi="Arial" w:cs="Arial"/>
          <w:b/>
          <w:bCs/>
          <w:sz w:val="22"/>
          <w:szCs w:val="22"/>
        </w:rPr>
      </w:pPr>
    </w:p>
    <w:sectPr w:rsidR="007B6143" w:rsidRPr="003E71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06F40"/>
    <w:multiLevelType w:val="hybridMultilevel"/>
    <w:tmpl w:val="3A68092E"/>
    <w:lvl w:ilvl="0" w:tplc="0809000B">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 w15:restartNumberingAfterBreak="0">
    <w:nsid w:val="1F442281"/>
    <w:multiLevelType w:val="hybridMultilevel"/>
    <w:tmpl w:val="50427456"/>
    <w:lvl w:ilvl="0" w:tplc="1D665604">
      <w:start w:val="1"/>
      <w:numFmt w:val="decimal"/>
      <w:lvlText w:val="%1."/>
      <w:lvlJc w:val="left"/>
      <w:pPr>
        <w:ind w:left="720" w:hanging="360"/>
      </w:pPr>
      <w:rPr>
        <w:rFonts w:ascii="Arial" w:eastAsia="Arial" w:hAnsi="Arial" w:cs="Aria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24BD1E53"/>
    <w:multiLevelType w:val="hybridMultilevel"/>
    <w:tmpl w:val="00E48E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E579BC"/>
    <w:multiLevelType w:val="hybridMultilevel"/>
    <w:tmpl w:val="22625E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FB20582"/>
    <w:multiLevelType w:val="hybridMultilevel"/>
    <w:tmpl w:val="3894D1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187717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65170514">
    <w:abstractNumId w:val="0"/>
  </w:num>
  <w:num w:numId="3" w16cid:durableId="1825703942">
    <w:abstractNumId w:val="3"/>
  </w:num>
  <w:num w:numId="4" w16cid:durableId="1477800838">
    <w:abstractNumId w:val="4"/>
  </w:num>
  <w:num w:numId="5" w16cid:durableId="13828262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143"/>
    <w:rsid w:val="0008589F"/>
    <w:rsid w:val="00141643"/>
    <w:rsid w:val="0021256F"/>
    <w:rsid w:val="0033191F"/>
    <w:rsid w:val="0033731A"/>
    <w:rsid w:val="00385EF0"/>
    <w:rsid w:val="003C0E4A"/>
    <w:rsid w:val="003E71B5"/>
    <w:rsid w:val="0044593D"/>
    <w:rsid w:val="00453458"/>
    <w:rsid w:val="00630B51"/>
    <w:rsid w:val="00687E5F"/>
    <w:rsid w:val="007B6143"/>
    <w:rsid w:val="008D3F04"/>
    <w:rsid w:val="009B60EF"/>
    <w:rsid w:val="009E6963"/>
    <w:rsid w:val="00B63F6A"/>
    <w:rsid w:val="00C7347F"/>
    <w:rsid w:val="00DF4991"/>
    <w:rsid w:val="00E743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F4695"/>
  <w15:chartTrackingRefBased/>
  <w15:docId w15:val="{8C7F356F-6207-438F-B463-C00819C4E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61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61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61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61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61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61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61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61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61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61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61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61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61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61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61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61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61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6143"/>
    <w:rPr>
      <w:rFonts w:eastAsiaTheme="majorEastAsia" w:cstheme="majorBidi"/>
      <w:color w:val="272727" w:themeColor="text1" w:themeTint="D8"/>
    </w:rPr>
  </w:style>
  <w:style w:type="paragraph" w:styleId="Title">
    <w:name w:val="Title"/>
    <w:basedOn w:val="Normal"/>
    <w:next w:val="Normal"/>
    <w:link w:val="TitleChar"/>
    <w:uiPriority w:val="10"/>
    <w:qFormat/>
    <w:rsid w:val="007B61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61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61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61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6143"/>
    <w:pPr>
      <w:spacing w:before="160"/>
      <w:jc w:val="center"/>
    </w:pPr>
    <w:rPr>
      <w:i/>
      <w:iCs/>
      <w:color w:val="404040" w:themeColor="text1" w:themeTint="BF"/>
    </w:rPr>
  </w:style>
  <w:style w:type="character" w:customStyle="1" w:styleId="QuoteChar">
    <w:name w:val="Quote Char"/>
    <w:basedOn w:val="DefaultParagraphFont"/>
    <w:link w:val="Quote"/>
    <w:uiPriority w:val="29"/>
    <w:rsid w:val="007B6143"/>
    <w:rPr>
      <w:i/>
      <w:iCs/>
      <w:color w:val="404040" w:themeColor="text1" w:themeTint="BF"/>
    </w:rPr>
  </w:style>
  <w:style w:type="paragraph" w:styleId="ListParagraph">
    <w:name w:val="List Paragraph"/>
    <w:basedOn w:val="Normal"/>
    <w:uiPriority w:val="34"/>
    <w:qFormat/>
    <w:rsid w:val="007B6143"/>
    <w:pPr>
      <w:ind w:left="720"/>
      <w:contextualSpacing/>
    </w:pPr>
  </w:style>
  <w:style w:type="character" w:styleId="IntenseEmphasis">
    <w:name w:val="Intense Emphasis"/>
    <w:basedOn w:val="DefaultParagraphFont"/>
    <w:uiPriority w:val="21"/>
    <w:qFormat/>
    <w:rsid w:val="007B6143"/>
    <w:rPr>
      <w:i/>
      <w:iCs/>
      <w:color w:val="0F4761" w:themeColor="accent1" w:themeShade="BF"/>
    </w:rPr>
  </w:style>
  <w:style w:type="paragraph" w:styleId="IntenseQuote">
    <w:name w:val="Intense Quote"/>
    <w:basedOn w:val="Normal"/>
    <w:next w:val="Normal"/>
    <w:link w:val="IntenseQuoteChar"/>
    <w:uiPriority w:val="30"/>
    <w:qFormat/>
    <w:rsid w:val="007B61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6143"/>
    <w:rPr>
      <w:i/>
      <w:iCs/>
      <w:color w:val="0F4761" w:themeColor="accent1" w:themeShade="BF"/>
    </w:rPr>
  </w:style>
  <w:style w:type="character" w:styleId="IntenseReference">
    <w:name w:val="Intense Reference"/>
    <w:basedOn w:val="DefaultParagraphFont"/>
    <w:uiPriority w:val="32"/>
    <w:qFormat/>
    <w:rsid w:val="007B614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2419</Words>
  <Characters>13789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Ousman Darame</dc:creator>
  <cp:keywords/>
  <dc:description/>
  <cp:lastModifiedBy>Ousman Darame</cp:lastModifiedBy>
  <cp:revision>2</cp:revision>
  <dcterms:created xsi:type="dcterms:W3CDTF">2026-03-29T23:09:00Z</dcterms:created>
  <dcterms:modified xsi:type="dcterms:W3CDTF">2026-03-29T23:09:00Z</dcterms:modified>
</cp:coreProperties>
</file>