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52CB3" w:rsidRPr="00AE44A7" w:rsidRDefault="006A7520" w:rsidP="00AE44A7">
      <w:pPr>
        <w:spacing w:line="480" w:lineRule="auto"/>
        <w:contextualSpacing/>
        <w:jc w:val="center"/>
      </w:pPr>
      <w:r w:rsidRPr="00AE44A7">
        <w:t xml:space="preserve">The Role of </w:t>
      </w:r>
      <w:r w:rsidR="00052CB3" w:rsidRPr="00AE44A7">
        <w:t>Motivation and Second Language Learning</w:t>
      </w:r>
    </w:p>
    <w:p w:rsidR="00052CB3" w:rsidRPr="00AE44A7" w:rsidRDefault="00052CB3" w:rsidP="00AE44A7">
      <w:pPr>
        <w:spacing w:line="480" w:lineRule="auto"/>
        <w:contextualSpacing/>
        <w:rPr>
          <w:b/>
          <w:bCs/>
        </w:rPr>
      </w:pPr>
      <w:r w:rsidRPr="00AE44A7">
        <w:rPr>
          <w:b/>
          <w:bCs/>
        </w:rPr>
        <w:t>Summary</w:t>
      </w:r>
    </w:p>
    <w:p w:rsidR="00052CB3" w:rsidRPr="00AE44A7" w:rsidRDefault="00052CB3" w:rsidP="00AE44A7">
      <w:pPr>
        <w:spacing w:line="480" w:lineRule="auto"/>
        <w:ind w:firstLine="720"/>
        <w:contextualSpacing/>
      </w:pPr>
      <w:r w:rsidRPr="00AE44A7">
        <w:t>The authors of this chapter explore various factors that affect second language learning. The authors</w:t>
      </w:r>
      <w:r w:rsidR="00946910" w:rsidRPr="00AE44A7">
        <w:t>, Patsy M. Lightbrown and Nina Spada,</w:t>
      </w:r>
      <w:r w:rsidRPr="00AE44A7">
        <w:t xml:space="preserve"> acknowledge the differences in second language learning and how success in language learning can vary greatly. This chapter examines common beliefs regarding what makes a good language learner and whether these claims are supported by research (</w:t>
      </w:r>
      <w:r w:rsidR="00763E19" w:rsidRPr="00AE44A7">
        <w:t>Lightbrown, n.d.</w:t>
      </w:r>
      <w:r w:rsidRPr="00AE44A7">
        <w:t xml:space="preserve">). At the beginning of the chapter, the authors discuss five main categories: motivation, aptitude, personality, intelligence, and learner's preferences.  The authors do not consider these factors singular and separate, but these </w:t>
      </w:r>
      <w:r w:rsidR="00946910" w:rsidRPr="00AE44A7">
        <w:t xml:space="preserve">factors </w:t>
      </w:r>
      <w:r w:rsidRPr="00AE44A7">
        <w:t xml:space="preserve">interact in complex ways. The authors also state that the findings and research within their chapter are not in absolute </w:t>
      </w:r>
      <w:r w:rsidR="00763E19" w:rsidRPr="00AE44A7">
        <w:t xml:space="preserve">(Lightbrown, n.d.). </w:t>
      </w:r>
      <w:r w:rsidRPr="00AE44A7">
        <w:t xml:space="preserve">Second language acquisition is individualized, and measuring certain qualities like motivation and how these factors are interconnected is difficult. These factors cannot be readily isolated due to their interdependence </w:t>
      </w:r>
      <w:r w:rsidR="00763E19" w:rsidRPr="00AE44A7">
        <w:t>(Lightbrown, n.d.)</w:t>
      </w:r>
      <w:r w:rsidRPr="00AE44A7">
        <w:t xml:space="preserve">. </w:t>
      </w:r>
    </w:p>
    <w:p w:rsidR="00946910" w:rsidRPr="00AE44A7" w:rsidRDefault="00946910" w:rsidP="00AE44A7">
      <w:pPr>
        <w:spacing w:line="480" w:lineRule="auto"/>
        <w:contextualSpacing/>
        <w:rPr>
          <w:b/>
          <w:bCs/>
        </w:rPr>
      </w:pPr>
      <w:r w:rsidRPr="00AE44A7">
        <w:rPr>
          <w:b/>
          <w:bCs/>
        </w:rPr>
        <w:t>Age and the Critical Age Hypothesis</w:t>
      </w:r>
    </w:p>
    <w:p w:rsidR="00946910" w:rsidRPr="00AE44A7" w:rsidRDefault="00946910" w:rsidP="00AE44A7">
      <w:pPr>
        <w:spacing w:line="480" w:lineRule="auto"/>
        <w:ind w:firstLine="720"/>
        <w:contextualSpacing/>
      </w:pPr>
      <w:r w:rsidRPr="00AE44A7">
        <w:t>T</w:t>
      </w:r>
      <w:r w:rsidR="00052CB3" w:rsidRPr="00AE44A7">
        <w:t xml:space="preserve">he authors did not include age as one of the key factors of second language acquisition. Age is a different factor compared to the five factors previously mentioned. Those five factors are considered individual learner traits, whereas age is a developmental variable </w:t>
      </w:r>
      <w:r w:rsidR="00763E19" w:rsidRPr="00AE44A7">
        <w:t>(Lightbrown, n.d.)</w:t>
      </w:r>
      <w:r w:rsidR="00052CB3" w:rsidRPr="00AE44A7">
        <w:t xml:space="preserve">. Age is a factor that changes over time and interacts with other factors. The authors dedicate a section of the chapter to discussing the complex relationship between a learner's age and success. </w:t>
      </w:r>
    </w:p>
    <w:p w:rsidR="00052CB3" w:rsidRPr="00AE44A7" w:rsidRDefault="00052CB3" w:rsidP="00AE44A7">
      <w:pPr>
        <w:spacing w:line="480" w:lineRule="auto"/>
        <w:ind w:firstLine="720"/>
        <w:contextualSpacing/>
      </w:pPr>
      <w:r w:rsidRPr="00AE44A7">
        <w:t xml:space="preserve">Within the chapter, the authors </w:t>
      </w:r>
      <w:r w:rsidR="00946910" w:rsidRPr="00AE44A7">
        <w:t xml:space="preserve">also </w:t>
      </w:r>
      <w:r w:rsidRPr="00AE44A7">
        <w:t>mention that it has been observed that children from immigrant families often achieve native fluency in the language of their new community.</w:t>
      </w:r>
      <w:r w:rsidR="00946910" w:rsidRPr="00AE44A7">
        <w:t xml:space="preserve"> </w:t>
      </w:r>
      <w:r w:rsidRPr="00AE44A7">
        <w:t xml:space="preserve">In contrast, parents often do not reach the same level of fluency. The authors explore these </w:t>
      </w:r>
      <w:r w:rsidR="00946910" w:rsidRPr="00AE44A7">
        <w:t xml:space="preserve">scenarios </w:t>
      </w:r>
      <w:r w:rsidRPr="00AE44A7">
        <w:t xml:space="preserve">within the aspects of the Critical Period Hypothesis. This hypothesis </w:t>
      </w:r>
      <w:r w:rsidRPr="00AE44A7">
        <w:lastRenderedPageBreak/>
        <w:t>states</w:t>
      </w:r>
      <w:r w:rsidR="00946910" w:rsidRPr="00AE44A7">
        <w:t xml:space="preserve"> there is</w:t>
      </w:r>
      <w:r w:rsidRPr="00AE44A7">
        <w:t xml:space="preserve"> a specific time in human development when the brain is optimally suited for language learning </w:t>
      </w:r>
      <w:r w:rsidR="000850D8" w:rsidRPr="00AE44A7">
        <w:t>(</w:t>
      </w:r>
      <w:proofErr w:type="spellStart"/>
      <w:r w:rsidR="000850D8" w:rsidRPr="00AE44A7">
        <w:t>Abutalebi</w:t>
      </w:r>
      <w:proofErr w:type="spellEnd"/>
      <w:r w:rsidR="000850D8" w:rsidRPr="00AE44A7">
        <w:t>, 2018)</w:t>
      </w:r>
      <w:r w:rsidRPr="00AE44A7">
        <w:t xml:space="preserve">. The hypothesis </w:t>
      </w:r>
      <w:r w:rsidR="00946910" w:rsidRPr="00AE44A7">
        <w:t xml:space="preserve">states </w:t>
      </w:r>
      <w:r w:rsidRPr="00AE44A7">
        <w:t>that learning may rely more on learning abilities than innate capacities available only to younger children. It is contested that this crucial period ends around puberty, and some researchers believe it could be earlier. The authors state that language learning differences between children and adults are challenging due to different learning conditions (</w:t>
      </w:r>
      <w:r w:rsidR="000850D8" w:rsidRPr="00AE44A7">
        <w:t>Lightbrown, n.d.</w:t>
      </w:r>
      <w:r w:rsidR="00946910" w:rsidRPr="00AE44A7">
        <w:t>).</w:t>
      </w:r>
    </w:p>
    <w:p w:rsidR="00052CB3" w:rsidRPr="00AE44A7" w:rsidRDefault="00052CB3" w:rsidP="00AE44A7">
      <w:pPr>
        <w:spacing w:line="480" w:lineRule="auto"/>
        <w:ind w:firstLine="720"/>
        <w:contextualSpacing/>
      </w:pPr>
      <w:r w:rsidRPr="00AE44A7">
        <w:t>In contrast, older learners have different demands, such as a need for complex language use, and frustration can be a mental barrier to learning (</w:t>
      </w:r>
      <w:proofErr w:type="spellStart"/>
      <w:r w:rsidR="006F3D07" w:rsidRPr="00AE44A7">
        <w:t>Abutalebi</w:t>
      </w:r>
      <w:proofErr w:type="spellEnd"/>
      <w:r w:rsidR="006F3D07" w:rsidRPr="00AE44A7">
        <w:t>, 2018</w:t>
      </w:r>
      <w:r w:rsidRPr="00AE44A7">
        <w:t>). The authors also present evidence against the Critical Period Hypothesis. The authors explain that there has been research showing that older learners may be more efficient in the early stages of second language development, and there are examples of older learners who have achieved high proficiency levels</w:t>
      </w:r>
      <w:r w:rsidR="000850D8" w:rsidRPr="00AE44A7">
        <w:t>.</w:t>
      </w:r>
      <w:r w:rsidRPr="00AE44A7">
        <w:t xml:space="preserve"> </w:t>
      </w:r>
    </w:p>
    <w:p w:rsidR="00052CB3" w:rsidRPr="00AE44A7" w:rsidRDefault="00052CB3" w:rsidP="00AE44A7">
      <w:pPr>
        <w:spacing w:line="480" w:lineRule="auto"/>
        <w:contextualSpacing/>
        <w:rPr>
          <w:b/>
          <w:bCs/>
        </w:rPr>
      </w:pPr>
      <w:r w:rsidRPr="00AE44A7">
        <w:rPr>
          <w:b/>
          <w:bCs/>
        </w:rPr>
        <w:t>Personality Traits Revisited</w:t>
      </w:r>
    </w:p>
    <w:p w:rsidR="00052CB3" w:rsidRPr="00AE44A7" w:rsidRDefault="00052CB3" w:rsidP="00AE44A7">
      <w:pPr>
        <w:spacing w:line="480" w:lineRule="auto"/>
        <w:ind w:firstLine="720"/>
        <w:contextualSpacing/>
      </w:pPr>
      <w:r w:rsidRPr="00AE44A7">
        <w:t xml:space="preserve">The chapter </w:t>
      </w:r>
      <w:r w:rsidR="00946910" w:rsidRPr="00AE44A7">
        <w:t>many</w:t>
      </w:r>
      <w:r w:rsidRPr="00AE44A7">
        <w:t xml:space="preserve"> of positive arguments regarding second language acquisition, but there are a few potential sections for expansion. The chapter dedicates many subsections to the multiple interconnected factors, but the section on personality traits is oversimplified. The chapter discusses that extroverted learners may have an advantage in second language acquisition but also acknowledges </w:t>
      </w:r>
      <w:r w:rsidR="00946910" w:rsidRPr="00AE44A7">
        <w:t xml:space="preserve">there are </w:t>
      </w:r>
      <w:r w:rsidRPr="00AE44A7">
        <w:t>conflicting evidence</w:t>
      </w:r>
      <w:r w:rsidR="006F3D07" w:rsidRPr="00AE44A7">
        <w:t xml:space="preserve"> (</w:t>
      </w:r>
      <w:r w:rsidR="000850D8" w:rsidRPr="00AE44A7">
        <w:t>Lightbrown, n.d.</w:t>
      </w:r>
      <w:r w:rsidR="006F3D07" w:rsidRPr="00AE44A7">
        <w:t>)</w:t>
      </w:r>
      <w:r w:rsidRPr="00AE44A7">
        <w:t>. It discusses the successes, possibly connected to inhibition, and vaguely mentions studies that contradict extrovert</w:t>
      </w:r>
      <w:r w:rsidR="00946910" w:rsidRPr="00AE44A7">
        <w:t>’</w:t>
      </w:r>
      <w:r w:rsidRPr="00AE44A7">
        <w:t>s success in language acquisition. Though it is understood that introverts are the opposite of extroverts, the chapter does not elaborate on introverts and their connection to second language attainment. Some studies have suggested that introverts engaged</w:t>
      </w:r>
      <w:r w:rsidR="00946910" w:rsidRPr="00AE44A7">
        <w:t xml:space="preserve"> learning a second language</w:t>
      </w:r>
      <w:r w:rsidRPr="00AE44A7">
        <w:t xml:space="preserve"> </w:t>
      </w:r>
      <w:r w:rsidR="00946910" w:rsidRPr="00AE44A7">
        <w:t xml:space="preserve">with </w:t>
      </w:r>
      <w:r w:rsidRPr="00AE44A7">
        <w:t>careful observation</w:t>
      </w:r>
      <w:r w:rsidR="00946910" w:rsidRPr="00AE44A7">
        <w:t xml:space="preserve"> of the subject materials</w:t>
      </w:r>
      <w:r w:rsidRPr="00AE44A7">
        <w:t xml:space="preserve"> and structured learning can lead them to excel in different aspects (</w:t>
      </w:r>
      <w:r w:rsidR="00763E19" w:rsidRPr="00AE44A7">
        <w:rPr>
          <w:color w:val="2C3E50"/>
          <w:shd w:val="clear" w:color="auto" w:fill="FFFFFF"/>
        </w:rPr>
        <w:t>Zainuddin, 2023</w:t>
      </w:r>
      <w:r w:rsidRPr="00AE44A7">
        <w:t xml:space="preserve">). Research has shown that introverts understand grammatical concepts and recognize patterns quickly </w:t>
      </w:r>
      <w:r w:rsidRPr="00AE44A7">
        <w:lastRenderedPageBreak/>
        <w:t xml:space="preserve">when learning a second language. Studies have also </w:t>
      </w:r>
      <w:r w:rsidR="00946910" w:rsidRPr="00AE44A7">
        <w:t>observ</w:t>
      </w:r>
      <w:r w:rsidRPr="00AE44A7">
        <w:t>ed that introverts excel in tasks involving text analysis and comprehension compared to extroverts</w:t>
      </w:r>
      <w:r w:rsidR="00763E19" w:rsidRPr="00AE44A7">
        <w:rPr>
          <w:color w:val="2C3E50"/>
          <w:shd w:val="clear" w:color="auto" w:fill="FFFFFF"/>
        </w:rPr>
        <w:t xml:space="preserve"> (Zainuddin, 2023)</w:t>
      </w:r>
      <w:r w:rsidRPr="00AE44A7">
        <w:t>. Introverted or extroverted learners can possess various strengths and weaknesses regarding second language acquisition. Even though the main chapter's argument was to provide several factors regarding personality traits within second language learning, it is also important to broaden those aspects to include people with opposite traits.   </w:t>
      </w:r>
    </w:p>
    <w:p w:rsidR="00052CB3" w:rsidRPr="00AE44A7" w:rsidRDefault="00052CB3" w:rsidP="00AE44A7">
      <w:pPr>
        <w:spacing w:line="480" w:lineRule="auto"/>
        <w:contextualSpacing/>
      </w:pPr>
      <w:r w:rsidRPr="00AE44A7">
        <w:t>Motivation as a key factor</w:t>
      </w:r>
    </w:p>
    <w:p w:rsidR="00052CB3" w:rsidRPr="00AE44A7" w:rsidRDefault="00052CB3" w:rsidP="00AE44A7">
      <w:pPr>
        <w:spacing w:line="480" w:lineRule="auto"/>
        <w:ind w:firstLine="720"/>
        <w:contextualSpacing/>
      </w:pPr>
      <w:r w:rsidRPr="00AE44A7">
        <w:t>Second language learning is a multifaceted process influenced by the five factors mentioned previously</w:t>
      </w:r>
      <w:r w:rsidR="00946910" w:rsidRPr="00AE44A7">
        <w:t xml:space="preserve">. </w:t>
      </w:r>
      <w:r w:rsidRPr="00AE44A7">
        <w:t>However, the most influential factor regarding second language learning is motivation. The authors collaborated on this by stating, "The overall findings show positive attitudes and motivation are related to success in second language learning</w:t>
      </w:r>
      <w:r w:rsidR="000850D8" w:rsidRPr="00AE44A7">
        <w:t>” (Lightbrown, n.d.)</w:t>
      </w:r>
    </w:p>
    <w:p w:rsidR="00052CB3" w:rsidRPr="00AE44A7" w:rsidRDefault="00052CB3" w:rsidP="00AE44A7">
      <w:pPr>
        <w:spacing w:line="480" w:lineRule="auto"/>
        <w:ind w:firstLine="720"/>
        <w:contextualSpacing/>
      </w:pPr>
      <w:r w:rsidRPr="00AE44A7">
        <w:t>Motivation is often defined as an internal state or force that propels an individual to engage in goal-directed behavior</w:t>
      </w:r>
      <w:r w:rsidR="004E1B26" w:rsidRPr="00AE44A7">
        <w:t xml:space="preserve"> </w:t>
      </w:r>
      <w:r w:rsidR="000850D8" w:rsidRPr="00AE44A7">
        <w:t>(</w:t>
      </w:r>
      <w:proofErr w:type="spellStart"/>
      <w:r w:rsidR="000850D8" w:rsidRPr="00AE44A7">
        <w:rPr>
          <w:color w:val="2C3E50"/>
          <w:shd w:val="clear" w:color="auto" w:fill="FFFFFF"/>
        </w:rPr>
        <w:t>Bandhu</w:t>
      </w:r>
      <w:proofErr w:type="spellEnd"/>
      <w:r w:rsidR="000850D8" w:rsidRPr="00AE44A7">
        <w:rPr>
          <w:color w:val="2C3E50"/>
          <w:shd w:val="clear" w:color="auto" w:fill="FFFFFF"/>
        </w:rPr>
        <w:t xml:space="preserve"> et al., 2024)</w:t>
      </w:r>
      <w:r w:rsidRPr="00AE44A7">
        <w:t xml:space="preserve">. </w:t>
      </w:r>
      <w:r w:rsidR="00946910" w:rsidRPr="00AE44A7">
        <w:t>Motivation</w:t>
      </w:r>
      <w:r w:rsidRPr="00AE44A7">
        <w:t xml:space="preserve"> plays a key role in the classroom because it affects student engagement with a specific topic and shapes the student learning experience and academic success. Studies have shown that motivated students are more likely to participate in classroom activities and problem-solve </w:t>
      </w:r>
      <w:r w:rsidR="000850D8" w:rsidRPr="00AE44A7">
        <w:rPr>
          <w:color w:val="2C3E50"/>
          <w:shd w:val="clear" w:color="auto" w:fill="FFFFFF"/>
        </w:rPr>
        <w:t xml:space="preserve">(Saeed and </w:t>
      </w:r>
      <w:proofErr w:type="spellStart"/>
      <w:r w:rsidR="000850D8" w:rsidRPr="00AE44A7">
        <w:rPr>
          <w:color w:val="2C3E50"/>
          <w:shd w:val="clear" w:color="auto" w:fill="FFFFFF"/>
        </w:rPr>
        <w:t>Zyngier</w:t>
      </w:r>
      <w:proofErr w:type="spellEnd"/>
      <w:r w:rsidR="000850D8" w:rsidRPr="00AE44A7">
        <w:rPr>
          <w:color w:val="2C3E50"/>
          <w:shd w:val="clear" w:color="auto" w:fill="FFFFFF"/>
        </w:rPr>
        <w:t>, 2012)</w:t>
      </w:r>
      <w:r w:rsidRPr="00AE44A7">
        <w:t xml:space="preserve">. Motivation is divided into broader categories: intrinsic and extrinsic. </w:t>
      </w:r>
    </w:p>
    <w:p w:rsidR="00052CB3" w:rsidRPr="00AE44A7" w:rsidRDefault="00052CB3" w:rsidP="00AE44A7">
      <w:pPr>
        <w:spacing w:line="480" w:lineRule="auto"/>
        <w:ind w:firstLine="720"/>
        <w:contextualSpacing/>
      </w:pPr>
      <w:r w:rsidRPr="00AE44A7">
        <w:t>Intrinsic motivation is the drive to engage in an activity because it is interesting or enjoyable rather than because of pressures or external rewards</w:t>
      </w:r>
      <w:r w:rsidR="00946910" w:rsidRPr="00AE44A7">
        <w:t xml:space="preserve"> (</w:t>
      </w:r>
      <w:r w:rsidR="000850D8" w:rsidRPr="00AE44A7">
        <w:rPr>
          <w:color w:val="2C3E50"/>
          <w:shd w:val="clear" w:color="auto" w:fill="FFFFFF"/>
        </w:rPr>
        <w:t xml:space="preserve">Saeed and </w:t>
      </w:r>
      <w:proofErr w:type="spellStart"/>
      <w:r w:rsidR="000850D8" w:rsidRPr="00AE44A7">
        <w:rPr>
          <w:color w:val="2C3E50"/>
          <w:shd w:val="clear" w:color="auto" w:fill="FFFFFF"/>
        </w:rPr>
        <w:t>Zyngier</w:t>
      </w:r>
      <w:proofErr w:type="spellEnd"/>
      <w:r w:rsidR="000850D8" w:rsidRPr="00AE44A7">
        <w:rPr>
          <w:color w:val="2C3E50"/>
          <w:shd w:val="clear" w:color="auto" w:fill="FFFFFF"/>
        </w:rPr>
        <w:t>, 2012</w:t>
      </w:r>
      <w:r w:rsidR="00946910" w:rsidRPr="00AE44A7">
        <w:t>)</w:t>
      </w:r>
      <w:r w:rsidRPr="00AE44A7">
        <w:t>. Intrinsic motivation is internally driven, and the feelings of satisfaction and curiosity often perpetuate it as a sense of accomplishment</w:t>
      </w:r>
      <w:r w:rsidR="00946910" w:rsidRPr="00AE44A7">
        <w:t xml:space="preserve"> meaning that</w:t>
      </w:r>
      <w:r w:rsidRPr="00AE44A7">
        <w:t xml:space="preserve"> the individual sees the activity as a reward. Intrinsically motivated students are more likely to be associated with autonomy and creativity</w:t>
      </w:r>
      <w:r w:rsidR="00A51EEB" w:rsidRPr="00AE44A7">
        <w:t xml:space="preserve"> (</w:t>
      </w:r>
      <w:r w:rsidR="00A51EEB" w:rsidRPr="00AE44A7">
        <w:rPr>
          <w:color w:val="2C3E50"/>
          <w:shd w:val="clear" w:color="auto" w:fill="FFFFFF"/>
        </w:rPr>
        <w:t xml:space="preserve">Saeed and </w:t>
      </w:r>
      <w:proofErr w:type="spellStart"/>
      <w:r w:rsidR="00A51EEB" w:rsidRPr="00AE44A7">
        <w:rPr>
          <w:color w:val="2C3E50"/>
          <w:shd w:val="clear" w:color="auto" w:fill="FFFFFF"/>
        </w:rPr>
        <w:t>Zyngier</w:t>
      </w:r>
      <w:proofErr w:type="spellEnd"/>
      <w:r w:rsidR="00A51EEB" w:rsidRPr="00AE44A7">
        <w:rPr>
          <w:color w:val="2C3E50"/>
          <w:shd w:val="clear" w:color="auto" w:fill="FFFFFF"/>
        </w:rPr>
        <w:t>, 2012)</w:t>
      </w:r>
      <w:r w:rsidRPr="00AE44A7">
        <w:t xml:space="preserve">. Regarding second language learning, intrinsic </w:t>
      </w:r>
      <w:r w:rsidRPr="00AE44A7">
        <w:lastRenderedPageBreak/>
        <w:t>motivation is often preferred because it is associated with more in-depth learning, memory intention, and students' desire to learn</w:t>
      </w:r>
      <w:r w:rsidR="004E1B26" w:rsidRPr="00AE44A7">
        <w:t xml:space="preserve"> (</w:t>
      </w:r>
      <w:r w:rsidR="00A51EEB" w:rsidRPr="00AE44A7">
        <w:rPr>
          <w:color w:val="2C3E50"/>
          <w:shd w:val="clear" w:color="auto" w:fill="FFFFFF"/>
        </w:rPr>
        <w:t xml:space="preserve">Saeed and </w:t>
      </w:r>
      <w:proofErr w:type="spellStart"/>
      <w:r w:rsidR="00A51EEB" w:rsidRPr="00AE44A7">
        <w:rPr>
          <w:color w:val="2C3E50"/>
          <w:shd w:val="clear" w:color="auto" w:fill="FFFFFF"/>
        </w:rPr>
        <w:t>Zyngier</w:t>
      </w:r>
      <w:proofErr w:type="spellEnd"/>
      <w:r w:rsidR="00A51EEB" w:rsidRPr="00AE44A7">
        <w:rPr>
          <w:color w:val="2C3E50"/>
          <w:shd w:val="clear" w:color="auto" w:fill="FFFFFF"/>
        </w:rPr>
        <w:t>, 2012</w:t>
      </w:r>
      <w:r w:rsidR="004E1B26" w:rsidRPr="00AE44A7">
        <w:t>)</w:t>
      </w:r>
      <w:r w:rsidRPr="00AE44A7">
        <w:t xml:space="preserve">. </w:t>
      </w:r>
    </w:p>
    <w:p w:rsidR="00052CB3" w:rsidRPr="00AE44A7" w:rsidRDefault="00052CB3" w:rsidP="00AE44A7">
      <w:pPr>
        <w:spacing w:line="480" w:lineRule="auto"/>
        <w:ind w:firstLine="720"/>
        <w:contextualSpacing/>
      </w:pPr>
      <w:r w:rsidRPr="00AE44A7">
        <w:t>Intrinsic motivation does have potential disadvantages and limitations. This type of motivation is subjective. It is also difficult to quantify, track, and assess, especially within a traditional educational environment</w:t>
      </w:r>
      <w:r w:rsidR="00946910" w:rsidRPr="00AE44A7">
        <w:t xml:space="preserve"> </w:t>
      </w:r>
      <w:r w:rsidR="00A51EEB" w:rsidRPr="00AE44A7">
        <w:t>(</w:t>
      </w:r>
      <w:proofErr w:type="spellStart"/>
      <w:r w:rsidR="00A51EEB" w:rsidRPr="00AE44A7">
        <w:rPr>
          <w:color w:val="2C3E50"/>
          <w:shd w:val="clear" w:color="auto" w:fill="FFFFFF"/>
        </w:rPr>
        <w:t>Bandhu</w:t>
      </w:r>
      <w:proofErr w:type="spellEnd"/>
      <w:r w:rsidR="00A51EEB" w:rsidRPr="00AE44A7">
        <w:rPr>
          <w:color w:val="2C3E50"/>
          <w:shd w:val="clear" w:color="auto" w:fill="FFFFFF"/>
        </w:rPr>
        <w:t xml:space="preserve"> et al., 2024)</w:t>
      </w:r>
      <w:r w:rsidRPr="00AE44A7">
        <w:t>. Intrinsic motivation can change, and several variables could affect it. Some examples of these variables are mood, interest, and energy levels. These factors vary over time and make it less predictable than other forms of motivation</w:t>
      </w:r>
      <w:r w:rsidR="00946910" w:rsidRPr="00AE44A7">
        <w:t xml:space="preserve"> </w:t>
      </w:r>
      <w:r w:rsidR="00A51EEB" w:rsidRPr="00AE44A7">
        <w:t>(</w:t>
      </w:r>
      <w:proofErr w:type="spellStart"/>
      <w:r w:rsidR="00A51EEB" w:rsidRPr="00AE44A7">
        <w:rPr>
          <w:color w:val="2C3E50"/>
          <w:shd w:val="clear" w:color="auto" w:fill="FFFFFF"/>
        </w:rPr>
        <w:t>Bandhu</w:t>
      </w:r>
      <w:proofErr w:type="spellEnd"/>
      <w:r w:rsidR="00A51EEB" w:rsidRPr="00AE44A7">
        <w:rPr>
          <w:color w:val="2C3E50"/>
          <w:shd w:val="clear" w:color="auto" w:fill="FFFFFF"/>
        </w:rPr>
        <w:t xml:space="preserve"> et al., 2024)</w:t>
      </w:r>
      <w:r w:rsidR="00A51EEB" w:rsidRPr="00AE44A7">
        <w:t>.</w:t>
      </w:r>
    </w:p>
    <w:p w:rsidR="00A72233" w:rsidRPr="00AE44A7" w:rsidRDefault="00A72233" w:rsidP="00AE44A7">
      <w:pPr>
        <w:spacing w:line="480" w:lineRule="auto"/>
        <w:ind w:firstLine="720"/>
        <w:contextualSpacing/>
      </w:pPr>
      <w:r w:rsidRPr="00AE44A7">
        <w:t>Extrinsic motivation is driven by external drives that can be tangible (money or grades) or intangible (recognition or praise)</w:t>
      </w:r>
      <w:r w:rsidR="004E1B26" w:rsidRPr="00AE44A7">
        <w:t xml:space="preserve"> </w:t>
      </w:r>
      <w:r w:rsidR="0047524C" w:rsidRPr="00AE44A7">
        <w:rPr>
          <w:color w:val="2C3E50"/>
          <w:shd w:val="clear" w:color="auto" w:fill="FFFFFF"/>
        </w:rPr>
        <w:t>(Legault, 2016</w:t>
      </w:r>
      <w:r w:rsidR="004E1B26" w:rsidRPr="00AE44A7">
        <w:t>)</w:t>
      </w:r>
      <w:r w:rsidRPr="00AE44A7">
        <w:t>. Extrinsic motivation emphasizes results, and activities are performed as a means to an end. This type of motivation can encourage specific behaviors when intrinsic motivation is low. The negatives of extrinsic motivation are that it often leads to short-term focus on achieving the reward rather than long-term commitment. Once the reward is achieved, it is more likely that motivation will disappear</w:t>
      </w:r>
      <w:r w:rsidR="0047524C" w:rsidRPr="00AE44A7">
        <w:t xml:space="preserve"> </w:t>
      </w:r>
      <w:r w:rsidR="0047524C" w:rsidRPr="00AE44A7">
        <w:rPr>
          <w:color w:val="2C3E50"/>
          <w:shd w:val="clear" w:color="auto" w:fill="FFFFFF"/>
        </w:rPr>
        <w:t>(Legault, 2016</w:t>
      </w:r>
      <w:r w:rsidR="0047524C" w:rsidRPr="00AE44A7">
        <w:t>)</w:t>
      </w:r>
      <w:r w:rsidRPr="00AE44A7">
        <w:t>.</w:t>
      </w:r>
      <w:r w:rsidR="004E1B26" w:rsidRPr="00AE44A7">
        <w:t xml:space="preserve"> Example for Second Language Learning, is a student who is focused by achieving a higher grade rather long-term comment to the materials. </w:t>
      </w:r>
    </w:p>
    <w:p w:rsidR="004E1B26" w:rsidRPr="00AE44A7" w:rsidRDefault="004E1B26" w:rsidP="00AE44A7">
      <w:pPr>
        <w:spacing w:line="480" w:lineRule="auto"/>
        <w:ind w:firstLine="720"/>
        <w:contextualSpacing/>
      </w:pPr>
      <w:r w:rsidRPr="00AE44A7">
        <w:t>Several factors can influence intrinsic and extrinsic motivation in education. Examples include teacher’s behavior toward their students, how educator’s present lesson materials, instructor feedback, and interpersonal relationships teachers build with students. Encouraging and supportive teachers can help guide and interpret learning mistakes as learning opportunities to encourage motivation further</w:t>
      </w:r>
      <w:r w:rsidR="0047524C" w:rsidRPr="00AE44A7">
        <w:t xml:space="preserve"> </w:t>
      </w:r>
      <w:r w:rsidR="0047524C" w:rsidRPr="00AE44A7">
        <w:rPr>
          <w:color w:val="2C3E50"/>
          <w:shd w:val="clear" w:color="auto" w:fill="FFFFFF"/>
        </w:rPr>
        <w:t>(Legault, 2016)</w:t>
      </w:r>
      <w:r w:rsidRPr="00AE44A7">
        <w:t>.</w:t>
      </w:r>
    </w:p>
    <w:p w:rsidR="00052CB3" w:rsidRPr="00AE44A7" w:rsidRDefault="00A72233" w:rsidP="00AE44A7">
      <w:pPr>
        <w:spacing w:line="480" w:lineRule="auto"/>
        <w:ind w:firstLine="720"/>
        <w:contextualSpacing/>
      </w:pPr>
      <w:r w:rsidRPr="00AE44A7">
        <w:t xml:space="preserve">There are subcategories of motivation: integrative and instrumental motivation. </w:t>
      </w:r>
      <w:r w:rsidR="00052CB3" w:rsidRPr="00AE44A7">
        <w:t xml:space="preserve">Integrative motivation is defined as </w:t>
      </w:r>
      <w:r w:rsidR="004E1B26" w:rsidRPr="00AE44A7">
        <w:t>the motivation to learning to connect</w:t>
      </w:r>
      <w:r w:rsidR="00052CB3" w:rsidRPr="00AE44A7">
        <w:t xml:space="preserve"> with the target language</w:t>
      </w:r>
      <w:r w:rsidR="004E1B26" w:rsidRPr="00AE44A7">
        <w:t xml:space="preserve">, </w:t>
      </w:r>
      <w:r w:rsidR="00052CB3" w:rsidRPr="00AE44A7">
        <w:t>culture and native speakers</w:t>
      </w:r>
      <w:r w:rsidRPr="00AE44A7">
        <w:t xml:space="preserve"> </w:t>
      </w:r>
      <w:r w:rsidR="0047524C" w:rsidRPr="00AE44A7">
        <w:t>(Gardner, 1972)</w:t>
      </w:r>
      <w:r w:rsidRPr="00AE44A7">
        <w:t>)</w:t>
      </w:r>
      <w:r w:rsidR="00052CB3" w:rsidRPr="00AE44A7">
        <w:t xml:space="preserve">. The ultimate goal with integrative motivation is learning a language to eventually integrate within a community. Instrumental </w:t>
      </w:r>
      <w:r w:rsidR="00052CB3" w:rsidRPr="00AE44A7">
        <w:lastRenderedPageBreak/>
        <w:t>motivation is often guided by practical goals and learning a language for its utility</w:t>
      </w:r>
      <w:r w:rsidR="004E1B26" w:rsidRPr="00AE44A7">
        <w:t xml:space="preserve"> (</w:t>
      </w:r>
      <w:r w:rsidR="0047524C" w:rsidRPr="00AE44A7">
        <w:t>Gardner, 1972</w:t>
      </w:r>
      <w:r w:rsidR="004E1B26" w:rsidRPr="00AE44A7">
        <w:t>)</w:t>
      </w:r>
      <w:r w:rsidR="00052CB3" w:rsidRPr="00AE44A7">
        <w:t>. Some examples include learning a language for career advancement, academic purposes, or travel.</w:t>
      </w:r>
    </w:p>
    <w:p w:rsidR="00052CB3" w:rsidRPr="00AE44A7" w:rsidRDefault="00052CB3" w:rsidP="00AE44A7">
      <w:pPr>
        <w:spacing w:line="480" w:lineRule="auto"/>
        <w:ind w:firstLine="720"/>
        <w:contextualSpacing/>
      </w:pPr>
      <w:r w:rsidRPr="00AE44A7">
        <w:t>There is an overlap between intrinsic and extrinsic motivation with integrative and instrumental motivation, but they are not synonyms</w:t>
      </w:r>
      <w:r w:rsidR="0047524C" w:rsidRPr="00AE44A7">
        <w:t xml:space="preserve"> (</w:t>
      </w:r>
      <w:r w:rsidR="0047524C" w:rsidRPr="00AE44A7">
        <w:rPr>
          <w:color w:val="2C3E50"/>
          <w:shd w:val="clear" w:color="auto" w:fill="FFFFFF"/>
        </w:rPr>
        <w:t>Legault, 2016)</w:t>
      </w:r>
      <w:r w:rsidRPr="00AE44A7">
        <w:t xml:space="preserve">. Integrative motivation is often associated with intrinsic motivation. Learners who want to connect with culture will often be interested in that target culture. Instrumental motivation is often connected to extrinsic motivation. However, there </w:t>
      </w:r>
      <w:r w:rsidR="00A72233" w:rsidRPr="00AE44A7">
        <w:t>is no</w:t>
      </w:r>
      <w:r w:rsidRPr="00AE44A7">
        <w:t xml:space="preserve"> clear correlations.  Instrumental motivation can have some intrinsic elements, and integrative motivation can have some intrinsic components</w:t>
      </w:r>
      <w:r w:rsidR="004E1B26" w:rsidRPr="00AE44A7">
        <w:t xml:space="preserve"> (</w:t>
      </w:r>
      <w:r w:rsidR="0047524C" w:rsidRPr="00AE44A7">
        <w:rPr>
          <w:color w:val="2C3E50"/>
          <w:shd w:val="clear" w:color="auto" w:fill="FFFFFF"/>
        </w:rPr>
        <w:t>Legault, 2016</w:t>
      </w:r>
      <w:r w:rsidR="004E1B26" w:rsidRPr="00AE44A7">
        <w:t>)</w:t>
      </w:r>
      <w:r w:rsidRPr="00AE44A7">
        <w:t>. An example of integrative motivation with extrinsic elements is a person who wants to integrate into a society and gain the external rewards of being accepted by that community. </w:t>
      </w:r>
    </w:p>
    <w:p w:rsidR="00052CB3" w:rsidRPr="00AE44A7" w:rsidRDefault="00052CB3" w:rsidP="00AE44A7">
      <w:pPr>
        <w:spacing w:line="480" w:lineRule="auto"/>
        <w:contextualSpacing/>
        <w:rPr>
          <w:b/>
          <w:bCs/>
        </w:rPr>
      </w:pPr>
      <w:r w:rsidRPr="00AE44A7">
        <w:rPr>
          <w:b/>
          <w:bCs/>
        </w:rPr>
        <w:t>Connections to Educational Theories and Models</w:t>
      </w:r>
    </w:p>
    <w:p w:rsidR="006A4157" w:rsidRPr="00AE44A7" w:rsidRDefault="00052CB3" w:rsidP="00AE44A7">
      <w:pPr>
        <w:spacing w:line="480" w:lineRule="auto"/>
        <w:ind w:firstLine="720"/>
        <w:contextualSpacing/>
      </w:pPr>
      <w:r w:rsidRPr="00AE44A7">
        <w:t xml:space="preserve">Providing academic materials that balance </w:t>
      </w:r>
      <w:r w:rsidR="006A4157" w:rsidRPr="00AE44A7">
        <w:t>accessibility</w:t>
      </w:r>
      <w:r w:rsidRPr="00AE44A7">
        <w:t xml:space="preserve"> and </w:t>
      </w:r>
      <w:r w:rsidR="006A4157" w:rsidRPr="00AE44A7">
        <w:t xml:space="preserve">is </w:t>
      </w:r>
      <w:r w:rsidRPr="00AE44A7">
        <w:t xml:space="preserve">challenging </w:t>
      </w:r>
      <w:r w:rsidR="006A4157" w:rsidRPr="00AE44A7">
        <w:t>are</w:t>
      </w:r>
      <w:r w:rsidRPr="00AE44A7">
        <w:t xml:space="preserve"> important for promoting engagement and motivation</w:t>
      </w:r>
      <w:r w:rsidR="006A4157" w:rsidRPr="00AE44A7">
        <w:t xml:space="preserve"> </w:t>
      </w:r>
      <w:r w:rsidR="00AE44A7" w:rsidRPr="00AE44A7">
        <w:t>(</w:t>
      </w:r>
      <w:proofErr w:type="spellStart"/>
      <w:r w:rsidR="00AE44A7" w:rsidRPr="00AE44A7">
        <w:rPr>
          <w:color w:val="2C3E50"/>
          <w:shd w:val="clear" w:color="auto" w:fill="FFFFFF"/>
        </w:rPr>
        <w:t>Shabani</w:t>
      </w:r>
      <w:proofErr w:type="spellEnd"/>
      <w:r w:rsidR="00AE44A7" w:rsidRPr="00AE44A7">
        <w:rPr>
          <w:color w:val="2C3E50"/>
          <w:shd w:val="clear" w:color="auto" w:fill="FFFFFF"/>
        </w:rPr>
        <w:t xml:space="preserve">, Khatib and </w:t>
      </w:r>
      <w:proofErr w:type="spellStart"/>
      <w:r w:rsidR="00AE44A7" w:rsidRPr="00AE44A7">
        <w:rPr>
          <w:color w:val="2C3E50"/>
          <w:shd w:val="clear" w:color="auto" w:fill="FFFFFF"/>
        </w:rPr>
        <w:t>Ebadi</w:t>
      </w:r>
      <w:proofErr w:type="spellEnd"/>
      <w:r w:rsidR="00AE44A7" w:rsidRPr="00AE44A7">
        <w:rPr>
          <w:color w:val="2C3E50"/>
          <w:shd w:val="clear" w:color="auto" w:fill="FFFFFF"/>
        </w:rPr>
        <w:t>, 2010</w:t>
      </w:r>
      <w:r w:rsidR="006A4157" w:rsidRPr="00AE44A7">
        <w:t>)</w:t>
      </w:r>
      <w:r w:rsidRPr="00AE44A7">
        <w:t xml:space="preserve">.  Students will become bored if learning material is deemed too easy, while too difficult materials can lead to frustration. Creating a balance between motivation and successful learning is an important factor. These factors were well studied by sociocultural theorist Vygotsky. </w:t>
      </w:r>
    </w:p>
    <w:p w:rsidR="00AE44A7" w:rsidRPr="00AE44A7" w:rsidRDefault="00052CB3" w:rsidP="00AE44A7">
      <w:pPr>
        <w:spacing w:line="480" w:lineRule="auto"/>
        <w:ind w:firstLine="720"/>
        <w:contextualSpacing/>
      </w:pPr>
      <w:r w:rsidRPr="00AE44A7">
        <w:t xml:space="preserve">Vygotsky's </w:t>
      </w:r>
      <w:r w:rsidR="006A4157" w:rsidRPr="00AE44A7">
        <w:t>T</w:t>
      </w:r>
      <w:r w:rsidRPr="00AE44A7">
        <w:t xml:space="preserve">heory of </w:t>
      </w:r>
      <w:r w:rsidR="006A4157" w:rsidRPr="00AE44A7">
        <w:t>C</w:t>
      </w:r>
      <w:r w:rsidRPr="00AE44A7">
        <w:t xml:space="preserve">ognitive </w:t>
      </w:r>
      <w:r w:rsidR="006A4157" w:rsidRPr="00AE44A7">
        <w:t>D</w:t>
      </w:r>
      <w:r w:rsidRPr="00AE44A7">
        <w:t>evelopment emphasize</w:t>
      </w:r>
      <w:r w:rsidR="006A4157" w:rsidRPr="00AE44A7">
        <w:t>d</w:t>
      </w:r>
      <w:r w:rsidRPr="00AE44A7">
        <w:t xml:space="preserve"> that learning is a social process in a second language; learning and interactions with native speakers, teachers, and peers are all essential</w:t>
      </w:r>
      <w:r w:rsidR="006A4157" w:rsidRPr="00AE44A7">
        <w:t xml:space="preserve"> (</w:t>
      </w:r>
      <w:proofErr w:type="spellStart"/>
      <w:r w:rsidR="00AE44A7" w:rsidRPr="00AE44A7">
        <w:rPr>
          <w:color w:val="2C3E50"/>
          <w:shd w:val="clear" w:color="auto" w:fill="FFFFFF"/>
        </w:rPr>
        <w:t>Shabani</w:t>
      </w:r>
      <w:proofErr w:type="spellEnd"/>
      <w:r w:rsidR="00AE44A7" w:rsidRPr="00AE44A7">
        <w:rPr>
          <w:color w:val="2C3E50"/>
          <w:shd w:val="clear" w:color="auto" w:fill="FFFFFF"/>
        </w:rPr>
        <w:t xml:space="preserve">, Khatib and </w:t>
      </w:r>
      <w:proofErr w:type="spellStart"/>
      <w:r w:rsidR="00AE44A7" w:rsidRPr="00AE44A7">
        <w:rPr>
          <w:color w:val="2C3E50"/>
          <w:shd w:val="clear" w:color="auto" w:fill="FFFFFF"/>
        </w:rPr>
        <w:t>Ebadi</w:t>
      </w:r>
      <w:proofErr w:type="spellEnd"/>
      <w:r w:rsidR="00AE44A7" w:rsidRPr="00AE44A7">
        <w:rPr>
          <w:color w:val="2C3E50"/>
          <w:shd w:val="clear" w:color="auto" w:fill="FFFFFF"/>
        </w:rPr>
        <w:t>, 2010</w:t>
      </w:r>
      <w:r w:rsidR="006A4157" w:rsidRPr="00AE44A7">
        <w:t>)</w:t>
      </w:r>
      <w:r w:rsidRPr="00AE44A7">
        <w:t xml:space="preserve">. Motivation provides a driving force that encourages learners to engage in social interactions and tasks </w:t>
      </w:r>
      <w:r w:rsidR="006A4157" w:rsidRPr="00AE44A7">
        <w:t xml:space="preserve">that are </w:t>
      </w:r>
      <w:r w:rsidRPr="00AE44A7">
        <w:t xml:space="preserve">necessary for second language acquisition. Without motivation, learners are less likely to seek out opportunities to practice interacting with the </w:t>
      </w:r>
      <w:r w:rsidR="006A4157" w:rsidRPr="00AE44A7">
        <w:t xml:space="preserve">subject </w:t>
      </w:r>
      <w:r w:rsidRPr="00AE44A7">
        <w:t>materials</w:t>
      </w:r>
      <w:r w:rsidR="006A4157" w:rsidRPr="00AE44A7">
        <w:t xml:space="preserve"> </w:t>
      </w:r>
      <w:r w:rsidR="00AE44A7" w:rsidRPr="00AE44A7">
        <w:t>(</w:t>
      </w:r>
      <w:r w:rsidR="00AE44A7" w:rsidRPr="00AE44A7">
        <w:rPr>
          <w:color w:val="2C3E50"/>
          <w:shd w:val="clear" w:color="auto" w:fill="FFFFFF"/>
        </w:rPr>
        <w:t>Legault, 2016</w:t>
      </w:r>
      <w:r w:rsidR="00AE44A7" w:rsidRPr="00AE44A7">
        <w:t>).</w:t>
      </w:r>
    </w:p>
    <w:p w:rsidR="00052CB3" w:rsidRPr="00AE44A7" w:rsidRDefault="00052CB3" w:rsidP="00AE44A7">
      <w:pPr>
        <w:spacing w:line="480" w:lineRule="auto"/>
        <w:ind w:firstLine="720"/>
        <w:contextualSpacing/>
      </w:pPr>
      <w:r w:rsidRPr="00AE44A7">
        <w:lastRenderedPageBreak/>
        <w:t xml:space="preserve">Vygotsky also emphasizes </w:t>
      </w:r>
      <w:r w:rsidR="006A4157" w:rsidRPr="00AE44A7">
        <w:t xml:space="preserve">what he called the </w:t>
      </w:r>
      <w:r w:rsidRPr="00AE44A7">
        <w:t>Zone Approximal Development (ZPD). ZPD is the space between what a learner can do independently and what they can achieve with guidance</w:t>
      </w:r>
      <w:r w:rsidR="00AE44A7" w:rsidRPr="00AE44A7">
        <w:t xml:space="preserve"> </w:t>
      </w:r>
      <w:r w:rsidR="00AE44A7" w:rsidRPr="00AE44A7">
        <w:rPr>
          <w:color w:val="2C3E50"/>
          <w:shd w:val="clear" w:color="auto" w:fill="FFFFFF"/>
        </w:rPr>
        <w:t>(</w:t>
      </w:r>
      <w:proofErr w:type="spellStart"/>
      <w:r w:rsidR="00AE44A7" w:rsidRPr="00AE44A7">
        <w:rPr>
          <w:color w:val="2C3E50"/>
          <w:shd w:val="clear" w:color="auto" w:fill="FFFFFF"/>
        </w:rPr>
        <w:t>Shabani</w:t>
      </w:r>
      <w:proofErr w:type="spellEnd"/>
      <w:r w:rsidR="00AE44A7" w:rsidRPr="00AE44A7">
        <w:rPr>
          <w:color w:val="2C3E50"/>
          <w:shd w:val="clear" w:color="auto" w:fill="FFFFFF"/>
        </w:rPr>
        <w:t xml:space="preserve">, Khatib and </w:t>
      </w:r>
      <w:proofErr w:type="spellStart"/>
      <w:r w:rsidR="00AE44A7" w:rsidRPr="00AE44A7">
        <w:rPr>
          <w:color w:val="2C3E50"/>
          <w:shd w:val="clear" w:color="auto" w:fill="FFFFFF"/>
        </w:rPr>
        <w:t>Ebadi</w:t>
      </w:r>
      <w:proofErr w:type="spellEnd"/>
      <w:r w:rsidR="00AE44A7" w:rsidRPr="00AE44A7">
        <w:rPr>
          <w:color w:val="2C3E50"/>
          <w:shd w:val="clear" w:color="auto" w:fill="FFFFFF"/>
        </w:rPr>
        <w:t>, 2010)</w:t>
      </w:r>
      <w:r w:rsidRPr="00AE44A7">
        <w:t>. In second language learning, learner</w:t>
      </w:r>
      <w:r w:rsidR="006A4157" w:rsidRPr="00AE44A7">
        <w:t>’s</w:t>
      </w:r>
      <w:r w:rsidRPr="00AE44A7">
        <w:t xml:space="preserve"> progress is more effective when presented with tasks slightly beyond their current abilities and provided with the appropriate scaffolding that connects to the </w:t>
      </w:r>
      <w:r w:rsidR="006A4157" w:rsidRPr="00AE44A7">
        <w:t>Z</w:t>
      </w:r>
      <w:r w:rsidRPr="00AE44A7">
        <w:t xml:space="preserve">one of </w:t>
      </w:r>
      <w:r w:rsidR="006A4157" w:rsidRPr="00AE44A7">
        <w:t>A</w:t>
      </w:r>
      <w:r w:rsidRPr="00AE44A7">
        <w:t xml:space="preserve">pproximal </w:t>
      </w:r>
      <w:r w:rsidR="006A4157" w:rsidRPr="00AE44A7">
        <w:t>D</w:t>
      </w:r>
      <w:r w:rsidRPr="00AE44A7">
        <w:t>evelopment. Motivation is important when working within the ZPD. Motivated learners are willing to take on new ideas and persevere through complex learning challenges</w:t>
      </w:r>
      <w:r w:rsidR="00AE44A7" w:rsidRPr="00AE44A7">
        <w:t xml:space="preserve"> </w:t>
      </w:r>
      <w:r w:rsidR="00AE44A7" w:rsidRPr="00AE44A7">
        <w:rPr>
          <w:color w:val="2C3E50"/>
          <w:shd w:val="clear" w:color="auto" w:fill="FFFFFF"/>
        </w:rPr>
        <w:t>(</w:t>
      </w:r>
      <w:proofErr w:type="spellStart"/>
      <w:r w:rsidR="00AE44A7" w:rsidRPr="00AE44A7">
        <w:rPr>
          <w:color w:val="2C3E50"/>
          <w:shd w:val="clear" w:color="auto" w:fill="FFFFFF"/>
        </w:rPr>
        <w:t>Shabani</w:t>
      </w:r>
      <w:proofErr w:type="spellEnd"/>
      <w:r w:rsidR="00AE44A7" w:rsidRPr="00AE44A7">
        <w:rPr>
          <w:color w:val="2C3E50"/>
          <w:shd w:val="clear" w:color="auto" w:fill="FFFFFF"/>
        </w:rPr>
        <w:t xml:space="preserve">, Khatib and </w:t>
      </w:r>
      <w:proofErr w:type="spellStart"/>
      <w:r w:rsidR="00AE44A7" w:rsidRPr="00AE44A7">
        <w:rPr>
          <w:color w:val="2C3E50"/>
          <w:shd w:val="clear" w:color="auto" w:fill="FFFFFF"/>
        </w:rPr>
        <w:t>Ebadi</w:t>
      </w:r>
      <w:proofErr w:type="spellEnd"/>
      <w:r w:rsidR="00AE44A7" w:rsidRPr="00AE44A7">
        <w:rPr>
          <w:color w:val="2C3E50"/>
          <w:shd w:val="clear" w:color="auto" w:fill="FFFFFF"/>
        </w:rPr>
        <w:t>, 2010)</w:t>
      </w:r>
      <w:r w:rsidRPr="00AE44A7">
        <w:t>.  </w:t>
      </w:r>
    </w:p>
    <w:p w:rsidR="006A4157" w:rsidRPr="00AE44A7" w:rsidRDefault="006A4157" w:rsidP="00AE44A7">
      <w:pPr>
        <w:spacing w:line="480" w:lineRule="auto"/>
        <w:ind w:firstLine="720"/>
        <w:contextualSpacing/>
      </w:pPr>
      <w:r w:rsidRPr="00AE44A7">
        <w:t xml:space="preserve">Vygotsky’s theory focuses on the role of external support within learning through a process known as scaffolding, where the learner receives support from an instructor </w:t>
      </w:r>
      <w:r w:rsidR="00AE44A7" w:rsidRPr="00AE44A7">
        <w:rPr>
          <w:color w:val="2C3E50"/>
          <w:shd w:val="clear" w:color="auto" w:fill="FFFFFF"/>
        </w:rPr>
        <w:t xml:space="preserve">(Puntambekar, 2022). </w:t>
      </w:r>
      <w:r w:rsidRPr="00AE44A7">
        <w:t xml:space="preserve">However, overreliance on scaffolding can create a sense of independence, potentially hindering independent learning skills </w:t>
      </w:r>
      <w:r w:rsidR="00AE44A7" w:rsidRPr="00AE44A7">
        <w:t>(</w:t>
      </w:r>
      <w:r w:rsidR="00AE44A7" w:rsidRPr="00AE44A7">
        <w:rPr>
          <w:color w:val="2C3E50"/>
          <w:shd w:val="clear" w:color="auto" w:fill="FFFFFF"/>
        </w:rPr>
        <w:t>Puntambekar, 2022)</w:t>
      </w:r>
      <w:r w:rsidRPr="00AE44A7">
        <w:t>. Learners become dependent on external support, preventing students from having the confidence to take on challenges themselves. Overreliance and dependency can impact motivation.</w:t>
      </w:r>
    </w:p>
    <w:p w:rsidR="00052CB3" w:rsidRPr="00AE44A7" w:rsidRDefault="00052CB3" w:rsidP="00AE44A7">
      <w:pPr>
        <w:spacing w:line="480" w:lineRule="auto"/>
        <w:ind w:firstLine="720"/>
        <w:contextualSpacing/>
      </w:pPr>
      <w:r w:rsidRPr="00AE44A7">
        <w:t>According to Vygotsky's models, people learn best through social interaction, not memorizing</w:t>
      </w:r>
      <w:r w:rsidR="006A4157" w:rsidRPr="00AE44A7">
        <w:t xml:space="preserve"> </w:t>
      </w:r>
      <w:r w:rsidR="00AE44A7" w:rsidRPr="00AE44A7">
        <w:rPr>
          <w:color w:val="2C3E50"/>
          <w:shd w:val="clear" w:color="auto" w:fill="FFFFFF"/>
        </w:rPr>
        <w:t>(Puntambekar, 2022)</w:t>
      </w:r>
      <w:r w:rsidRPr="00AE44A7">
        <w:t>. This process involves internalization or the gradual taking of a language a person hears and uses with others to make it their internal understanding. The ultimate goal is moving away from using language with support and using it independently with one's thoughts</w:t>
      </w:r>
      <w:r w:rsidR="00AE44A7" w:rsidRPr="00AE44A7">
        <w:t xml:space="preserve"> </w:t>
      </w:r>
      <w:r w:rsidR="00AE44A7" w:rsidRPr="00AE44A7">
        <w:rPr>
          <w:color w:val="2C3E50"/>
          <w:shd w:val="clear" w:color="auto" w:fill="FFFFFF"/>
        </w:rPr>
        <w:t>(Puntambekar, 2022)</w:t>
      </w:r>
      <w:r w:rsidRPr="00AE44A7">
        <w:t>. Motivation is important because it keeps people engaged in social interactions, essential for successfully internalizing a new language.</w:t>
      </w:r>
    </w:p>
    <w:p w:rsidR="00052CB3" w:rsidRPr="00AE44A7" w:rsidRDefault="00052CB3" w:rsidP="00AE44A7">
      <w:pPr>
        <w:spacing w:line="480" w:lineRule="auto"/>
        <w:ind w:firstLine="720"/>
        <w:contextualSpacing/>
      </w:pPr>
      <w:r w:rsidRPr="00AE44A7">
        <w:t>Lastly, the theories presented also incorporate social and emotional factors in motivation. When learners feel a sense of belonging and connection to the target language's communicative unity, they are more likely to be motivated</w:t>
      </w:r>
      <w:r w:rsidR="00AE44A7" w:rsidRPr="00AE44A7">
        <w:t xml:space="preserve"> </w:t>
      </w:r>
      <w:r w:rsidR="00AE44A7" w:rsidRPr="00AE44A7">
        <w:rPr>
          <w:color w:val="2C3E50"/>
          <w:shd w:val="clear" w:color="auto" w:fill="FFFFFF"/>
        </w:rPr>
        <w:t>(</w:t>
      </w:r>
      <w:proofErr w:type="spellStart"/>
      <w:r w:rsidR="00AE44A7" w:rsidRPr="00AE44A7">
        <w:rPr>
          <w:color w:val="2C3E50"/>
          <w:shd w:val="clear" w:color="auto" w:fill="FFFFFF"/>
        </w:rPr>
        <w:t>Shabani</w:t>
      </w:r>
      <w:proofErr w:type="spellEnd"/>
      <w:r w:rsidR="00AE44A7" w:rsidRPr="00AE44A7">
        <w:rPr>
          <w:color w:val="2C3E50"/>
          <w:shd w:val="clear" w:color="auto" w:fill="FFFFFF"/>
        </w:rPr>
        <w:t xml:space="preserve">, Khatib and </w:t>
      </w:r>
      <w:proofErr w:type="spellStart"/>
      <w:r w:rsidR="00AE44A7" w:rsidRPr="00AE44A7">
        <w:rPr>
          <w:color w:val="2C3E50"/>
          <w:shd w:val="clear" w:color="auto" w:fill="FFFFFF"/>
        </w:rPr>
        <w:t>Ebadi</w:t>
      </w:r>
      <w:proofErr w:type="spellEnd"/>
      <w:r w:rsidR="00AE44A7" w:rsidRPr="00AE44A7">
        <w:rPr>
          <w:color w:val="2C3E50"/>
          <w:shd w:val="clear" w:color="auto" w:fill="FFFFFF"/>
        </w:rPr>
        <w:t>, 2010)</w:t>
      </w:r>
      <w:r w:rsidRPr="00AE44A7">
        <w:t xml:space="preserve">. Vygotsky's theories on social learning are tied in with integrative motivation, where </w:t>
      </w:r>
      <w:r w:rsidRPr="00AE44A7">
        <w:lastRenderedPageBreak/>
        <w:t>the learner wants to learn a language to integrate with the speakers of that target language</w:t>
      </w:r>
      <w:r w:rsidR="006A4157" w:rsidRPr="00AE44A7">
        <w:t xml:space="preserve"> </w:t>
      </w:r>
      <w:r w:rsidR="00AE44A7" w:rsidRPr="00AE44A7">
        <w:rPr>
          <w:color w:val="2C3E50"/>
          <w:shd w:val="clear" w:color="auto" w:fill="FFFFFF"/>
        </w:rPr>
        <w:t>(</w:t>
      </w:r>
      <w:proofErr w:type="spellStart"/>
      <w:r w:rsidR="00AE44A7" w:rsidRPr="00AE44A7">
        <w:rPr>
          <w:color w:val="2C3E50"/>
          <w:shd w:val="clear" w:color="auto" w:fill="FFFFFF"/>
        </w:rPr>
        <w:t>Shabani</w:t>
      </w:r>
      <w:proofErr w:type="spellEnd"/>
      <w:r w:rsidR="00AE44A7" w:rsidRPr="00AE44A7">
        <w:rPr>
          <w:color w:val="2C3E50"/>
          <w:shd w:val="clear" w:color="auto" w:fill="FFFFFF"/>
        </w:rPr>
        <w:t xml:space="preserve">, Khatib and </w:t>
      </w:r>
      <w:proofErr w:type="spellStart"/>
      <w:r w:rsidR="00AE44A7" w:rsidRPr="00AE44A7">
        <w:rPr>
          <w:color w:val="2C3E50"/>
          <w:shd w:val="clear" w:color="auto" w:fill="FFFFFF"/>
        </w:rPr>
        <w:t>Ebadi</w:t>
      </w:r>
      <w:proofErr w:type="spellEnd"/>
      <w:r w:rsidR="00AE44A7" w:rsidRPr="00AE44A7">
        <w:rPr>
          <w:color w:val="2C3E50"/>
          <w:shd w:val="clear" w:color="auto" w:fill="FFFFFF"/>
        </w:rPr>
        <w:t>, 2010).</w:t>
      </w:r>
    </w:p>
    <w:p w:rsidR="00052CB3" w:rsidRPr="00AE44A7" w:rsidRDefault="00052CB3" w:rsidP="00AE44A7">
      <w:pPr>
        <w:spacing w:line="480" w:lineRule="auto"/>
        <w:ind w:firstLine="720"/>
        <w:contextualSpacing/>
      </w:pPr>
      <w:r w:rsidRPr="00AE44A7">
        <w:t>Vygotsky's ZPD is an important concept in education but cannot be applied to all aspects of education and motivation. Maintaining a learner's ZPD requires highly individualized attention and assessment</w:t>
      </w:r>
      <w:r w:rsidR="00AE44A7" w:rsidRPr="00AE44A7">
        <w:t xml:space="preserve"> </w:t>
      </w:r>
      <w:r w:rsidR="00AE44A7" w:rsidRPr="00AE44A7">
        <w:rPr>
          <w:color w:val="2C3E50"/>
          <w:shd w:val="clear" w:color="auto" w:fill="FFFFFF"/>
        </w:rPr>
        <w:t>(</w:t>
      </w:r>
      <w:proofErr w:type="spellStart"/>
      <w:r w:rsidR="00AE44A7" w:rsidRPr="00AE44A7">
        <w:rPr>
          <w:color w:val="2C3E50"/>
          <w:shd w:val="clear" w:color="auto" w:fill="FFFFFF"/>
        </w:rPr>
        <w:t>Shabani</w:t>
      </w:r>
      <w:proofErr w:type="spellEnd"/>
      <w:r w:rsidR="00AE44A7" w:rsidRPr="00AE44A7">
        <w:rPr>
          <w:color w:val="2C3E50"/>
          <w:shd w:val="clear" w:color="auto" w:fill="FFFFFF"/>
        </w:rPr>
        <w:t xml:space="preserve">, Khatib and </w:t>
      </w:r>
      <w:proofErr w:type="spellStart"/>
      <w:r w:rsidR="00AE44A7" w:rsidRPr="00AE44A7">
        <w:rPr>
          <w:color w:val="2C3E50"/>
          <w:shd w:val="clear" w:color="auto" w:fill="FFFFFF"/>
        </w:rPr>
        <w:t>Ebadi</w:t>
      </w:r>
      <w:proofErr w:type="spellEnd"/>
      <w:r w:rsidR="00AE44A7" w:rsidRPr="00AE44A7">
        <w:rPr>
          <w:color w:val="2C3E50"/>
          <w:shd w:val="clear" w:color="auto" w:fill="FFFFFF"/>
        </w:rPr>
        <w:t>, 2010)</w:t>
      </w:r>
      <w:r w:rsidRPr="00AE44A7">
        <w:t>. Maintaining this high level can be challenging in a typical classroom because educators might not be able to provide the appropriate level of scaffolding for every individual</w:t>
      </w:r>
      <w:r w:rsidR="00AE44A7" w:rsidRPr="00AE44A7">
        <w:t xml:space="preserve"> </w:t>
      </w:r>
      <w:r w:rsidR="00AE44A7" w:rsidRPr="00AE44A7">
        <w:rPr>
          <w:color w:val="2C3E50"/>
          <w:shd w:val="clear" w:color="auto" w:fill="FFFFFF"/>
        </w:rPr>
        <w:t>(Puntambekar, 2022)</w:t>
      </w:r>
      <w:r w:rsidRPr="00AE44A7">
        <w:t xml:space="preserve">. </w:t>
      </w:r>
    </w:p>
    <w:p w:rsidR="00052CB3" w:rsidRPr="00AE44A7" w:rsidRDefault="00052CB3" w:rsidP="00AE44A7">
      <w:pPr>
        <w:spacing w:line="480" w:lineRule="auto"/>
        <w:ind w:firstLine="720"/>
        <w:contextualSpacing/>
      </w:pPr>
      <w:r w:rsidRPr="00AE44A7">
        <w:t>Howard Gardener's theory of Multiple Intelligence is another important educational model for understanding the motivation behind second language learning. Gardner's model stresses social, educational, and cultural interaction</w:t>
      </w:r>
      <w:r w:rsidR="006A4157" w:rsidRPr="00AE44A7">
        <w:t xml:space="preserve"> (</w:t>
      </w:r>
      <w:r w:rsidR="00AE44A7" w:rsidRPr="00AE44A7">
        <w:t>Gardner, 1972</w:t>
      </w:r>
      <w:r w:rsidR="006A4157" w:rsidRPr="00AE44A7">
        <w:t>)</w:t>
      </w:r>
      <w:r w:rsidRPr="00AE44A7">
        <w:t>. He states that success in second language learning is not just about cognitive ability or instructional qualit</w:t>
      </w:r>
      <w:r w:rsidR="00105234" w:rsidRPr="00AE44A7">
        <w:t>y, but on the learner’s,</w:t>
      </w:r>
      <w:r w:rsidRPr="00AE44A7">
        <w:t xml:space="preserve"> social and emotional engagement with</w:t>
      </w:r>
      <w:r w:rsidR="00105234" w:rsidRPr="00AE44A7">
        <w:t>in</w:t>
      </w:r>
      <w:r w:rsidRPr="00AE44A7">
        <w:t xml:space="preserve"> the language and the language community. Educators and learners can enhance </w:t>
      </w:r>
      <w:r w:rsidR="00105234" w:rsidRPr="00AE44A7">
        <w:t>Second Language</w:t>
      </w:r>
      <w:r w:rsidRPr="00AE44A7">
        <w:t xml:space="preserve"> acquisition outcomes by fostering positive attitudes and strong motivation</w:t>
      </w:r>
      <w:r w:rsidR="00105234" w:rsidRPr="00AE44A7">
        <w:t xml:space="preserve"> (</w:t>
      </w:r>
      <w:r w:rsidR="00AE44A7" w:rsidRPr="00AE44A7">
        <w:t>Gardner, 1972</w:t>
      </w:r>
      <w:r w:rsidR="00105234" w:rsidRPr="00AE44A7">
        <w:t>)</w:t>
      </w:r>
      <w:r w:rsidRPr="00AE44A7">
        <w:t>.</w:t>
      </w:r>
    </w:p>
    <w:p w:rsidR="00052CB3" w:rsidRPr="00AE44A7" w:rsidRDefault="00052CB3" w:rsidP="00AE44A7">
      <w:pPr>
        <w:spacing w:line="480" w:lineRule="auto"/>
        <w:ind w:firstLine="720"/>
        <w:contextualSpacing/>
      </w:pPr>
      <w:r w:rsidRPr="00AE44A7">
        <w:t>Gardener's model also emphasizes integrative motivation. This type of motivation is associated with learning a new language to integrate into a new culture or society</w:t>
      </w:r>
      <w:r w:rsidR="00105234" w:rsidRPr="00AE44A7">
        <w:t xml:space="preserve"> (</w:t>
      </w:r>
      <w:r w:rsidR="00AE44A7" w:rsidRPr="00AE44A7">
        <w:t>Gardner, 1972</w:t>
      </w:r>
      <w:r w:rsidR="00105234" w:rsidRPr="00AE44A7">
        <w:t>)</w:t>
      </w:r>
      <w:r w:rsidRPr="00AE44A7">
        <w:t>. Researchers have considered that Gardener's theoretical model emphasizes too much integrative motivation while minimizing other forms of motivation</w:t>
      </w:r>
      <w:r w:rsidR="00105234" w:rsidRPr="00AE44A7">
        <w:t xml:space="preserve"> (</w:t>
      </w:r>
      <w:r w:rsidR="00AE44A7" w:rsidRPr="00AE44A7">
        <w:t>Gardner, 1972</w:t>
      </w:r>
      <w:r w:rsidR="00105234" w:rsidRPr="00AE44A7">
        <w:t>)</w:t>
      </w:r>
      <w:r w:rsidRPr="00AE44A7">
        <w:t>. Only focusing on integration motivation could underestimate the importance of instrumental motivation within specific educational contexts. In many situations regarding language learning, especially in foreign language contexts where interaction with native speakers is limited, instrumental motivation may play a more significant role.</w:t>
      </w:r>
      <w:r w:rsidR="00105234" w:rsidRPr="00AE44A7">
        <w:t xml:space="preserve"> </w:t>
      </w:r>
      <w:r w:rsidR="006A7520" w:rsidRPr="00AE44A7">
        <w:t>While</w:t>
      </w:r>
      <w:r w:rsidRPr="00AE44A7">
        <w:t xml:space="preserve"> researchers like Gardner have suggested that integrative motivation can lead to tremendous success in the long term, in reality, learners often have a mixture of both types rather than just one</w:t>
      </w:r>
      <w:r w:rsidR="00AE44A7" w:rsidRPr="00AE44A7">
        <w:t xml:space="preserve"> (Gardener, 1972)</w:t>
      </w:r>
      <w:r w:rsidRPr="00AE44A7">
        <w:t>.</w:t>
      </w:r>
    </w:p>
    <w:p w:rsidR="00105234" w:rsidRPr="00F52B48" w:rsidRDefault="00105234" w:rsidP="00F52B48">
      <w:pPr>
        <w:shd w:val="clear" w:color="auto" w:fill="FFFFFF"/>
        <w:spacing w:line="480" w:lineRule="auto"/>
        <w:ind w:firstLine="720"/>
        <w:rPr>
          <w:color w:val="2C3E50"/>
        </w:rPr>
      </w:pPr>
      <w:r w:rsidRPr="00AE44A7">
        <w:lastRenderedPageBreak/>
        <w:t xml:space="preserve">While Gardener's framework for understanding the role of motivation in second language learning was groundbreaking, many of his concepts have been challenged, and his work is considered outdated. Researchers like </w:t>
      </w:r>
      <w:proofErr w:type="spellStart"/>
      <w:r w:rsidR="00AE44A7" w:rsidRPr="00AE44A7">
        <w:rPr>
          <w:color w:val="2C3E50"/>
        </w:rPr>
        <w:t>Dörnyei</w:t>
      </w:r>
      <w:proofErr w:type="spellEnd"/>
      <w:r w:rsidR="00AE44A7" w:rsidRPr="00AE44A7">
        <w:t xml:space="preserve"> </w:t>
      </w:r>
      <w:r w:rsidRPr="00AE44A7">
        <w:t xml:space="preserve">have created newer theories regarding L2 Motivational self-systems, which have provided other perspectives and a personalized approach to understanding motivation in second-language education </w:t>
      </w:r>
      <w:r w:rsidR="00AE44A7" w:rsidRPr="00AE44A7">
        <w:rPr>
          <w:color w:val="2C3E50"/>
        </w:rPr>
        <w:t>(</w:t>
      </w:r>
      <w:proofErr w:type="spellStart"/>
      <w:r w:rsidR="00AE44A7" w:rsidRPr="00AE44A7">
        <w:rPr>
          <w:color w:val="2C3E50"/>
        </w:rPr>
        <w:t>Dörnyei</w:t>
      </w:r>
      <w:proofErr w:type="spellEnd"/>
      <w:r w:rsidR="00AE44A7" w:rsidRPr="00AE44A7">
        <w:rPr>
          <w:color w:val="2C3E50"/>
        </w:rPr>
        <w:t>, 2019</w:t>
      </w:r>
      <w:r w:rsidRPr="00AE44A7">
        <w:t xml:space="preserve">). </w:t>
      </w:r>
    </w:p>
    <w:p w:rsidR="006A7520" w:rsidRPr="00AE44A7" w:rsidRDefault="006A7520" w:rsidP="00AE44A7">
      <w:pPr>
        <w:spacing w:line="480" w:lineRule="auto"/>
        <w:contextualSpacing/>
        <w:rPr>
          <w:b/>
          <w:bCs/>
        </w:rPr>
      </w:pPr>
      <w:r w:rsidRPr="00AE44A7">
        <w:rPr>
          <w:b/>
          <w:bCs/>
        </w:rPr>
        <w:t>Conclusion</w:t>
      </w:r>
    </w:p>
    <w:p w:rsidR="00052CB3" w:rsidRPr="00AE44A7" w:rsidRDefault="00052CB3" w:rsidP="00AE44A7">
      <w:pPr>
        <w:spacing w:line="480" w:lineRule="auto"/>
        <w:ind w:firstLine="720"/>
        <w:contextualSpacing/>
      </w:pPr>
      <w:r w:rsidRPr="00AE44A7">
        <w:t>Motivation plays an important but complex role in second language learning. Whether external or internal, motivation drives a person's actions and pushes them to pursue goals and objectives. Motivation is not a singular, individual fact</w:t>
      </w:r>
      <w:r w:rsidR="00105234" w:rsidRPr="00AE44A7">
        <w:t>or</w:t>
      </w:r>
      <w:r w:rsidRPr="00AE44A7">
        <w:t xml:space="preserve"> but interconnected with other crucial factors</w:t>
      </w:r>
      <w:r w:rsidR="00105234" w:rsidRPr="00AE44A7">
        <w:t xml:space="preserve"> beyond</w:t>
      </w:r>
      <w:r w:rsidRPr="00AE44A7">
        <w:t xml:space="preserve"> aptitude, personality, intelligence, and learner preference. Successful </w:t>
      </w:r>
      <w:r w:rsidR="00105234" w:rsidRPr="00AE44A7">
        <w:t>s</w:t>
      </w:r>
      <w:r w:rsidRPr="00AE44A7">
        <w:t xml:space="preserve">econd </w:t>
      </w:r>
      <w:r w:rsidR="00105234" w:rsidRPr="00AE44A7">
        <w:t>l</w:t>
      </w:r>
      <w:r w:rsidRPr="00AE44A7">
        <w:t xml:space="preserve">anguage </w:t>
      </w:r>
      <w:r w:rsidR="00105234" w:rsidRPr="00AE44A7">
        <w:t>l</w:t>
      </w:r>
      <w:r w:rsidRPr="00AE44A7">
        <w:t>earning recognizes these connections and factors like age</w:t>
      </w:r>
      <w:r w:rsidR="00105234" w:rsidRPr="00AE44A7">
        <w:t>, environment,</w:t>
      </w:r>
      <w:r w:rsidRPr="00AE44A7">
        <w:t xml:space="preserve"> and social factors to create a sustainable and effective educational strategy. </w:t>
      </w:r>
    </w:p>
    <w:p w:rsidR="006F3D07" w:rsidRPr="00AE44A7" w:rsidRDefault="006F3D07" w:rsidP="00AE44A7">
      <w:pPr>
        <w:spacing w:line="480" w:lineRule="auto"/>
        <w:ind w:firstLine="720"/>
        <w:contextualSpacing/>
      </w:pPr>
    </w:p>
    <w:p w:rsidR="006F3D07" w:rsidRPr="00AE44A7" w:rsidRDefault="006F3D07" w:rsidP="00AE44A7">
      <w:pPr>
        <w:spacing w:line="480" w:lineRule="auto"/>
        <w:ind w:firstLine="720"/>
        <w:contextualSpacing/>
      </w:pPr>
    </w:p>
    <w:p w:rsidR="006F3D07" w:rsidRPr="00AE44A7" w:rsidRDefault="006F3D07" w:rsidP="00AE44A7">
      <w:pPr>
        <w:spacing w:line="480" w:lineRule="auto"/>
        <w:ind w:firstLine="720"/>
        <w:contextualSpacing/>
      </w:pPr>
    </w:p>
    <w:p w:rsidR="006F3D07" w:rsidRPr="00AE44A7" w:rsidRDefault="006F3D07" w:rsidP="00AE44A7">
      <w:pPr>
        <w:spacing w:line="480" w:lineRule="auto"/>
        <w:ind w:firstLine="720"/>
        <w:contextualSpacing/>
      </w:pPr>
    </w:p>
    <w:p w:rsidR="006F3D07" w:rsidRPr="00AE44A7" w:rsidRDefault="006F3D07" w:rsidP="00AE44A7">
      <w:pPr>
        <w:spacing w:line="480" w:lineRule="auto"/>
        <w:ind w:firstLine="720"/>
        <w:contextualSpacing/>
      </w:pPr>
    </w:p>
    <w:p w:rsidR="006F3D07" w:rsidRPr="00AE44A7" w:rsidRDefault="006F3D07" w:rsidP="00AE44A7">
      <w:pPr>
        <w:spacing w:line="480" w:lineRule="auto"/>
        <w:ind w:firstLine="720"/>
        <w:contextualSpacing/>
      </w:pPr>
    </w:p>
    <w:p w:rsidR="006F3D07" w:rsidRPr="00AE44A7" w:rsidRDefault="006F3D07" w:rsidP="00AE44A7">
      <w:pPr>
        <w:spacing w:line="480" w:lineRule="auto"/>
        <w:ind w:firstLine="720"/>
        <w:contextualSpacing/>
      </w:pPr>
    </w:p>
    <w:p w:rsidR="006F3D07" w:rsidRPr="00AE44A7" w:rsidRDefault="006F3D07" w:rsidP="00AE44A7">
      <w:pPr>
        <w:spacing w:line="480" w:lineRule="auto"/>
        <w:ind w:firstLine="720"/>
        <w:contextualSpacing/>
      </w:pPr>
    </w:p>
    <w:p w:rsidR="006F3D07" w:rsidRPr="00AE44A7" w:rsidRDefault="006F3D07" w:rsidP="00AE44A7">
      <w:pPr>
        <w:spacing w:line="480" w:lineRule="auto"/>
        <w:contextualSpacing/>
      </w:pPr>
    </w:p>
    <w:p w:rsidR="006F3D07" w:rsidRPr="00AE44A7" w:rsidRDefault="006F3D07" w:rsidP="00AE44A7">
      <w:pPr>
        <w:spacing w:line="480" w:lineRule="auto"/>
        <w:ind w:firstLine="720"/>
        <w:contextualSpacing/>
      </w:pPr>
    </w:p>
    <w:p w:rsidR="006F3D07" w:rsidRPr="00AE44A7" w:rsidRDefault="006F3D07" w:rsidP="00AE44A7">
      <w:pPr>
        <w:spacing w:line="480" w:lineRule="auto"/>
        <w:ind w:firstLine="720"/>
        <w:contextualSpacing/>
      </w:pPr>
    </w:p>
    <w:p w:rsidR="006F3D07" w:rsidRPr="00AE44A7" w:rsidRDefault="006F3D07" w:rsidP="00AE44A7">
      <w:pPr>
        <w:spacing w:line="480" w:lineRule="auto"/>
        <w:ind w:firstLine="720"/>
        <w:contextualSpacing/>
      </w:pPr>
    </w:p>
    <w:p w:rsidR="006F3D07" w:rsidRPr="00AE44A7" w:rsidRDefault="006F3D07" w:rsidP="00A97F8F">
      <w:pPr>
        <w:spacing w:line="480" w:lineRule="auto"/>
        <w:contextualSpacing/>
      </w:pPr>
      <w:r w:rsidRPr="00AE44A7">
        <w:t>References</w:t>
      </w:r>
    </w:p>
    <w:p w:rsidR="006F3D07" w:rsidRPr="00A97F8F" w:rsidRDefault="006F3D07" w:rsidP="00A97F8F">
      <w:pPr>
        <w:spacing w:line="360" w:lineRule="auto"/>
        <w:ind w:left="720" w:hanging="720"/>
        <w:contextualSpacing/>
        <w:rPr>
          <w:color w:val="181817"/>
        </w:rPr>
      </w:pPr>
      <w:r w:rsidRPr="00A97F8F">
        <w:rPr>
          <w:color w:val="181817"/>
        </w:rPr>
        <w:lastRenderedPageBreak/>
        <w:t>ABUTALEBI, J. and CLAHSEN, H. (2018) ‘Critical periods for language acquisition: New insights with particular reference to bilingualism research’, Bilingualism: Language and Cognition, 21(5), pp. 883–885. doi:10.1017/S1366728918001025.</w:t>
      </w:r>
    </w:p>
    <w:p w:rsidR="00AE44A7" w:rsidRPr="00A97F8F" w:rsidRDefault="00AE44A7" w:rsidP="00AE44A7">
      <w:pPr>
        <w:spacing w:line="360" w:lineRule="auto"/>
        <w:contextualSpacing/>
        <w:rPr>
          <w:color w:val="181817"/>
        </w:rPr>
      </w:pPr>
    </w:p>
    <w:p w:rsidR="000850D8" w:rsidRPr="00A97F8F" w:rsidRDefault="000850D8" w:rsidP="00A97F8F">
      <w:pPr>
        <w:pStyle w:val="NormalWeb"/>
        <w:spacing w:before="0" w:beforeAutospacing="0" w:after="0" w:afterAutospacing="0" w:line="360" w:lineRule="auto"/>
        <w:ind w:left="720" w:hanging="720"/>
        <w:contextualSpacing/>
        <w:rPr>
          <w:color w:val="000000"/>
        </w:rPr>
      </w:pPr>
      <w:proofErr w:type="spellStart"/>
      <w:r w:rsidRPr="00A97F8F">
        <w:rPr>
          <w:color w:val="000000"/>
        </w:rPr>
        <w:t>Bandhu</w:t>
      </w:r>
      <w:proofErr w:type="spellEnd"/>
      <w:r w:rsidRPr="00A97F8F">
        <w:rPr>
          <w:color w:val="000000"/>
        </w:rPr>
        <w:t xml:space="preserve">, D., Mohan, M.M., </w:t>
      </w:r>
      <w:proofErr w:type="spellStart"/>
      <w:r w:rsidRPr="00A97F8F">
        <w:rPr>
          <w:color w:val="000000"/>
        </w:rPr>
        <w:t>Nittala</w:t>
      </w:r>
      <w:proofErr w:type="spellEnd"/>
      <w:r w:rsidRPr="00A97F8F">
        <w:rPr>
          <w:color w:val="000000"/>
        </w:rPr>
        <w:t xml:space="preserve">, N.A.P., Jadhav, P., </w:t>
      </w:r>
      <w:proofErr w:type="spellStart"/>
      <w:r w:rsidRPr="00A97F8F">
        <w:rPr>
          <w:color w:val="000000"/>
        </w:rPr>
        <w:t>Bhadauria</w:t>
      </w:r>
      <w:proofErr w:type="spellEnd"/>
      <w:r w:rsidRPr="00A97F8F">
        <w:rPr>
          <w:color w:val="000000"/>
        </w:rPr>
        <w:t xml:space="preserve">, A. and Saxena, K.K. (2024). Theories of motivation: a Comprehensive Analysis of Human Behavior Drivers. Acta </w:t>
      </w:r>
      <w:proofErr w:type="spellStart"/>
      <w:r w:rsidRPr="00A97F8F">
        <w:rPr>
          <w:color w:val="000000"/>
        </w:rPr>
        <w:t>Psychologica</w:t>
      </w:r>
      <w:proofErr w:type="spellEnd"/>
      <w:r w:rsidRPr="00A97F8F">
        <w:rPr>
          <w:color w:val="000000"/>
        </w:rPr>
        <w:t xml:space="preserve">, [online] 244(1), pp.1–16. </w:t>
      </w:r>
      <w:proofErr w:type="spellStart"/>
      <w:proofErr w:type="gramStart"/>
      <w:r w:rsidRPr="00A97F8F">
        <w:rPr>
          <w:color w:val="000000"/>
        </w:rPr>
        <w:t>doi:https</w:t>
      </w:r>
      <w:proofErr w:type="spellEnd"/>
      <w:r w:rsidRPr="00A97F8F">
        <w:rPr>
          <w:color w:val="000000"/>
        </w:rPr>
        <w:t>://doi.org/10.1016/j.actpsy.2024.104177</w:t>
      </w:r>
      <w:proofErr w:type="gramEnd"/>
      <w:r w:rsidRPr="00A97F8F">
        <w:rPr>
          <w:color w:val="000000"/>
        </w:rPr>
        <w:t>.</w:t>
      </w:r>
    </w:p>
    <w:p w:rsidR="00AE44A7" w:rsidRPr="00A97F8F" w:rsidRDefault="00AE44A7" w:rsidP="00AE44A7">
      <w:pPr>
        <w:pStyle w:val="NormalWeb"/>
        <w:spacing w:before="0" w:beforeAutospacing="0" w:after="0" w:afterAutospacing="0" w:line="360" w:lineRule="auto"/>
        <w:contextualSpacing/>
        <w:rPr>
          <w:color w:val="000000"/>
        </w:rPr>
      </w:pPr>
    </w:p>
    <w:p w:rsidR="00AE44A7" w:rsidRPr="00A97F8F" w:rsidRDefault="00AE44A7" w:rsidP="00A97F8F">
      <w:pPr>
        <w:pStyle w:val="NormalWeb"/>
        <w:spacing w:before="0" w:beforeAutospacing="0" w:after="0" w:afterAutospacing="0" w:line="360" w:lineRule="auto"/>
        <w:ind w:left="720" w:hanging="720"/>
        <w:contextualSpacing/>
        <w:rPr>
          <w:color w:val="000000"/>
        </w:rPr>
      </w:pPr>
      <w:proofErr w:type="spellStart"/>
      <w:r w:rsidRPr="00A97F8F">
        <w:rPr>
          <w:color w:val="000000"/>
        </w:rPr>
        <w:t>Dörnyei</w:t>
      </w:r>
      <w:proofErr w:type="spellEnd"/>
      <w:r w:rsidRPr="00A97F8F">
        <w:rPr>
          <w:color w:val="000000"/>
        </w:rPr>
        <w:t xml:space="preserve">, Z. (2019). Towards a better understanding of the L2 Learning Experience, the Cinderella of the L2 Motivational Self System. Studies in Second Language Learning and Teaching, 9(1), pp.19–30. </w:t>
      </w:r>
      <w:proofErr w:type="spellStart"/>
      <w:proofErr w:type="gramStart"/>
      <w:r w:rsidRPr="00A97F8F">
        <w:rPr>
          <w:color w:val="000000"/>
        </w:rPr>
        <w:t>doi:https</w:t>
      </w:r>
      <w:proofErr w:type="spellEnd"/>
      <w:r w:rsidRPr="00A97F8F">
        <w:rPr>
          <w:color w:val="000000"/>
        </w:rPr>
        <w:t>://doi.org/10.14746/ssllt.2019.9.1.2</w:t>
      </w:r>
      <w:proofErr w:type="gramEnd"/>
      <w:r w:rsidRPr="00A97F8F">
        <w:rPr>
          <w:color w:val="000000"/>
        </w:rPr>
        <w:t>.</w:t>
      </w:r>
    </w:p>
    <w:p w:rsidR="0047524C" w:rsidRPr="00A97F8F" w:rsidRDefault="0047524C" w:rsidP="00AE44A7">
      <w:pPr>
        <w:pStyle w:val="NormalWeb"/>
        <w:spacing w:before="0" w:beforeAutospacing="0" w:after="0" w:afterAutospacing="0" w:line="360" w:lineRule="auto"/>
        <w:contextualSpacing/>
        <w:rPr>
          <w:color w:val="000000"/>
        </w:rPr>
      </w:pPr>
    </w:p>
    <w:p w:rsidR="00AE44A7" w:rsidRDefault="000850D8" w:rsidP="00A97F8F">
      <w:pPr>
        <w:pStyle w:val="NormalWeb"/>
        <w:spacing w:line="360" w:lineRule="auto"/>
        <w:ind w:left="720" w:hanging="720"/>
        <w:contextualSpacing/>
        <w:rPr>
          <w:color w:val="4B4646"/>
        </w:rPr>
      </w:pPr>
      <w:r w:rsidRPr="00A97F8F">
        <w:rPr>
          <w:color w:val="000000"/>
        </w:rPr>
        <w:t>‌</w:t>
      </w:r>
      <w:r w:rsidR="00AE44A7" w:rsidRPr="00A97F8F">
        <w:rPr>
          <w:color w:val="000000"/>
        </w:rPr>
        <w:t>‌</w:t>
      </w:r>
      <w:r w:rsidR="00AE44A7" w:rsidRPr="00A97F8F">
        <w:rPr>
          <w:color w:val="4B4646"/>
        </w:rPr>
        <w:t>Gardner, R. C., &amp; Lambert, W. E. (1972). </w:t>
      </w:r>
      <w:r w:rsidR="00AE44A7" w:rsidRPr="00A97F8F">
        <w:rPr>
          <w:rStyle w:val="Emphasis"/>
          <w:i w:val="0"/>
          <w:iCs w:val="0"/>
          <w:color w:val="4B4646"/>
        </w:rPr>
        <w:t>Attitudes and motivation in second language learnin</w:t>
      </w:r>
      <w:r w:rsidR="00AE44A7" w:rsidRPr="00A97F8F">
        <w:rPr>
          <w:color w:val="4B4646"/>
        </w:rPr>
        <w:t>g. Rowley, MA: Newbury House.</w:t>
      </w:r>
    </w:p>
    <w:p w:rsidR="00A97F8F" w:rsidRPr="00A97F8F" w:rsidRDefault="00A97F8F" w:rsidP="00AE44A7">
      <w:pPr>
        <w:pStyle w:val="NormalWeb"/>
        <w:spacing w:line="360" w:lineRule="auto"/>
        <w:contextualSpacing/>
        <w:rPr>
          <w:color w:val="000000"/>
        </w:rPr>
      </w:pPr>
    </w:p>
    <w:p w:rsidR="0047524C" w:rsidRPr="00A97F8F" w:rsidRDefault="0047524C" w:rsidP="00A97F8F">
      <w:pPr>
        <w:pStyle w:val="NormalWeb"/>
        <w:spacing w:before="0" w:beforeAutospacing="0" w:after="0" w:afterAutospacing="0" w:line="360" w:lineRule="auto"/>
        <w:ind w:left="720" w:hanging="720"/>
        <w:contextualSpacing/>
        <w:rPr>
          <w:color w:val="000000"/>
        </w:rPr>
      </w:pPr>
      <w:r w:rsidRPr="00A97F8F">
        <w:rPr>
          <w:color w:val="000000"/>
        </w:rPr>
        <w:t xml:space="preserve">Legault, L. (2016). Intrinsic and Extrinsic Motivation. Encyclopedia of Personality and Individual Differences, [online] 1(1), pp.1–4. </w:t>
      </w:r>
      <w:proofErr w:type="spellStart"/>
      <w:proofErr w:type="gramStart"/>
      <w:r w:rsidRPr="00A97F8F">
        <w:rPr>
          <w:color w:val="000000"/>
        </w:rPr>
        <w:t>doi:https</w:t>
      </w:r>
      <w:proofErr w:type="spellEnd"/>
      <w:r w:rsidRPr="00A97F8F">
        <w:rPr>
          <w:color w:val="000000"/>
        </w:rPr>
        <w:t>://doi.org/10.1007/978-3-319-28099-8_1139-1</w:t>
      </w:r>
      <w:proofErr w:type="gramEnd"/>
      <w:r w:rsidRPr="00A97F8F">
        <w:rPr>
          <w:color w:val="000000"/>
        </w:rPr>
        <w:t>.</w:t>
      </w:r>
    </w:p>
    <w:p w:rsidR="00AE44A7" w:rsidRPr="00A97F8F" w:rsidRDefault="00AE44A7" w:rsidP="00AE44A7">
      <w:pPr>
        <w:pStyle w:val="NormalWeb"/>
        <w:spacing w:before="0" w:beforeAutospacing="0" w:after="0" w:afterAutospacing="0" w:line="360" w:lineRule="auto"/>
        <w:contextualSpacing/>
        <w:rPr>
          <w:color w:val="000000"/>
        </w:rPr>
      </w:pPr>
    </w:p>
    <w:p w:rsidR="00AE44A7" w:rsidRPr="00A97F8F" w:rsidRDefault="00AE44A7" w:rsidP="00AE44A7">
      <w:pPr>
        <w:spacing w:line="360" w:lineRule="auto"/>
        <w:contextualSpacing/>
      </w:pPr>
      <w:r w:rsidRPr="00A97F8F">
        <w:t>Lightbrown, P.M. and Spada, N. (n.d.) ‘Factors affecting second language learning’.</w:t>
      </w:r>
    </w:p>
    <w:p w:rsidR="00AE44A7" w:rsidRPr="00A97F8F" w:rsidRDefault="00A97F8F" w:rsidP="00A97F8F">
      <w:pPr>
        <w:pStyle w:val="NormalWeb"/>
        <w:spacing w:before="0" w:beforeAutospacing="0" w:after="0" w:afterAutospacing="0" w:line="360" w:lineRule="auto"/>
        <w:ind w:left="360" w:hanging="360"/>
        <w:contextualSpacing/>
        <w:rPr>
          <w:color w:val="000000"/>
        </w:rPr>
      </w:pPr>
      <w:r>
        <w:rPr>
          <w:color w:val="000000"/>
        </w:rPr>
        <w:t xml:space="preserve">      </w:t>
      </w:r>
      <w:r w:rsidR="00AE44A7" w:rsidRPr="00A97F8F">
        <w:rPr>
          <w:color w:val="000000"/>
        </w:rPr>
        <w:t xml:space="preserve">Saeed, S. and </w:t>
      </w:r>
      <w:proofErr w:type="spellStart"/>
      <w:r w:rsidR="00AE44A7" w:rsidRPr="00A97F8F">
        <w:rPr>
          <w:color w:val="000000"/>
        </w:rPr>
        <w:t>Zyngier</w:t>
      </w:r>
      <w:proofErr w:type="spellEnd"/>
      <w:r w:rsidR="00AE44A7" w:rsidRPr="00A97F8F">
        <w:rPr>
          <w:color w:val="000000"/>
        </w:rPr>
        <w:t>, D. (2012). How motivation influences student engagement: A qualitative case study. Journal of Education and Learning, 1(2), pp.252–267.</w:t>
      </w:r>
    </w:p>
    <w:p w:rsidR="00AE44A7" w:rsidRPr="00A97F8F" w:rsidRDefault="00AE44A7" w:rsidP="00AE44A7">
      <w:pPr>
        <w:pStyle w:val="NormalWeb"/>
        <w:spacing w:before="0" w:beforeAutospacing="0" w:after="0" w:afterAutospacing="0" w:line="360" w:lineRule="auto"/>
        <w:contextualSpacing/>
        <w:rPr>
          <w:color w:val="000000"/>
        </w:rPr>
      </w:pPr>
    </w:p>
    <w:p w:rsidR="00AE44A7" w:rsidRPr="00A97F8F" w:rsidRDefault="00AE44A7" w:rsidP="00A97F8F">
      <w:pPr>
        <w:pStyle w:val="NormalWeb"/>
        <w:spacing w:before="0" w:beforeAutospacing="0" w:after="0" w:afterAutospacing="0" w:line="360" w:lineRule="auto"/>
        <w:ind w:left="720" w:hanging="720"/>
        <w:contextualSpacing/>
        <w:rPr>
          <w:color w:val="000000"/>
        </w:rPr>
      </w:pPr>
      <w:r w:rsidRPr="00A97F8F">
        <w:rPr>
          <w:color w:val="000000"/>
        </w:rPr>
        <w:t xml:space="preserve">Puntambekar, S. (2022). Distributed Scaffolding: Scaffolding Students in Classroom Environments. Educational Psychology Review, [online] 34(1), pp.451–472. </w:t>
      </w:r>
      <w:proofErr w:type="spellStart"/>
      <w:r w:rsidRPr="00A97F8F">
        <w:rPr>
          <w:color w:val="000000"/>
        </w:rPr>
        <w:t>doi:https</w:t>
      </w:r>
      <w:proofErr w:type="spellEnd"/>
      <w:r w:rsidRPr="00A97F8F">
        <w:rPr>
          <w:color w:val="000000"/>
        </w:rPr>
        <w:t>://doi.org/10.1007/s10648-021-09636-3.</w:t>
      </w:r>
    </w:p>
    <w:p w:rsidR="0047524C" w:rsidRPr="00A97F8F" w:rsidRDefault="0047524C" w:rsidP="00AE44A7">
      <w:pPr>
        <w:pStyle w:val="NormalWeb"/>
        <w:spacing w:before="0" w:beforeAutospacing="0" w:after="0" w:afterAutospacing="0" w:line="360" w:lineRule="auto"/>
        <w:contextualSpacing/>
        <w:rPr>
          <w:color w:val="000000"/>
        </w:rPr>
      </w:pPr>
    </w:p>
    <w:p w:rsidR="0047524C" w:rsidRPr="00A97F8F" w:rsidRDefault="000850D8" w:rsidP="00A97F8F">
      <w:pPr>
        <w:pStyle w:val="NormalWeb"/>
        <w:spacing w:before="0" w:beforeAutospacing="0" w:after="0" w:afterAutospacing="0" w:line="360" w:lineRule="auto"/>
        <w:ind w:left="720" w:hanging="720"/>
        <w:contextualSpacing/>
        <w:rPr>
          <w:color w:val="000000"/>
        </w:rPr>
      </w:pPr>
      <w:r w:rsidRPr="00A97F8F">
        <w:rPr>
          <w:color w:val="000000"/>
        </w:rPr>
        <w:t>‌</w:t>
      </w:r>
      <w:r w:rsidR="0047524C" w:rsidRPr="00A97F8F">
        <w:rPr>
          <w:color w:val="000000"/>
        </w:rPr>
        <w:t xml:space="preserve"> </w:t>
      </w:r>
      <w:proofErr w:type="spellStart"/>
      <w:r w:rsidR="0047524C" w:rsidRPr="00A97F8F">
        <w:rPr>
          <w:color w:val="000000"/>
        </w:rPr>
        <w:t>Shabani</w:t>
      </w:r>
      <w:proofErr w:type="spellEnd"/>
      <w:r w:rsidR="0047524C" w:rsidRPr="00A97F8F">
        <w:rPr>
          <w:color w:val="000000"/>
        </w:rPr>
        <w:t xml:space="preserve">, K., Khatib, M. and </w:t>
      </w:r>
      <w:proofErr w:type="spellStart"/>
      <w:r w:rsidR="0047524C" w:rsidRPr="00A97F8F">
        <w:rPr>
          <w:color w:val="000000"/>
        </w:rPr>
        <w:t>Ebadi</w:t>
      </w:r>
      <w:proofErr w:type="spellEnd"/>
      <w:r w:rsidR="0047524C" w:rsidRPr="00A97F8F">
        <w:rPr>
          <w:color w:val="000000"/>
        </w:rPr>
        <w:t>, S. (2010). Vygotsky’s zone of proximal development: Instructional implications and teachers’ professional development. English Language Teaching, [online] 3(4), p.238. Available at: https://files.eric.ed.gov/fulltext/EJ1081990.pdf.</w:t>
      </w:r>
    </w:p>
    <w:p w:rsidR="000850D8" w:rsidRPr="00A97F8F" w:rsidRDefault="0047524C" w:rsidP="00A97F8F">
      <w:pPr>
        <w:pStyle w:val="NormalWeb"/>
        <w:spacing w:line="360" w:lineRule="auto"/>
        <w:ind w:left="720" w:hanging="720"/>
        <w:contextualSpacing/>
        <w:rPr>
          <w:color w:val="000000"/>
        </w:rPr>
      </w:pPr>
      <w:r w:rsidRPr="00A97F8F">
        <w:rPr>
          <w:color w:val="000000"/>
        </w:rPr>
        <w:t>‌</w:t>
      </w:r>
    </w:p>
    <w:p w:rsidR="00052CB3" w:rsidRPr="00A97F8F" w:rsidRDefault="00763E19" w:rsidP="00A97F8F">
      <w:pPr>
        <w:spacing w:line="360" w:lineRule="auto"/>
        <w:ind w:left="720" w:hanging="720"/>
        <w:contextualSpacing/>
        <w:rPr>
          <w:color w:val="2C3E50"/>
        </w:rPr>
      </w:pPr>
      <w:r w:rsidRPr="00A97F8F">
        <w:rPr>
          <w:color w:val="2C3E50"/>
        </w:rPr>
        <w:lastRenderedPageBreak/>
        <w:t>Zainuddin (2023). The Impact of Personality: Extrovert vs. Introvert on the Ability in Syntax in Essay Writing. Studies in English Language and Education, [online] 3(2), pp.158–169. Available at: https://jurnal.usk.ac.id/SiELE/article/view/4963/4226 [Accessed 26 Mar. 2025].</w:t>
      </w:r>
    </w:p>
    <w:p w:rsidR="00AE44A7" w:rsidRPr="00AE44A7" w:rsidRDefault="00AE44A7" w:rsidP="00AE44A7">
      <w:pPr>
        <w:spacing w:line="480" w:lineRule="auto"/>
        <w:contextualSpacing/>
      </w:pPr>
    </w:p>
    <w:p w:rsidR="00AE44A7" w:rsidRPr="00AE44A7" w:rsidRDefault="00AE44A7" w:rsidP="00AE44A7">
      <w:pPr>
        <w:pStyle w:val="NormalWeb"/>
        <w:spacing w:line="480" w:lineRule="auto"/>
        <w:rPr>
          <w:color w:val="000000"/>
        </w:rPr>
      </w:pPr>
      <w:r w:rsidRPr="00AE44A7">
        <w:rPr>
          <w:color w:val="000000"/>
        </w:rPr>
        <w:t>‌</w:t>
      </w:r>
    </w:p>
    <w:p w:rsidR="00052CB3" w:rsidRPr="00AE44A7" w:rsidRDefault="00052CB3" w:rsidP="00AE44A7">
      <w:pPr>
        <w:spacing w:line="480" w:lineRule="auto"/>
        <w:contextualSpacing/>
      </w:pPr>
    </w:p>
    <w:p w:rsidR="00B43A54" w:rsidRPr="00AE44A7" w:rsidRDefault="00B43A54" w:rsidP="00AE44A7">
      <w:pPr>
        <w:spacing w:line="480" w:lineRule="auto"/>
        <w:contextualSpacing/>
      </w:pPr>
    </w:p>
    <w:sectPr w:rsidR="00B43A54" w:rsidRPr="00AE44A7" w:rsidSect="00052CB3">
      <w:headerReference w:type="even" r:id="rId8"/>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4D1E" w:rsidRDefault="00B64D1E" w:rsidP="006A7520">
      <w:r>
        <w:separator/>
      </w:r>
    </w:p>
  </w:endnote>
  <w:endnote w:type="continuationSeparator" w:id="0">
    <w:p w:rsidR="00B64D1E" w:rsidRDefault="00B64D1E" w:rsidP="006A7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4D1E" w:rsidRDefault="00B64D1E" w:rsidP="006A7520">
      <w:r>
        <w:separator/>
      </w:r>
    </w:p>
  </w:footnote>
  <w:footnote w:type="continuationSeparator" w:id="0">
    <w:p w:rsidR="00B64D1E" w:rsidRDefault="00B64D1E" w:rsidP="006A7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3522925"/>
      <w:docPartObj>
        <w:docPartGallery w:val="Page Numbers (Top of Page)"/>
        <w:docPartUnique/>
      </w:docPartObj>
    </w:sdtPr>
    <w:sdtContent>
      <w:p w:rsidR="006A7520" w:rsidRDefault="006A7520" w:rsidP="00ED54D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A7520" w:rsidRDefault="006A7520" w:rsidP="006A752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366207709"/>
      <w:docPartObj>
        <w:docPartGallery w:val="Page Numbers (Top of Page)"/>
        <w:docPartUnique/>
      </w:docPartObj>
    </w:sdtPr>
    <w:sdtContent>
      <w:p w:rsidR="006A7520" w:rsidRPr="006A7520" w:rsidRDefault="006A7520" w:rsidP="00ED54D9">
        <w:pPr>
          <w:pStyle w:val="Header"/>
          <w:framePr w:wrap="none" w:vAnchor="text" w:hAnchor="margin" w:xAlign="right" w:y="1"/>
          <w:rPr>
            <w:rStyle w:val="PageNumber"/>
            <w:rFonts w:ascii="Times New Roman" w:hAnsi="Times New Roman" w:cs="Times New Roman"/>
          </w:rPr>
        </w:pPr>
        <w:r w:rsidRPr="006A7520">
          <w:rPr>
            <w:rStyle w:val="PageNumber"/>
            <w:rFonts w:ascii="Times New Roman" w:hAnsi="Times New Roman" w:cs="Times New Roman"/>
          </w:rPr>
          <w:t xml:space="preserve">Motivation and SLL </w:t>
        </w:r>
        <w:r w:rsidRPr="006A7520">
          <w:rPr>
            <w:rStyle w:val="PageNumber"/>
            <w:rFonts w:ascii="Times New Roman" w:hAnsi="Times New Roman" w:cs="Times New Roman"/>
          </w:rPr>
          <w:fldChar w:fldCharType="begin"/>
        </w:r>
        <w:r w:rsidRPr="006A7520">
          <w:rPr>
            <w:rStyle w:val="PageNumber"/>
            <w:rFonts w:ascii="Times New Roman" w:hAnsi="Times New Roman" w:cs="Times New Roman"/>
          </w:rPr>
          <w:instrText xml:space="preserve"> PAGE </w:instrText>
        </w:r>
        <w:r w:rsidRPr="006A7520">
          <w:rPr>
            <w:rStyle w:val="PageNumber"/>
            <w:rFonts w:ascii="Times New Roman" w:hAnsi="Times New Roman" w:cs="Times New Roman"/>
          </w:rPr>
          <w:fldChar w:fldCharType="separate"/>
        </w:r>
        <w:r w:rsidRPr="006A7520">
          <w:rPr>
            <w:rStyle w:val="PageNumber"/>
            <w:rFonts w:ascii="Times New Roman" w:hAnsi="Times New Roman" w:cs="Times New Roman"/>
            <w:noProof/>
          </w:rPr>
          <w:t>1</w:t>
        </w:r>
        <w:r w:rsidRPr="006A7520">
          <w:rPr>
            <w:rStyle w:val="PageNumber"/>
            <w:rFonts w:ascii="Times New Roman" w:hAnsi="Times New Roman" w:cs="Times New Roman"/>
          </w:rPr>
          <w:fldChar w:fldCharType="end"/>
        </w:r>
      </w:p>
    </w:sdtContent>
  </w:sdt>
  <w:p w:rsidR="006A7520" w:rsidRDefault="006A7520" w:rsidP="006A752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C43BA"/>
    <w:multiLevelType w:val="hybridMultilevel"/>
    <w:tmpl w:val="F60CD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7545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A25"/>
    <w:rsid w:val="00052CB3"/>
    <w:rsid w:val="000850D8"/>
    <w:rsid w:val="000A1EC1"/>
    <w:rsid w:val="00105234"/>
    <w:rsid w:val="00183AFC"/>
    <w:rsid w:val="003C278B"/>
    <w:rsid w:val="0042284A"/>
    <w:rsid w:val="0047524C"/>
    <w:rsid w:val="004A56B2"/>
    <w:rsid w:val="004A5955"/>
    <w:rsid w:val="004D05A5"/>
    <w:rsid w:val="004E1B26"/>
    <w:rsid w:val="00515A25"/>
    <w:rsid w:val="00517E1E"/>
    <w:rsid w:val="005506A0"/>
    <w:rsid w:val="00664629"/>
    <w:rsid w:val="006A4157"/>
    <w:rsid w:val="006A7520"/>
    <w:rsid w:val="006F3D07"/>
    <w:rsid w:val="00756BED"/>
    <w:rsid w:val="00763E19"/>
    <w:rsid w:val="00827CDC"/>
    <w:rsid w:val="00946910"/>
    <w:rsid w:val="00A05E15"/>
    <w:rsid w:val="00A369D4"/>
    <w:rsid w:val="00A51EEB"/>
    <w:rsid w:val="00A72233"/>
    <w:rsid w:val="00A97F8F"/>
    <w:rsid w:val="00AB49D0"/>
    <w:rsid w:val="00AE44A7"/>
    <w:rsid w:val="00B43A54"/>
    <w:rsid w:val="00B64D1E"/>
    <w:rsid w:val="00BB501A"/>
    <w:rsid w:val="00BD34F7"/>
    <w:rsid w:val="00D7439C"/>
    <w:rsid w:val="00DB0734"/>
    <w:rsid w:val="00DD76AA"/>
    <w:rsid w:val="00E4451E"/>
    <w:rsid w:val="00F17C90"/>
    <w:rsid w:val="00F436F7"/>
    <w:rsid w:val="00F52B48"/>
    <w:rsid w:val="00F85106"/>
    <w:rsid w:val="00F96EC6"/>
    <w:rsid w:val="00FE0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8BAE0CE"/>
  <w15:chartTrackingRefBased/>
  <w15:docId w15:val="{C264266A-698C-5C46-AE2F-F607483AD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4A7"/>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15A25"/>
    <w:rPr>
      <w:rFonts w:ascii=".AppleSystemUIFont" w:hAnsi=".AppleSystemUIFont"/>
      <w:sz w:val="26"/>
      <w:szCs w:val="26"/>
    </w:rPr>
  </w:style>
  <w:style w:type="paragraph" w:customStyle="1" w:styleId="p2">
    <w:name w:val="p2"/>
    <w:basedOn w:val="Normal"/>
    <w:rsid w:val="00515A25"/>
    <w:rPr>
      <w:rFonts w:ascii=".AppleSystemUIFont" w:hAnsi=".AppleSystemUIFont"/>
      <w:sz w:val="26"/>
      <w:szCs w:val="26"/>
    </w:rPr>
  </w:style>
  <w:style w:type="character" w:customStyle="1" w:styleId="s1">
    <w:name w:val="s1"/>
    <w:basedOn w:val="DefaultParagraphFont"/>
    <w:rsid w:val="00515A25"/>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15A25"/>
  </w:style>
  <w:style w:type="paragraph" w:styleId="ListParagraph">
    <w:name w:val="List Paragraph"/>
    <w:basedOn w:val="Normal"/>
    <w:uiPriority w:val="34"/>
    <w:qFormat/>
    <w:rsid w:val="00D7439C"/>
    <w:pPr>
      <w:ind w:left="720"/>
      <w:contextualSpacing/>
    </w:pPr>
    <w:rPr>
      <w:rFonts w:asciiTheme="minorHAnsi" w:eastAsiaTheme="minorEastAsia" w:hAnsiTheme="minorHAnsi" w:cstheme="minorBidi"/>
      <w:kern w:val="2"/>
      <w14:ligatures w14:val="standardContextual"/>
    </w:rPr>
  </w:style>
  <w:style w:type="paragraph" w:styleId="Header">
    <w:name w:val="header"/>
    <w:basedOn w:val="Normal"/>
    <w:link w:val="HeaderChar"/>
    <w:uiPriority w:val="99"/>
    <w:unhideWhenUsed/>
    <w:rsid w:val="006A7520"/>
    <w:pPr>
      <w:tabs>
        <w:tab w:val="center" w:pos="4680"/>
        <w:tab w:val="right" w:pos="9360"/>
      </w:tabs>
    </w:pPr>
    <w:rPr>
      <w:rFonts w:asciiTheme="minorHAnsi" w:eastAsiaTheme="minorEastAsia" w:hAnsiTheme="minorHAnsi" w:cstheme="minorBidi"/>
      <w:kern w:val="2"/>
      <w14:ligatures w14:val="standardContextual"/>
    </w:rPr>
  </w:style>
  <w:style w:type="character" w:customStyle="1" w:styleId="HeaderChar">
    <w:name w:val="Header Char"/>
    <w:basedOn w:val="DefaultParagraphFont"/>
    <w:link w:val="Header"/>
    <w:uiPriority w:val="99"/>
    <w:rsid w:val="006A7520"/>
  </w:style>
  <w:style w:type="paragraph" w:styleId="Footer">
    <w:name w:val="footer"/>
    <w:basedOn w:val="Normal"/>
    <w:link w:val="FooterChar"/>
    <w:uiPriority w:val="99"/>
    <w:unhideWhenUsed/>
    <w:rsid w:val="006A7520"/>
    <w:pPr>
      <w:tabs>
        <w:tab w:val="center" w:pos="4680"/>
        <w:tab w:val="right" w:pos="9360"/>
      </w:tabs>
    </w:pPr>
    <w:rPr>
      <w:rFonts w:asciiTheme="minorHAnsi" w:eastAsiaTheme="minorEastAsia" w:hAnsiTheme="minorHAnsi" w:cstheme="minorBidi"/>
      <w:kern w:val="2"/>
      <w14:ligatures w14:val="standardContextual"/>
    </w:rPr>
  </w:style>
  <w:style w:type="character" w:customStyle="1" w:styleId="FooterChar">
    <w:name w:val="Footer Char"/>
    <w:basedOn w:val="DefaultParagraphFont"/>
    <w:link w:val="Footer"/>
    <w:uiPriority w:val="99"/>
    <w:rsid w:val="006A7520"/>
  </w:style>
  <w:style w:type="character" w:styleId="PageNumber">
    <w:name w:val="page number"/>
    <w:basedOn w:val="DefaultParagraphFont"/>
    <w:uiPriority w:val="99"/>
    <w:semiHidden/>
    <w:unhideWhenUsed/>
    <w:rsid w:val="006A7520"/>
  </w:style>
  <w:style w:type="paragraph" w:styleId="NormalWeb">
    <w:name w:val="Normal (Web)"/>
    <w:basedOn w:val="Normal"/>
    <w:uiPriority w:val="99"/>
    <w:unhideWhenUsed/>
    <w:rsid w:val="000850D8"/>
    <w:pPr>
      <w:spacing w:before="100" w:beforeAutospacing="1" w:after="100" w:afterAutospacing="1"/>
    </w:pPr>
  </w:style>
  <w:style w:type="character" w:styleId="Emphasis">
    <w:name w:val="Emphasis"/>
    <w:basedOn w:val="DefaultParagraphFont"/>
    <w:uiPriority w:val="20"/>
    <w:qFormat/>
    <w:rsid w:val="004752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556790">
      <w:bodyDiv w:val="1"/>
      <w:marLeft w:val="0"/>
      <w:marRight w:val="0"/>
      <w:marTop w:val="0"/>
      <w:marBottom w:val="0"/>
      <w:divBdr>
        <w:top w:val="none" w:sz="0" w:space="0" w:color="auto"/>
        <w:left w:val="none" w:sz="0" w:space="0" w:color="auto"/>
        <w:bottom w:val="none" w:sz="0" w:space="0" w:color="auto"/>
        <w:right w:val="none" w:sz="0" w:space="0" w:color="auto"/>
      </w:divBdr>
    </w:div>
    <w:div w:id="1228109465">
      <w:bodyDiv w:val="1"/>
      <w:marLeft w:val="0"/>
      <w:marRight w:val="0"/>
      <w:marTop w:val="0"/>
      <w:marBottom w:val="0"/>
      <w:divBdr>
        <w:top w:val="none" w:sz="0" w:space="0" w:color="auto"/>
        <w:left w:val="none" w:sz="0" w:space="0" w:color="auto"/>
        <w:bottom w:val="none" w:sz="0" w:space="0" w:color="auto"/>
        <w:right w:val="none" w:sz="0" w:space="0" w:color="auto"/>
      </w:divBdr>
    </w:div>
    <w:div w:id="1230190948">
      <w:bodyDiv w:val="1"/>
      <w:marLeft w:val="0"/>
      <w:marRight w:val="0"/>
      <w:marTop w:val="0"/>
      <w:marBottom w:val="0"/>
      <w:divBdr>
        <w:top w:val="none" w:sz="0" w:space="0" w:color="auto"/>
        <w:left w:val="none" w:sz="0" w:space="0" w:color="auto"/>
        <w:bottom w:val="none" w:sz="0" w:space="0" w:color="auto"/>
        <w:right w:val="none" w:sz="0" w:space="0" w:color="auto"/>
      </w:divBdr>
      <w:divsChild>
        <w:div w:id="113259521">
          <w:marLeft w:val="300"/>
          <w:marRight w:val="0"/>
          <w:marTop w:val="0"/>
          <w:marBottom w:val="300"/>
          <w:divBdr>
            <w:top w:val="none" w:sz="0" w:space="0" w:color="auto"/>
            <w:left w:val="none" w:sz="0" w:space="0" w:color="auto"/>
            <w:bottom w:val="none" w:sz="0" w:space="0" w:color="auto"/>
            <w:right w:val="none" w:sz="0" w:space="0" w:color="auto"/>
          </w:divBdr>
        </w:div>
        <w:div w:id="627665185">
          <w:marLeft w:val="0"/>
          <w:marRight w:val="0"/>
          <w:marTop w:val="0"/>
          <w:marBottom w:val="0"/>
          <w:divBdr>
            <w:top w:val="none" w:sz="0" w:space="0" w:color="auto"/>
            <w:left w:val="none" w:sz="0" w:space="0" w:color="auto"/>
            <w:bottom w:val="none" w:sz="0" w:space="0" w:color="auto"/>
            <w:right w:val="none" w:sz="0" w:space="0" w:color="auto"/>
          </w:divBdr>
        </w:div>
      </w:divsChild>
    </w:div>
    <w:div w:id="1589654697">
      <w:bodyDiv w:val="1"/>
      <w:marLeft w:val="0"/>
      <w:marRight w:val="0"/>
      <w:marTop w:val="0"/>
      <w:marBottom w:val="0"/>
      <w:divBdr>
        <w:top w:val="none" w:sz="0" w:space="0" w:color="auto"/>
        <w:left w:val="none" w:sz="0" w:space="0" w:color="auto"/>
        <w:bottom w:val="none" w:sz="0" w:space="0" w:color="auto"/>
        <w:right w:val="none" w:sz="0" w:space="0" w:color="auto"/>
      </w:divBdr>
    </w:div>
    <w:div w:id="1781684774">
      <w:bodyDiv w:val="1"/>
      <w:marLeft w:val="0"/>
      <w:marRight w:val="0"/>
      <w:marTop w:val="0"/>
      <w:marBottom w:val="0"/>
      <w:divBdr>
        <w:top w:val="none" w:sz="0" w:space="0" w:color="auto"/>
        <w:left w:val="none" w:sz="0" w:space="0" w:color="auto"/>
        <w:bottom w:val="none" w:sz="0" w:space="0" w:color="auto"/>
        <w:right w:val="none" w:sz="0" w:space="0" w:color="auto"/>
      </w:divBdr>
    </w:div>
    <w:div w:id="1913273010">
      <w:bodyDiv w:val="1"/>
      <w:marLeft w:val="0"/>
      <w:marRight w:val="0"/>
      <w:marTop w:val="0"/>
      <w:marBottom w:val="0"/>
      <w:divBdr>
        <w:top w:val="none" w:sz="0" w:space="0" w:color="auto"/>
        <w:left w:val="none" w:sz="0" w:space="0" w:color="auto"/>
        <w:bottom w:val="none" w:sz="0" w:space="0" w:color="auto"/>
        <w:right w:val="none" w:sz="0" w:space="0" w:color="auto"/>
      </w:divBdr>
    </w:div>
    <w:div w:id="202220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69F58-E0B6-8E4C-8412-24EE15020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10</Pages>
  <Words>2582</Words>
  <Characters>14719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2025-03-24T13:17:00Z</dcterms:created>
  <dcterms:modified xsi:type="dcterms:W3CDTF">2025-03-26T20:06:00Z</dcterms:modified>
</cp:coreProperties>
</file>