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4E40A9" w14:textId="52A98694" w:rsidR="00162303" w:rsidRPr="00162303" w:rsidRDefault="00162303" w:rsidP="00150772">
      <w:pPr>
        <w:pStyle w:val="Header"/>
        <w:jc w:val="both"/>
        <w:rPr>
          <w:rFonts w:ascii="Arial" w:eastAsia="PMingLiU" w:hAnsi="Arial" w:cs="Arial"/>
          <w:b/>
          <w:sz w:val="22"/>
          <w:szCs w:val="22"/>
          <w:lang w:val="en-GB" w:eastAsia="en-GB"/>
        </w:rPr>
      </w:pPr>
      <w:r w:rsidRPr="00FE71A7">
        <w:rPr>
          <w:rFonts w:ascii="Arial" w:hAnsi="Arial" w:cs="Arial"/>
          <w:sz w:val="22"/>
          <w:szCs w:val="22"/>
        </w:rPr>
        <w:br w:type="textWrapping" w:clear="all"/>
      </w:r>
      <w:r w:rsidRPr="00162303">
        <w:rPr>
          <w:rFonts w:ascii="Arial" w:eastAsia="PMingLiU" w:hAnsi="Arial" w:cs="Arial"/>
          <w:noProof/>
          <w:sz w:val="22"/>
          <w:szCs w:val="22"/>
          <w:lang w:eastAsia="zh-TW"/>
        </w:rPr>
        <w:drawing>
          <wp:inline distT="0" distB="0" distL="0" distR="0" wp14:anchorId="22D7B9D0" wp14:editId="4900341B">
            <wp:extent cx="2573655" cy="532263"/>
            <wp:effectExtent l="0" t="0" r="0" b="1270"/>
            <wp:docPr id="2" name="Picture 1" descr="Z:\TSD\Assessments and Samples Docs\UWTSD Logo Internatio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TSD\Assessments and Samples Docs\UWTSD Logo International.jpg"/>
                    <pic:cNvPicPr>
                      <a:picLocks noChangeAspect="1" noChangeArrowheads="1"/>
                    </pic:cNvPicPr>
                  </pic:nvPicPr>
                  <pic:blipFill>
                    <a:blip r:embed="rId7"/>
                    <a:srcRect/>
                    <a:stretch>
                      <a:fillRect/>
                    </a:stretch>
                  </pic:blipFill>
                  <pic:spPr bwMode="auto">
                    <a:xfrm>
                      <a:off x="0" y="0"/>
                      <a:ext cx="2714359" cy="561362"/>
                    </a:xfrm>
                    <a:prstGeom prst="rect">
                      <a:avLst/>
                    </a:prstGeom>
                    <a:noFill/>
                    <a:ln w="9525">
                      <a:noFill/>
                      <a:miter lim="800000"/>
                      <a:headEnd/>
                      <a:tailEnd/>
                    </a:ln>
                  </pic:spPr>
                </pic:pic>
              </a:graphicData>
            </a:graphic>
          </wp:inline>
        </w:drawing>
      </w:r>
      <w:r w:rsidRPr="00162303">
        <w:rPr>
          <w:rFonts w:ascii="Arial" w:eastAsia="PMingLiU" w:hAnsi="Arial" w:cs="Arial"/>
          <w:sz w:val="22"/>
          <w:szCs w:val="22"/>
          <w:lang w:val="en-GB" w:eastAsia="en-GB"/>
        </w:rPr>
        <w:t xml:space="preserve"> </w:t>
      </w:r>
      <w:r w:rsidRPr="00162303">
        <w:rPr>
          <w:rFonts w:ascii="Arial" w:eastAsia="PMingLiU" w:hAnsi="Arial" w:cs="Arial"/>
          <w:sz w:val="22"/>
          <w:szCs w:val="22"/>
          <w:lang w:val="en-GB" w:eastAsia="en-GB"/>
        </w:rPr>
        <w:br w:type="textWrapping" w:clear="all"/>
      </w:r>
    </w:p>
    <w:p w14:paraId="2A1385F6" w14:textId="77777777" w:rsidR="00162303" w:rsidRPr="00162303" w:rsidRDefault="00162303" w:rsidP="00150772">
      <w:pPr>
        <w:spacing w:line="240" w:lineRule="auto"/>
        <w:jc w:val="both"/>
        <w:rPr>
          <w:rFonts w:ascii="Arial" w:eastAsia="PMingLiU" w:hAnsi="Arial" w:cs="Arial"/>
          <w:sz w:val="22"/>
          <w:szCs w:val="22"/>
          <w:lang w:val="en-GB"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958"/>
      </w:tblGrid>
      <w:tr w:rsidR="00162303" w:rsidRPr="00162303" w14:paraId="09431CE8" w14:textId="77777777" w:rsidTr="002C717F">
        <w:tc>
          <w:tcPr>
            <w:tcW w:w="9922" w:type="dxa"/>
            <w:shd w:val="clear" w:color="auto" w:fill="C0C0C0"/>
          </w:tcPr>
          <w:p w14:paraId="4A06FDCA" w14:textId="77777777" w:rsidR="00162303" w:rsidRPr="00162303" w:rsidRDefault="00162303" w:rsidP="00150772">
            <w:pPr>
              <w:keepNext/>
              <w:spacing w:before="120" w:after="120" w:line="240" w:lineRule="auto"/>
              <w:jc w:val="both"/>
              <w:outlineLvl w:val="3"/>
              <w:rPr>
                <w:rFonts w:ascii="Arial" w:eastAsia="PMingLiU" w:hAnsi="Arial" w:cs="Arial"/>
                <w:b/>
                <w:sz w:val="22"/>
                <w:szCs w:val="22"/>
                <w:lang w:val="en-GB" w:eastAsia="en-GB"/>
              </w:rPr>
            </w:pPr>
            <w:r w:rsidRPr="00162303">
              <w:rPr>
                <w:rFonts w:ascii="Arial" w:eastAsia="PMingLiU" w:hAnsi="Arial" w:cs="Arial"/>
                <w:b/>
                <w:sz w:val="22"/>
                <w:szCs w:val="22"/>
                <w:lang w:val="en-GB" w:eastAsia="en-GB"/>
              </w:rPr>
              <w:t xml:space="preserve">LEVEL 7 ASSESSMENT SPECIFICATION </w:t>
            </w:r>
          </w:p>
        </w:tc>
      </w:tr>
    </w:tbl>
    <w:p w14:paraId="6EB8A0AF" w14:textId="77777777" w:rsidR="00162303" w:rsidRPr="00162303" w:rsidRDefault="00162303" w:rsidP="00150772">
      <w:pPr>
        <w:spacing w:line="240" w:lineRule="auto"/>
        <w:jc w:val="both"/>
        <w:rPr>
          <w:rFonts w:ascii="Arial" w:eastAsia="PMingLiU" w:hAnsi="Arial" w:cs="Arial"/>
          <w:b/>
          <w:i/>
          <w:sz w:val="22"/>
          <w:szCs w:val="22"/>
          <w:lang w:val="en-GB" w:eastAsia="en-GB"/>
        </w:rPr>
      </w:pPr>
    </w:p>
    <w:tbl>
      <w:tblPr>
        <w:tblW w:w="895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88"/>
        <w:gridCol w:w="2971"/>
        <w:gridCol w:w="2046"/>
        <w:gridCol w:w="2048"/>
      </w:tblGrid>
      <w:tr w:rsidR="00162303" w:rsidRPr="00162303" w14:paraId="7155A0A4" w14:textId="77777777" w:rsidTr="00162303">
        <w:trPr>
          <w:trHeight w:val="489"/>
        </w:trPr>
        <w:tc>
          <w:tcPr>
            <w:tcW w:w="1888" w:type="dxa"/>
            <w:shd w:val="pct15" w:color="auto" w:fill="auto"/>
          </w:tcPr>
          <w:p w14:paraId="3BF94074" w14:textId="77777777" w:rsidR="00162303" w:rsidRPr="00162303" w:rsidRDefault="00162303" w:rsidP="00150772">
            <w:pPr>
              <w:spacing w:before="120" w:after="120" w:line="240" w:lineRule="auto"/>
              <w:jc w:val="both"/>
              <w:rPr>
                <w:rFonts w:ascii="Arial" w:eastAsia="PMingLiU" w:hAnsi="Arial" w:cs="Arial"/>
                <w:b/>
                <w:sz w:val="22"/>
                <w:szCs w:val="22"/>
                <w:lang w:val="en-GB" w:eastAsia="en-GB"/>
              </w:rPr>
            </w:pPr>
            <w:r w:rsidRPr="00162303">
              <w:rPr>
                <w:rFonts w:ascii="Arial" w:eastAsia="PMingLiU" w:hAnsi="Arial" w:cs="Arial"/>
                <w:b/>
                <w:sz w:val="22"/>
                <w:szCs w:val="22"/>
                <w:lang w:val="en-GB" w:eastAsia="en-GB"/>
              </w:rPr>
              <w:t>Student name:</w:t>
            </w:r>
          </w:p>
        </w:tc>
        <w:tc>
          <w:tcPr>
            <w:tcW w:w="2971" w:type="dxa"/>
          </w:tcPr>
          <w:p w14:paraId="642A64C0" w14:textId="77777777" w:rsidR="00162303" w:rsidRPr="00162303" w:rsidRDefault="00162303" w:rsidP="00150772">
            <w:pPr>
              <w:spacing w:before="120" w:after="120" w:line="240" w:lineRule="auto"/>
              <w:jc w:val="both"/>
              <w:rPr>
                <w:rFonts w:ascii="Arial" w:eastAsia="PMingLiU" w:hAnsi="Arial" w:cs="Arial"/>
                <w:b/>
                <w:sz w:val="22"/>
                <w:szCs w:val="22"/>
                <w:lang w:val="en-GB" w:eastAsia="en-GB"/>
              </w:rPr>
            </w:pPr>
            <w:r w:rsidRPr="00162303">
              <w:rPr>
                <w:rFonts w:ascii="Arial" w:eastAsia="PMingLiU" w:hAnsi="Arial" w:cs="Arial"/>
                <w:b/>
                <w:sz w:val="22"/>
                <w:szCs w:val="22"/>
                <w:lang w:val="en-GB" w:eastAsia="en-GB"/>
              </w:rPr>
              <w:t>Keung Nga Yee Teresa</w:t>
            </w:r>
          </w:p>
        </w:tc>
        <w:tc>
          <w:tcPr>
            <w:tcW w:w="2046" w:type="dxa"/>
            <w:shd w:val="clear" w:color="auto" w:fill="D9D9D9"/>
          </w:tcPr>
          <w:p w14:paraId="496805F2" w14:textId="77777777" w:rsidR="00162303" w:rsidRPr="00162303" w:rsidRDefault="00162303" w:rsidP="00150772">
            <w:pPr>
              <w:spacing w:before="120" w:after="120" w:line="240" w:lineRule="auto"/>
              <w:jc w:val="both"/>
              <w:rPr>
                <w:rFonts w:ascii="Arial" w:eastAsia="PMingLiU" w:hAnsi="Arial" w:cs="Arial"/>
                <w:b/>
                <w:sz w:val="22"/>
                <w:szCs w:val="22"/>
                <w:lang w:val="en-GB" w:eastAsia="en-GB"/>
              </w:rPr>
            </w:pPr>
            <w:r w:rsidRPr="00162303">
              <w:rPr>
                <w:rFonts w:ascii="Arial" w:eastAsia="PMingLiU" w:hAnsi="Arial" w:cs="Arial"/>
                <w:b/>
                <w:sz w:val="22"/>
                <w:szCs w:val="22"/>
                <w:lang w:val="en-GB" w:eastAsia="en-GB"/>
              </w:rPr>
              <w:t>Student ID number:</w:t>
            </w:r>
          </w:p>
        </w:tc>
        <w:tc>
          <w:tcPr>
            <w:tcW w:w="2046" w:type="dxa"/>
          </w:tcPr>
          <w:p w14:paraId="36B8F9D8" w14:textId="77777777" w:rsidR="00162303" w:rsidRPr="00162303" w:rsidRDefault="00162303" w:rsidP="00150772">
            <w:pPr>
              <w:spacing w:before="120" w:after="120" w:line="240" w:lineRule="auto"/>
              <w:jc w:val="both"/>
              <w:rPr>
                <w:rFonts w:ascii="Arial" w:eastAsia="PMingLiU" w:hAnsi="Arial" w:cs="Arial"/>
                <w:b/>
                <w:sz w:val="22"/>
                <w:szCs w:val="22"/>
                <w:lang w:val="en-GB" w:eastAsia="en-GB"/>
              </w:rPr>
            </w:pPr>
            <w:r w:rsidRPr="00162303">
              <w:rPr>
                <w:rFonts w:ascii="Arial" w:eastAsia="PMingLiU" w:hAnsi="Arial" w:cs="Arial"/>
                <w:b/>
                <w:sz w:val="22"/>
                <w:szCs w:val="22"/>
                <w:lang w:val="en-GB" w:eastAsia="en-GB"/>
              </w:rPr>
              <w:t>1922108</w:t>
            </w:r>
          </w:p>
        </w:tc>
      </w:tr>
      <w:tr w:rsidR="00162303" w:rsidRPr="00162303" w14:paraId="5AFE43D2" w14:textId="77777777" w:rsidTr="00162303">
        <w:trPr>
          <w:trHeight w:val="489"/>
        </w:trPr>
        <w:tc>
          <w:tcPr>
            <w:tcW w:w="1888" w:type="dxa"/>
            <w:shd w:val="pct15" w:color="auto" w:fill="auto"/>
          </w:tcPr>
          <w:p w14:paraId="7D00B739" w14:textId="77777777" w:rsidR="00162303" w:rsidRPr="00162303" w:rsidRDefault="00162303" w:rsidP="00150772">
            <w:pPr>
              <w:spacing w:before="120" w:after="120" w:line="240" w:lineRule="auto"/>
              <w:jc w:val="both"/>
              <w:rPr>
                <w:rFonts w:ascii="Arial" w:eastAsia="PMingLiU" w:hAnsi="Arial" w:cs="Arial"/>
                <w:b/>
                <w:sz w:val="22"/>
                <w:szCs w:val="22"/>
                <w:lang w:val="en-GB" w:eastAsia="en-GB"/>
              </w:rPr>
            </w:pPr>
            <w:r w:rsidRPr="00162303">
              <w:rPr>
                <w:rFonts w:ascii="Arial" w:eastAsia="PMingLiU" w:hAnsi="Arial" w:cs="Arial"/>
                <w:b/>
                <w:sz w:val="22"/>
                <w:szCs w:val="22"/>
                <w:lang w:val="en-GB" w:eastAsia="en-GB"/>
              </w:rPr>
              <w:t>Programme:</w:t>
            </w:r>
          </w:p>
        </w:tc>
        <w:tc>
          <w:tcPr>
            <w:tcW w:w="7065" w:type="dxa"/>
            <w:gridSpan w:val="3"/>
          </w:tcPr>
          <w:p w14:paraId="1F820B75" w14:textId="77777777" w:rsidR="00162303" w:rsidRPr="00162303" w:rsidRDefault="00162303" w:rsidP="00150772">
            <w:pPr>
              <w:spacing w:before="120" w:after="120" w:line="240" w:lineRule="auto"/>
              <w:jc w:val="both"/>
              <w:rPr>
                <w:rFonts w:ascii="Arial" w:eastAsia="PMingLiU" w:hAnsi="Arial" w:cs="Arial"/>
                <w:b/>
                <w:sz w:val="22"/>
                <w:szCs w:val="22"/>
                <w:lang w:val="en-GB" w:eastAsia="zh-HK"/>
              </w:rPr>
            </w:pPr>
            <w:r w:rsidRPr="00162303">
              <w:rPr>
                <w:rFonts w:ascii="Arial" w:eastAsia="PMingLiU" w:hAnsi="Arial" w:cs="Arial"/>
                <w:b/>
                <w:sz w:val="22"/>
                <w:szCs w:val="22"/>
                <w:lang w:val="en-GB" w:eastAsia="zh-HK"/>
              </w:rPr>
              <w:t>MBA</w:t>
            </w:r>
          </w:p>
        </w:tc>
      </w:tr>
      <w:tr w:rsidR="00162303" w:rsidRPr="00162303" w14:paraId="2146726E" w14:textId="77777777" w:rsidTr="00162303">
        <w:trPr>
          <w:trHeight w:val="489"/>
        </w:trPr>
        <w:tc>
          <w:tcPr>
            <w:tcW w:w="1888" w:type="dxa"/>
            <w:shd w:val="pct15" w:color="auto" w:fill="auto"/>
          </w:tcPr>
          <w:p w14:paraId="677CB198" w14:textId="77777777" w:rsidR="00162303" w:rsidRPr="00162303" w:rsidRDefault="00162303" w:rsidP="00150772">
            <w:pPr>
              <w:spacing w:before="120" w:after="120" w:line="240" w:lineRule="auto"/>
              <w:jc w:val="both"/>
              <w:rPr>
                <w:rFonts w:ascii="Arial" w:eastAsia="PMingLiU" w:hAnsi="Arial" w:cs="Arial"/>
                <w:b/>
                <w:sz w:val="22"/>
                <w:szCs w:val="22"/>
                <w:lang w:val="en-GB" w:eastAsia="en-GB"/>
              </w:rPr>
            </w:pPr>
            <w:r w:rsidRPr="00162303">
              <w:rPr>
                <w:rFonts w:ascii="Arial" w:eastAsia="PMingLiU" w:hAnsi="Arial" w:cs="Arial"/>
                <w:b/>
                <w:sz w:val="22"/>
                <w:szCs w:val="22"/>
                <w:lang w:val="en-GB" w:eastAsia="en-GB"/>
              </w:rPr>
              <w:t>Module:</w:t>
            </w:r>
          </w:p>
        </w:tc>
        <w:tc>
          <w:tcPr>
            <w:tcW w:w="7065" w:type="dxa"/>
            <w:gridSpan w:val="3"/>
            <w:shd w:val="clear" w:color="auto" w:fill="auto"/>
          </w:tcPr>
          <w:p w14:paraId="35B5FA0C" w14:textId="77777777" w:rsidR="00162303" w:rsidRPr="00162303" w:rsidRDefault="00162303" w:rsidP="00150772">
            <w:pPr>
              <w:spacing w:before="120" w:after="120" w:line="240" w:lineRule="auto"/>
              <w:jc w:val="both"/>
              <w:rPr>
                <w:rFonts w:ascii="Arial" w:eastAsia="PMingLiU" w:hAnsi="Arial" w:cs="Arial"/>
                <w:b/>
                <w:sz w:val="22"/>
                <w:szCs w:val="22"/>
                <w:lang w:val="en-GB" w:eastAsia="zh-HK"/>
              </w:rPr>
            </w:pPr>
            <w:r w:rsidRPr="00162303">
              <w:rPr>
                <w:rFonts w:ascii="Arial" w:eastAsia="PMingLiU" w:hAnsi="Arial" w:cs="Arial"/>
                <w:b/>
                <w:sz w:val="22"/>
                <w:szCs w:val="22"/>
                <w:lang w:val="en-GB" w:eastAsia="zh-HK"/>
              </w:rPr>
              <w:t>Human Resources Management</w:t>
            </w:r>
          </w:p>
        </w:tc>
      </w:tr>
      <w:tr w:rsidR="00162303" w:rsidRPr="00162303" w14:paraId="4AC9704C" w14:textId="77777777" w:rsidTr="00162303">
        <w:trPr>
          <w:trHeight w:val="761"/>
        </w:trPr>
        <w:tc>
          <w:tcPr>
            <w:tcW w:w="1888" w:type="dxa"/>
            <w:shd w:val="pct15" w:color="auto" w:fill="auto"/>
          </w:tcPr>
          <w:p w14:paraId="26A0B829" w14:textId="77777777" w:rsidR="00162303" w:rsidRPr="00162303" w:rsidRDefault="00162303" w:rsidP="00150772">
            <w:pPr>
              <w:spacing w:before="120" w:after="120" w:line="240" w:lineRule="auto"/>
              <w:jc w:val="both"/>
              <w:rPr>
                <w:rFonts w:ascii="Arial" w:eastAsia="PMingLiU" w:hAnsi="Arial" w:cs="Arial"/>
                <w:b/>
                <w:sz w:val="22"/>
                <w:szCs w:val="22"/>
                <w:lang w:val="en-GB" w:eastAsia="en-GB"/>
              </w:rPr>
            </w:pPr>
            <w:r w:rsidRPr="00162303">
              <w:rPr>
                <w:rFonts w:ascii="Arial" w:eastAsia="PMingLiU" w:hAnsi="Arial" w:cs="Arial"/>
                <w:b/>
                <w:sz w:val="22"/>
                <w:szCs w:val="22"/>
                <w:lang w:val="en-GB" w:eastAsia="en-GB"/>
              </w:rPr>
              <w:t>Module code:</w:t>
            </w:r>
          </w:p>
        </w:tc>
        <w:tc>
          <w:tcPr>
            <w:tcW w:w="2971" w:type="dxa"/>
          </w:tcPr>
          <w:p w14:paraId="7EC5BA55" w14:textId="77777777" w:rsidR="00162303" w:rsidRPr="00162303" w:rsidRDefault="00162303" w:rsidP="00150772">
            <w:pPr>
              <w:spacing w:before="120" w:after="120" w:line="240" w:lineRule="auto"/>
              <w:jc w:val="both"/>
              <w:rPr>
                <w:rFonts w:ascii="Arial" w:eastAsia="PMingLiU" w:hAnsi="Arial" w:cs="Arial"/>
                <w:b/>
                <w:sz w:val="22"/>
                <w:szCs w:val="22"/>
                <w:lang w:val="en-GB" w:eastAsia="zh-HK"/>
              </w:rPr>
            </w:pPr>
            <w:r w:rsidRPr="00162303">
              <w:rPr>
                <w:rFonts w:ascii="Arial" w:eastAsia="PMingLiU" w:hAnsi="Arial" w:cs="Arial"/>
                <w:b/>
                <w:sz w:val="22"/>
                <w:szCs w:val="22"/>
                <w:lang w:val="en-GB" w:eastAsia="zh-HK"/>
              </w:rPr>
              <w:t>HKBM 7007</w:t>
            </w:r>
          </w:p>
        </w:tc>
        <w:tc>
          <w:tcPr>
            <w:tcW w:w="2046" w:type="dxa"/>
            <w:shd w:val="clear" w:color="auto" w:fill="D9D9D9"/>
          </w:tcPr>
          <w:p w14:paraId="028A4CFD" w14:textId="77777777" w:rsidR="00162303" w:rsidRPr="00162303" w:rsidRDefault="00162303" w:rsidP="00150772">
            <w:pPr>
              <w:keepNext/>
              <w:spacing w:line="240" w:lineRule="auto"/>
              <w:jc w:val="both"/>
              <w:outlineLvl w:val="1"/>
              <w:rPr>
                <w:rFonts w:ascii="Arial" w:eastAsia="PMingLiU" w:hAnsi="Arial" w:cs="Arial"/>
                <w:b/>
                <w:sz w:val="22"/>
                <w:szCs w:val="22"/>
                <w:lang w:val="en-GB" w:eastAsia="en-GB"/>
              </w:rPr>
            </w:pPr>
            <w:r w:rsidRPr="00162303">
              <w:rPr>
                <w:rFonts w:ascii="Arial" w:eastAsia="PMingLiU" w:hAnsi="Arial" w:cs="Arial"/>
                <w:b/>
                <w:sz w:val="22"/>
                <w:szCs w:val="22"/>
                <w:lang w:val="en-GB" w:eastAsia="en-GB"/>
              </w:rPr>
              <w:t>Contribution to Overall Module Assessment (%):</w:t>
            </w:r>
          </w:p>
        </w:tc>
        <w:tc>
          <w:tcPr>
            <w:tcW w:w="2046" w:type="dxa"/>
          </w:tcPr>
          <w:p w14:paraId="0EB82E00" w14:textId="77777777" w:rsidR="00162303" w:rsidRPr="00162303" w:rsidRDefault="00162303" w:rsidP="00150772">
            <w:pPr>
              <w:spacing w:before="120" w:after="120" w:line="240" w:lineRule="auto"/>
              <w:jc w:val="both"/>
              <w:rPr>
                <w:rFonts w:ascii="Arial" w:eastAsia="PMingLiU" w:hAnsi="Arial" w:cs="Arial"/>
                <w:b/>
                <w:sz w:val="22"/>
                <w:szCs w:val="22"/>
                <w:lang w:val="en-GB" w:eastAsia="zh-HK"/>
              </w:rPr>
            </w:pPr>
            <w:r w:rsidRPr="00162303">
              <w:rPr>
                <w:rFonts w:ascii="Arial" w:eastAsia="PMingLiU" w:hAnsi="Arial" w:cs="Arial"/>
                <w:b/>
                <w:sz w:val="22"/>
                <w:szCs w:val="22"/>
                <w:lang w:val="en-GB" w:eastAsia="zh-HK"/>
              </w:rPr>
              <w:t>50%</w:t>
            </w:r>
          </w:p>
        </w:tc>
      </w:tr>
      <w:tr w:rsidR="00162303" w:rsidRPr="00162303" w14:paraId="5D7041B7" w14:textId="77777777" w:rsidTr="00162303">
        <w:trPr>
          <w:trHeight w:val="489"/>
        </w:trPr>
        <w:tc>
          <w:tcPr>
            <w:tcW w:w="1888" w:type="dxa"/>
            <w:shd w:val="pct15" w:color="auto" w:fill="auto"/>
          </w:tcPr>
          <w:p w14:paraId="2CE5EA3A" w14:textId="77777777" w:rsidR="00162303" w:rsidRPr="00162303" w:rsidRDefault="00162303" w:rsidP="00150772">
            <w:pPr>
              <w:spacing w:before="120" w:after="120" w:line="240" w:lineRule="auto"/>
              <w:jc w:val="both"/>
              <w:rPr>
                <w:rFonts w:ascii="Arial" w:eastAsia="PMingLiU" w:hAnsi="Arial" w:cs="Arial"/>
                <w:b/>
                <w:sz w:val="22"/>
                <w:szCs w:val="22"/>
                <w:lang w:val="en-GB" w:eastAsia="en-GB"/>
              </w:rPr>
            </w:pPr>
            <w:r w:rsidRPr="00162303">
              <w:rPr>
                <w:rFonts w:ascii="Arial" w:eastAsia="PMingLiU" w:hAnsi="Arial" w:cs="Arial"/>
                <w:b/>
                <w:sz w:val="22"/>
                <w:szCs w:val="22"/>
                <w:lang w:val="en-GB" w:eastAsia="en-GB"/>
              </w:rPr>
              <w:t>Lecturer:</w:t>
            </w:r>
          </w:p>
        </w:tc>
        <w:tc>
          <w:tcPr>
            <w:tcW w:w="2971" w:type="dxa"/>
          </w:tcPr>
          <w:p w14:paraId="0B578C04" w14:textId="77777777" w:rsidR="00162303" w:rsidRPr="00162303" w:rsidRDefault="00162303" w:rsidP="00150772">
            <w:pPr>
              <w:spacing w:before="120" w:after="120" w:line="240" w:lineRule="auto"/>
              <w:jc w:val="both"/>
              <w:rPr>
                <w:rFonts w:ascii="Arial" w:eastAsia="PMingLiU" w:hAnsi="Arial" w:cs="Arial"/>
                <w:b/>
                <w:sz w:val="22"/>
                <w:szCs w:val="22"/>
                <w:lang w:val="en-GB" w:eastAsia="zh-HK"/>
              </w:rPr>
            </w:pPr>
            <w:r w:rsidRPr="00162303">
              <w:rPr>
                <w:rFonts w:ascii="Arial" w:eastAsia="PMingLiU" w:hAnsi="Arial" w:cs="Arial"/>
                <w:b/>
                <w:sz w:val="22"/>
                <w:szCs w:val="22"/>
                <w:lang w:val="en-GB" w:eastAsia="zh-HK"/>
              </w:rPr>
              <w:t>Dr Leo Ho</w:t>
            </w:r>
          </w:p>
        </w:tc>
        <w:tc>
          <w:tcPr>
            <w:tcW w:w="2046" w:type="dxa"/>
            <w:shd w:val="clear" w:color="auto" w:fill="D9D9D9"/>
          </w:tcPr>
          <w:p w14:paraId="38A319DE" w14:textId="77777777" w:rsidR="00162303" w:rsidRPr="00162303" w:rsidRDefault="00162303" w:rsidP="00150772">
            <w:pPr>
              <w:spacing w:before="120" w:after="120" w:line="240" w:lineRule="auto"/>
              <w:jc w:val="both"/>
              <w:rPr>
                <w:rFonts w:ascii="Arial" w:eastAsia="PMingLiU" w:hAnsi="Arial" w:cs="Arial"/>
                <w:b/>
                <w:sz w:val="22"/>
                <w:szCs w:val="22"/>
                <w:lang w:val="en-GB" w:eastAsia="en-GB"/>
              </w:rPr>
            </w:pPr>
            <w:r w:rsidRPr="00162303">
              <w:rPr>
                <w:rFonts w:ascii="Arial" w:eastAsia="PMingLiU" w:hAnsi="Arial" w:cs="Arial"/>
                <w:b/>
                <w:sz w:val="22"/>
                <w:szCs w:val="22"/>
                <w:lang w:val="en-GB" w:eastAsia="en-GB"/>
              </w:rPr>
              <w:t>Internal Verifier:</w:t>
            </w:r>
          </w:p>
        </w:tc>
        <w:tc>
          <w:tcPr>
            <w:tcW w:w="2046" w:type="dxa"/>
          </w:tcPr>
          <w:p w14:paraId="64243E20" w14:textId="77777777" w:rsidR="00162303" w:rsidRPr="00162303" w:rsidRDefault="00162303" w:rsidP="00150772">
            <w:pPr>
              <w:spacing w:before="120" w:after="120" w:line="240" w:lineRule="auto"/>
              <w:jc w:val="both"/>
              <w:rPr>
                <w:rFonts w:ascii="Arial" w:eastAsia="PMingLiU" w:hAnsi="Arial" w:cs="Arial"/>
                <w:b/>
                <w:sz w:val="22"/>
                <w:szCs w:val="22"/>
                <w:lang w:eastAsia="zh-HK"/>
              </w:rPr>
            </w:pPr>
            <w:r w:rsidRPr="00162303">
              <w:rPr>
                <w:rFonts w:ascii="Arial" w:eastAsia="PMingLiU" w:hAnsi="Arial" w:cs="Arial"/>
                <w:b/>
                <w:sz w:val="22"/>
                <w:szCs w:val="22"/>
                <w:lang w:eastAsia="zh-HK"/>
              </w:rPr>
              <w:t>Dr Terence Li</w:t>
            </w:r>
          </w:p>
        </w:tc>
      </w:tr>
      <w:tr w:rsidR="00162303" w:rsidRPr="00162303" w14:paraId="7EA53562" w14:textId="77777777" w:rsidTr="00162303">
        <w:trPr>
          <w:trHeight w:val="761"/>
        </w:trPr>
        <w:tc>
          <w:tcPr>
            <w:tcW w:w="1888" w:type="dxa"/>
            <w:shd w:val="pct15" w:color="auto" w:fill="auto"/>
          </w:tcPr>
          <w:p w14:paraId="3695FF7E" w14:textId="77777777" w:rsidR="00162303" w:rsidRPr="00162303" w:rsidRDefault="00162303" w:rsidP="00150772">
            <w:pPr>
              <w:spacing w:before="120" w:after="120" w:line="240" w:lineRule="auto"/>
              <w:jc w:val="both"/>
              <w:rPr>
                <w:rFonts w:ascii="Arial" w:eastAsia="PMingLiU" w:hAnsi="Arial" w:cs="Arial"/>
                <w:b/>
                <w:sz w:val="22"/>
                <w:szCs w:val="22"/>
                <w:lang w:val="en-GB" w:eastAsia="en-GB"/>
              </w:rPr>
            </w:pPr>
            <w:r w:rsidRPr="00162303">
              <w:rPr>
                <w:rFonts w:ascii="Arial" w:eastAsia="PMingLiU" w:hAnsi="Arial" w:cs="Arial"/>
                <w:b/>
                <w:sz w:val="22"/>
                <w:szCs w:val="22"/>
                <w:lang w:val="en-GB" w:eastAsia="en-GB"/>
              </w:rPr>
              <w:t>Assignment Title:</w:t>
            </w:r>
          </w:p>
        </w:tc>
        <w:tc>
          <w:tcPr>
            <w:tcW w:w="2971" w:type="dxa"/>
          </w:tcPr>
          <w:p w14:paraId="337761D6" w14:textId="77777777" w:rsidR="00162303" w:rsidRPr="00162303" w:rsidRDefault="00162303" w:rsidP="00150772">
            <w:pPr>
              <w:spacing w:before="120" w:after="120" w:line="240" w:lineRule="auto"/>
              <w:jc w:val="both"/>
              <w:rPr>
                <w:rFonts w:ascii="Arial" w:eastAsia="PMingLiU" w:hAnsi="Arial" w:cs="Arial"/>
                <w:b/>
                <w:sz w:val="22"/>
                <w:szCs w:val="22"/>
                <w:lang w:val="en-GB" w:eastAsia="zh-HK"/>
              </w:rPr>
            </w:pPr>
            <w:r w:rsidRPr="00162303">
              <w:rPr>
                <w:rFonts w:ascii="Arial" w:eastAsia="PMingLiU" w:hAnsi="Arial" w:cs="Arial"/>
                <w:b/>
                <w:sz w:val="22"/>
                <w:szCs w:val="22"/>
                <w:lang w:val="en-GB" w:eastAsia="zh-HK"/>
              </w:rPr>
              <w:t>Assignment 2</w:t>
            </w:r>
          </w:p>
        </w:tc>
        <w:tc>
          <w:tcPr>
            <w:tcW w:w="2046" w:type="dxa"/>
            <w:shd w:val="pct15" w:color="auto" w:fill="auto"/>
          </w:tcPr>
          <w:p w14:paraId="05F11926" w14:textId="77777777" w:rsidR="00162303" w:rsidRPr="00162303" w:rsidRDefault="00162303" w:rsidP="00150772">
            <w:pPr>
              <w:spacing w:before="120" w:after="120" w:line="240" w:lineRule="auto"/>
              <w:jc w:val="both"/>
              <w:rPr>
                <w:rFonts w:ascii="Arial" w:eastAsia="PMingLiU" w:hAnsi="Arial" w:cs="Arial"/>
                <w:b/>
                <w:sz w:val="22"/>
                <w:szCs w:val="22"/>
                <w:lang w:val="en-GB" w:eastAsia="en-GB"/>
              </w:rPr>
            </w:pPr>
            <w:r w:rsidRPr="00162303">
              <w:rPr>
                <w:rFonts w:ascii="Arial" w:eastAsia="PMingLiU" w:hAnsi="Arial" w:cs="Arial"/>
                <w:b/>
                <w:sz w:val="22"/>
                <w:szCs w:val="22"/>
                <w:lang w:val="en-GB" w:eastAsia="en-GB"/>
              </w:rPr>
              <w:t>Word count (or equivalent):</w:t>
            </w:r>
          </w:p>
        </w:tc>
        <w:tc>
          <w:tcPr>
            <w:tcW w:w="2046" w:type="dxa"/>
          </w:tcPr>
          <w:p w14:paraId="0D5E8872" w14:textId="77777777" w:rsidR="00162303" w:rsidRPr="00162303" w:rsidRDefault="00162303" w:rsidP="00150772">
            <w:pPr>
              <w:spacing w:before="120" w:after="120" w:line="240" w:lineRule="auto"/>
              <w:jc w:val="both"/>
              <w:rPr>
                <w:rFonts w:ascii="Arial" w:eastAsia="PMingLiU" w:hAnsi="Arial" w:cs="Arial"/>
                <w:b/>
                <w:sz w:val="22"/>
                <w:szCs w:val="22"/>
                <w:lang w:val="en-GB" w:eastAsia="zh-HK"/>
              </w:rPr>
            </w:pPr>
            <w:r w:rsidRPr="00162303">
              <w:rPr>
                <w:rFonts w:ascii="Arial" w:eastAsia="PMingLiU" w:hAnsi="Arial" w:cs="Arial"/>
                <w:b/>
                <w:sz w:val="22"/>
                <w:szCs w:val="22"/>
                <w:lang w:val="en-GB" w:eastAsia="zh-HK"/>
              </w:rPr>
              <w:t>2,500 words</w:t>
            </w:r>
          </w:p>
        </w:tc>
      </w:tr>
      <w:tr w:rsidR="00162303" w:rsidRPr="00162303" w14:paraId="7543A796" w14:textId="77777777" w:rsidTr="00162303">
        <w:trPr>
          <w:trHeight w:val="979"/>
        </w:trPr>
        <w:tc>
          <w:tcPr>
            <w:tcW w:w="1888" w:type="dxa"/>
            <w:shd w:val="pct15" w:color="auto" w:fill="auto"/>
          </w:tcPr>
          <w:p w14:paraId="22FDE4BE" w14:textId="77777777" w:rsidR="00162303" w:rsidRPr="00162303" w:rsidRDefault="00162303" w:rsidP="00150772">
            <w:pPr>
              <w:spacing w:before="120" w:after="120" w:line="240" w:lineRule="auto"/>
              <w:jc w:val="both"/>
              <w:rPr>
                <w:rFonts w:ascii="Arial" w:eastAsia="PMingLiU" w:hAnsi="Arial" w:cs="Arial"/>
                <w:b/>
                <w:sz w:val="22"/>
                <w:szCs w:val="22"/>
                <w:lang w:val="en-GB" w:eastAsia="en-GB"/>
              </w:rPr>
            </w:pPr>
            <w:r w:rsidRPr="00162303">
              <w:rPr>
                <w:rFonts w:ascii="Arial" w:eastAsia="PMingLiU" w:hAnsi="Arial" w:cs="Arial"/>
                <w:b/>
                <w:sz w:val="22"/>
                <w:szCs w:val="22"/>
                <w:lang w:val="en-GB" w:eastAsia="en-GB"/>
              </w:rPr>
              <w:t>Submission deadline:</w:t>
            </w:r>
          </w:p>
        </w:tc>
        <w:tc>
          <w:tcPr>
            <w:tcW w:w="2971" w:type="dxa"/>
            <w:shd w:val="clear" w:color="auto" w:fill="auto"/>
          </w:tcPr>
          <w:p w14:paraId="013D157C" w14:textId="77777777" w:rsidR="00162303" w:rsidRPr="00162303" w:rsidRDefault="00162303" w:rsidP="00150772">
            <w:pPr>
              <w:numPr>
                <w:ilvl w:val="0"/>
                <w:numId w:val="1"/>
              </w:numPr>
              <w:spacing w:before="120" w:after="120" w:line="240" w:lineRule="auto"/>
              <w:contextualSpacing/>
              <w:jc w:val="both"/>
              <w:rPr>
                <w:rFonts w:ascii="Arial" w:eastAsia="PMingLiU" w:hAnsi="Arial" w:cs="Arial"/>
                <w:sz w:val="22"/>
                <w:szCs w:val="22"/>
                <w:lang w:val="en-GB" w:eastAsia="en-GB"/>
              </w:rPr>
            </w:pPr>
            <w:r w:rsidRPr="00162303">
              <w:rPr>
                <w:rFonts w:ascii="Arial" w:eastAsia="PMingLiU" w:hAnsi="Arial" w:cs="Arial"/>
                <w:sz w:val="22"/>
                <w:szCs w:val="22"/>
                <w:lang w:val="en-GB" w:eastAsia="en-GB"/>
              </w:rPr>
              <w:t xml:space="preserve">6 Dec, 2020 (Ethic </w:t>
            </w:r>
            <w:proofErr w:type="gramStart"/>
            <w:r w:rsidRPr="00162303">
              <w:rPr>
                <w:rFonts w:ascii="Arial" w:eastAsia="PMingLiU" w:hAnsi="Arial" w:cs="Arial"/>
                <w:sz w:val="22"/>
                <w:szCs w:val="22"/>
                <w:lang w:val="en-GB" w:eastAsia="en-GB"/>
              </w:rPr>
              <w:t>Form)*</w:t>
            </w:r>
            <w:proofErr w:type="gramEnd"/>
          </w:p>
          <w:p w14:paraId="1F6DDBF7" w14:textId="77777777" w:rsidR="00162303" w:rsidRPr="00162303" w:rsidRDefault="00162303" w:rsidP="00150772">
            <w:pPr>
              <w:numPr>
                <w:ilvl w:val="0"/>
                <w:numId w:val="1"/>
              </w:numPr>
              <w:spacing w:before="120" w:after="120" w:line="240" w:lineRule="auto"/>
              <w:contextualSpacing/>
              <w:jc w:val="both"/>
              <w:rPr>
                <w:rFonts w:ascii="Arial" w:eastAsia="PMingLiU" w:hAnsi="Arial" w:cs="Arial"/>
                <w:sz w:val="22"/>
                <w:szCs w:val="22"/>
                <w:lang w:val="en-GB" w:eastAsia="en-GB"/>
              </w:rPr>
            </w:pPr>
            <w:r w:rsidRPr="00162303">
              <w:rPr>
                <w:rFonts w:ascii="Arial" w:eastAsia="PMingLiU" w:hAnsi="Arial" w:cs="Arial"/>
                <w:sz w:val="22"/>
                <w:szCs w:val="22"/>
                <w:lang w:val="en-GB" w:eastAsia="en-GB"/>
              </w:rPr>
              <w:t>4 Jan 2021 (Report)</w:t>
            </w:r>
          </w:p>
          <w:p w14:paraId="549C42C2" w14:textId="77777777" w:rsidR="00162303" w:rsidRPr="00162303" w:rsidRDefault="00162303" w:rsidP="00150772">
            <w:pPr>
              <w:spacing w:before="120" w:after="120" w:line="240" w:lineRule="auto"/>
              <w:jc w:val="both"/>
              <w:rPr>
                <w:rFonts w:ascii="Arial" w:eastAsia="PMingLiU" w:hAnsi="Arial" w:cs="Arial"/>
                <w:b/>
                <w:sz w:val="22"/>
                <w:szCs w:val="22"/>
                <w:lang w:val="en-GB" w:eastAsia="zh-HK"/>
              </w:rPr>
            </w:pPr>
          </w:p>
        </w:tc>
        <w:tc>
          <w:tcPr>
            <w:tcW w:w="2046" w:type="dxa"/>
            <w:shd w:val="pct15" w:color="auto" w:fill="auto"/>
          </w:tcPr>
          <w:p w14:paraId="09BA0261" w14:textId="77777777" w:rsidR="00162303" w:rsidRPr="00162303" w:rsidRDefault="00162303" w:rsidP="00150772">
            <w:pPr>
              <w:spacing w:before="120" w:after="120" w:line="240" w:lineRule="auto"/>
              <w:jc w:val="both"/>
              <w:rPr>
                <w:rFonts w:ascii="Arial" w:eastAsia="PMingLiU" w:hAnsi="Arial" w:cs="Arial"/>
                <w:b/>
                <w:sz w:val="22"/>
                <w:szCs w:val="22"/>
                <w:lang w:val="en-GB" w:eastAsia="en-GB"/>
              </w:rPr>
            </w:pPr>
            <w:r w:rsidRPr="00162303">
              <w:rPr>
                <w:rFonts w:ascii="Arial" w:eastAsia="PMingLiU" w:hAnsi="Arial" w:cs="Arial"/>
                <w:b/>
                <w:sz w:val="22"/>
                <w:szCs w:val="22"/>
                <w:lang w:val="en-GB" w:eastAsia="en-GB"/>
              </w:rPr>
              <w:t>Return date of provisional marks &amp; written feedback:</w:t>
            </w:r>
          </w:p>
        </w:tc>
        <w:tc>
          <w:tcPr>
            <w:tcW w:w="2046" w:type="dxa"/>
          </w:tcPr>
          <w:p w14:paraId="3FFA02A1" w14:textId="77777777" w:rsidR="00162303" w:rsidRPr="00162303" w:rsidRDefault="00162303" w:rsidP="00150772">
            <w:pPr>
              <w:spacing w:before="120" w:after="120" w:line="240" w:lineRule="auto"/>
              <w:jc w:val="both"/>
              <w:rPr>
                <w:rFonts w:ascii="Arial" w:eastAsia="PMingLiU" w:hAnsi="Arial" w:cs="Arial"/>
                <w:sz w:val="22"/>
                <w:szCs w:val="22"/>
                <w:lang w:eastAsia="zh-HK"/>
              </w:rPr>
            </w:pPr>
            <w:r w:rsidRPr="00162303">
              <w:rPr>
                <w:rFonts w:ascii="Arial" w:eastAsia="PMingLiU" w:hAnsi="Arial" w:cs="Arial"/>
                <w:sz w:val="22"/>
                <w:szCs w:val="22"/>
                <w:lang w:eastAsia="zh-HK"/>
              </w:rPr>
              <w:t>20 working days after submission</w:t>
            </w:r>
          </w:p>
        </w:tc>
      </w:tr>
      <w:tr w:rsidR="00162303" w:rsidRPr="00162303" w14:paraId="76A728AC" w14:textId="77777777" w:rsidTr="00162303">
        <w:trPr>
          <w:trHeight w:val="1251"/>
        </w:trPr>
        <w:tc>
          <w:tcPr>
            <w:tcW w:w="1888" w:type="dxa"/>
            <w:shd w:val="pct15" w:color="auto" w:fill="auto"/>
          </w:tcPr>
          <w:p w14:paraId="3F81222C" w14:textId="77777777" w:rsidR="00162303" w:rsidRPr="00162303" w:rsidRDefault="00162303" w:rsidP="00150772">
            <w:pPr>
              <w:spacing w:before="120" w:after="120" w:line="240" w:lineRule="auto"/>
              <w:jc w:val="both"/>
              <w:rPr>
                <w:rFonts w:ascii="Arial" w:eastAsia="PMingLiU" w:hAnsi="Arial" w:cs="Arial"/>
                <w:b/>
                <w:sz w:val="22"/>
                <w:szCs w:val="22"/>
                <w:lang w:val="en-GB" w:eastAsia="en-GB"/>
              </w:rPr>
            </w:pPr>
            <w:r w:rsidRPr="00162303">
              <w:rPr>
                <w:rFonts w:ascii="Arial" w:eastAsia="PMingLiU" w:hAnsi="Arial" w:cs="Arial"/>
                <w:b/>
                <w:sz w:val="22"/>
                <w:szCs w:val="22"/>
                <w:lang w:val="en-GB" w:eastAsia="en-GB"/>
              </w:rPr>
              <w:t>Remarks</w:t>
            </w:r>
          </w:p>
        </w:tc>
        <w:tc>
          <w:tcPr>
            <w:tcW w:w="7065" w:type="dxa"/>
            <w:gridSpan w:val="3"/>
            <w:shd w:val="clear" w:color="auto" w:fill="auto"/>
          </w:tcPr>
          <w:p w14:paraId="5808D56A" w14:textId="77777777" w:rsidR="00162303" w:rsidRPr="00162303" w:rsidRDefault="00162303" w:rsidP="00150772">
            <w:pPr>
              <w:spacing w:before="120" w:after="120" w:line="240" w:lineRule="auto"/>
              <w:jc w:val="both"/>
              <w:rPr>
                <w:rFonts w:ascii="Arial" w:eastAsia="PMingLiU" w:hAnsi="Arial" w:cs="Arial"/>
                <w:sz w:val="22"/>
                <w:szCs w:val="22"/>
                <w:lang w:val="en-GB" w:eastAsia="en-GB"/>
              </w:rPr>
            </w:pPr>
            <w:r w:rsidRPr="00162303">
              <w:rPr>
                <w:rFonts w:ascii="Arial" w:eastAsia="PMingLiU" w:hAnsi="Arial" w:cs="Arial"/>
                <w:sz w:val="22"/>
                <w:szCs w:val="22"/>
                <w:lang w:val="en-GB" w:eastAsia="en-GB"/>
              </w:rPr>
              <w:t xml:space="preserve">* ONLY apply for those select using INTERVIEW </w:t>
            </w:r>
          </w:p>
          <w:p w14:paraId="65F01EC5" w14:textId="77777777" w:rsidR="00162303" w:rsidRPr="00162303" w:rsidRDefault="00162303" w:rsidP="00150772">
            <w:pPr>
              <w:numPr>
                <w:ilvl w:val="0"/>
                <w:numId w:val="2"/>
              </w:numPr>
              <w:spacing w:before="120" w:after="120" w:line="240" w:lineRule="auto"/>
              <w:contextualSpacing/>
              <w:jc w:val="both"/>
              <w:rPr>
                <w:rFonts w:ascii="Arial" w:eastAsia="PMingLiU" w:hAnsi="Arial" w:cs="Arial"/>
                <w:sz w:val="22"/>
                <w:szCs w:val="22"/>
                <w:lang w:val="en-GB" w:eastAsia="en-GB"/>
              </w:rPr>
            </w:pPr>
            <w:r w:rsidRPr="00162303">
              <w:rPr>
                <w:rFonts w:ascii="Arial" w:eastAsia="PMingLiU" w:hAnsi="Arial" w:cs="Arial"/>
                <w:sz w:val="22"/>
                <w:szCs w:val="22"/>
                <w:lang w:val="en-GB" w:eastAsia="en-GB"/>
              </w:rPr>
              <w:t xml:space="preserve">Students must complete and submit an Ethics Form (enclosed) before interview. Please observe the above-mentioned due date. </w:t>
            </w:r>
          </w:p>
          <w:p w14:paraId="47D94E8C" w14:textId="77777777" w:rsidR="00162303" w:rsidRPr="00162303" w:rsidRDefault="00162303" w:rsidP="00150772">
            <w:pPr>
              <w:numPr>
                <w:ilvl w:val="0"/>
                <w:numId w:val="2"/>
              </w:numPr>
              <w:spacing w:before="120" w:after="120" w:line="240" w:lineRule="auto"/>
              <w:contextualSpacing/>
              <w:jc w:val="both"/>
              <w:rPr>
                <w:rFonts w:ascii="Arial" w:eastAsia="PMingLiU" w:hAnsi="Arial" w:cs="Arial"/>
                <w:sz w:val="22"/>
                <w:szCs w:val="22"/>
                <w:lang w:val="en-GB" w:eastAsia="en-GB"/>
              </w:rPr>
            </w:pPr>
            <w:r w:rsidRPr="00162303">
              <w:rPr>
                <w:rFonts w:ascii="Arial" w:eastAsia="PMingLiU" w:hAnsi="Arial" w:cs="Arial"/>
                <w:sz w:val="22"/>
                <w:szCs w:val="22"/>
                <w:lang w:val="en-GB" w:eastAsia="en-GB"/>
              </w:rPr>
              <w:t xml:space="preserve">Ethics Form submission to Lottiefung@hkma.org.hk </w:t>
            </w:r>
          </w:p>
        </w:tc>
      </w:tr>
      <w:tr w:rsidR="00162303" w:rsidRPr="00162303" w14:paraId="742BE2C2" w14:textId="77777777" w:rsidTr="00162303">
        <w:trPr>
          <w:trHeight w:val="2230"/>
        </w:trPr>
        <w:tc>
          <w:tcPr>
            <w:tcW w:w="1888" w:type="dxa"/>
            <w:shd w:val="pct15" w:color="auto" w:fill="auto"/>
          </w:tcPr>
          <w:p w14:paraId="05D04A32" w14:textId="77777777" w:rsidR="00162303" w:rsidRPr="00162303" w:rsidRDefault="00162303" w:rsidP="00150772">
            <w:pPr>
              <w:spacing w:before="120" w:after="120" w:line="240" w:lineRule="auto"/>
              <w:jc w:val="both"/>
              <w:rPr>
                <w:rFonts w:ascii="Arial" w:eastAsia="PMingLiU" w:hAnsi="Arial" w:cs="Arial"/>
                <w:b/>
                <w:sz w:val="22"/>
                <w:szCs w:val="22"/>
                <w:lang w:val="en-GB" w:eastAsia="en-GB"/>
              </w:rPr>
            </w:pPr>
            <w:r w:rsidRPr="00162303">
              <w:rPr>
                <w:rFonts w:ascii="Arial" w:eastAsia="PMingLiU" w:hAnsi="Arial" w:cs="Arial"/>
                <w:b/>
                <w:sz w:val="22"/>
                <w:szCs w:val="22"/>
                <w:lang w:val="en-GB" w:eastAsia="en-GB"/>
              </w:rPr>
              <w:t>Submission method:</w:t>
            </w:r>
          </w:p>
        </w:tc>
        <w:tc>
          <w:tcPr>
            <w:tcW w:w="7065" w:type="dxa"/>
            <w:gridSpan w:val="3"/>
            <w:shd w:val="clear" w:color="auto" w:fill="auto"/>
          </w:tcPr>
          <w:p w14:paraId="22BB0F72" w14:textId="77777777" w:rsidR="00162303" w:rsidRPr="00162303" w:rsidRDefault="00162303" w:rsidP="00150772">
            <w:pPr>
              <w:spacing w:line="240" w:lineRule="auto"/>
              <w:jc w:val="both"/>
              <w:rPr>
                <w:rFonts w:ascii="Arial" w:eastAsia="PMingLiU" w:hAnsi="Arial" w:cs="Arial"/>
                <w:sz w:val="22"/>
                <w:szCs w:val="22"/>
                <w:lang w:val="en-GB" w:eastAsia="en-GB"/>
              </w:rPr>
            </w:pPr>
            <w:r w:rsidRPr="00162303">
              <w:rPr>
                <w:rFonts w:ascii="Arial" w:eastAsia="PMingLiU" w:hAnsi="Arial" w:cs="Arial"/>
                <w:sz w:val="22"/>
                <w:szCs w:val="22"/>
                <w:lang w:val="en-GB"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D4C537D" w14:textId="77777777" w:rsidR="00162303" w:rsidRPr="00162303" w:rsidRDefault="00162303" w:rsidP="00150772">
            <w:pPr>
              <w:spacing w:before="120" w:after="120" w:line="240" w:lineRule="auto"/>
              <w:jc w:val="both"/>
              <w:rPr>
                <w:rFonts w:ascii="Arial" w:eastAsia="PMingLiU" w:hAnsi="Arial" w:cs="Arial"/>
                <w:b/>
                <w:sz w:val="22"/>
                <w:szCs w:val="22"/>
                <w:lang w:val="en-GB" w:eastAsia="en-GB"/>
              </w:rPr>
            </w:pPr>
            <w:r w:rsidRPr="00162303">
              <w:rPr>
                <w:rFonts w:ascii="Arial" w:eastAsia="PMingLiU" w:hAnsi="Arial" w:cs="Arial"/>
                <w:b/>
                <w:sz w:val="22"/>
                <w:szCs w:val="22"/>
                <w:lang w:val="en-GB" w:eastAsia="en-GB"/>
              </w:rPr>
              <w:t xml:space="preserve">Late submission of the assessment will result in a late penalty mark.  </w:t>
            </w:r>
            <w:r w:rsidRPr="00162303">
              <w:rPr>
                <w:rFonts w:ascii="Arial" w:eastAsia="PMingLiU" w:hAnsi="Arial" w:cs="Arial"/>
                <w:sz w:val="22"/>
                <w:szCs w:val="22"/>
                <w:lang w:val="en-GB" w:eastAsia="en-GB"/>
              </w:rPr>
              <w:t>Penalties for late submission: Up to one-week late, maximum mark of 50%.  Over one week late, 0%.  Only the Extenuating Circumstances Panel may approve a change to submission dates.</w:t>
            </w:r>
          </w:p>
        </w:tc>
      </w:tr>
      <w:tr w:rsidR="00162303" w:rsidRPr="00162303" w14:paraId="7C5C3AD4" w14:textId="77777777" w:rsidTr="00162303">
        <w:trPr>
          <w:trHeight w:val="1251"/>
        </w:trPr>
        <w:tc>
          <w:tcPr>
            <w:tcW w:w="1888" w:type="dxa"/>
            <w:shd w:val="pct15" w:color="auto" w:fill="auto"/>
          </w:tcPr>
          <w:p w14:paraId="52A73286" w14:textId="77777777" w:rsidR="00162303" w:rsidRPr="00162303" w:rsidRDefault="00162303" w:rsidP="00150772">
            <w:pPr>
              <w:spacing w:before="120" w:after="120" w:line="240" w:lineRule="auto"/>
              <w:jc w:val="both"/>
              <w:rPr>
                <w:rFonts w:ascii="Arial" w:eastAsia="PMingLiU" w:hAnsi="Arial" w:cs="Arial"/>
                <w:b/>
                <w:sz w:val="22"/>
                <w:szCs w:val="22"/>
                <w:lang w:val="en-GB" w:eastAsia="en-GB"/>
              </w:rPr>
            </w:pPr>
            <w:r w:rsidRPr="00162303">
              <w:rPr>
                <w:rFonts w:ascii="Arial" w:eastAsia="PMingLiU" w:hAnsi="Arial" w:cs="Arial"/>
                <w:b/>
                <w:sz w:val="22"/>
                <w:szCs w:val="22"/>
                <w:lang w:val="en-GB" w:eastAsia="en-GB"/>
              </w:rPr>
              <w:t>Academic honesty / referencing:</w:t>
            </w:r>
          </w:p>
        </w:tc>
        <w:tc>
          <w:tcPr>
            <w:tcW w:w="7065" w:type="dxa"/>
            <w:gridSpan w:val="3"/>
            <w:shd w:val="clear" w:color="auto" w:fill="auto"/>
          </w:tcPr>
          <w:p w14:paraId="734A16DE" w14:textId="77777777" w:rsidR="00162303" w:rsidRPr="00162303" w:rsidRDefault="00162303" w:rsidP="00150772">
            <w:pPr>
              <w:spacing w:before="120" w:after="120" w:line="240" w:lineRule="auto"/>
              <w:jc w:val="both"/>
              <w:rPr>
                <w:rFonts w:ascii="Arial" w:eastAsia="PMingLiU" w:hAnsi="Arial" w:cs="Arial"/>
                <w:sz w:val="22"/>
                <w:szCs w:val="22"/>
                <w:lang w:val="en-GB" w:eastAsia="en-GB"/>
              </w:rPr>
            </w:pPr>
            <w:r w:rsidRPr="00162303">
              <w:rPr>
                <w:rFonts w:ascii="Arial" w:eastAsia="PMingLiU" w:hAnsi="Arial" w:cs="Arial"/>
                <w:sz w:val="22"/>
                <w:szCs w:val="22"/>
                <w:lang w:val="en-GB" w:eastAsia="en-GB"/>
              </w:rPr>
              <w:t xml:space="preserve">Academic honesty is required. In the main body of your </w:t>
            </w:r>
            <w:proofErr w:type="gramStart"/>
            <w:r w:rsidRPr="00162303">
              <w:rPr>
                <w:rFonts w:ascii="Arial" w:eastAsia="PMingLiU" w:hAnsi="Arial" w:cs="Arial"/>
                <w:sz w:val="22"/>
                <w:szCs w:val="22"/>
                <w:lang w:val="en-GB" w:eastAsia="en-GB"/>
              </w:rPr>
              <w:t>submission</w:t>
            </w:r>
            <w:proofErr w:type="gramEnd"/>
            <w:r w:rsidRPr="00162303">
              <w:rPr>
                <w:rFonts w:ascii="Arial" w:eastAsia="PMingLiU" w:hAnsi="Arial" w:cs="Arial"/>
                <w:sz w:val="22"/>
                <w:szCs w:val="22"/>
                <w:lang w:val="en-GB" w:eastAsia="en-GB"/>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50C78A03" w14:textId="7949E4B4" w:rsidR="00162303" w:rsidRPr="00FE71A7" w:rsidRDefault="00162303" w:rsidP="00150772">
      <w:pPr>
        <w:pStyle w:val="Header"/>
        <w:jc w:val="both"/>
        <w:rPr>
          <w:rFonts w:ascii="Arial" w:hAnsi="Arial" w:cs="Arial"/>
          <w:b/>
          <w:sz w:val="22"/>
          <w:szCs w:val="22"/>
        </w:rPr>
      </w:pPr>
    </w:p>
    <w:p w14:paraId="12067B4C" w14:textId="77777777" w:rsidR="00162303" w:rsidRPr="00FE71A7" w:rsidRDefault="00162303" w:rsidP="00150772">
      <w:pPr>
        <w:jc w:val="both"/>
        <w:rPr>
          <w:rFonts w:ascii="Arial" w:hAnsi="Arial" w:cs="Arial"/>
          <w:sz w:val="22"/>
          <w:szCs w:val="22"/>
        </w:rPr>
      </w:pPr>
    </w:p>
    <w:p w14:paraId="6D5107B4" w14:textId="77777777" w:rsidR="00162303" w:rsidRPr="00FE71A7" w:rsidRDefault="00162303" w:rsidP="00150772">
      <w:pPr>
        <w:jc w:val="both"/>
        <w:rPr>
          <w:rFonts w:ascii="Arial" w:hAnsi="Arial" w:cs="Arial"/>
          <w:b/>
          <w:i/>
          <w:sz w:val="22"/>
          <w:szCs w:val="22"/>
        </w:rPr>
      </w:pPr>
    </w:p>
    <w:p w14:paraId="187E82C9" w14:textId="77777777" w:rsidR="00162303" w:rsidRDefault="00162303" w:rsidP="00150772">
      <w:pPr>
        <w:jc w:val="both"/>
      </w:pPr>
    </w:p>
    <w:p w14:paraId="73A6DBA0" w14:textId="77777777" w:rsidR="00162303" w:rsidRDefault="00162303" w:rsidP="00150772">
      <w:pPr>
        <w:jc w:val="both"/>
      </w:pPr>
    </w:p>
    <w:p w14:paraId="564F98F5" w14:textId="77777777" w:rsidR="00162303" w:rsidRDefault="00162303" w:rsidP="00150772">
      <w:pPr>
        <w:jc w:val="both"/>
      </w:pPr>
    </w:p>
    <w:p w14:paraId="1B9D8645" w14:textId="77777777" w:rsidR="00162303" w:rsidRDefault="00162303" w:rsidP="00150772">
      <w:pPr>
        <w:jc w:val="both"/>
      </w:pPr>
    </w:p>
    <w:p w14:paraId="535075E4" w14:textId="77777777" w:rsidR="00162303" w:rsidRDefault="00162303" w:rsidP="00150772">
      <w:pPr>
        <w:jc w:val="both"/>
      </w:pPr>
    </w:p>
    <w:p w14:paraId="60D9A379" w14:textId="0534BD57" w:rsidR="00AF750C" w:rsidRPr="00162303" w:rsidRDefault="005A3DD2" w:rsidP="00150772">
      <w:pPr>
        <w:jc w:val="center"/>
        <w:rPr>
          <w:b/>
          <w:bCs/>
        </w:rPr>
      </w:pPr>
      <w:r w:rsidRPr="00162303">
        <w:rPr>
          <w:b/>
          <w:bCs/>
        </w:rPr>
        <w:t>INTERNATIONAL EXPANSION: IMPLICATIONS FOR HR MANAGEMENT</w:t>
      </w:r>
    </w:p>
    <w:p w14:paraId="61BCAB63" w14:textId="1E07DC98" w:rsidR="005A3DD2" w:rsidRDefault="005A3DD2" w:rsidP="00150772">
      <w:pPr>
        <w:jc w:val="center"/>
      </w:pPr>
    </w:p>
    <w:p w14:paraId="2EA66EB7" w14:textId="41F21E80" w:rsidR="005A3DD2" w:rsidRDefault="005A3DD2" w:rsidP="00150772">
      <w:pPr>
        <w:jc w:val="center"/>
      </w:pPr>
    </w:p>
    <w:p w14:paraId="0088DAF0" w14:textId="1D43D2C6" w:rsidR="005A3DD2" w:rsidRDefault="005A3DD2" w:rsidP="00150772">
      <w:pPr>
        <w:jc w:val="center"/>
      </w:pPr>
    </w:p>
    <w:p w14:paraId="4DF9C880" w14:textId="028DC24A" w:rsidR="005A3DD2" w:rsidRDefault="005A3DD2" w:rsidP="00150772">
      <w:pPr>
        <w:jc w:val="center"/>
      </w:pPr>
    </w:p>
    <w:p w14:paraId="13633C58" w14:textId="610EBCEF" w:rsidR="005A3DD2" w:rsidRDefault="005A3DD2" w:rsidP="00150772">
      <w:pPr>
        <w:jc w:val="center"/>
      </w:pPr>
    </w:p>
    <w:p w14:paraId="2207F1A0" w14:textId="4DCA577A" w:rsidR="00162303" w:rsidRDefault="00162303" w:rsidP="00150772">
      <w:pPr>
        <w:jc w:val="center"/>
      </w:pPr>
      <w:r w:rsidRPr="00162303">
        <w:rPr>
          <w:rFonts w:ascii="Arial" w:eastAsia="PMingLiU" w:hAnsi="Arial" w:cs="Arial"/>
          <w:b/>
          <w:sz w:val="22"/>
          <w:szCs w:val="22"/>
          <w:lang w:val="en-GB" w:eastAsia="zh-HK"/>
        </w:rPr>
        <w:t>HKBM 7007</w:t>
      </w:r>
      <w:r>
        <w:rPr>
          <w:rFonts w:ascii="Arial" w:eastAsia="PMingLiU" w:hAnsi="Arial" w:cs="Arial"/>
          <w:b/>
          <w:sz w:val="22"/>
          <w:szCs w:val="22"/>
          <w:lang w:val="en-GB" w:eastAsia="zh-HK"/>
        </w:rPr>
        <w:t xml:space="preserve"> </w:t>
      </w:r>
      <w:r w:rsidRPr="00162303">
        <w:rPr>
          <w:rFonts w:ascii="Arial" w:eastAsia="PMingLiU" w:hAnsi="Arial" w:cs="Arial"/>
          <w:b/>
          <w:sz w:val="22"/>
          <w:szCs w:val="22"/>
          <w:lang w:val="en-GB" w:eastAsia="zh-HK"/>
        </w:rPr>
        <w:t>Human Resources Management</w:t>
      </w:r>
    </w:p>
    <w:p w14:paraId="1960CE22" w14:textId="058F35C6" w:rsidR="00C30D11" w:rsidRPr="00162303" w:rsidRDefault="00C30D11" w:rsidP="00150772">
      <w:pPr>
        <w:jc w:val="center"/>
        <w:rPr>
          <w:b/>
          <w:bCs/>
        </w:rPr>
      </w:pPr>
      <w:r w:rsidRPr="00162303">
        <w:rPr>
          <w:b/>
          <w:bCs/>
        </w:rPr>
        <w:t>Professor’s Name</w:t>
      </w:r>
      <w:r w:rsidR="00162303" w:rsidRPr="00162303">
        <w:rPr>
          <w:b/>
          <w:bCs/>
        </w:rPr>
        <w:t>: Dr. Leo Ho</w:t>
      </w:r>
    </w:p>
    <w:p w14:paraId="358567C9" w14:textId="593AEEEC" w:rsidR="00C30D11" w:rsidRPr="00162303" w:rsidRDefault="00162303" w:rsidP="00150772">
      <w:pPr>
        <w:jc w:val="center"/>
        <w:rPr>
          <w:b/>
          <w:bCs/>
        </w:rPr>
      </w:pPr>
      <w:r w:rsidRPr="00162303">
        <w:rPr>
          <w:b/>
          <w:bCs/>
        </w:rPr>
        <w:t>Student Name: KEUNG Nga Yee Teresa</w:t>
      </w:r>
    </w:p>
    <w:p w14:paraId="018AB434" w14:textId="7B6929AC" w:rsidR="00C30D11" w:rsidRPr="00162303" w:rsidRDefault="00162303" w:rsidP="00150772">
      <w:pPr>
        <w:jc w:val="center"/>
        <w:rPr>
          <w:b/>
          <w:bCs/>
        </w:rPr>
      </w:pPr>
      <w:r w:rsidRPr="00162303">
        <w:rPr>
          <w:b/>
          <w:bCs/>
        </w:rPr>
        <w:t>4 January 2021</w:t>
      </w:r>
    </w:p>
    <w:p w14:paraId="774C97D8" w14:textId="7DB6DDB7" w:rsidR="003A2C87" w:rsidRDefault="00C30D11" w:rsidP="00150772">
      <w:pPr>
        <w:jc w:val="both"/>
      </w:pPr>
      <w:r>
        <w:br w:type="page"/>
      </w:r>
    </w:p>
    <w:p w14:paraId="1293FAA7" w14:textId="727FA272" w:rsidR="00C30D11" w:rsidRDefault="003A2C87" w:rsidP="00150772">
      <w:pPr>
        <w:jc w:val="center"/>
        <w:rPr>
          <w:b/>
          <w:bCs/>
        </w:rPr>
      </w:pPr>
      <w:r>
        <w:rPr>
          <w:b/>
          <w:bCs/>
        </w:rPr>
        <w:lastRenderedPageBreak/>
        <w:t>Executive Summary</w:t>
      </w:r>
    </w:p>
    <w:p w14:paraId="2587ED38" w14:textId="660AFDAC" w:rsidR="00BC7A6D" w:rsidRPr="00BC7A6D" w:rsidRDefault="00BC7A6D" w:rsidP="00150772">
      <w:pPr>
        <w:jc w:val="both"/>
      </w:pPr>
      <w:r>
        <w:t xml:space="preserve">The purpose of this </w:t>
      </w:r>
      <w:r w:rsidR="001572D4">
        <w:t xml:space="preserve">report is to examine the HR management issues that firms face when they venture into international markets. For the report, Hang Seng and Citi Bank, some of the largest firms in the banking industry are examined as case studies. When it entered the American market, Hang Seng struggled to attract employees with the skills needed to appeal to American customers. On the other hand, Citi Bank currently faces a dilemma where it needs to choose between supporting its personnel or protecting its business interests. Following an in-depth assessment of these problems, Hang Seng is advised to invest in cultural sensitivity training while Citi Bank should </w:t>
      </w:r>
      <w:r w:rsidR="000D50DB">
        <w:t xml:space="preserve">refrain from angering the Chinese government. </w:t>
      </w:r>
    </w:p>
    <w:p w14:paraId="0EC38D1E" w14:textId="77777777" w:rsidR="00FE4637" w:rsidRDefault="00FE4637" w:rsidP="00150772">
      <w:pPr>
        <w:jc w:val="both"/>
      </w:pPr>
      <w:r>
        <w:br w:type="page"/>
      </w:r>
    </w:p>
    <w:p w14:paraId="604EE8E5" w14:textId="668AC10E" w:rsidR="00C30D11" w:rsidRPr="00162303" w:rsidRDefault="00C30D11" w:rsidP="00150772">
      <w:pPr>
        <w:jc w:val="center"/>
        <w:rPr>
          <w:b/>
          <w:bCs/>
        </w:rPr>
      </w:pPr>
      <w:r w:rsidRPr="00162303">
        <w:rPr>
          <w:b/>
          <w:bCs/>
        </w:rPr>
        <w:lastRenderedPageBreak/>
        <w:t>International Expansion: Implications for HR Management</w:t>
      </w:r>
    </w:p>
    <w:p w14:paraId="32AB2C91" w14:textId="36E3117B" w:rsidR="0082302D" w:rsidRDefault="0082302D" w:rsidP="00150772">
      <w:pPr>
        <w:jc w:val="both"/>
      </w:pPr>
      <w:r>
        <w:tab/>
        <w:t xml:space="preserve">International expansion is among the strategies that enable firms to stave off competition and protect their relevance. As they enter new global markets, companies </w:t>
      </w:r>
      <w:r w:rsidR="00C70068">
        <w:t xml:space="preserve">gain access to raw materials, customer, and </w:t>
      </w:r>
      <w:r w:rsidR="00A520C4">
        <w:t xml:space="preserve">opportunities </w:t>
      </w:r>
      <w:r w:rsidR="00CB5DD1">
        <w:t xml:space="preserve">for growth. However, while </w:t>
      </w:r>
      <w:r w:rsidR="00351510">
        <w:t xml:space="preserve">the impacts of expansion are largely positive, it should be noted that this approach has some drawbacks. Among its key limitations is that it undermines human resource (HR) management. If </w:t>
      </w:r>
      <w:r w:rsidR="00154B5A">
        <w:t xml:space="preserve">rushed, internationalization efforts can expose firms to a variety of HR challenges. Hang Seng Bank, a financial institution headquartered in Hong Kong and Citi </w:t>
      </w:r>
      <w:r w:rsidR="00D11A22">
        <w:t xml:space="preserve">Bank, </w:t>
      </w:r>
      <w:r w:rsidR="009E1231">
        <w:t xml:space="preserve">an institution based in the US serve as important case studies for examining the implications that international expansion presents for personnel management. Each of these firms faced </w:t>
      </w:r>
      <w:r w:rsidR="00324F32">
        <w:t xml:space="preserve">various HR challenges that </w:t>
      </w:r>
      <w:r w:rsidR="0053681F">
        <w:t xml:space="preserve">can guide other companies looking to expand internationally in ensuring that their </w:t>
      </w:r>
      <w:r w:rsidR="00822D11">
        <w:t xml:space="preserve">strategies are aligned with their </w:t>
      </w:r>
      <w:r w:rsidR="00672208">
        <w:t xml:space="preserve">staff needs, expectations, and priorities. </w:t>
      </w:r>
    </w:p>
    <w:p w14:paraId="326E93D7" w14:textId="77DE9F0D" w:rsidR="00EF2E79" w:rsidRDefault="00EF2E79" w:rsidP="00150772">
      <w:pPr>
        <w:jc w:val="center"/>
        <w:rPr>
          <w:b/>
          <w:bCs/>
        </w:rPr>
      </w:pPr>
      <w:r>
        <w:rPr>
          <w:b/>
          <w:bCs/>
        </w:rPr>
        <w:t>Background of Companies</w:t>
      </w:r>
    </w:p>
    <w:p w14:paraId="3288AFB5" w14:textId="2C754A1F" w:rsidR="00BC3A30" w:rsidRPr="00BC3A30" w:rsidRDefault="00BC3A30" w:rsidP="00150772">
      <w:pPr>
        <w:jc w:val="both"/>
      </w:pPr>
      <w:r>
        <w:rPr>
          <w:b/>
          <w:bCs/>
        </w:rPr>
        <w:tab/>
      </w:r>
      <w:r>
        <w:t xml:space="preserve">To understand the challenges that </w:t>
      </w:r>
      <w:r w:rsidR="00C7119C">
        <w:t xml:space="preserve">Hang Seng Bank and Citi Bank encountered, it is helpful to begin with examining the background of the two companies. On the one hand, Hang Seng Bank </w:t>
      </w:r>
      <w:r w:rsidR="00752223">
        <w:t>is among the most successful financial institutions in Hong Kong. It is primarily involved in the provision of banking and financial services to clients from across the globe</w:t>
      </w:r>
      <w:r w:rsidR="000F2E57">
        <w:t xml:space="preserve">. However, in the recent past, as part of its efforts to build a global presence, Hang Seng has entered into other markets, with Canada, the US, and </w:t>
      </w:r>
      <w:r w:rsidR="00721A93">
        <w:t>Mexico being among the foreign countries into which it has ventured and emerged as among the leading providers of retail banking services (</w:t>
      </w:r>
      <w:r w:rsidR="00B140BF">
        <w:t xml:space="preserve">Tschoegi, </w:t>
      </w:r>
      <w:r w:rsidR="00646743">
        <w:t xml:space="preserve">2004). On the other hand, Citi Bank is an American household brand. </w:t>
      </w:r>
      <w:r w:rsidR="00A111EB">
        <w:t>Headquartered in the US, the company has operations in nearly all major markets</w:t>
      </w:r>
      <w:r w:rsidR="00CA702B">
        <w:t>. Hong Kong is among the areas where this organization has a significant presence. It entered the Hong Kong market in 19</w:t>
      </w:r>
      <w:r w:rsidR="005D3A9F">
        <w:t>0</w:t>
      </w:r>
      <w:r w:rsidR="00CA702B">
        <w:t xml:space="preserve">2 </w:t>
      </w:r>
      <w:r w:rsidR="00E178A0">
        <w:t xml:space="preserve">where it employs as many as </w:t>
      </w:r>
      <w:r w:rsidR="00E178A0">
        <w:lastRenderedPageBreak/>
        <w:t xml:space="preserve">4,500 individuals </w:t>
      </w:r>
      <w:r w:rsidR="00CF5988">
        <w:t>and serves more than one million customers (</w:t>
      </w:r>
      <w:r w:rsidR="002877B2">
        <w:t xml:space="preserve">Citi Group, </w:t>
      </w:r>
      <w:r w:rsidR="00585E2F">
        <w:t xml:space="preserve">n.d.). </w:t>
      </w:r>
      <w:r w:rsidR="0052354F">
        <w:t xml:space="preserve">As the sections below reveal, while expanding internationally, both Citi Bank and Hang Seng grappled with various HR hardships. </w:t>
      </w:r>
    </w:p>
    <w:p w14:paraId="667F228C" w14:textId="40895678" w:rsidR="00EF2E79" w:rsidRDefault="007A2109" w:rsidP="00150772">
      <w:pPr>
        <w:jc w:val="center"/>
        <w:rPr>
          <w:b/>
          <w:bCs/>
        </w:rPr>
      </w:pPr>
      <w:r>
        <w:rPr>
          <w:b/>
          <w:bCs/>
        </w:rPr>
        <w:t>HR Challenges</w:t>
      </w:r>
    </w:p>
    <w:p w14:paraId="6FC721BE" w14:textId="35140CEA" w:rsidR="00484961" w:rsidRPr="00484961" w:rsidRDefault="00484961" w:rsidP="00150772">
      <w:pPr>
        <w:jc w:val="both"/>
      </w:pPr>
      <w:r>
        <w:rPr>
          <w:b/>
          <w:bCs/>
        </w:rPr>
        <w:tab/>
      </w:r>
      <w:r w:rsidR="005376F7">
        <w:t xml:space="preserve">Various scholars have determined that as companies enter new markets, they should brace for serious HR challenges that can undermine the success of their internationalization efforts. For example, </w:t>
      </w:r>
      <w:r w:rsidR="00E57757">
        <w:t xml:space="preserve">Evans </w:t>
      </w:r>
      <w:r w:rsidR="009746F1">
        <w:t xml:space="preserve">et al. (2016) and </w:t>
      </w:r>
      <w:r w:rsidR="002B1D2A">
        <w:t>Briscoe et al. (</w:t>
      </w:r>
      <w:r w:rsidR="003C4455">
        <w:t xml:space="preserve">2009) warned companies to recognize that expansion </w:t>
      </w:r>
      <w:r w:rsidR="003E7621">
        <w:t>is a complex undertaking that</w:t>
      </w:r>
      <w:r w:rsidR="003A201E">
        <w:t xml:space="preserve"> is riddled with pitfalls and</w:t>
      </w:r>
      <w:r w:rsidR="003E7621">
        <w:t xml:space="preserve"> </w:t>
      </w:r>
      <w:r w:rsidR="00A4513C">
        <w:t>requires proper HR management planning</w:t>
      </w:r>
      <w:r w:rsidR="00D46AC9">
        <w:t xml:space="preserve">. </w:t>
      </w:r>
      <w:r w:rsidR="00F43AC7">
        <w:t>Citi Bank and Hang Seng encountered hardships related to HR management. For example,</w:t>
      </w:r>
      <w:r w:rsidR="001842E1">
        <w:t xml:space="preserve"> in his description of how Hang Seng </w:t>
      </w:r>
      <w:r w:rsidR="00C86487">
        <w:t xml:space="preserve">ventured into the American and other international markets, </w:t>
      </w:r>
      <w:r w:rsidR="000B6B11">
        <w:t xml:space="preserve">Tschoegl </w:t>
      </w:r>
      <w:r w:rsidR="00BA0618">
        <w:t xml:space="preserve">(2004) suggests that this firm struggled with </w:t>
      </w:r>
      <w:r w:rsidR="00237999">
        <w:t xml:space="preserve">staff recruitment. According to Tschoegl (2004), </w:t>
      </w:r>
      <w:r w:rsidR="00A26E06">
        <w:t xml:space="preserve">this firm needed to find employees with skills that could match the competencies of the staff employed by its competitors in the US. </w:t>
      </w:r>
      <w:r w:rsidR="00932462">
        <w:t xml:space="preserve">On the other hand, the main problem that </w:t>
      </w:r>
      <w:r w:rsidR="00CD684C">
        <w:t xml:space="preserve">Citi Bank grappled with concerns </w:t>
      </w:r>
      <w:r w:rsidR="000B5514">
        <w:t xml:space="preserve">complying with Chinese labor laws. It is true that this firm did not necessarily </w:t>
      </w:r>
      <w:r w:rsidR="002A48DD">
        <w:t>face this problem at the time of entering the Hong Kong market.</w:t>
      </w:r>
      <w:r w:rsidR="0087712B">
        <w:t xml:space="preserve"> In fact, a review of available literature did not reveal any serious HR challenge that the company faced when it expanded into Hong Kong. </w:t>
      </w:r>
      <w:r w:rsidR="002A48DD">
        <w:t xml:space="preserve"> However, recent events suggest that as a multinational, the firm should brace for clashes with Chinese authorities as it seeks to balance its commitment to its Hong Kong staff while adhering to </w:t>
      </w:r>
      <w:r w:rsidR="00A07846">
        <w:t xml:space="preserve">Chinese law. </w:t>
      </w:r>
      <w:r w:rsidR="001B0F33">
        <w:t>For example, the citizens of Hong Kong have held relentless protests to reject what they regard as Chinese violations of their sovereignty</w:t>
      </w:r>
      <w:r w:rsidR="00645A78">
        <w:t xml:space="preserve"> (</w:t>
      </w:r>
      <w:r w:rsidR="001878B2">
        <w:t xml:space="preserve">Purbrick, </w:t>
      </w:r>
      <w:r w:rsidR="00827764">
        <w:t>2019)</w:t>
      </w:r>
      <w:r w:rsidR="001B0F33">
        <w:t xml:space="preserve">. </w:t>
      </w:r>
      <w:r w:rsidR="00853A61">
        <w:t xml:space="preserve">For Citi Bank, these protests create a dilemma. For example, suppose that the bank’s employees are involved in protests and the Chinese government requires the firm </w:t>
      </w:r>
      <w:r w:rsidR="00853A61">
        <w:lastRenderedPageBreak/>
        <w:t xml:space="preserve">to institute disciplinary action. What would result is a </w:t>
      </w:r>
      <w:r w:rsidR="00DE1485">
        <w:t xml:space="preserve">performance </w:t>
      </w:r>
      <w:r w:rsidR="00645A78">
        <w:t xml:space="preserve">management problem that could prove devastating. </w:t>
      </w:r>
    </w:p>
    <w:p w14:paraId="04DBD80C" w14:textId="53A6A79E" w:rsidR="007A2109" w:rsidRDefault="00A25DA6" w:rsidP="00150772">
      <w:pPr>
        <w:jc w:val="center"/>
        <w:rPr>
          <w:b/>
          <w:bCs/>
        </w:rPr>
      </w:pPr>
      <w:r>
        <w:rPr>
          <w:b/>
          <w:bCs/>
        </w:rPr>
        <w:t>Scope</w:t>
      </w:r>
    </w:p>
    <w:p w14:paraId="3B794545" w14:textId="63CDC40E" w:rsidR="004E2F35" w:rsidRDefault="004E2F35" w:rsidP="00150772">
      <w:pPr>
        <w:jc w:val="both"/>
      </w:pPr>
      <w:r>
        <w:rPr>
          <w:b/>
          <w:bCs/>
        </w:rPr>
        <w:tab/>
      </w:r>
      <w:r w:rsidR="0032655F">
        <w:t xml:space="preserve">The problems outlined above can best be understood when framed within their respective contexts. </w:t>
      </w:r>
      <w:r w:rsidR="00CE1A75">
        <w:t xml:space="preserve">Culture is among the </w:t>
      </w:r>
      <w:r w:rsidR="00205830">
        <w:t xml:space="preserve">contextual factors that helps to shape this problem. It is well established that as firms prepare to </w:t>
      </w:r>
      <w:r w:rsidR="00C261F5">
        <w:t xml:space="preserve">venture into new markets, they should ensure that the strategies that they have adopted are properly aligned with the cultural values, </w:t>
      </w:r>
      <w:r w:rsidR="00A90AF0">
        <w:t>perspectives, and practices of these markets (</w:t>
      </w:r>
      <w:r w:rsidR="008C35C7" w:rsidRPr="008C35C7">
        <w:t>Beugelsdijk</w:t>
      </w:r>
      <w:r w:rsidR="008C35C7">
        <w:t xml:space="preserve"> et al., </w:t>
      </w:r>
      <w:r w:rsidR="009C7092">
        <w:t xml:space="preserve">2017; </w:t>
      </w:r>
      <w:r w:rsidR="007F0E29" w:rsidRPr="007F0E29">
        <w:t>Hutzschenreuter</w:t>
      </w:r>
      <w:r w:rsidR="007F0E29">
        <w:t xml:space="preserve"> et al., </w:t>
      </w:r>
      <w:r w:rsidR="005B503D">
        <w:t xml:space="preserve">2011). </w:t>
      </w:r>
      <w:r w:rsidR="000440A1">
        <w:t xml:space="preserve">As </w:t>
      </w:r>
      <w:r w:rsidR="00162DAD">
        <w:t>Tschoegl (</w:t>
      </w:r>
      <w:r w:rsidR="005D7ED4">
        <w:t xml:space="preserve">2004) indicates in his discussion, at the time of expanding into the American market, the HR culture of Hang Seng was not </w:t>
      </w:r>
      <w:r w:rsidR="00731302">
        <w:t xml:space="preserve">in line with the practices and attitudes in the American market. </w:t>
      </w:r>
      <w:r w:rsidR="00BC3636">
        <w:t xml:space="preserve">Essentially, Hang Seng was not adequately prepared to hire personnel who possessed the skills and cultural competence needed to serve the bank’s American customers. </w:t>
      </w:r>
      <w:r w:rsidR="00435287">
        <w:t xml:space="preserve">On the other hand, the problem facing </w:t>
      </w:r>
      <w:r w:rsidR="00BC4483">
        <w:t xml:space="preserve">Citi Band should be approached through the lens of </w:t>
      </w:r>
      <w:r w:rsidR="00B9337D">
        <w:t xml:space="preserve">political economy. Essentially, </w:t>
      </w:r>
      <w:r w:rsidR="00476A13">
        <w:t xml:space="preserve">political economy explores how business operations and performance are influenced by such issues as political stability, government, and </w:t>
      </w:r>
      <w:r w:rsidR="006C0FA1">
        <w:t>legislation</w:t>
      </w:r>
      <w:r w:rsidR="000045E0">
        <w:t xml:space="preserve"> (</w:t>
      </w:r>
      <w:r w:rsidR="00476A6B">
        <w:t>Lancioni</w:t>
      </w:r>
      <w:r w:rsidR="004533FA">
        <w:t xml:space="preserve">, Schau &amp; </w:t>
      </w:r>
      <w:r w:rsidR="007D401D">
        <w:t xml:space="preserve">Smith, </w:t>
      </w:r>
      <w:r w:rsidR="00BC0ED6">
        <w:t>2005)</w:t>
      </w:r>
      <w:r w:rsidR="006C0FA1">
        <w:t xml:space="preserve">. </w:t>
      </w:r>
      <w:r w:rsidR="00723547">
        <w:t>Citi Bank could struggle because it operates in a political environment that is becoming increasingly volatile and</w:t>
      </w:r>
      <w:r w:rsidR="00F71CCD">
        <w:t xml:space="preserve"> unconducive. In the recent past, the Chinese government has instituted sanctions against firms that appear to be siding with the pro-democracy protestors</w:t>
      </w:r>
      <w:r w:rsidR="0007517B">
        <w:t xml:space="preserve"> (Stevenson, 2020)</w:t>
      </w:r>
      <w:r w:rsidR="00F71CCD">
        <w:t xml:space="preserve">. Citi Bank could soon join these companies. </w:t>
      </w:r>
    </w:p>
    <w:p w14:paraId="1E62B056" w14:textId="18982533" w:rsidR="00F71CCD" w:rsidRDefault="00F71CCD" w:rsidP="00150772">
      <w:pPr>
        <w:jc w:val="both"/>
      </w:pPr>
      <w:r>
        <w:tab/>
      </w:r>
      <w:r w:rsidR="00287FFB">
        <w:t>The root cause of the challenge that Hang Seng faced lies in the cultural distance between Hong Kong and the US.</w:t>
      </w:r>
      <w:r w:rsidR="003C0A38">
        <w:t xml:space="preserve"> According to Ray (</w:t>
      </w:r>
      <w:r w:rsidR="00F6445D">
        <w:t xml:space="preserve">2011), the cultures of the US and Hong Kong, and China by extension, are vastly different. It is therefore difficult for a Hong Kong-based company like Hang Seng to </w:t>
      </w:r>
      <w:r w:rsidR="00402818">
        <w:t xml:space="preserve">modify its practices and operations to suit the American culture. </w:t>
      </w:r>
      <w:r w:rsidR="00FF08CB">
        <w:t xml:space="preserve">According to </w:t>
      </w:r>
      <w:r w:rsidR="00071C04">
        <w:lastRenderedPageBreak/>
        <w:t>Ugoani (</w:t>
      </w:r>
      <w:r w:rsidR="00263179">
        <w:t xml:space="preserve">2016), when the cultural distance is great, it becomes difficult for a company to adopt recruitment and HR management strategies that allow it to excel in international markets. </w:t>
      </w:r>
      <w:r w:rsidR="003B5F42">
        <w:t>In its initial days in the US, Hang Seng encountered hardships in finding employees who could help it compete against rivals who had mastered the American culture.</w:t>
      </w:r>
    </w:p>
    <w:p w14:paraId="1FD7D30C" w14:textId="320741EE" w:rsidR="003B5F42" w:rsidRDefault="003B5F42" w:rsidP="00150772">
      <w:pPr>
        <w:jc w:val="both"/>
      </w:pPr>
      <w:r>
        <w:tab/>
        <w:t xml:space="preserve">The HR challenge that Citi Bank faces can be blamed on the </w:t>
      </w:r>
      <w:r w:rsidR="003C5991">
        <w:t xml:space="preserve">tensions </w:t>
      </w:r>
      <w:r w:rsidR="009E74CB">
        <w:t>being witnessed on</w:t>
      </w:r>
      <w:r w:rsidR="003C5991">
        <w:t xml:space="preserve"> the global political landscape. </w:t>
      </w:r>
      <w:r w:rsidR="0072099C">
        <w:t xml:space="preserve">In the past few years, the </w:t>
      </w:r>
      <w:r w:rsidR="00FD00DE">
        <w:t xml:space="preserve">Chinese authorities have made several attempts to undermine Hong Kong autonomy and integrate </w:t>
      </w:r>
      <w:r w:rsidR="00EC3ACE">
        <w:t>this territory under its influence</w:t>
      </w:r>
      <w:r w:rsidR="00B111E2">
        <w:t xml:space="preserve"> (Mathew</w:t>
      </w:r>
      <w:r w:rsidR="00523ECC">
        <w:t xml:space="preserve">s, </w:t>
      </w:r>
      <w:r w:rsidR="00F66645">
        <w:t>2020)</w:t>
      </w:r>
      <w:r w:rsidR="00EC3ACE">
        <w:t xml:space="preserve">. In response, the people of Hong Kong have held demonstrations as part of a larger effort to maintain their autonomy. Western companies have been caught </w:t>
      </w:r>
      <w:r w:rsidR="00F374E7">
        <w:t xml:space="preserve">in the </w:t>
      </w:r>
      <w:proofErr w:type="gramStart"/>
      <w:r w:rsidR="00F374E7">
        <w:t>cross-fire</w:t>
      </w:r>
      <w:proofErr w:type="gramEnd"/>
      <w:r w:rsidR="00F374E7">
        <w:t xml:space="preserve"> as they struggle to </w:t>
      </w:r>
      <w:r w:rsidR="00B111E2">
        <w:t xml:space="preserve">protect their interests in Hong Kong without angering the Chinese government. </w:t>
      </w:r>
      <w:r w:rsidR="00257FDD">
        <w:t xml:space="preserve">Citi Bank must therefore proceed carefully as Hong Kong accounts for </w:t>
      </w:r>
      <w:r w:rsidR="0024184E">
        <w:t>a significant portion of the firm’s revenues (</w:t>
      </w:r>
      <w:r w:rsidR="00342AFC">
        <w:t>Hammond, 2019).</w:t>
      </w:r>
    </w:p>
    <w:p w14:paraId="5B7905CD" w14:textId="7BFD612A" w:rsidR="00DA2A73" w:rsidRDefault="009E1229" w:rsidP="00150772">
      <w:pPr>
        <w:jc w:val="both"/>
      </w:pPr>
      <w:r>
        <w:tab/>
        <w:t>There are various stakeholders who are impacted by the problems confronting Citi Bank and Hang Seng. These stakeholders include the firms’ employees, stockholders, and senior management. For example, if Hang Seng continues to struggle to adapt to the American culture, its financial performance will suffer, thereby adversely impacting shareholders. The managers of both companies are affected as they are required to develop solutions.</w:t>
      </w:r>
      <w:r w:rsidR="00953CDA">
        <w:t xml:space="preserve"> The main similarity that the two firms share is that the outcomes of the problems that they face are adverse. On the other hand, the key difference is that whereas Hang Seng’s challenge is concerned with staff recruitment, the problem that </w:t>
      </w:r>
      <w:r w:rsidR="007A7E76">
        <w:t xml:space="preserve">Citi Bank faces involves </w:t>
      </w:r>
      <w:r w:rsidR="00832F94">
        <w:t xml:space="preserve">performance management. </w:t>
      </w:r>
    </w:p>
    <w:p w14:paraId="42857162" w14:textId="1FBA6257" w:rsidR="00E17021" w:rsidRPr="004E2F35" w:rsidRDefault="00E17021" w:rsidP="00150772">
      <w:pPr>
        <w:ind w:firstLine="720"/>
        <w:jc w:val="both"/>
      </w:pPr>
      <w:r>
        <w:t>Hang Seng and Citi Bank appear to understand that left unresolved, the HR challenges that they face could set the stage for their decline and eventual collapse. Both firms have implemented various strategies as part of their efforts to address these problems. On the one hand,</w:t>
      </w:r>
      <w:r w:rsidR="007A61D4">
        <w:t xml:space="preserve"> Citi Bank </w:t>
      </w:r>
      <w:r w:rsidR="007A61D4">
        <w:lastRenderedPageBreak/>
        <w:t>issued a new policy through which it warned its employees in Hong Kong against involvement in any “dangerous” activities (</w:t>
      </w:r>
      <w:r w:rsidR="00955508">
        <w:t xml:space="preserve">Bray, 2019). </w:t>
      </w:r>
      <w:r w:rsidR="00A06E61">
        <w:t xml:space="preserve">Essentially, instead of defending the rights of its employees to express political views, </w:t>
      </w:r>
      <w:r w:rsidR="00EC16FF">
        <w:t xml:space="preserve">Citi Bank has chosen to prioritize its interests in Hong Kong by </w:t>
      </w:r>
      <w:r w:rsidR="002D4FE3">
        <w:t>refraining from upsetting the Chinese government (</w:t>
      </w:r>
      <w:r w:rsidR="003B3E59">
        <w:t xml:space="preserve">Sweeney, 2020). On the other hand, in response to the culture problems that it encountered, Hang Seng </w:t>
      </w:r>
      <w:r w:rsidR="00324645">
        <w:t>introduced a policy through which it required its employees in various international markets to undergo cultural sensitivity training (</w:t>
      </w:r>
      <w:r w:rsidR="00960A03">
        <w:t>Davies</w:t>
      </w:r>
      <w:r w:rsidR="006965D3">
        <w:t xml:space="preserve">, 2003). </w:t>
      </w:r>
      <w:r w:rsidR="00D52715">
        <w:t xml:space="preserve">Citi Bank understands that its employees must be provided with the skills that they require in order to navigate strange cultures that they encounter. </w:t>
      </w:r>
    </w:p>
    <w:p w14:paraId="65B74CF9" w14:textId="312309CF" w:rsidR="00A25DA6" w:rsidRDefault="00A25DA6" w:rsidP="00150772">
      <w:pPr>
        <w:jc w:val="center"/>
        <w:rPr>
          <w:b/>
          <w:bCs/>
        </w:rPr>
      </w:pPr>
      <w:r>
        <w:rPr>
          <w:b/>
          <w:bCs/>
        </w:rPr>
        <w:t>Analysis</w:t>
      </w:r>
    </w:p>
    <w:p w14:paraId="283C0CF6" w14:textId="12B2D329" w:rsidR="000B0602" w:rsidRDefault="000B0602" w:rsidP="00150772">
      <w:pPr>
        <w:jc w:val="both"/>
      </w:pPr>
      <w:r>
        <w:rPr>
          <w:b/>
          <w:bCs/>
        </w:rPr>
        <w:tab/>
      </w:r>
      <w:r w:rsidR="00AA3543">
        <w:t xml:space="preserve">Above, it has been shown that both Citi Bank and Hang Seng have taken steps to tackle the respective HR challenges that they face. </w:t>
      </w:r>
      <w:r w:rsidR="00354453">
        <w:t xml:space="preserve">However, these solutions seem inadequate. For example, the training that Hang Seng has carried out does not address how the company will recruit new employees to support its efforts to serve American customers in a </w:t>
      </w:r>
      <w:r w:rsidR="00162303">
        <w:t>culturally appropriate</w:t>
      </w:r>
      <w:r w:rsidR="00354453">
        <w:t xml:space="preserve"> fashion. On the other hand, through the policy that it has rolled out, Citi Bank has essentially betrayed its employees. Research has established that organizational support plays an essential role in bolstering employee engagement, motivation, and satisfaction</w:t>
      </w:r>
      <w:r w:rsidR="002A2FE6">
        <w:t xml:space="preserve"> (</w:t>
      </w:r>
      <w:r w:rsidR="00061A7C">
        <w:t xml:space="preserve">Carucci, </w:t>
      </w:r>
      <w:r w:rsidR="00AD57BF">
        <w:t>2019</w:t>
      </w:r>
      <w:r w:rsidR="00875C71">
        <w:t xml:space="preserve">; Sageer et al., </w:t>
      </w:r>
      <w:r w:rsidR="00D61844">
        <w:t>2012</w:t>
      </w:r>
      <w:r w:rsidR="00AD57BF">
        <w:t>)</w:t>
      </w:r>
      <w:r w:rsidR="00354453">
        <w:t>. Having turned its back on its employees, Citi Bank should ready itself for a decline in performance and productivity</w:t>
      </w:r>
      <w:r w:rsidR="0024160C">
        <w:t xml:space="preserve">. </w:t>
      </w:r>
    </w:p>
    <w:p w14:paraId="2A2BF0C3" w14:textId="4160AD34" w:rsidR="003514B8" w:rsidRDefault="003514B8" w:rsidP="00150772">
      <w:pPr>
        <w:jc w:val="both"/>
      </w:pPr>
      <w:r>
        <w:tab/>
        <w:t>While they do not address all elements of the problems, the solutions that Citi Bank and Hang Seng have rolled out have some positive impacts. For example, by siding with Chinese authorities, Citi Bank is insulating itself agai</w:t>
      </w:r>
      <w:r w:rsidR="00AE0139">
        <w:t xml:space="preserve">nst sanctions which would have devastating impacts. </w:t>
      </w:r>
      <w:r w:rsidR="001457E3">
        <w:t xml:space="preserve">China is among the most important markets for Citi Bank, </w:t>
      </w:r>
      <w:r w:rsidR="00CB7AA7">
        <w:t xml:space="preserve">generating RMB 1.16 billion for the </w:t>
      </w:r>
      <w:r w:rsidR="00CB7AA7">
        <w:lastRenderedPageBreak/>
        <w:t>company in 2016 (</w:t>
      </w:r>
      <w:r w:rsidR="00045C04">
        <w:t xml:space="preserve">Citi </w:t>
      </w:r>
      <w:r w:rsidR="00EE46E1">
        <w:t>Group</w:t>
      </w:r>
      <w:r w:rsidR="00714A32">
        <w:t>,</w:t>
      </w:r>
      <w:r w:rsidR="00045C04">
        <w:t xml:space="preserve"> 2017). </w:t>
      </w:r>
      <w:r w:rsidR="00914A15">
        <w:t xml:space="preserve">The training that </w:t>
      </w:r>
      <w:proofErr w:type="gramStart"/>
      <w:r w:rsidR="00914A15">
        <w:t>Hang</w:t>
      </w:r>
      <w:proofErr w:type="gramEnd"/>
      <w:r w:rsidR="00914A15">
        <w:t xml:space="preserve"> Seng has undertaken promises to </w:t>
      </w:r>
      <w:r w:rsidR="00245991">
        <w:t xml:space="preserve">empower and equip its employees with competencies necessary to thrive in the American market. </w:t>
      </w:r>
    </w:p>
    <w:p w14:paraId="5CB23821" w14:textId="4897EF26" w:rsidR="00B86268" w:rsidRPr="00B86268" w:rsidRDefault="002C5F78" w:rsidP="00150772">
      <w:pPr>
        <w:jc w:val="both"/>
      </w:pPr>
      <w:r>
        <w:tab/>
        <w:t xml:space="preserve">The solutions described above are imperfect and they offer opportunities for improvement. </w:t>
      </w:r>
      <w:r w:rsidR="00E246D2">
        <w:t xml:space="preserve">For example, as noted above, the measures that Hang Seng has instituted do not go far enough in attracting candidates who are qualified to help the firm to make inroads into the American culture. On the other hand, Citi Bank has sacrificed the wellbeing of its employees to maintain its operations in Hong Kong and mainland China. These solutions are unsustainable and could set the stage for the two companies to encounter even graver problems. </w:t>
      </w:r>
    </w:p>
    <w:p w14:paraId="207F8F20" w14:textId="43B9B219" w:rsidR="00A25DA6" w:rsidRDefault="00CA071A" w:rsidP="00150772">
      <w:pPr>
        <w:jc w:val="center"/>
        <w:rPr>
          <w:b/>
          <w:bCs/>
        </w:rPr>
      </w:pPr>
      <w:r>
        <w:rPr>
          <w:b/>
          <w:bCs/>
        </w:rPr>
        <w:t>Recommendations</w:t>
      </w:r>
    </w:p>
    <w:p w14:paraId="45F23C54" w14:textId="3DF0E8D8" w:rsidR="00767E8D" w:rsidRDefault="00767E8D" w:rsidP="00150772">
      <w:pPr>
        <w:jc w:val="both"/>
      </w:pPr>
      <w:r>
        <w:rPr>
          <w:b/>
          <w:bCs/>
        </w:rPr>
        <w:tab/>
      </w:r>
      <w:r>
        <w:t xml:space="preserve">As established above, the solutions that Citi Bank and Hang Seng have implemented are inadequate to secure the future of these firms in their international markets. It is proposed that Hang Seng should implement a plan that focuses on rebranding itself as a company that is committed to ensuring that the American customers are served in ways that account for and demonstrate respect for their culture. In the short and medium term, Hang Seng should embark on an aggressive media campaign. The purpose of this campaign should be to reassert its </w:t>
      </w:r>
      <w:r w:rsidR="009751BF">
        <w:t xml:space="preserve">dedication to </w:t>
      </w:r>
      <w:r w:rsidR="007F5F87">
        <w:t>cultural sensitivity</w:t>
      </w:r>
      <w:r w:rsidR="007A1DAB">
        <w:t xml:space="preserve">, diversity, and tolerance. </w:t>
      </w:r>
      <w:r w:rsidR="00AF0038">
        <w:t xml:space="preserve">Today, prospective employees are drawn to companies with a clear </w:t>
      </w:r>
      <w:r w:rsidR="005C652F">
        <w:t xml:space="preserve">message and strategy to promote inclusion and </w:t>
      </w:r>
      <w:r w:rsidR="005526E3">
        <w:t>cultural diversity (</w:t>
      </w:r>
      <w:r w:rsidR="004F0757">
        <w:t xml:space="preserve">Otado et al., </w:t>
      </w:r>
      <w:r w:rsidR="00B021AA">
        <w:t>2015</w:t>
      </w:r>
      <w:r w:rsidR="00D81E9F">
        <w:t xml:space="preserve">; Williamson, </w:t>
      </w:r>
      <w:r w:rsidR="00263AC9">
        <w:t>2007</w:t>
      </w:r>
      <w:r w:rsidR="00B021AA">
        <w:t xml:space="preserve">). </w:t>
      </w:r>
      <w:r w:rsidR="00140A31">
        <w:t xml:space="preserve">Over the longer term, Hang Seng should then </w:t>
      </w:r>
      <w:r w:rsidR="009720A1">
        <w:t xml:space="preserve">implement a robust cultural sensitivity training program that targets existing and new employees. </w:t>
      </w:r>
      <w:r w:rsidR="00CE2A33">
        <w:t xml:space="preserve">The main advantage of this plan is that it is fairly easy to implement as it is not necessarily cost-intensive. However, </w:t>
      </w:r>
      <w:r w:rsidR="00581B5B">
        <w:t xml:space="preserve">Hang Seng should understand that this plan will not </w:t>
      </w:r>
      <w:r w:rsidR="00A05F4A">
        <w:t xml:space="preserve">deliver immediate results. This is its key drawback. </w:t>
      </w:r>
      <w:r w:rsidR="00893EDB">
        <w:t xml:space="preserve">Some of the outcomes that </w:t>
      </w:r>
      <w:r w:rsidR="00026D0B">
        <w:t xml:space="preserve">Hang Seng should expect to </w:t>
      </w:r>
      <w:r w:rsidR="008C7DA8">
        <w:t xml:space="preserve">witness following the successful implementation of the proposed plan included the establishment of a </w:t>
      </w:r>
      <w:r w:rsidR="00162303">
        <w:t>culturally diverse</w:t>
      </w:r>
      <w:r w:rsidR="008C7DA8">
        <w:t xml:space="preserve"> workplace </w:t>
      </w:r>
      <w:r w:rsidR="008C7DA8">
        <w:lastRenderedPageBreak/>
        <w:t xml:space="preserve">where </w:t>
      </w:r>
      <w:r w:rsidR="00162303">
        <w:t>employees’</w:t>
      </w:r>
      <w:r w:rsidR="008C7DA8">
        <w:t xml:space="preserve"> posses the skills </w:t>
      </w:r>
      <w:r w:rsidR="005A4D36">
        <w:t xml:space="preserve">needed to render </w:t>
      </w:r>
      <w:r w:rsidR="00162303">
        <w:t>culturally appropriate</w:t>
      </w:r>
      <w:r w:rsidR="005A4D36">
        <w:t xml:space="preserve"> services (</w:t>
      </w:r>
      <w:r w:rsidR="002A3114">
        <w:t>Shepherd,</w:t>
      </w:r>
      <w:r w:rsidR="00582773">
        <w:t xml:space="preserve"> 2019). </w:t>
      </w:r>
      <w:r w:rsidR="00525312">
        <w:t xml:space="preserve">Some of the resources needed for the implementation of this plan include finances, support from the firm’s leadership, and facilitators who will run the training program. </w:t>
      </w:r>
    </w:p>
    <w:p w14:paraId="3F443763" w14:textId="632F6374" w:rsidR="003F6F47" w:rsidRPr="00767E8D" w:rsidRDefault="00AA370F" w:rsidP="00150772">
      <w:pPr>
        <w:jc w:val="both"/>
      </w:pPr>
      <w:r>
        <w:tab/>
      </w:r>
      <w:r w:rsidR="000A6261">
        <w:t xml:space="preserve">Unlike Hang Seng whose problem can be addressed through a simple and cost-effective solution, the challenge that confronts Citi Bank is more complex. </w:t>
      </w:r>
      <w:r w:rsidR="001C1030">
        <w:t xml:space="preserve">It is recommended that the firm should maintain the policy that it has adopted. </w:t>
      </w:r>
      <w:r w:rsidR="00225600">
        <w:t xml:space="preserve">This proposal is based on the utilitarian model of ethical decision-making. </w:t>
      </w:r>
      <w:r w:rsidR="008F2CDE">
        <w:t>Essentially, this model holds that when confronted with a difficult moral dilemma, firms and individuals should opt for the choice that delivers the greatest benefit while minimizing harm (</w:t>
      </w:r>
      <w:r w:rsidR="00C0180A">
        <w:t xml:space="preserve">Audi, 2007; </w:t>
      </w:r>
      <w:r w:rsidR="00B34D7C">
        <w:t xml:space="preserve">Gustafson, </w:t>
      </w:r>
      <w:r w:rsidR="0084221D">
        <w:t xml:space="preserve">2013). Among the advantages of the recommended course of action is that Citi Bank will maintain its operations in Hong Kong and China, thereby generating value for its stakeholders, including employees who will keep their jobs. The main limitation of this solution is that it could erode </w:t>
      </w:r>
      <w:r w:rsidR="00556943">
        <w:t>employee confidence in the firm’s commitment to safegu</w:t>
      </w:r>
      <w:r w:rsidR="00FE6C8D">
        <w:t>ardi</w:t>
      </w:r>
      <w:r w:rsidR="00556943">
        <w:t>ng their wellbeing</w:t>
      </w:r>
      <w:r w:rsidR="00173ADF">
        <w:t xml:space="preserve"> and supporting them</w:t>
      </w:r>
      <w:r w:rsidR="00556943">
        <w:t xml:space="preserve">. </w:t>
      </w:r>
      <w:r w:rsidR="006F2D49">
        <w:t xml:space="preserve">While requiring employees to stay uninvolved in the Hong Kong protests will damage Citi Bank’s relationships with its employees, it will guarantee the company’s future in one of its largest markets. To implement this solution, the main resource that the firm will need is the support of its employees. </w:t>
      </w:r>
    </w:p>
    <w:p w14:paraId="78085CBF" w14:textId="71B3C259" w:rsidR="00CA071A" w:rsidRDefault="00CF2D02" w:rsidP="00150772">
      <w:pPr>
        <w:jc w:val="center"/>
        <w:rPr>
          <w:b/>
          <w:bCs/>
        </w:rPr>
      </w:pPr>
      <w:r>
        <w:rPr>
          <w:b/>
          <w:bCs/>
        </w:rPr>
        <w:t>Stakeholders</w:t>
      </w:r>
    </w:p>
    <w:p w14:paraId="1833C479" w14:textId="449D9B62" w:rsidR="00DB3413" w:rsidRPr="00DB3413" w:rsidRDefault="00DB3413" w:rsidP="00150772">
      <w:pPr>
        <w:jc w:val="both"/>
      </w:pPr>
      <w:r>
        <w:rPr>
          <w:b/>
          <w:bCs/>
        </w:rPr>
        <w:tab/>
      </w:r>
      <w:r>
        <w:t xml:space="preserve">The stakeholders at Citi Bank and Hang Seng have expectations that the two firms should attempt to meet. For Hang Seng, the key stakeholders are customers and employees. Whereas customers expect </w:t>
      </w:r>
      <w:r w:rsidR="00162303">
        <w:t>culturally sensitive</w:t>
      </w:r>
      <w:r>
        <w:t xml:space="preserve"> </w:t>
      </w:r>
      <w:r w:rsidR="00D22BE0">
        <w:t xml:space="preserve">services, the employees require that the firm should equip them with the knowledge and skills necessary to provide these services. Implementing the proposed solution will enable Hang Seng to </w:t>
      </w:r>
      <w:r w:rsidR="00240147">
        <w:t xml:space="preserve">honor these expectations. For example, as they undergo training, the employees will be properly prepared to offer high quality services that are </w:t>
      </w:r>
      <w:r w:rsidR="00240147">
        <w:lastRenderedPageBreak/>
        <w:t xml:space="preserve">aligned with the American business culture. On the other hand, </w:t>
      </w:r>
      <w:r w:rsidR="0015416C">
        <w:t xml:space="preserve">shareholders and employees are the primary stakeholders </w:t>
      </w:r>
      <w:r w:rsidR="00D130B4">
        <w:t xml:space="preserve">whose expectations Citi Bank should try to satisfy. The employees demand support and solidarity from the </w:t>
      </w:r>
      <w:r w:rsidR="00015C26">
        <w:t>company while the stock</w:t>
      </w:r>
      <w:r w:rsidR="008108A6">
        <w:t xml:space="preserve">holders </w:t>
      </w:r>
      <w:r w:rsidR="00B777D8">
        <w:t xml:space="preserve">expect </w:t>
      </w:r>
      <w:r w:rsidR="00AA071E">
        <w:t xml:space="preserve">returns on their investment. The proposed solution mostly meets the expectations of the shareholders by guaranteeing profits. However, by keeping Citi Bank operating in China and Hong Kong, this solution also </w:t>
      </w:r>
      <w:r w:rsidR="004000CB">
        <w:t xml:space="preserve">helps the personnel to stay employed. If Citi Bank is hounded out of the Hong Kong market for supporting its protesting employees, the thousands of employees will be rendered jobless. </w:t>
      </w:r>
    </w:p>
    <w:p w14:paraId="16CA8B25" w14:textId="741D18D7" w:rsidR="000329D3" w:rsidRDefault="00CF2D02" w:rsidP="00150772">
      <w:pPr>
        <w:jc w:val="center"/>
        <w:rPr>
          <w:b/>
          <w:bCs/>
        </w:rPr>
      </w:pPr>
      <w:r>
        <w:rPr>
          <w:b/>
          <w:bCs/>
        </w:rPr>
        <w:t>Conclusion</w:t>
      </w:r>
    </w:p>
    <w:p w14:paraId="486A2439" w14:textId="695D6756" w:rsidR="003F4618" w:rsidRPr="003F4618" w:rsidRDefault="003F4618" w:rsidP="00150772">
      <w:pPr>
        <w:jc w:val="both"/>
      </w:pPr>
      <w:r>
        <w:rPr>
          <w:b/>
          <w:bCs/>
        </w:rPr>
        <w:tab/>
      </w:r>
      <w:r>
        <w:t xml:space="preserve">In closing, </w:t>
      </w:r>
      <w:r w:rsidR="003E02EE">
        <w:t xml:space="preserve">the challenges that Hang Seng and Citi Bank have faced are not necessarily unique. Other firms have also grappled with similar problems. In particular, today, firms are struggling to attract </w:t>
      </w:r>
      <w:r w:rsidR="00162303">
        <w:t>culturally competent</w:t>
      </w:r>
      <w:r w:rsidR="003E02EE">
        <w:t xml:space="preserve"> employees who can help them excel in new markets. Additionally, companies are encountering hardships as they seek to balance the competing interests of various stakeholders. The optimal solutions to these problems vary from one company to the next. It is best for firms to consider their individual situations and implement measures that are best aligned with their long-term objectives and strategies. </w:t>
      </w:r>
    </w:p>
    <w:p w14:paraId="5EFC8CC9" w14:textId="77777777" w:rsidR="000329D3" w:rsidRDefault="000329D3" w:rsidP="00150772">
      <w:pPr>
        <w:jc w:val="both"/>
        <w:rPr>
          <w:b/>
          <w:bCs/>
        </w:rPr>
      </w:pPr>
      <w:r>
        <w:rPr>
          <w:b/>
          <w:bCs/>
        </w:rPr>
        <w:br w:type="page"/>
      </w:r>
    </w:p>
    <w:p w14:paraId="53266C50" w14:textId="3DF48529" w:rsidR="00CF2D02" w:rsidRDefault="000329D3" w:rsidP="00150772">
      <w:pPr>
        <w:jc w:val="center"/>
        <w:rPr>
          <w:b/>
          <w:bCs/>
        </w:rPr>
      </w:pPr>
      <w:r>
        <w:rPr>
          <w:b/>
          <w:bCs/>
        </w:rPr>
        <w:lastRenderedPageBreak/>
        <w:t>References</w:t>
      </w:r>
    </w:p>
    <w:p w14:paraId="68A55E31" w14:textId="6B865DA9" w:rsidR="00BD0B28" w:rsidRPr="00444ED0" w:rsidRDefault="00BD0B28" w:rsidP="00150772">
      <w:pPr>
        <w:ind w:left="720" w:hanging="720"/>
        <w:jc w:val="both"/>
      </w:pPr>
      <w:r>
        <w:t>Audi,</w:t>
      </w:r>
      <w:r w:rsidR="00AD0CF6">
        <w:t xml:space="preserve"> </w:t>
      </w:r>
      <w:r w:rsidR="001B0385">
        <w:t xml:space="preserve">R, 2007. </w:t>
      </w:r>
      <w:r w:rsidR="002736EB">
        <w:t xml:space="preserve">Can utilitarianism be distributive? </w:t>
      </w:r>
      <w:r w:rsidR="00810DFB">
        <w:t xml:space="preserve">Maximization </w:t>
      </w:r>
      <w:r w:rsidR="00955659">
        <w:t xml:space="preserve">and distribution as criteria </w:t>
      </w:r>
      <w:r w:rsidR="00201233">
        <w:t xml:space="preserve">in managerial decisions. </w:t>
      </w:r>
      <w:r w:rsidR="00444ED0">
        <w:rPr>
          <w:i/>
          <w:iCs/>
        </w:rPr>
        <w:t xml:space="preserve">Business Ethics Quarterly, </w:t>
      </w:r>
      <w:r w:rsidR="003B7FBA">
        <w:t xml:space="preserve">17(4), </w:t>
      </w:r>
      <w:r w:rsidR="00BA5C7D">
        <w:t>pp.</w:t>
      </w:r>
      <w:r w:rsidR="00A25BD8">
        <w:t xml:space="preserve"> 593-611. </w:t>
      </w:r>
    </w:p>
    <w:p w14:paraId="63BF523B" w14:textId="1917D433" w:rsidR="00526E96" w:rsidRDefault="00526E96" w:rsidP="00150772">
      <w:pPr>
        <w:ind w:left="720" w:hanging="720"/>
        <w:jc w:val="both"/>
      </w:pPr>
      <w:r w:rsidRPr="00526E96">
        <w:t>Beugelsdijk,</w:t>
      </w:r>
      <w:r>
        <w:t xml:space="preserve"> S., </w:t>
      </w:r>
      <w:r w:rsidR="00294EAE">
        <w:t>Kostova, T</w:t>
      </w:r>
      <w:r w:rsidR="00B706E2">
        <w:t xml:space="preserve">., </w:t>
      </w:r>
      <w:r w:rsidR="00FC194B">
        <w:t xml:space="preserve">Kunst, V. E., </w:t>
      </w:r>
      <w:r w:rsidR="0027093D">
        <w:t xml:space="preserve">Spadafora, </w:t>
      </w:r>
      <w:r w:rsidR="002665F9">
        <w:t xml:space="preserve">E., &amp; van Essen, </w:t>
      </w:r>
      <w:r w:rsidR="00274365">
        <w:t xml:space="preserve">M, 2017. </w:t>
      </w:r>
      <w:r w:rsidR="00C64D5D">
        <w:t xml:space="preserve">Cultural distance and firm internationalization: </w:t>
      </w:r>
      <w:r w:rsidR="005E3219">
        <w:t xml:space="preserve">a meta-analytic review </w:t>
      </w:r>
      <w:r w:rsidR="00801BA8">
        <w:t xml:space="preserve">and theoretical implications. </w:t>
      </w:r>
      <w:r w:rsidR="009D7407">
        <w:rPr>
          <w:i/>
          <w:iCs/>
        </w:rPr>
        <w:t xml:space="preserve">Journal of Management, </w:t>
      </w:r>
      <w:r w:rsidR="009D7407">
        <w:t xml:space="preserve">44(1), pp. </w:t>
      </w:r>
      <w:r w:rsidR="009C5AD3">
        <w:t xml:space="preserve">89-130. </w:t>
      </w:r>
    </w:p>
    <w:p w14:paraId="42347148" w14:textId="76C60188" w:rsidR="009720FF" w:rsidRDefault="009720FF" w:rsidP="00150772">
      <w:pPr>
        <w:ind w:left="720" w:hanging="720"/>
        <w:jc w:val="both"/>
      </w:pPr>
      <w:r>
        <w:t xml:space="preserve">Bray, </w:t>
      </w:r>
      <w:r w:rsidR="006C5224">
        <w:t xml:space="preserve">C., 2019. </w:t>
      </w:r>
      <w:r w:rsidR="00700C1F" w:rsidRPr="00700C1F">
        <w:t>Hong Kong protests prompt Citigroup to warn employees to avoid ‘dangerous situations’ after banker arrested</w:t>
      </w:r>
      <w:r w:rsidR="00700C1F">
        <w:t xml:space="preserve">. </w:t>
      </w:r>
      <w:r w:rsidR="00CE4225">
        <w:rPr>
          <w:i/>
          <w:iCs/>
        </w:rPr>
        <w:t xml:space="preserve">SCMP. </w:t>
      </w:r>
      <w:r w:rsidR="00CE4225">
        <w:t xml:space="preserve">[online]. </w:t>
      </w:r>
      <w:r w:rsidR="007A463E">
        <w:t xml:space="preserve">Available at: </w:t>
      </w:r>
      <w:hyperlink r:id="rId8" w:history="1">
        <w:r w:rsidR="00187560" w:rsidRPr="00CC1915">
          <w:rPr>
            <w:rStyle w:val="Hyperlink"/>
          </w:rPr>
          <w:t>https://www.scmp.com/news/hong-kong/hong-kong-economy/article/3037730/citigroup-warns-employees-avoid-dangerous</w:t>
        </w:r>
      </w:hyperlink>
      <w:r w:rsidR="00187560">
        <w:t xml:space="preserve"> </w:t>
      </w:r>
    </w:p>
    <w:p w14:paraId="2535AC37" w14:textId="4FD64908" w:rsidR="00B114A7" w:rsidRDefault="00B114A7" w:rsidP="00150772">
      <w:pPr>
        <w:ind w:left="720" w:hanging="720"/>
        <w:jc w:val="both"/>
      </w:pPr>
      <w:r>
        <w:t xml:space="preserve">Carucci, </w:t>
      </w:r>
      <w:r w:rsidR="00F735DA">
        <w:t xml:space="preserve">R., 2019. </w:t>
      </w:r>
      <w:r w:rsidR="00F735DA">
        <w:rPr>
          <w:i/>
          <w:iCs/>
        </w:rPr>
        <w:t xml:space="preserve">Balancing </w:t>
      </w:r>
      <w:r w:rsidR="00B66D56">
        <w:rPr>
          <w:i/>
          <w:iCs/>
        </w:rPr>
        <w:t xml:space="preserve">the company’s needs and employee satisfaction. </w:t>
      </w:r>
      <w:r w:rsidR="00B66D56">
        <w:t xml:space="preserve">Harvard Business Review. [online]. Available at: </w:t>
      </w:r>
      <w:hyperlink r:id="rId9" w:history="1">
        <w:r w:rsidR="00927509" w:rsidRPr="00CC1915">
          <w:rPr>
            <w:rStyle w:val="Hyperlink"/>
          </w:rPr>
          <w:t>https://hbr.org/2019/11/balancing-the-companys-needs-and-employee-satisfaction</w:t>
        </w:r>
      </w:hyperlink>
      <w:r w:rsidR="00927509">
        <w:t xml:space="preserve"> </w:t>
      </w:r>
    </w:p>
    <w:p w14:paraId="6ABCA8F9" w14:textId="2B3B8C0A" w:rsidR="002A147A" w:rsidRPr="0097422D" w:rsidRDefault="002A147A" w:rsidP="00150772">
      <w:pPr>
        <w:ind w:left="720" w:hanging="720"/>
        <w:jc w:val="both"/>
      </w:pPr>
      <w:r>
        <w:t xml:space="preserve">Citi Group, 2017. </w:t>
      </w:r>
      <w:r w:rsidR="0097422D">
        <w:rPr>
          <w:i/>
          <w:iCs/>
        </w:rPr>
        <w:t xml:space="preserve">2016 annual report. </w:t>
      </w:r>
      <w:r w:rsidR="0097422D">
        <w:t xml:space="preserve">[online]. Available at: </w:t>
      </w:r>
      <w:hyperlink r:id="rId10" w:history="1">
        <w:r w:rsidR="00ED1350" w:rsidRPr="00CC1915">
          <w:rPr>
            <w:rStyle w:val="Hyperlink"/>
          </w:rPr>
          <w:t>https://www.citi.com.cn/html/en/pdf/CCCL_2016.pdf</w:t>
        </w:r>
      </w:hyperlink>
      <w:r w:rsidR="00ED1350">
        <w:t xml:space="preserve"> </w:t>
      </w:r>
    </w:p>
    <w:p w14:paraId="4F79D4AE" w14:textId="42F632A2" w:rsidR="006D4149" w:rsidRDefault="006D4149" w:rsidP="00150772">
      <w:pPr>
        <w:ind w:left="720" w:hanging="720"/>
        <w:jc w:val="both"/>
      </w:pPr>
      <w:r>
        <w:t xml:space="preserve">Citi Group, n.d. </w:t>
      </w:r>
      <w:r w:rsidR="0078050E">
        <w:rPr>
          <w:i/>
          <w:iCs/>
        </w:rPr>
        <w:t>Hong Kong</w:t>
      </w:r>
      <w:r w:rsidR="00D73F29">
        <w:rPr>
          <w:i/>
          <w:iCs/>
        </w:rPr>
        <w:t>. An internationa</w:t>
      </w:r>
      <w:r w:rsidR="006C1184">
        <w:rPr>
          <w:i/>
          <w:iCs/>
        </w:rPr>
        <w:t xml:space="preserve">l </w:t>
      </w:r>
      <w:r w:rsidR="003353C4">
        <w:rPr>
          <w:i/>
          <w:iCs/>
        </w:rPr>
        <w:t xml:space="preserve">partnership spanning more than </w:t>
      </w:r>
      <w:r w:rsidR="00BB1DB5">
        <w:rPr>
          <w:i/>
          <w:iCs/>
        </w:rPr>
        <w:t xml:space="preserve">100 years. </w:t>
      </w:r>
      <w:r w:rsidR="00BB1DB5">
        <w:t>[online]. Available at</w:t>
      </w:r>
      <w:r w:rsidR="00045CDC">
        <w:t xml:space="preserve">: </w:t>
      </w:r>
      <w:hyperlink r:id="rId11" w:history="1">
        <w:r w:rsidR="00045CDC" w:rsidRPr="00CC1915">
          <w:rPr>
            <w:rStyle w:val="Hyperlink"/>
          </w:rPr>
          <w:t>https://www.citigroup.com/citi/citiforcities/hong-kong-city-profile.html</w:t>
        </w:r>
      </w:hyperlink>
      <w:r w:rsidR="00045CDC">
        <w:t xml:space="preserve"> </w:t>
      </w:r>
    </w:p>
    <w:p w14:paraId="066EA33A" w14:textId="124BE940" w:rsidR="00E931EB" w:rsidRDefault="00E931EB" w:rsidP="00150772">
      <w:pPr>
        <w:ind w:left="720" w:hanging="720"/>
        <w:jc w:val="both"/>
      </w:pPr>
      <w:r w:rsidRPr="00E931EB">
        <w:t>Briscoe, D.R., Schuler, R.S., &amp; Claus, L.</w:t>
      </w:r>
      <w:r>
        <w:t>,</w:t>
      </w:r>
      <w:r w:rsidRPr="00E931EB">
        <w:t xml:space="preserve">2009. </w:t>
      </w:r>
      <w:r w:rsidRPr="00CC1E5B">
        <w:rPr>
          <w:i/>
          <w:iCs/>
        </w:rPr>
        <w:t>International Human Resource Management: Policies and Practices for Multinational Enterprises</w:t>
      </w:r>
      <w:r w:rsidRPr="00E931EB">
        <w:t xml:space="preserve">. (3rd ed.) London: Routledge. </w:t>
      </w:r>
    </w:p>
    <w:p w14:paraId="053FF739" w14:textId="296171BF" w:rsidR="0061074C" w:rsidRPr="00E931EB" w:rsidRDefault="0061074C" w:rsidP="00150772">
      <w:pPr>
        <w:ind w:left="720" w:hanging="720"/>
        <w:jc w:val="both"/>
      </w:pPr>
      <w:r>
        <w:t xml:space="preserve">Davies, </w:t>
      </w:r>
      <w:r w:rsidR="00045F9D">
        <w:t xml:space="preserve">C., 2003. </w:t>
      </w:r>
      <w:r w:rsidR="00045F9D" w:rsidRPr="00045F9D">
        <w:t xml:space="preserve">Global corporate culture meets local culture &amp; practice - HSBC in Malta. In G. Baldacchino, A. Caruana, &amp; M. Grixti (Eds.), </w:t>
      </w:r>
      <w:r w:rsidR="00045F9D" w:rsidRPr="00994254">
        <w:rPr>
          <w:i/>
          <w:iCs/>
        </w:rPr>
        <w:t xml:space="preserve">Managing people in </w:t>
      </w:r>
      <w:r w:rsidR="007A27D8" w:rsidRPr="00994254">
        <w:rPr>
          <w:i/>
          <w:iCs/>
        </w:rPr>
        <w:t>Malta:</w:t>
      </w:r>
      <w:r w:rsidR="00045F9D" w:rsidRPr="00994254">
        <w:rPr>
          <w:i/>
          <w:iCs/>
        </w:rPr>
        <w:t xml:space="preserve"> case studies in local human resource management practice</w:t>
      </w:r>
      <w:r w:rsidR="00045F9D" w:rsidRPr="00045F9D">
        <w:t xml:space="preserve"> (pp. 405-423).</w:t>
      </w:r>
    </w:p>
    <w:p w14:paraId="7A014A8A" w14:textId="0076F3A5" w:rsidR="00E931EB" w:rsidRDefault="00E931EB" w:rsidP="00150772">
      <w:pPr>
        <w:ind w:left="720" w:hanging="720"/>
        <w:jc w:val="both"/>
      </w:pPr>
      <w:r w:rsidRPr="00E931EB">
        <w:lastRenderedPageBreak/>
        <w:t>Evans, P, Pucik, V., Bjorkman, I.</w:t>
      </w:r>
      <w:r w:rsidR="00CC1E5B">
        <w:t xml:space="preserve">, </w:t>
      </w:r>
      <w:r w:rsidRPr="00E931EB">
        <w:t>2016</w:t>
      </w:r>
      <w:r w:rsidR="00016B49">
        <w:t>.</w:t>
      </w:r>
      <w:r w:rsidRPr="00E931EB">
        <w:t xml:space="preserve"> The </w:t>
      </w:r>
      <w:r w:rsidRPr="00FD1E82">
        <w:rPr>
          <w:i/>
          <w:iCs/>
        </w:rPr>
        <w:t>Global Challenge – International Human Resources Management</w:t>
      </w:r>
      <w:r w:rsidR="00FD1E82">
        <w:t>. (</w:t>
      </w:r>
      <w:r w:rsidRPr="00E931EB">
        <w:t>2nd ed</w:t>
      </w:r>
      <w:r w:rsidR="00C10F3A">
        <w:t>.</w:t>
      </w:r>
      <w:r w:rsidR="00FD1E82">
        <w:t>).</w:t>
      </w:r>
      <w:r w:rsidRPr="00E931EB">
        <w:t xml:space="preserve"> McGraw-Hill International Edition.</w:t>
      </w:r>
    </w:p>
    <w:p w14:paraId="6E6DC280" w14:textId="0CA12DC0" w:rsidR="0065737B" w:rsidRPr="00F20658" w:rsidRDefault="0065737B" w:rsidP="00150772">
      <w:pPr>
        <w:ind w:left="720" w:hanging="720"/>
        <w:jc w:val="both"/>
      </w:pPr>
      <w:r>
        <w:t xml:space="preserve">Gustafson, </w:t>
      </w:r>
      <w:r w:rsidR="00E77E35">
        <w:t xml:space="preserve">A., </w:t>
      </w:r>
      <w:r w:rsidR="00725F1E">
        <w:t xml:space="preserve">2013. In defense of </w:t>
      </w:r>
      <w:r w:rsidR="00FF4309">
        <w:t xml:space="preserve">a utilitarian busines ethics. </w:t>
      </w:r>
      <w:r w:rsidR="00CE6E09">
        <w:rPr>
          <w:i/>
          <w:iCs/>
        </w:rPr>
        <w:t xml:space="preserve">Business and Society Review, </w:t>
      </w:r>
      <w:r w:rsidR="00F20658">
        <w:t>118(3)</w:t>
      </w:r>
      <w:r w:rsidR="00F62E05">
        <w:t xml:space="preserve">, </w:t>
      </w:r>
      <w:r w:rsidR="00A4495C">
        <w:t xml:space="preserve">325-60. </w:t>
      </w:r>
    </w:p>
    <w:p w14:paraId="1099BFCA" w14:textId="7EDFB54A" w:rsidR="00D119DB" w:rsidRDefault="00D119DB" w:rsidP="00150772">
      <w:pPr>
        <w:ind w:left="720" w:hanging="720"/>
        <w:jc w:val="both"/>
      </w:pPr>
      <w:r>
        <w:t xml:space="preserve">Hammond, </w:t>
      </w:r>
      <w:r w:rsidR="00AE6EFC">
        <w:t xml:space="preserve">G., 2019. </w:t>
      </w:r>
      <w:r w:rsidR="001B4137" w:rsidRPr="001E1B1E">
        <w:rPr>
          <w:i/>
          <w:iCs/>
        </w:rPr>
        <w:t>Citigroup set to post record revenues in Hong Kong.</w:t>
      </w:r>
      <w:r w:rsidR="001B4137">
        <w:t xml:space="preserve"> </w:t>
      </w:r>
      <w:r w:rsidR="00C6113D">
        <w:t xml:space="preserve">Financial Times. [online]. Available at: </w:t>
      </w:r>
      <w:hyperlink r:id="rId12" w:history="1">
        <w:r w:rsidR="00676394" w:rsidRPr="00CC1915">
          <w:rPr>
            <w:rStyle w:val="Hyperlink"/>
          </w:rPr>
          <w:t>https://www.ft.com/content/bc7bc43a-20b7-11ea-92da-f0c92e957a96</w:t>
        </w:r>
      </w:hyperlink>
      <w:r w:rsidR="00676394">
        <w:t xml:space="preserve"> </w:t>
      </w:r>
    </w:p>
    <w:p w14:paraId="75854E50" w14:textId="1B6B7553" w:rsidR="008879CB" w:rsidRDefault="008879CB" w:rsidP="00150772">
      <w:pPr>
        <w:ind w:left="720" w:hanging="720"/>
        <w:jc w:val="both"/>
      </w:pPr>
      <w:r w:rsidRPr="008879CB">
        <w:t>Hutzschenreuter</w:t>
      </w:r>
      <w:r>
        <w:t xml:space="preserve">, </w:t>
      </w:r>
      <w:r w:rsidR="009B6169">
        <w:t xml:space="preserve">T., </w:t>
      </w:r>
      <w:r w:rsidR="0040027C">
        <w:t>Voll, J. C., &amp;</w:t>
      </w:r>
      <w:r w:rsidR="00F41FDA">
        <w:t xml:space="preserve"> Verbeke, </w:t>
      </w:r>
      <w:r w:rsidR="00180534">
        <w:t xml:space="preserve">A, 2011. </w:t>
      </w:r>
      <w:r w:rsidR="003A6587">
        <w:t xml:space="preserve">The impact of added cultural </w:t>
      </w:r>
      <w:r w:rsidR="00990DB8">
        <w:t xml:space="preserve">distance and cultural diversity on </w:t>
      </w:r>
      <w:r w:rsidR="009505DF">
        <w:t xml:space="preserve">international </w:t>
      </w:r>
      <w:r w:rsidR="00BA5450">
        <w:t xml:space="preserve">expansion patterns: </w:t>
      </w:r>
      <w:r w:rsidR="00CB3EAB">
        <w:t xml:space="preserve">a </w:t>
      </w:r>
      <w:r w:rsidR="007E73E1">
        <w:t xml:space="preserve">Penrosean perspective. </w:t>
      </w:r>
      <w:r w:rsidR="00D43061">
        <w:rPr>
          <w:i/>
          <w:iCs/>
        </w:rPr>
        <w:t xml:space="preserve">Journal of Management Studies, </w:t>
      </w:r>
      <w:r w:rsidR="00D43061">
        <w:t xml:space="preserve">48(2), pp. </w:t>
      </w:r>
      <w:r w:rsidR="006C36DF">
        <w:t xml:space="preserve">305-29. </w:t>
      </w:r>
    </w:p>
    <w:p w14:paraId="0480AE39" w14:textId="0BB56353" w:rsidR="00DA7988" w:rsidRDefault="00DA7988" w:rsidP="00150772">
      <w:pPr>
        <w:ind w:left="720" w:hanging="720"/>
        <w:jc w:val="both"/>
      </w:pPr>
      <w:r>
        <w:t xml:space="preserve">Lancioni, </w:t>
      </w:r>
      <w:r w:rsidR="00FC14F4">
        <w:t xml:space="preserve">R., </w:t>
      </w:r>
      <w:r w:rsidR="00BC40AD">
        <w:t xml:space="preserve">Schau, </w:t>
      </w:r>
      <w:r w:rsidR="00A704EE">
        <w:t xml:space="preserve">H. J., &amp; </w:t>
      </w:r>
      <w:r w:rsidR="00DC488A">
        <w:t xml:space="preserve">Smith, M. F., 2005. </w:t>
      </w:r>
      <w:r w:rsidR="006E6E34" w:rsidRPr="006E6E34">
        <w:t>Intraorganizational influences on business-to-business pricing strategies: A political economy perspective</w:t>
      </w:r>
      <w:r w:rsidR="006E6E34">
        <w:t xml:space="preserve">. </w:t>
      </w:r>
      <w:r w:rsidR="003C57DE">
        <w:rPr>
          <w:i/>
          <w:iCs/>
        </w:rPr>
        <w:t xml:space="preserve">Industrial </w:t>
      </w:r>
      <w:r w:rsidR="00473092">
        <w:rPr>
          <w:i/>
          <w:iCs/>
        </w:rPr>
        <w:t xml:space="preserve">Marketing Management, </w:t>
      </w:r>
      <w:r w:rsidR="00A42AE2">
        <w:t xml:space="preserve">34(2), pp. </w:t>
      </w:r>
      <w:r w:rsidR="000C0CC2">
        <w:t xml:space="preserve">123-31. </w:t>
      </w:r>
    </w:p>
    <w:p w14:paraId="48B02A10" w14:textId="251D3DEC" w:rsidR="00EC4AB0" w:rsidRDefault="00EC4AB0" w:rsidP="00150772">
      <w:pPr>
        <w:ind w:left="720" w:hanging="720"/>
        <w:jc w:val="both"/>
      </w:pPr>
      <w:r>
        <w:t xml:space="preserve">Mathews, G., 2020. </w:t>
      </w:r>
      <w:r w:rsidR="00BC05B8" w:rsidRPr="00BC05B8">
        <w:t>The Hong Kong protests in anthropological perspective: National identity and what it means</w:t>
      </w:r>
      <w:r w:rsidR="00BC05B8">
        <w:t xml:space="preserve">. </w:t>
      </w:r>
      <w:r w:rsidR="00BC05B8">
        <w:rPr>
          <w:i/>
          <w:iCs/>
        </w:rPr>
        <w:t xml:space="preserve">Critique of Anthropology, </w:t>
      </w:r>
      <w:r w:rsidR="008751D4">
        <w:t xml:space="preserve">40(2), </w:t>
      </w:r>
      <w:r w:rsidR="00C64934">
        <w:t xml:space="preserve">pp. </w:t>
      </w:r>
      <w:r w:rsidR="00AF3406">
        <w:t xml:space="preserve">264-9. </w:t>
      </w:r>
    </w:p>
    <w:p w14:paraId="6DDD5DF3" w14:textId="5849A248" w:rsidR="007437AA" w:rsidRPr="00FD5B9D" w:rsidRDefault="007437AA" w:rsidP="00150772">
      <w:pPr>
        <w:ind w:left="720" w:hanging="720"/>
        <w:jc w:val="both"/>
      </w:pPr>
      <w:r>
        <w:t xml:space="preserve">Otado, </w:t>
      </w:r>
      <w:r w:rsidR="00277A03">
        <w:t xml:space="preserve">J., </w:t>
      </w:r>
      <w:proofErr w:type="spellStart"/>
      <w:r w:rsidR="00AC0CFD">
        <w:t>Kwagyan</w:t>
      </w:r>
      <w:proofErr w:type="spellEnd"/>
      <w:r w:rsidR="00AC0CFD">
        <w:t xml:space="preserve">, </w:t>
      </w:r>
      <w:r w:rsidR="00903A0D">
        <w:t xml:space="preserve">J., </w:t>
      </w:r>
      <w:r w:rsidR="00017652">
        <w:t xml:space="preserve">Edwards, </w:t>
      </w:r>
      <w:r w:rsidR="00FF13EE">
        <w:t xml:space="preserve">D., </w:t>
      </w:r>
      <w:proofErr w:type="spellStart"/>
      <w:r w:rsidR="00690133">
        <w:t>Ukaegbu</w:t>
      </w:r>
      <w:proofErr w:type="spellEnd"/>
      <w:r w:rsidR="00690133">
        <w:t xml:space="preserve">, </w:t>
      </w:r>
      <w:r w:rsidR="004822DD">
        <w:t xml:space="preserve">A., </w:t>
      </w:r>
      <w:r w:rsidR="00712473">
        <w:t xml:space="preserve">Rockcliffe, F., &amp; </w:t>
      </w:r>
      <w:proofErr w:type="spellStart"/>
      <w:r w:rsidR="00FD5C08">
        <w:t>Osafo</w:t>
      </w:r>
      <w:proofErr w:type="spellEnd"/>
      <w:r w:rsidR="00FD5C08">
        <w:t xml:space="preserve">, N., </w:t>
      </w:r>
      <w:r w:rsidR="0057340C">
        <w:t xml:space="preserve">2015. </w:t>
      </w:r>
      <w:r w:rsidR="003F0D1D" w:rsidRPr="003F0D1D">
        <w:t>Culturally Competent Strategies for Recruitment and Retention of African American Populations into Clinical Trials</w:t>
      </w:r>
      <w:r w:rsidR="003F0D1D">
        <w:t xml:space="preserve">. </w:t>
      </w:r>
      <w:r w:rsidR="00225831">
        <w:rPr>
          <w:i/>
          <w:iCs/>
        </w:rPr>
        <w:t xml:space="preserve">Clinical and Translational </w:t>
      </w:r>
      <w:r w:rsidR="00D4036C">
        <w:rPr>
          <w:i/>
          <w:iCs/>
        </w:rPr>
        <w:t>Science</w:t>
      </w:r>
      <w:r w:rsidR="00FD5B9D">
        <w:rPr>
          <w:i/>
          <w:iCs/>
        </w:rPr>
        <w:t xml:space="preserve">, </w:t>
      </w:r>
      <w:r w:rsidR="00FD5B9D">
        <w:t xml:space="preserve">8(5), </w:t>
      </w:r>
      <w:r w:rsidR="00BE7A74">
        <w:t xml:space="preserve">pp. </w:t>
      </w:r>
      <w:r w:rsidR="000E39B1">
        <w:t xml:space="preserve">460-6. </w:t>
      </w:r>
    </w:p>
    <w:p w14:paraId="624F55E0" w14:textId="09EB6F30" w:rsidR="00B34F7D" w:rsidRDefault="00B34F7D" w:rsidP="00150772">
      <w:pPr>
        <w:ind w:left="720" w:hanging="720"/>
        <w:jc w:val="both"/>
      </w:pPr>
      <w:r>
        <w:t xml:space="preserve">Purbrick, </w:t>
      </w:r>
      <w:r w:rsidR="004B6C23">
        <w:t>M.</w:t>
      </w:r>
      <w:r w:rsidR="00481A86">
        <w:t xml:space="preserve">, 2019. </w:t>
      </w:r>
      <w:r w:rsidR="002928DB">
        <w:t xml:space="preserve">A report </w:t>
      </w:r>
      <w:r w:rsidR="00A1232F">
        <w:t xml:space="preserve">of the 2019 </w:t>
      </w:r>
      <w:r w:rsidR="00437FE4">
        <w:t xml:space="preserve">Hong Kong protests. </w:t>
      </w:r>
      <w:r w:rsidR="000744AE">
        <w:rPr>
          <w:i/>
          <w:iCs/>
        </w:rPr>
        <w:t xml:space="preserve">Asian Affairs, </w:t>
      </w:r>
      <w:r w:rsidR="000744AE">
        <w:t xml:space="preserve">50(4), pp. 465-87. </w:t>
      </w:r>
    </w:p>
    <w:p w14:paraId="28153DD6" w14:textId="7DCCE909" w:rsidR="00765F16" w:rsidRDefault="00765F16" w:rsidP="00150772">
      <w:pPr>
        <w:ind w:left="720" w:hanging="720"/>
        <w:jc w:val="both"/>
      </w:pPr>
      <w:r>
        <w:t xml:space="preserve">Ray, </w:t>
      </w:r>
      <w:r w:rsidR="00945B0E">
        <w:t xml:space="preserve">J. S., 2011. </w:t>
      </w:r>
      <w:r w:rsidR="00DD2A81">
        <w:t xml:space="preserve">Cultural comparison of the </w:t>
      </w:r>
      <w:r w:rsidR="00AF6014">
        <w:t xml:space="preserve">United States and China from </w:t>
      </w:r>
      <w:r w:rsidR="009B2DC1">
        <w:t xml:space="preserve">the project manager’s perspective. </w:t>
      </w:r>
      <w:r w:rsidR="007A33CB">
        <w:rPr>
          <w:i/>
          <w:iCs/>
        </w:rPr>
        <w:t xml:space="preserve">SSRN Electronic Journal. </w:t>
      </w:r>
      <w:r w:rsidR="007A33CB">
        <w:t xml:space="preserve">Available at: </w:t>
      </w:r>
      <w:r w:rsidR="0064306F" w:rsidRPr="0064306F">
        <w:t>10.2139/ssrn.2104458</w:t>
      </w:r>
      <w:r w:rsidR="0064306F">
        <w:t xml:space="preserve"> </w:t>
      </w:r>
    </w:p>
    <w:p w14:paraId="3914EEBD" w14:textId="457D38EA" w:rsidR="003A5433" w:rsidRDefault="003A5433" w:rsidP="00150772">
      <w:pPr>
        <w:ind w:left="720" w:hanging="720"/>
        <w:jc w:val="both"/>
      </w:pPr>
      <w:r>
        <w:lastRenderedPageBreak/>
        <w:t xml:space="preserve">Sageer, </w:t>
      </w:r>
      <w:r w:rsidR="006A1B8B">
        <w:t xml:space="preserve">A., Rafat, </w:t>
      </w:r>
      <w:r w:rsidR="00914776">
        <w:t xml:space="preserve">S., &amp; </w:t>
      </w:r>
      <w:r w:rsidR="00C2723E">
        <w:t xml:space="preserve">Agarwal, </w:t>
      </w:r>
      <w:r w:rsidR="00E25179">
        <w:t xml:space="preserve">P. (2012). </w:t>
      </w:r>
      <w:r w:rsidR="0057715B">
        <w:t xml:space="preserve">Identification of variables </w:t>
      </w:r>
      <w:r w:rsidR="00EB0C53">
        <w:t xml:space="preserve">affecting employee satisfaction and </w:t>
      </w:r>
      <w:r w:rsidR="00553408">
        <w:t xml:space="preserve">their impact on the organization. </w:t>
      </w:r>
      <w:r w:rsidR="00AB2739">
        <w:rPr>
          <w:i/>
          <w:iCs/>
        </w:rPr>
        <w:t xml:space="preserve">IOSR Journal of </w:t>
      </w:r>
      <w:r w:rsidR="00390F7C">
        <w:rPr>
          <w:i/>
          <w:iCs/>
        </w:rPr>
        <w:t xml:space="preserve">Business and Management, </w:t>
      </w:r>
      <w:r w:rsidR="00BB28B2">
        <w:t xml:space="preserve">5(1), pp. </w:t>
      </w:r>
      <w:r w:rsidR="00A6709A">
        <w:t xml:space="preserve">32-9. </w:t>
      </w:r>
    </w:p>
    <w:p w14:paraId="6FFD37E8" w14:textId="70B62E24" w:rsidR="00D54341" w:rsidRPr="00C0203F" w:rsidRDefault="00D54341" w:rsidP="00150772">
      <w:pPr>
        <w:ind w:left="720" w:hanging="720"/>
        <w:jc w:val="both"/>
      </w:pPr>
      <w:r>
        <w:t xml:space="preserve">Shepherd, </w:t>
      </w:r>
      <w:r w:rsidR="007A5740">
        <w:t xml:space="preserve">S. M., 2019. </w:t>
      </w:r>
      <w:r w:rsidR="00282C93" w:rsidRPr="00282C93">
        <w:t>Cultural awareness workshops: limitations and practical consequences</w:t>
      </w:r>
      <w:r w:rsidR="00801AAC">
        <w:t xml:space="preserve">. </w:t>
      </w:r>
      <w:r w:rsidR="00FD5640">
        <w:rPr>
          <w:i/>
          <w:iCs/>
        </w:rPr>
        <w:t>BMC Medical Education</w:t>
      </w:r>
      <w:r w:rsidR="00C0203F">
        <w:rPr>
          <w:i/>
          <w:iCs/>
        </w:rPr>
        <w:t xml:space="preserve">, </w:t>
      </w:r>
      <w:r w:rsidR="00C0203F">
        <w:t>19(</w:t>
      </w:r>
      <w:r w:rsidR="00B56E13">
        <w:t xml:space="preserve">14). </w:t>
      </w:r>
      <w:hyperlink r:id="rId13" w:history="1">
        <w:r w:rsidR="00B56E13">
          <w:rPr>
            <w:rStyle w:val="Hyperlink"/>
          </w:rPr>
          <w:t>https://doi.org/10.1186/s12909-018-1450-5</w:t>
        </w:r>
      </w:hyperlink>
      <w:r w:rsidR="00B56E13">
        <w:rPr>
          <w:rStyle w:val="c-bibliographic-informationvalue"/>
        </w:rPr>
        <w:t xml:space="preserve"> </w:t>
      </w:r>
    </w:p>
    <w:p w14:paraId="3FD17BD3" w14:textId="443FBE0D" w:rsidR="008E5D81" w:rsidRDefault="008E5D81" w:rsidP="00150772">
      <w:pPr>
        <w:ind w:left="720" w:hanging="720"/>
        <w:jc w:val="both"/>
      </w:pPr>
      <w:r>
        <w:t xml:space="preserve">Stevenson, </w:t>
      </w:r>
      <w:r w:rsidR="003241BD">
        <w:t>A.</w:t>
      </w:r>
      <w:r w:rsidR="006165E6">
        <w:t xml:space="preserve">, </w:t>
      </w:r>
      <w:r w:rsidR="003241BD">
        <w:t xml:space="preserve">2020. </w:t>
      </w:r>
      <w:r w:rsidR="00547A35" w:rsidRPr="00D4248D">
        <w:rPr>
          <w:i/>
          <w:iCs/>
        </w:rPr>
        <w:t xml:space="preserve">In Hong Kong, China threatens </w:t>
      </w:r>
      <w:r w:rsidR="00592653" w:rsidRPr="00D4248D">
        <w:rPr>
          <w:i/>
          <w:iCs/>
        </w:rPr>
        <w:t>businesses and workers</w:t>
      </w:r>
      <w:r w:rsidR="00592653">
        <w:t xml:space="preserve">. </w:t>
      </w:r>
      <w:r w:rsidR="00D4248D">
        <w:t xml:space="preserve">The New York Times. [online]. Available at: </w:t>
      </w:r>
      <w:hyperlink r:id="rId14" w:history="1">
        <w:r w:rsidR="007C53E0" w:rsidRPr="00CC1915">
          <w:rPr>
            <w:rStyle w:val="Hyperlink"/>
          </w:rPr>
          <w:t>https://www.nytimes.com/2020/05/31/business/hong-kong-china-business.html</w:t>
        </w:r>
      </w:hyperlink>
      <w:r w:rsidR="007C53E0">
        <w:t xml:space="preserve"> </w:t>
      </w:r>
    </w:p>
    <w:p w14:paraId="5C6ACB71" w14:textId="530DBC6C" w:rsidR="00E65E77" w:rsidRPr="00BF5064" w:rsidRDefault="00E65E77" w:rsidP="00150772">
      <w:pPr>
        <w:ind w:left="720" w:hanging="720"/>
        <w:jc w:val="both"/>
        <w:rPr>
          <w:sz w:val="32"/>
          <w:szCs w:val="32"/>
        </w:rPr>
      </w:pPr>
      <w:r>
        <w:t xml:space="preserve">Sweeney, </w:t>
      </w:r>
      <w:r w:rsidR="00525EEA">
        <w:t xml:space="preserve">P., 2020. </w:t>
      </w:r>
      <w:r w:rsidR="00525EEA" w:rsidRPr="00BF5064">
        <w:rPr>
          <w:i/>
          <w:iCs/>
        </w:rPr>
        <w:t>Breakingviews - Citi uncomfortably straddles Hong Kong-China fence</w:t>
      </w:r>
      <w:r w:rsidR="00BF5064">
        <w:rPr>
          <w:i/>
          <w:iCs/>
        </w:rPr>
        <w:t xml:space="preserve">. </w:t>
      </w:r>
      <w:r w:rsidR="00BF5064">
        <w:t xml:space="preserve">Reuters. [online]. Available at: </w:t>
      </w:r>
      <w:hyperlink r:id="rId15" w:history="1">
        <w:r w:rsidR="000C5541" w:rsidRPr="00CC1915">
          <w:rPr>
            <w:rStyle w:val="Hyperlink"/>
          </w:rPr>
          <w:t>https://www.reuters.com/article/us-hongkong-protests-citigroup-breakingv-idUSKBN23H0IA</w:t>
        </w:r>
      </w:hyperlink>
      <w:r w:rsidR="000C5541">
        <w:t xml:space="preserve"> </w:t>
      </w:r>
    </w:p>
    <w:p w14:paraId="15EE876D" w14:textId="796B477E" w:rsidR="000329D3" w:rsidRDefault="000329D3" w:rsidP="00150772">
      <w:pPr>
        <w:ind w:left="720" w:hanging="720"/>
        <w:jc w:val="both"/>
      </w:pPr>
      <w:r>
        <w:t xml:space="preserve">Tschoegi, </w:t>
      </w:r>
      <w:r w:rsidR="0014172A">
        <w:t>A. E.</w:t>
      </w:r>
      <w:r w:rsidR="008D21D1">
        <w:t>, 2004</w:t>
      </w:r>
      <w:r w:rsidR="00B2462B">
        <w:t xml:space="preserve">. </w:t>
      </w:r>
      <w:r w:rsidR="008C13D8">
        <w:t>“The world’s local bank</w:t>
      </w:r>
      <w:r w:rsidR="007419F7">
        <w:t xml:space="preserve">”: </w:t>
      </w:r>
      <w:r w:rsidR="00AD0B7F">
        <w:t xml:space="preserve">HSBC expansion </w:t>
      </w:r>
      <w:r w:rsidR="00F24169">
        <w:t xml:space="preserve">in the US, Canada, and Mexico. </w:t>
      </w:r>
      <w:r w:rsidR="00914B75">
        <w:rPr>
          <w:i/>
          <w:iCs/>
        </w:rPr>
        <w:t xml:space="preserve">Latin American Business Review, </w:t>
      </w:r>
      <w:r w:rsidR="00193D02">
        <w:t xml:space="preserve">5(4), pp. </w:t>
      </w:r>
      <w:r w:rsidR="008F7E69">
        <w:t xml:space="preserve">45-68. </w:t>
      </w:r>
    </w:p>
    <w:p w14:paraId="23A2A363" w14:textId="5928FD52" w:rsidR="00263179" w:rsidRDefault="00263179" w:rsidP="00150772">
      <w:pPr>
        <w:ind w:left="720" w:hanging="720"/>
        <w:jc w:val="both"/>
      </w:pPr>
      <w:r>
        <w:t xml:space="preserve">Ugoani, </w:t>
      </w:r>
      <w:r w:rsidR="00EF3CD5">
        <w:t xml:space="preserve">J. N. N., </w:t>
      </w:r>
      <w:r w:rsidR="00EB331B">
        <w:t>2016</w:t>
      </w:r>
      <w:r w:rsidR="003E3B0C">
        <w:t xml:space="preserve">. </w:t>
      </w:r>
      <w:r w:rsidR="003B5959">
        <w:t xml:space="preserve">Cultural dimensions in global </w:t>
      </w:r>
      <w:r w:rsidR="00460245">
        <w:t xml:space="preserve">human resource management: implications for Nigeria. </w:t>
      </w:r>
      <w:r w:rsidR="00F968EE">
        <w:rPr>
          <w:i/>
          <w:iCs/>
        </w:rPr>
        <w:t xml:space="preserve">Independent Journal of Management &amp; Production, </w:t>
      </w:r>
      <w:r w:rsidR="00045711">
        <w:t xml:space="preserve">7(3), pp. </w:t>
      </w:r>
      <w:r w:rsidR="001732D4">
        <w:t xml:space="preserve">807-32. </w:t>
      </w:r>
    </w:p>
    <w:p w14:paraId="148B0F41" w14:textId="3F63D778" w:rsidR="00091341" w:rsidRPr="009C68F3" w:rsidRDefault="00091341" w:rsidP="00150772">
      <w:pPr>
        <w:ind w:left="720" w:hanging="720"/>
        <w:jc w:val="both"/>
      </w:pPr>
      <w:r>
        <w:t xml:space="preserve">Williamson, </w:t>
      </w:r>
      <w:r w:rsidR="005C7315">
        <w:t xml:space="preserve">G., 2007. Providing leadership in a culturally diverse </w:t>
      </w:r>
      <w:r w:rsidR="00FF678F">
        <w:t xml:space="preserve">workplace. </w:t>
      </w:r>
      <w:r w:rsidR="00E505A3">
        <w:rPr>
          <w:i/>
          <w:iCs/>
        </w:rPr>
        <w:t xml:space="preserve">Business and Leadership, </w:t>
      </w:r>
      <w:r w:rsidR="009C68F3">
        <w:t xml:space="preserve">55(8), </w:t>
      </w:r>
      <w:r w:rsidR="000A4ED6">
        <w:t>pp. 329-</w:t>
      </w:r>
      <w:r w:rsidR="00867CAE">
        <w:t xml:space="preserve">335. </w:t>
      </w:r>
    </w:p>
    <w:sectPr w:rsidR="00091341" w:rsidRPr="009C68F3">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C8AAE0" w14:textId="77777777" w:rsidR="00E07F00" w:rsidRDefault="00E07F00" w:rsidP="00F43120">
      <w:pPr>
        <w:spacing w:line="240" w:lineRule="auto"/>
      </w:pPr>
      <w:r>
        <w:separator/>
      </w:r>
    </w:p>
  </w:endnote>
  <w:endnote w:type="continuationSeparator" w:id="0">
    <w:p w14:paraId="348D0106" w14:textId="77777777" w:rsidR="00E07F00" w:rsidRDefault="00E07F00" w:rsidP="00F431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6C439A" w14:textId="77777777" w:rsidR="00E07F00" w:rsidRDefault="00E07F00" w:rsidP="00F43120">
      <w:pPr>
        <w:spacing w:line="240" w:lineRule="auto"/>
      </w:pPr>
      <w:r>
        <w:separator/>
      </w:r>
    </w:p>
  </w:footnote>
  <w:footnote w:type="continuationSeparator" w:id="0">
    <w:p w14:paraId="7DEE8CF8" w14:textId="77777777" w:rsidR="00E07F00" w:rsidRDefault="00E07F00" w:rsidP="00F431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74929430"/>
      <w:docPartObj>
        <w:docPartGallery w:val="Page Numbers (Top of Page)"/>
        <w:docPartUnique/>
      </w:docPartObj>
    </w:sdtPr>
    <w:sdtEndPr>
      <w:rPr>
        <w:noProof/>
      </w:rPr>
    </w:sdtEndPr>
    <w:sdtContent>
      <w:p w14:paraId="4DF944F0" w14:textId="0061957F" w:rsidR="00F43120" w:rsidRDefault="00F43120">
        <w:pPr>
          <w:pStyle w:val="Header"/>
          <w:jc w:val="right"/>
        </w:pPr>
        <w:r>
          <w:t xml:space="preserve">HR Management in International Expansion </w:t>
        </w:r>
        <w:r>
          <w:fldChar w:fldCharType="begin"/>
        </w:r>
        <w:r>
          <w:instrText xml:space="preserve"> PAGE   \* MERGEFORMAT </w:instrText>
        </w:r>
        <w:r>
          <w:fldChar w:fldCharType="separate"/>
        </w:r>
        <w:r>
          <w:rPr>
            <w:noProof/>
          </w:rPr>
          <w:t>2</w:t>
        </w:r>
        <w:r>
          <w:rPr>
            <w:noProof/>
          </w:rPr>
          <w:fldChar w:fldCharType="end"/>
        </w:r>
      </w:p>
    </w:sdtContent>
  </w:sdt>
  <w:p w14:paraId="70F22E08" w14:textId="77777777" w:rsidR="00F43120" w:rsidRDefault="00F431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D371817"/>
    <w:multiLevelType w:val="hybridMultilevel"/>
    <w:tmpl w:val="C0260A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64F0F43"/>
    <w:multiLevelType w:val="hybridMultilevel"/>
    <w:tmpl w:val="F2ECE436"/>
    <w:lvl w:ilvl="0" w:tplc="698C8A20">
      <w:start w:val="1"/>
      <w:numFmt w:val="decimal"/>
      <w:lvlText w:val="%1."/>
      <w:lvlJc w:val="left"/>
      <w:pPr>
        <w:ind w:left="480" w:hanging="480"/>
      </w:pPr>
      <w:rPr>
        <w:rFonts w:ascii="Arial" w:eastAsia="PMingLiU" w:hAnsi="Arial"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BB6"/>
    <w:rsid w:val="000045E0"/>
    <w:rsid w:val="00015C26"/>
    <w:rsid w:val="00016B49"/>
    <w:rsid w:val="00017652"/>
    <w:rsid w:val="00026D0B"/>
    <w:rsid w:val="000329D3"/>
    <w:rsid w:val="000440A1"/>
    <w:rsid w:val="00045711"/>
    <w:rsid w:val="00045C04"/>
    <w:rsid w:val="00045CDC"/>
    <w:rsid w:val="00045F9D"/>
    <w:rsid w:val="00061A7C"/>
    <w:rsid w:val="00071C04"/>
    <w:rsid w:val="000744AE"/>
    <w:rsid w:val="0007517B"/>
    <w:rsid w:val="00091341"/>
    <w:rsid w:val="000A4ED6"/>
    <w:rsid w:val="000A6261"/>
    <w:rsid w:val="000B0602"/>
    <w:rsid w:val="000B5514"/>
    <w:rsid w:val="000B6B11"/>
    <w:rsid w:val="000C0CC2"/>
    <w:rsid w:val="000C5541"/>
    <w:rsid w:val="000D1F6B"/>
    <w:rsid w:val="000D50DB"/>
    <w:rsid w:val="000E39B1"/>
    <w:rsid w:val="000F2E57"/>
    <w:rsid w:val="00140A31"/>
    <w:rsid w:val="0014172A"/>
    <w:rsid w:val="001457E3"/>
    <w:rsid w:val="00150772"/>
    <w:rsid w:val="0015416C"/>
    <w:rsid w:val="00154B5A"/>
    <w:rsid w:val="001572D4"/>
    <w:rsid w:val="00162303"/>
    <w:rsid w:val="00162DAD"/>
    <w:rsid w:val="001732D4"/>
    <w:rsid w:val="00173ADF"/>
    <w:rsid w:val="00180534"/>
    <w:rsid w:val="001842E1"/>
    <w:rsid w:val="00187560"/>
    <w:rsid w:val="001878B2"/>
    <w:rsid w:val="00193D02"/>
    <w:rsid w:val="001B0385"/>
    <w:rsid w:val="001B0F33"/>
    <w:rsid w:val="001B4137"/>
    <w:rsid w:val="001C1030"/>
    <w:rsid w:val="001E1B1E"/>
    <w:rsid w:val="00201233"/>
    <w:rsid w:val="00205830"/>
    <w:rsid w:val="00225600"/>
    <w:rsid w:val="00225831"/>
    <w:rsid w:val="00237999"/>
    <w:rsid w:val="00240147"/>
    <w:rsid w:val="0024160C"/>
    <w:rsid w:val="0024184E"/>
    <w:rsid w:val="00245991"/>
    <w:rsid w:val="00257FDD"/>
    <w:rsid w:val="00263179"/>
    <w:rsid w:val="00263AC9"/>
    <w:rsid w:val="002665F9"/>
    <w:rsid w:val="0027093D"/>
    <w:rsid w:val="002736EB"/>
    <w:rsid w:val="00274365"/>
    <w:rsid w:val="00277A03"/>
    <w:rsid w:val="00282C93"/>
    <w:rsid w:val="0028717E"/>
    <w:rsid w:val="002877B2"/>
    <w:rsid w:val="00287FFB"/>
    <w:rsid w:val="002928DB"/>
    <w:rsid w:val="00294EAE"/>
    <w:rsid w:val="002A147A"/>
    <w:rsid w:val="002A2FE6"/>
    <w:rsid w:val="002A3114"/>
    <w:rsid w:val="002A48DD"/>
    <w:rsid w:val="002B1D2A"/>
    <w:rsid w:val="002C5F78"/>
    <w:rsid w:val="002D4FE3"/>
    <w:rsid w:val="00323D49"/>
    <w:rsid w:val="003241BD"/>
    <w:rsid w:val="00324645"/>
    <w:rsid w:val="00324F32"/>
    <w:rsid w:val="0032655F"/>
    <w:rsid w:val="003353C4"/>
    <w:rsid w:val="00342AFC"/>
    <w:rsid w:val="003514B8"/>
    <w:rsid w:val="00351510"/>
    <w:rsid w:val="00354453"/>
    <w:rsid w:val="00390F7C"/>
    <w:rsid w:val="0039549A"/>
    <w:rsid w:val="003A062D"/>
    <w:rsid w:val="003A201E"/>
    <w:rsid w:val="003A2C87"/>
    <w:rsid w:val="003A5433"/>
    <w:rsid w:val="003A6587"/>
    <w:rsid w:val="003B3E59"/>
    <w:rsid w:val="003B5959"/>
    <w:rsid w:val="003B5F42"/>
    <w:rsid w:val="003B7FBA"/>
    <w:rsid w:val="003C0A38"/>
    <w:rsid w:val="003C3CF0"/>
    <w:rsid w:val="003C4455"/>
    <w:rsid w:val="003C57DE"/>
    <w:rsid w:val="003C5991"/>
    <w:rsid w:val="003E02EE"/>
    <w:rsid w:val="003E3B0C"/>
    <w:rsid w:val="003E7621"/>
    <w:rsid w:val="003F0D1D"/>
    <w:rsid w:val="003F4618"/>
    <w:rsid w:val="003F6F47"/>
    <w:rsid w:val="004000CB"/>
    <w:rsid w:val="0040027C"/>
    <w:rsid w:val="00402818"/>
    <w:rsid w:val="00435287"/>
    <w:rsid w:val="00437FE4"/>
    <w:rsid w:val="00444ED0"/>
    <w:rsid w:val="004533FA"/>
    <w:rsid w:val="004560EF"/>
    <w:rsid w:val="00460245"/>
    <w:rsid w:val="00473092"/>
    <w:rsid w:val="00476A13"/>
    <w:rsid w:val="00476A6B"/>
    <w:rsid w:val="00481A86"/>
    <w:rsid w:val="004822DD"/>
    <w:rsid w:val="00484961"/>
    <w:rsid w:val="004B6C23"/>
    <w:rsid w:val="004E2F35"/>
    <w:rsid w:val="004F0757"/>
    <w:rsid w:val="0052354F"/>
    <w:rsid w:val="00523ECC"/>
    <w:rsid w:val="00525312"/>
    <w:rsid w:val="00525EEA"/>
    <w:rsid w:val="00526E96"/>
    <w:rsid w:val="0053681F"/>
    <w:rsid w:val="005376F7"/>
    <w:rsid w:val="00547A35"/>
    <w:rsid w:val="005526E3"/>
    <w:rsid w:val="00553408"/>
    <w:rsid w:val="00556943"/>
    <w:rsid w:val="00567ACA"/>
    <w:rsid w:val="0057340C"/>
    <w:rsid w:val="0057715B"/>
    <w:rsid w:val="00581B5B"/>
    <w:rsid w:val="00582773"/>
    <w:rsid w:val="00585E2F"/>
    <w:rsid w:val="00592653"/>
    <w:rsid w:val="005A3DD2"/>
    <w:rsid w:val="005A4D36"/>
    <w:rsid w:val="005B503D"/>
    <w:rsid w:val="005C652F"/>
    <w:rsid w:val="005C7315"/>
    <w:rsid w:val="005D3A9F"/>
    <w:rsid w:val="005D7ED4"/>
    <w:rsid w:val="005E3219"/>
    <w:rsid w:val="0061074C"/>
    <w:rsid w:val="006165E6"/>
    <w:rsid w:val="0064306F"/>
    <w:rsid w:val="00645A78"/>
    <w:rsid w:val="00646743"/>
    <w:rsid w:val="0065737B"/>
    <w:rsid w:val="00660DBC"/>
    <w:rsid w:val="00672208"/>
    <w:rsid w:val="00676394"/>
    <w:rsid w:val="00690133"/>
    <w:rsid w:val="006965D3"/>
    <w:rsid w:val="006A1B8B"/>
    <w:rsid w:val="006C0FA1"/>
    <w:rsid w:val="006C1184"/>
    <w:rsid w:val="006C36DF"/>
    <w:rsid w:val="006C5224"/>
    <w:rsid w:val="006D4149"/>
    <w:rsid w:val="006E6E34"/>
    <w:rsid w:val="006F2D49"/>
    <w:rsid w:val="00700C1F"/>
    <w:rsid w:val="00712473"/>
    <w:rsid w:val="00714A32"/>
    <w:rsid w:val="0072099C"/>
    <w:rsid w:val="00721A93"/>
    <w:rsid w:val="00723547"/>
    <w:rsid w:val="00725F1E"/>
    <w:rsid w:val="00731302"/>
    <w:rsid w:val="007419F7"/>
    <w:rsid w:val="007437AA"/>
    <w:rsid w:val="00752223"/>
    <w:rsid w:val="00765F16"/>
    <w:rsid w:val="00767E8D"/>
    <w:rsid w:val="0078050E"/>
    <w:rsid w:val="007A1DAB"/>
    <w:rsid w:val="007A2109"/>
    <w:rsid w:val="007A27D8"/>
    <w:rsid w:val="007A33CB"/>
    <w:rsid w:val="007A463E"/>
    <w:rsid w:val="007A5740"/>
    <w:rsid w:val="007A61D4"/>
    <w:rsid w:val="007A7E76"/>
    <w:rsid w:val="007C53E0"/>
    <w:rsid w:val="007D401D"/>
    <w:rsid w:val="007E73E1"/>
    <w:rsid w:val="007F0E29"/>
    <w:rsid w:val="007F5F87"/>
    <w:rsid w:val="00801AAC"/>
    <w:rsid w:val="00801BA8"/>
    <w:rsid w:val="008108A6"/>
    <w:rsid w:val="00810DFB"/>
    <w:rsid w:val="00822D11"/>
    <w:rsid w:val="0082302D"/>
    <w:rsid w:val="00827764"/>
    <w:rsid w:val="00832F94"/>
    <w:rsid w:val="0084221D"/>
    <w:rsid w:val="00853A61"/>
    <w:rsid w:val="00867CAE"/>
    <w:rsid w:val="008751D4"/>
    <w:rsid w:val="0087527C"/>
    <w:rsid w:val="00875C71"/>
    <w:rsid w:val="0087712B"/>
    <w:rsid w:val="008879CB"/>
    <w:rsid w:val="00893EDB"/>
    <w:rsid w:val="008B2816"/>
    <w:rsid w:val="008C13D8"/>
    <w:rsid w:val="008C35C7"/>
    <w:rsid w:val="008C7DA8"/>
    <w:rsid w:val="008D21D1"/>
    <w:rsid w:val="008E5D81"/>
    <w:rsid w:val="008F2CDE"/>
    <w:rsid w:val="008F7E69"/>
    <w:rsid w:val="00903A0D"/>
    <w:rsid w:val="00914776"/>
    <w:rsid w:val="00914A15"/>
    <w:rsid w:val="00914B75"/>
    <w:rsid w:val="00927509"/>
    <w:rsid w:val="00932462"/>
    <w:rsid w:val="00945B0E"/>
    <w:rsid w:val="009505DF"/>
    <w:rsid w:val="00953CDA"/>
    <w:rsid w:val="00955508"/>
    <w:rsid w:val="00955659"/>
    <w:rsid w:val="00960A03"/>
    <w:rsid w:val="009720A1"/>
    <w:rsid w:val="009720FF"/>
    <w:rsid w:val="0097422D"/>
    <w:rsid w:val="009746F1"/>
    <w:rsid w:val="009751BF"/>
    <w:rsid w:val="00981465"/>
    <w:rsid w:val="00990DB8"/>
    <w:rsid w:val="00993BB6"/>
    <w:rsid w:val="00994254"/>
    <w:rsid w:val="009B2DC1"/>
    <w:rsid w:val="009B6169"/>
    <w:rsid w:val="009C5AD3"/>
    <w:rsid w:val="009C68F3"/>
    <w:rsid w:val="009C7092"/>
    <w:rsid w:val="009D373B"/>
    <w:rsid w:val="009D7407"/>
    <w:rsid w:val="009E1229"/>
    <w:rsid w:val="009E1231"/>
    <w:rsid w:val="009E74CB"/>
    <w:rsid w:val="00A03FBB"/>
    <w:rsid w:val="00A05F4A"/>
    <w:rsid w:val="00A06E61"/>
    <w:rsid w:val="00A07846"/>
    <w:rsid w:val="00A111EB"/>
    <w:rsid w:val="00A1232F"/>
    <w:rsid w:val="00A25BD8"/>
    <w:rsid w:val="00A25DA6"/>
    <w:rsid w:val="00A26E06"/>
    <w:rsid w:val="00A42AE2"/>
    <w:rsid w:val="00A4495C"/>
    <w:rsid w:val="00A4513C"/>
    <w:rsid w:val="00A520C4"/>
    <w:rsid w:val="00A62CB5"/>
    <w:rsid w:val="00A6709A"/>
    <w:rsid w:val="00A704EE"/>
    <w:rsid w:val="00A90AF0"/>
    <w:rsid w:val="00AA071E"/>
    <w:rsid w:val="00AA3543"/>
    <w:rsid w:val="00AA370F"/>
    <w:rsid w:val="00AB2739"/>
    <w:rsid w:val="00AC0CFD"/>
    <w:rsid w:val="00AD0B7F"/>
    <w:rsid w:val="00AD0CF6"/>
    <w:rsid w:val="00AD57BF"/>
    <w:rsid w:val="00AE0139"/>
    <w:rsid w:val="00AE6EFC"/>
    <w:rsid w:val="00AF0038"/>
    <w:rsid w:val="00AF3406"/>
    <w:rsid w:val="00AF6014"/>
    <w:rsid w:val="00AF750C"/>
    <w:rsid w:val="00B021AA"/>
    <w:rsid w:val="00B111E2"/>
    <w:rsid w:val="00B114A7"/>
    <w:rsid w:val="00B140BF"/>
    <w:rsid w:val="00B16D98"/>
    <w:rsid w:val="00B2462B"/>
    <w:rsid w:val="00B34D7C"/>
    <w:rsid w:val="00B34F7D"/>
    <w:rsid w:val="00B56E13"/>
    <w:rsid w:val="00B66D56"/>
    <w:rsid w:val="00B706E2"/>
    <w:rsid w:val="00B75A1F"/>
    <w:rsid w:val="00B777D8"/>
    <w:rsid w:val="00B86268"/>
    <w:rsid w:val="00B9337D"/>
    <w:rsid w:val="00BA0618"/>
    <w:rsid w:val="00BA5450"/>
    <w:rsid w:val="00BA5C7D"/>
    <w:rsid w:val="00BB1DB5"/>
    <w:rsid w:val="00BB28B2"/>
    <w:rsid w:val="00BC05B8"/>
    <w:rsid w:val="00BC0ED6"/>
    <w:rsid w:val="00BC3636"/>
    <w:rsid w:val="00BC3A30"/>
    <w:rsid w:val="00BC40AD"/>
    <w:rsid w:val="00BC4483"/>
    <w:rsid w:val="00BC7A6D"/>
    <w:rsid w:val="00BD0B28"/>
    <w:rsid w:val="00BE7A74"/>
    <w:rsid w:val="00BF5064"/>
    <w:rsid w:val="00C0180A"/>
    <w:rsid w:val="00C0203F"/>
    <w:rsid w:val="00C10F3A"/>
    <w:rsid w:val="00C261F5"/>
    <w:rsid w:val="00C2723E"/>
    <w:rsid w:val="00C30D11"/>
    <w:rsid w:val="00C6113D"/>
    <w:rsid w:val="00C64934"/>
    <w:rsid w:val="00C64D5D"/>
    <w:rsid w:val="00C70068"/>
    <w:rsid w:val="00C7119C"/>
    <w:rsid w:val="00C86487"/>
    <w:rsid w:val="00C924FE"/>
    <w:rsid w:val="00CA071A"/>
    <w:rsid w:val="00CA702B"/>
    <w:rsid w:val="00CB3EAB"/>
    <w:rsid w:val="00CB5DD1"/>
    <w:rsid w:val="00CB7AA7"/>
    <w:rsid w:val="00CC1E5B"/>
    <w:rsid w:val="00CD684C"/>
    <w:rsid w:val="00CE1A75"/>
    <w:rsid w:val="00CE2A33"/>
    <w:rsid w:val="00CE4225"/>
    <w:rsid w:val="00CE6E09"/>
    <w:rsid w:val="00CF2D02"/>
    <w:rsid w:val="00CF5988"/>
    <w:rsid w:val="00D119DB"/>
    <w:rsid w:val="00D11A22"/>
    <w:rsid w:val="00D130B4"/>
    <w:rsid w:val="00D22BE0"/>
    <w:rsid w:val="00D4036C"/>
    <w:rsid w:val="00D4248D"/>
    <w:rsid w:val="00D43061"/>
    <w:rsid w:val="00D46AC9"/>
    <w:rsid w:val="00D52715"/>
    <w:rsid w:val="00D54341"/>
    <w:rsid w:val="00D61844"/>
    <w:rsid w:val="00D73F29"/>
    <w:rsid w:val="00D81E9F"/>
    <w:rsid w:val="00DA2A73"/>
    <w:rsid w:val="00DA7988"/>
    <w:rsid w:val="00DB3413"/>
    <w:rsid w:val="00DC488A"/>
    <w:rsid w:val="00DD2A81"/>
    <w:rsid w:val="00DD72AE"/>
    <w:rsid w:val="00DE1485"/>
    <w:rsid w:val="00E07F00"/>
    <w:rsid w:val="00E17021"/>
    <w:rsid w:val="00E178A0"/>
    <w:rsid w:val="00E246D2"/>
    <w:rsid w:val="00E25179"/>
    <w:rsid w:val="00E505A3"/>
    <w:rsid w:val="00E57757"/>
    <w:rsid w:val="00E65E77"/>
    <w:rsid w:val="00E77E35"/>
    <w:rsid w:val="00E86194"/>
    <w:rsid w:val="00E931EB"/>
    <w:rsid w:val="00EB0C53"/>
    <w:rsid w:val="00EB331B"/>
    <w:rsid w:val="00EC16FF"/>
    <w:rsid w:val="00EC3ACE"/>
    <w:rsid w:val="00EC4AB0"/>
    <w:rsid w:val="00ED1350"/>
    <w:rsid w:val="00EE46E1"/>
    <w:rsid w:val="00EF2E79"/>
    <w:rsid w:val="00EF3CD5"/>
    <w:rsid w:val="00F1092B"/>
    <w:rsid w:val="00F20658"/>
    <w:rsid w:val="00F24169"/>
    <w:rsid w:val="00F374E7"/>
    <w:rsid w:val="00F41FDA"/>
    <w:rsid w:val="00F43120"/>
    <w:rsid w:val="00F43AC7"/>
    <w:rsid w:val="00F62E05"/>
    <w:rsid w:val="00F6445D"/>
    <w:rsid w:val="00F66645"/>
    <w:rsid w:val="00F71CCD"/>
    <w:rsid w:val="00F735DA"/>
    <w:rsid w:val="00F968EE"/>
    <w:rsid w:val="00FC14F4"/>
    <w:rsid w:val="00FC194B"/>
    <w:rsid w:val="00FD00DE"/>
    <w:rsid w:val="00FD1E82"/>
    <w:rsid w:val="00FD5640"/>
    <w:rsid w:val="00FD5B9D"/>
    <w:rsid w:val="00FD5C08"/>
    <w:rsid w:val="00FE4637"/>
    <w:rsid w:val="00FE6C8D"/>
    <w:rsid w:val="00FF08CB"/>
    <w:rsid w:val="00FF13EE"/>
    <w:rsid w:val="00FF4309"/>
    <w:rsid w:val="00FF67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5DFBD"/>
  <w15:chartTrackingRefBased/>
  <w15:docId w15:val="{E6A072B3-45B7-410A-A19C-9785D6BF3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62303"/>
    <w:pPr>
      <w:keepNext/>
      <w:spacing w:line="240" w:lineRule="auto"/>
      <w:jc w:val="both"/>
      <w:outlineLvl w:val="1"/>
    </w:pPr>
    <w:rPr>
      <w:rFonts w:eastAsia="PMingLiU"/>
      <w:b/>
      <w:szCs w:val="20"/>
      <w:lang w:val="en-GB" w:eastAsia="en-GB"/>
    </w:rPr>
  </w:style>
  <w:style w:type="paragraph" w:styleId="Heading4">
    <w:name w:val="heading 4"/>
    <w:basedOn w:val="Normal"/>
    <w:next w:val="Normal"/>
    <w:link w:val="Heading4Char"/>
    <w:qFormat/>
    <w:rsid w:val="00162303"/>
    <w:pPr>
      <w:keepNext/>
      <w:spacing w:before="120" w:after="120" w:line="240" w:lineRule="auto"/>
      <w:jc w:val="center"/>
      <w:outlineLvl w:val="3"/>
    </w:pPr>
    <w:rPr>
      <w:rFonts w:eastAsia="PMingLiU"/>
      <w:sz w:val="4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43120"/>
    <w:pPr>
      <w:tabs>
        <w:tab w:val="center" w:pos="4680"/>
        <w:tab w:val="right" w:pos="9360"/>
      </w:tabs>
      <w:spacing w:line="240" w:lineRule="auto"/>
    </w:pPr>
  </w:style>
  <w:style w:type="character" w:customStyle="1" w:styleId="HeaderChar">
    <w:name w:val="Header Char"/>
    <w:basedOn w:val="DefaultParagraphFont"/>
    <w:link w:val="Header"/>
    <w:rsid w:val="00F43120"/>
  </w:style>
  <w:style w:type="paragraph" w:styleId="Footer">
    <w:name w:val="footer"/>
    <w:basedOn w:val="Normal"/>
    <w:link w:val="FooterChar"/>
    <w:uiPriority w:val="99"/>
    <w:unhideWhenUsed/>
    <w:rsid w:val="00F43120"/>
    <w:pPr>
      <w:tabs>
        <w:tab w:val="center" w:pos="4680"/>
        <w:tab w:val="right" w:pos="9360"/>
      </w:tabs>
      <w:spacing w:line="240" w:lineRule="auto"/>
    </w:pPr>
  </w:style>
  <w:style w:type="character" w:customStyle="1" w:styleId="FooterChar">
    <w:name w:val="Footer Char"/>
    <w:basedOn w:val="DefaultParagraphFont"/>
    <w:link w:val="Footer"/>
    <w:uiPriority w:val="99"/>
    <w:rsid w:val="00F43120"/>
  </w:style>
  <w:style w:type="character" w:styleId="Hyperlink">
    <w:name w:val="Hyperlink"/>
    <w:basedOn w:val="DefaultParagraphFont"/>
    <w:uiPriority w:val="99"/>
    <w:unhideWhenUsed/>
    <w:rsid w:val="00045CDC"/>
    <w:rPr>
      <w:color w:val="0563C1" w:themeColor="hyperlink"/>
      <w:u w:val="single"/>
    </w:rPr>
  </w:style>
  <w:style w:type="character" w:styleId="UnresolvedMention">
    <w:name w:val="Unresolved Mention"/>
    <w:basedOn w:val="DefaultParagraphFont"/>
    <w:uiPriority w:val="99"/>
    <w:semiHidden/>
    <w:unhideWhenUsed/>
    <w:rsid w:val="00045CDC"/>
    <w:rPr>
      <w:color w:val="605E5C"/>
      <w:shd w:val="clear" w:color="auto" w:fill="E1DFDD"/>
    </w:rPr>
  </w:style>
  <w:style w:type="character" w:customStyle="1" w:styleId="c-bibliographic-informationvalue">
    <w:name w:val="c-bibliographic-information__value"/>
    <w:basedOn w:val="DefaultParagraphFont"/>
    <w:rsid w:val="00B56E13"/>
  </w:style>
  <w:style w:type="character" w:customStyle="1" w:styleId="Heading2Char">
    <w:name w:val="Heading 2 Char"/>
    <w:basedOn w:val="DefaultParagraphFont"/>
    <w:link w:val="Heading2"/>
    <w:rsid w:val="00162303"/>
    <w:rPr>
      <w:rFonts w:eastAsia="PMingLiU"/>
      <w:b/>
      <w:szCs w:val="20"/>
      <w:lang w:val="en-GB" w:eastAsia="en-GB"/>
    </w:rPr>
  </w:style>
  <w:style w:type="character" w:customStyle="1" w:styleId="Heading4Char">
    <w:name w:val="Heading 4 Char"/>
    <w:basedOn w:val="DefaultParagraphFont"/>
    <w:link w:val="Heading4"/>
    <w:rsid w:val="00162303"/>
    <w:rPr>
      <w:rFonts w:eastAsia="PMingLiU"/>
      <w:sz w:val="40"/>
      <w:szCs w:val="20"/>
      <w:lang w:val="en-GB" w:eastAsia="en-GB"/>
    </w:rPr>
  </w:style>
  <w:style w:type="paragraph" w:styleId="ListParagraph">
    <w:name w:val="List Paragraph"/>
    <w:basedOn w:val="Normal"/>
    <w:link w:val="ListParagraphChar"/>
    <w:uiPriority w:val="34"/>
    <w:qFormat/>
    <w:rsid w:val="00162303"/>
    <w:pPr>
      <w:spacing w:line="240" w:lineRule="auto"/>
      <w:ind w:left="720"/>
      <w:contextualSpacing/>
    </w:pPr>
    <w:rPr>
      <w:rFonts w:eastAsia="PMingLiU"/>
      <w:sz w:val="20"/>
      <w:szCs w:val="20"/>
      <w:lang w:val="en-GB" w:eastAsia="en-GB"/>
    </w:rPr>
  </w:style>
  <w:style w:type="character" w:customStyle="1" w:styleId="ListParagraphChar">
    <w:name w:val="List Paragraph Char"/>
    <w:link w:val="ListParagraph"/>
    <w:uiPriority w:val="34"/>
    <w:locked/>
    <w:rsid w:val="00162303"/>
    <w:rPr>
      <w:rFonts w:eastAsia="PMingLiU"/>
      <w:sz w:val="20"/>
      <w:szCs w:val="20"/>
      <w:lang w:val="en-GB" w:eastAsia="en-GB"/>
    </w:rPr>
  </w:style>
  <w:style w:type="paragraph" w:styleId="BalloonText">
    <w:name w:val="Balloon Text"/>
    <w:basedOn w:val="Normal"/>
    <w:link w:val="BalloonTextChar"/>
    <w:uiPriority w:val="99"/>
    <w:semiHidden/>
    <w:unhideWhenUsed/>
    <w:rsid w:val="00162303"/>
    <w:pPr>
      <w:spacing w:line="240" w:lineRule="auto"/>
    </w:pPr>
    <w:rPr>
      <w:sz w:val="18"/>
      <w:szCs w:val="18"/>
    </w:rPr>
  </w:style>
  <w:style w:type="character" w:customStyle="1" w:styleId="BalloonTextChar">
    <w:name w:val="Balloon Text Char"/>
    <w:basedOn w:val="DefaultParagraphFont"/>
    <w:link w:val="BalloonText"/>
    <w:uiPriority w:val="99"/>
    <w:semiHidden/>
    <w:rsid w:val="0016230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mp.com/news/hong-kong/hong-kong-economy/article/3037730/citigroup-warns-employees-avoid-dangerous" TargetMode="External"/><Relationship Id="rId13" Type="http://schemas.openxmlformats.org/officeDocument/2006/relationships/hyperlink" Target="https://doi.org/10.1186/s12909-018-1450-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ft.com/content/bc7bc43a-20b7-11ea-92da-f0c92e957a96"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tigroup.com/citi/citiforcities/hong-kong-city-profile.html" TargetMode="External"/><Relationship Id="rId5" Type="http://schemas.openxmlformats.org/officeDocument/2006/relationships/footnotes" Target="footnotes.xml"/><Relationship Id="rId15" Type="http://schemas.openxmlformats.org/officeDocument/2006/relationships/hyperlink" Target="https://www.reuters.com/article/us-hongkong-protests-citigroup-breakingv-idUSKBN23H0IA" TargetMode="External"/><Relationship Id="rId10" Type="http://schemas.openxmlformats.org/officeDocument/2006/relationships/hyperlink" Target="https://www.citi.com.cn/html/en/pdf/CCCL_2016.pdf" TargetMode="External"/><Relationship Id="rId4" Type="http://schemas.openxmlformats.org/officeDocument/2006/relationships/webSettings" Target="webSettings.xml"/><Relationship Id="rId9" Type="http://schemas.openxmlformats.org/officeDocument/2006/relationships/hyperlink" Target="https://hbr.org/2019/11/balancing-the-companys-needs-and-employee-satisfaction" TargetMode="External"/><Relationship Id="rId14" Type="http://schemas.openxmlformats.org/officeDocument/2006/relationships/hyperlink" Target="https://www.nytimes.com/2020/05/31/business/hong-kong-china-busine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420</TotalTime>
  <Pages>14</Pages>
  <Words>3415</Words>
  <Characters>19469</Characters>
  <Application>Microsoft Office Word</Application>
  <DocSecurity>0</DocSecurity>
  <Lines>162</Lines>
  <Paragraphs>45</Paragraphs>
  <ScaleCrop>false</ScaleCrop>
  <Company/>
  <LinksUpToDate>false</LinksUpToDate>
  <CharactersWithSpaces>22839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Justin Chan</cp:lastModifiedBy>
  <cp:revision>413</cp:revision>
  <dcterms:created xsi:type="dcterms:W3CDTF">2020-12-23T09:57:00Z</dcterms:created>
  <dcterms:modified xsi:type="dcterms:W3CDTF">2020-12-28T07:58:00Z</dcterms:modified>
</cp:coreProperties>
</file>