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F0D37A" w14:textId="6B69C180" w:rsidR="000467F7" w:rsidRPr="00860426" w:rsidRDefault="008800DD" w:rsidP="0024055A">
      <w:pPr>
        <w:jc w:val="center"/>
        <w:rPr>
          <w:b/>
          <w:bCs/>
          <w:sz w:val="36"/>
          <w:szCs w:val="36"/>
          <w:lang w:val="en-US"/>
        </w:rPr>
      </w:pPr>
      <w:bookmarkStart w:id="0" w:name="_GoBack"/>
      <w:r w:rsidRPr="00860426">
        <w:rPr>
          <w:rFonts w:cs="Arial"/>
          <w:noProof/>
          <w:lang w:val="en-US" w:bidi="hi-IN"/>
        </w:rPr>
        <w:drawing>
          <wp:anchor distT="0" distB="0" distL="114300" distR="114300" simplePos="0" relativeHeight="251659264" behindDoc="0" locked="0" layoutInCell="1" allowOverlap="1" wp14:anchorId="23100C0A" wp14:editId="117953F3">
            <wp:simplePos x="0" y="0"/>
            <wp:positionH relativeFrom="column">
              <wp:posOffset>-561975</wp:posOffset>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BCC51C0" w14:textId="180AA507" w:rsidR="0024055A" w:rsidRPr="00860426" w:rsidRDefault="0024055A" w:rsidP="0024055A">
      <w:pPr>
        <w:jc w:val="center"/>
        <w:rPr>
          <w:b/>
          <w:bCs/>
          <w:sz w:val="36"/>
          <w:szCs w:val="36"/>
          <w:lang w:val="en-US"/>
        </w:rPr>
      </w:pPr>
    </w:p>
    <w:p w14:paraId="4FAD7EB1" w14:textId="77777777" w:rsidR="0024055A" w:rsidRPr="00860426" w:rsidRDefault="0024055A" w:rsidP="0024055A">
      <w:pPr>
        <w:jc w:val="center"/>
        <w:rPr>
          <w:b/>
          <w:bCs/>
          <w:sz w:val="36"/>
          <w:szCs w:val="36"/>
          <w:lang w:val="en-US"/>
        </w:rPr>
      </w:pPr>
    </w:p>
    <w:p w14:paraId="7A424933" w14:textId="77777777" w:rsidR="0024055A" w:rsidRPr="00860426" w:rsidRDefault="0024055A" w:rsidP="0024055A">
      <w:pPr>
        <w:jc w:val="center"/>
        <w:rPr>
          <w:b/>
          <w:bCs/>
          <w:sz w:val="36"/>
          <w:szCs w:val="36"/>
          <w:lang w:val="en-US"/>
        </w:rPr>
      </w:pPr>
    </w:p>
    <w:p w14:paraId="35D63330" w14:textId="77777777" w:rsidR="0024055A" w:rsidRPr="00860426" w:rsidRDefault="0024055A" w:rsidP="00940D1B">
      <w:pPr>
        <w:rPr>
          <w:b/>
          <w:bCs/>
          <w:sz w:val="36"/>
          <w:szCs w:val="36"/>
          <w:lang w:val="en-US"/>
        </w:rPr>
      </w:pPr>
    </w:p>
    <w:p w14:paraId="5E91D996" w14:textId="2B815005" w:rsidR="0024055A" w:rsidRPr="00860426" w:rsidRDefault="008800DD" w:rsidP="00DC659C">
      <w:pPr>
        <w:spacing w:line="600" w:lineRule="auto"/>
        <w:jc w:val="center"/>
        <w:rPr>
          <w:b/>
          <w:bCs/>
          <w:sz w:val="32"/>
          <w:szCs w:val="34"/>
          <w:lang w:val="en-US"/>
        </w:rPr>
      </w:pPr>
      <w:r w:rsidRPr="00860426">
        <w:rPr>
          <w:rFonts w:cs="Arial"/>
          <w:b/>
          <w:sz w:val="32"/>
          <w:szCs w:val="32"/>
        </w:rPr>
        <w:t>Module code</w:t>
      </w:r>
      <w:r w:rsidRPr="00860426">
        <w:rPr>
          <w:rFonts w:cs="Arial"/>
          <w:b/>
          <w:sz w:val="20"/>
          <w:szCs w:val="20"/>
        </w:rPr>
        <w:t>:</w:t>
      </w:r>
      <w:r w:rsidR="008009B3" w:rsidRPr="00860426">
        <w:rPr>
          <w:rFonts w:cs="Arial"/>
          <w:b/>
          <w:sz w:val="20"/>
          <w:szCs w:val="20"/>
        </w:rPr>
        <w:t xml:space="preserve"> </w:t>
      </w:r>
      <w:r w:rsidR="0024055A" w:rsidRPr="00860426">
        <w:rPr>
          <w:b/>
          <w:bCs/>
          <w:sz w:val="32"/>
          <w:szCs w:val="34"/>
          <w:lang w:val="en-US"/>
        </w:rPr>
        <w:t>LCHS4003</w:t>
      </w:r>
    </w:p>
    <w:p w14:paraId="0DAEA10E" w14:textId="686F2639" w:rsidR="0024055A" w:rsidRPr="00860426" w:rsidRDefault="008800DD" w:rsidP="00DC659C">
      <w:pPr>
        <w:spacing w:line="600" w:lineRule="auto"/>
        <w:jc w:val="center"/>
        <w:rPr>
          <w:rFonts w:cs="Arial"/>
          <w:b/>
          <w:bCs/>
          <w:sz w:val="32"/>
          <w:szCs w:val="32"/>
        </w:rPr>
      </w:pPr>
      <w:r w:rsidRPr="00860426">
        <w:rPr>
          <w:rFonts w:cs="Arial"/>
          <w:b/>
          <w:sz w:val="32"/>
          <w:szCs w:val="32"/>
        </w:rPr>
        <w:t xml:space="preserve">Module: </w:t>
      </w:r>
      <w:r w:rsidR="0024055A" w:rsidRPr="00860426">
        <w:rPr>
          <w:rFonts w:cs="Arial"/>
          <w:b/>
          <w:bCs/>
          <w:sz w:val="32"/>
          <w:szCs w:val="32"/>
        </w:rPr>
        <w:t>Introduction to Health and Social Care</w:t>
      </w:r>
    </w:p>
    <w:p w14:paraId="7DEF055F" w14:textId="433C1B15" w:rsidR="0024055A" w:rsidRPr="00860426" w:rsidRDefault="008800DD" w:rsidP="00DC659C">
      <w:pPr>
        <w:spacing w:line="600" w:lineRule="auto"/>
        <w:jc w:val="center"/>
        <w:rPr>
          <w:rFonts w:cs="Arial"/>
          <w:b/>
          <w:bCs/>
          <w:sz w:val="32"/>
          <w:szCs w:val="32"/>
        </w:rPr>
      </w:pPr>
      <w:r w:rsidRPr="00860426">
        <w:rPr>
          <w:rFonts w:cs="Arial"/>
          <w:b/>
          <w:sz w:val="32"/>
          <w:szCs w:val="32"/>
        </w:rPr>
        <w:t xml:space="preserve">Assignment Title: </w:t>
      </w:r>
      <w:r w:rsidR="0024055A" w:rsidRPr="00860426">
        <w:rPr>
          <w:rFonts w:cs="Arial"/>
          <w:b/>
          <w:bCs/>
          <w:sz w:val="32"/>
          <w:szCs w:val="32"/>
        </w:rPr>
        <w:t>Written Assignment</w:t>
      </w:r>
    </w:p>
    <w:p w14:paraId="73E7DD27" w14:textId="211C09EC" w:rsidR="008800DD" w:rsidRPr="00860426" w:rsidRDefault="008800DD" w:rsidP="00DC659C">
      <w:pPr>
        <w:spacing w:line="600" w:lineRule="auto"/>
        <w:jc w:val="center"/>
        <w:rPr>
          <w:rFonts w:cs="Arial"/>
          <w:b/>
          <w:bCs/>
          <w:sz w:val="32"/>
          <w:szCs w:val="32"/>
        </w:rPr>
      </w:pPr>
    </w:p>
    <w:p w14:paraId="4BB553D0" w14:textId="2464F6FE" w:rsidR="008800DD" w:rsidRPr="00860426" w:rsidRDefault="008800DD" w:rsidP="00DC659C">
      <w:pPr>
        <w:spacing w:line="600" w:lineRule="auto"/>
        <w:jc w:val="center"/>
        <w:rPr>
          <w:rFonts w:cs="Arial"/>
          <w:b/>
          <w:bCs/>
          <w:sz w:val="32"/>
          <w:szCs w:val="32"/>
        </w:rPr>
      </w:pPr>
      <w:r w:rsidRPr="00860426">
        <w:rPr>
          <w:rFonts w:cs="Arial"/>
          <w:b/>
          <w:bCs/>
          <w:sz w:val="32"/>
          <w:szCs w:val="32"/>
        </w:rPr>
        <w:t xml:space="preserve">Student Name: Savita Singh </w:t>
      </w:r>
    </w:p>
    <w:p w14:paraId="66330046" w14:textId="7503D099" w:rsidR="008800DD" w:rsidRPr="00860426" w:rsidRDefault="008800DD" w:rsidP="00DC659C">
      <w:pPr>
        <w:spacing w:line="600" w:lineRule="auto"/>
        <w:jc w:val="center"/>
        <w:rPr>
          <w:rFonts w:cs="Arial"/>
          <w:b/>
          <w:bCs/>
          <w:sz w:val="32"/>
          <w:szCs w:val="32"/>
        </w:rPr>
      </w:pPr>
      <w:r w:rsidRPr="00860426">
        <w:rPr>
          <w:rFonts w:cs="Arial"/>
          <w:b/>
          <w:bCs/>
          <w:sz w:val="32"/>
          <w:szCs w:val="32"/>
        </w:rPr>
        <w:t>Student ID: 2511155</w:t>
      </w:r>
    </w:p>
    <w:p w14:paraId="52784C94" w14:textId="010B4365" w:rsidR="008800DD" w:rsidRPr="00860426" w:rsidRDefault="006367B4" w:rsidP="00DC659C">
      <w:pPr>
        <w:spacing w:line="600" w:lineRule="auto"/>
        <w:jc w:val="center"/>
        <w:rPr>
          <w:rFonts w:cs="Arial"/>
          <w:b/>
          <w:bCs/>
          <w:sz w:val="32"/>
          <w:szCs w:val="32"/>
        </w:rPr>
      </w:pPr>
      <w:r w:rsidRPr="00860426">
        <w:rPr>
          <w:rFonts w:cs="Arial"/>
          <w:b/>
          <w:bCs/>
          <w:sz w:val="32"/>
          <w:szCs w:val="32"/>
        </w:rPr>
        <w:t>Word Count: 1613</w:t>
      </w:r>
    </w:p>
    <w:p w14:paraId="1C497127" w14:textId="77777777" w:rsidR="00B45C1A" w:rsidRPr="00860426" w:rsidRDefault="00B45C1A" w:rsidP="00DC659C">
      <w:pPr>
        <w:spacing w:line="600" w:lineRule="auto"/>
        <w:jc w:val="center"/>
        <w:rPr>
          <w:rFonts w:cs="Arial"/>
          <w:b/>
          <w:bCs/>
          <w:sz w:val="32"/>
          <w:szCs w:val="32"/>
        </w:rPr>
      </w:pPr>
    </w:p>
    <w:p w14:paraId="3CD817CD" w14:textId="77777777" w:rsidR="008800DD" w:rsidRPr="00860426" w:rsidRDefault="008800DD" w:rsidP="008800DD">
      <w:pPr>
        <w:spacing w:line="480" w:lineRule="auto"/>
        <w:jc w:val="center"/>
        <w:rPr>
          <w:rFonts w:cs="Arial"/>
          <w:b/>
          <w:bCs/>
          <w:sz w:val="36"/>
          <w:szCs w:val="36"/>
        </w:rPr>
      </w:pPr>
    </w:p>
    <w:p w14:paraId="2403361E" w14:textId="77777777" w:rsidR="008800DD" w:rsidRPr="00860426" w:rsidRDefault="008800DD" w:rsidP="008800DD">
      <w:pPr>
        <w:spacing w:line="480" w:lineRule="auto"/>
        <w:jc w:val="center"/>
        <w:rPr>
          <w:rFonts w:cs="Arial"/>
          <w:b/>
          <w:bCs/>
          <w:sz w:val="36"/>
          <w:szCs w:val="36"/>
        </w:rPr>
      </w:pPr>
    </w:p>
    <w:p w14:paraId="32A215EF" w14:textId="7D6B970D" w:rsidR="0024055A" w:rsidRPr="00860426" w:rsidRDefault="0024055A">
      <w:pPr>
        <w:spacing w:after="200" w:line="276" w:lineRule="auto"/>
        <w:jc w:val="left"/>
        <w:rPr>
          <w:rFonts w:cs="Arial"/>
          <w:b/>
          <w:bCs/>
          <w:sz w:val="36"/>
          <w:szCs w:val="36"/>
        </w:rPr>
      </w:pPr>
    </w:p>
    <w:sdt>
      <w:sdtPr>
        <w:rPr>
          <w:rFonts w:ascii="Arial" w:eastAsiaTheme="minorHAnsi" w:hAnsi="Arial" w:cstheme="minorBidi"/>
          <w:b/>
          <w:bCs/>
          <w:color w:val="000000" w:themeColor="text1"/>
          <w:sz w:val="22"/>
          <w:szCs w:val="24"/>
          <w:lang w:val="en"/>
        </w:rPr>
        <w:id w:val="1094054638"/>
        <w:docPartObj>
          <w:docPartGallery w:val="Table of Contents"/>
          <w:docPartUnique/>
        </w:docPartObj>
      </w:sdtPr>
      <w:sdtEndPr>
        <w:rPr>
          <w:noProof/>
        </w:rPr>
      </w:sdtEndPr>
      <w:sdtContent>
        <w:p w14:paraId="7AF08735" w14:textId="39666604" w:rsidR="007463B0" w:rsidRPr="00860426" w:rsidRDefault="007463B0" w:rsidP="007463B0">
          <w:pPr>
            <w:pStyle w:val="TOCHeading"/>
            <w:spacing w:before="0" w:line="360" w:lineRule="auto"/>
            <w:jc w:val="center"/>
            <w:rPr>
              <w:rFonts w:ascii="Arial" w:hAnsi="Arial" w:cs="Arial"/>
              <w:b/>
              <w:bCs/>
              <w:color w:val="000000" w:themeColor="text1"/>
              <w:sz w:val="22"/>
              <w:szCs w:val="22"/>
            </w:rPr>
          </w:pPr>
          <w:r w:rsidRPr="00860426">
            <w:rPr>
              <w:rFonts w:ascii="Arial" w:hAnsi="Arial" w:cs="Arial"/>
              <w:b/>
              <w:bCs/>
              <w:color w:val="000000" w:themeColor="text1"/>
              <w:sz w:val="22"/>
              <w:szCs w:val="22"/>
            </w:rPr>
            <w:t>Table of Contents</w:t>
          </w:r>
        </w:p>
        <w:p w14:paraId="6BDB9429" w14:textId="7190F669" w:rsidR="007463B0" w:rsidRPr="00860426" w:rsidRDefault="007463B0" w:rsidP="00940D1B">
          <w:pPr>
            <w:pStyle w:val="TOC1"/>
            <w:tabs>
              <w:tab w:val="right" w:leader="dot" w:pos="9350"/>
            </w:tabs>
            <w:spacing w:after="0"/>
            <w:jc w:val="left"/>
            <w:rPr>
              <w:rFonts w:cs="Arial"/>
              <w:noProof/>
              <w:szCs w:val="22"/>
            </w:rPr>
          </w:pPr>
          <w:r w:rsidRPr="00860426">
            <w:rPr>
              <w:rFonts w:cs="Arial"/>
              <w:szCs w:val="22"/>
            </w:rPr>
            <w:fldChar w:fldCharType="begin"/>
          </w:r>
          <w:r w:rsidRPr="00860426">
            <w:rPr>
              <w:rFonts w:cs="Arial"/>
              <w:szCs w:val="22"/>
            </w:rPr>
            <w:instrText xml:space="preserve"> TOC \o "1-3" \h \z \u </w:instrText>
          </w:r>
          <w:r w:rsidRPr="00860426">
            <w:rPr>
              <w:rFonts w:cs="Arial"/>
              <w:szCs w:val="22"/>
            </w:rPr>
            <w:fldChar w:fldCharType="separate"/>
          </w:r>
          <w:hyperlink w:anchor="_Toc241524964" w:history="1">
            <w:r w:rsidRPr="00860426">
              <w:rPr>
                <w:rStyle w:val="Hyperlink"/>
                <w:rFonts w:cs="Arial"/>
                <w:noProof/>
                <w:color w:val="000000" w:themeColor="text1"/>
                <w:szCs w:val="22"/>
                <w:lang w:val="en-US"/>
              </w:rPr>
              <w:t>TASK 1: GUIDED SCENARIO RESPONSE – SHORTAGE OF DOMICILIARY CARE SERVICES</w:t>
            </w:r>
            <w:r w:rsidRPr="00860426">
              <w:rPr>
                <w:rFonts w:cs="Arial"/>
                <w:noProof/>
                <w:webHidden/>
                <w:szCs w:val="22"/>
              </w:rPr>
              <w:tab/>
            </w:r>
            <w:r w:rsidRPr="00860426">
              <w:rPr>
                <w:rFonts w:cs="Arial"/>
                <w:noProof/>
                <w:webHidden/>
                <w:szCs w:val="22"/>
              </w:rPr>
              <w:fldChar w:fldCharType="begin"/>
            </w:r>
            <w:r w:rsidRPr="00860426">
              <w:rPr>
                <w:rFonts w:cs="Arial"/>
                <w:noProof/>
                <w:webHidden/>
                <w:szCs w:val="22"/>
              </w:rPr>
              <w:instrText xml:space="preserve"> PAGEREF _Toc241524964 \h </w:instrText>
            </w:r>
            <w:r w:rsidRPr="00860426">
              <w:rPr>
                <w:rFonts w:cs="Arial"/>
                <w:noProof/>
                <w:webHidden/>
                <w:szCs w:val="22"/>
              </w:rPr>
            </w:r>
            <w:r w:rsidRPr="00860426">
              <w:rPr>
                <w:rFonts w:cs="Arial"/>
                <w:noProof/>
                <w:webHidden/>
                <w:szCs w:val="22"/>
              </w:rPr>
              <w:fldChar w:fldCharType="separate"/>
            </w:r>
            <w:r w:rsidR="00B141DE" w:rsidRPr="00860426">
              <w:rPr>
                <w:rFonts w:cs="Arial"/>
                <w:noProof/>
                <w:webHidden/>
                <w:szCs w:val="22"/>
              </w:rPr>
              <w:t>3</w:t>
            </w:r>
            <w:r w:rsidRPr="00860426">
              <w:rPr>
                <w:rFonts w:cs="Arial"/>
                <w:noProof/>
                <w:webHidden/>
                <w:szCs w:val="22"/>
              </w:rPr>
              <w:fldChar w:fldCharType="end"/>
            </w:r>
          </w:hyperlink>
        </w:p>
        <w:p w14:paraId="61CFE5E0" w14:textId="56662717" w:rsidR="007463B0" w:rsidRPr="00860426" w:rsidRDefault="00CD54B8" w:rsidP="00940D1B">
          <w:pPr>
            <w:pStyle w:val="TOC2"/>
            <w:tabs>
              <w:tab w:val="right" w:leader="dot" w:pos="9350"/>
            </w:tabs>
            <w:spacing w:after="0"/>
            <w:jc w:val="left"/>
            <w:rPr>
              <w:rFonts w:cs="Arial"/>
              <w:noProof/>
              <w:szCs w:val="22"/>
            </w:rPr>
          </w:pPr>
          <w:hyperlink w:anchor="_Toc241524965" w:history="1">
            <w:r w:rsidR="007463B0" w:rsidRPr="00860426">
              <w:rPr>
                <w:rStyle w:val="Hyperlink"/>
                <w:rFonts w:cs="Arial"/>
                <w:noProof/>
                <w:color w:val="000000" w:themeColor="text1"/>
                <w:szCs w:val="22"/>
                <w:lang w:val="en-US"/>
              </w:rPr>
              <w:t>Introduction</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_Toc241524965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3</w:t>
            </w:r>
            <w:r w:rsidR="007463B0" w:rsidRPr="00860426">
              <w:rPr>
                <w:rFonts w:cs="Arial"/>
                <w:noProof/>
                <w:webHidden/>
                <w:szCs w:val="22"/>
              </w:rPr>
              <w:fldChar w:fldCharType="end"/>
            </w:r>
          </w:hyperlink>
        </w:p>
        <w:p w14:paraId="7FB29B50" w14:textId="0A2AAFF6" w:rsidR="007463B0" w:rsidRPr="00860426" w:rsidRDefault="00CD54B8" w:rsidP="00940D1B">
          <w:pPr>
            <w:pStyle w:val="TOC2"/>
            <w:tabs>
              <w:tab w:val="right" w:leader="dot" w:pos="9350"/>
            </w:tabs>
            <w:spacing w:after="0"/>
            <w:jc w:val="left"/>
            <w:rPr>
              <w:rFonts w:cs="Arial"/>
              <w:noProof/>
              <w:szCs w:val="22"/>
            </w:rPr>
          </w:pPr>
          <w:hyperlink w:anchor="_Toc241524966" w:history="1">
            <w:r w:rsidR="007463B0" w:rsidRPr="00860426">
              <w:rPr>
                <w:rStyle w:val="Hyperlink"/>
                <w:rFonts w:cs="Arial"/>
                <w:noProof/>
                <w:color w:val="000000" w:themeColor="text1"/>
                <w:szCs w:val="22"/>
                <w:lang w:val="en-US"/>
              </w:rPr>
              <w:t>Impact of the Issue on the Community</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_Toc241524966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3</w:t>
            </w:r>
            <w:r w:rsidR="007463B0" w:rsidRPr="00860426">
              <w:rPr>
                <w:rFonts w:cs="Arial"/>
                <w:noProof/>
                <w:webHidden/>
                <w:szCs w:val="22"/>
              </w:rPr>
              <w:fldChar w:fldCharType="end"/>
            </w:r>
          </w:hyperlink>
        </w:p>
        <w:p w14:paraId="01FD3D35" w14:textId="39DDE27C" w:rsidR="007463B0" w:rsidRPr="00860426" w:rsidRDefault="00CD54B8" w:rsidP="00940D1B">
          <w:pPr>
            <w:pStyle w:val="TOC2"/>
            <w:tabs>
              <w:tab w:val="right" w:leader="dot" w:pos="9350"/>
            </w:tabs>
            <w:spacing w:after="0"/>
            <w:jc w:val="left"/>
            <w:rPr>
              <w:rFonts w:cs="Arial"/>
              <w:noProof/>
              <w:szCs w:val="22"/>
            </w:rPr>
          </w:pPr>
          <w:hyperlink w:anchor="_Toc241524967" w:history="1">
            <w:r w:rsidR="007463B0" w:rsidRPr="00860426">
              <w:rPr>
                <w:rStyle w:val="Hyperlink"/>
                <w:rFonts w:cs="Arial"/>
                <w:noProof/>
                <w:color w:val="000000" w:themeColor="text1"/>
                <w:szCs w:val="22"/>
                <w:lang w:val="en-US"/>
              </w:rPr>
              <w:t>Recommended Response to Address the Issue</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_Toc241524967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4</w:t>
            </w:r>
            <w:r w:rsidR="007463B0" w:rsidRPr="00860426">
              <w:rPr>
                <w:rFonts w:cs="Arial"/>
                <w:noProof/>
                <w:webHidden/>
                <w:szCs w:val="22"/>
              </w:rPr>
              <w:fldChar w:fldCharType="end"/>
            </w:r>
          </w:hyperlink>
        </w:p>
        <w:p w14:paraId="6B21D884" w14:textId="5E611E21" w:rsidR="007463B0" w:rsidRPr="00860426" w:rsidRDefault="00CD54B8" w:rsidP="00940D1B">
          <w:pPr>
            <w:pStyle w:val="TOC1"/>
            <w:tabs>
              <w:tab w:val="right" w:leader="dot" w:pos="9350"/>
            </w:tabs>
            <w:spacing w:after="0"/>
            <w:jc w:val="left"/>
            <w:rPr>
              <w:rFonts w:cs="Arial"/>
              <w:noProof/>
              <w:szCs w:val="22"/>
            </w:rPr>
          </w:pPr>
          <w:hyperlink w:anchor="_Toc241524968" w:history="1">
            <w:r w:rsidR="007463B0" w:rsidRPr="00860426">
              <w:rPr>
                <w:rStyle w:val="Hyperlink"/>
                <w:rFonts w:cs="Arial"/>
                <w:noProof/>
                <w:color w:val="000000" w:themeColor="text1"/>
                <w:szCs w:val="22"/>
                <w:lang w:val="en-US"/>
              </w:rPr>
              <w:t>TASK 2: THE DEVELOPMENT, CONTEMPORARY FUNCTION AND SIGNIFICANCE OF COMMUNITY PHARMACY SERVICES</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_Toc241524968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5</w:t>
            </w:r>
            <w:r w:rsidR="007463B0" w:rsidRPr="00860426">
              <w:rPr>
                <w:rFonts w:cs="Arial"/>
                <w:noProof/>
                <w:webHidden/>
                <w:szCs w:val="22"/>
              </w:rPr>
              <w:fldChar w:fldCharType="end"/>
            </w:r>
          </w:hyperlink>
        </w:p>
        <w:p w14:paraId="0C7C3DFD" w14:textId="3ACF0D57" w:rsidR="007463B0" w:rsidRPr="00860426" w:rsidRDefault="00CD54B8" w:rsidP="00940D1B">
          <w:pPr>
            <w:pStyle w:val="TOC2"/>
            <w:tabs>
              <w:tab w:val="right" w:leader="dot" w:pos="9350"/>
            </w:tabs>
            <w:spacing w:after="0"/>
            <w:jc w:val="left"/>
            <w:rPr>
              <w:rFonts w:cs="Arial"/>
              <w:noProof/>
              <w:szCs w:val="22"/>
            </w:rPr>
          </w:pPr>
          <w:hyperlink w:anchor="_Toc241524969" w:history="1">
            <w:r w:rsidR="007463B0" w:rsidRPr="00860426">
              <w:rPr>
                <w:rStyle w:val="Hyperlink"/>
                <w:rFonts w:cs="Arial"/>
                <w:noProof/>
                <w:color w:val="000000" w:themeColor="text1"/>
                <w:szCs w:val="22"/>
                <w:lang w:val="en-US"/>
              </w:rPr>
              <w:t>Introduction</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_Toc241524969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5</w:t>
            </w:r>
            <w:r w:rsidR="007463B0" w:rsidRPr="00860426">
              <w:rPr>
                <w:rFonts w:cs="Arial"/>
                <w:noProof/>
                <w:webHidden/>
                <w:szCs w:val="22"/>
              </w:rPr>
              <w:fldChar w:fldCharType="end"/>
            </w:r>
          </w:hyperlink>
        </w:p>
        <w:p w14:paraId="1562CB09" w14:textId="124CE856" w:rsidR="007463B0" w:rsidRPr="00860426" w:rsidRDefault="00CD54B8" w:rsidP="00940D1B">
          <w:pPr>
            <w:pStyle w:val="TOC2"/>
            <w:tabs>
              <w:tab w:val="right" w:leader="dot" w:pos="9350"/>
            </w:tabs>
            <w:spacing w:after="0"/>
            <w:jc w:val="left"/>
            <w:rPr>
              <w:rFonts w:cs="Arial"/>
              <w:noProof/>
              <w:szCs w:val="22"/>
            </w:rPr>
          </w:pPr>
          <w:hyperlink w:anchor="_Toc241524970" w:history="1">
            <w:r w:rsidR="007463B0" w:rsidRPr="00860426">
              <w:rPr>
                <w:rStyle w:val="Hyperlink"/>
                <w:rFonts w:cs="Arial"/>
                <w:noProof/>
                <w:color w:val="000000" w:themeColor="text1"/>
                <w:szCs w:val="22"/>
                <w:lang w:val="en-US"/>
              </w:rPr>
              <w:t>Origins and Historical Context</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_Toc241524970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5</w:t>
            </w:r>
            <w:r w:rsidR="007463B0" w:rsidRPr="00860426">
              <w:rPr>
                <w:rFonts w:cs="Arial"/>
                <w:noProof/>
                <w:webHidden/>
                <w:szCs w:val="22"/>
              </w:rPr>
              <w:fldChar w:fldCharType="end"/>
            </w:r>
          </w:hyperlink>
        </w:p>
        <w:p w14:paraId="0A13CD9F" w14:textId="7E45BA0E" w:rsidR="007463B0" w:rsidRPr="00860426" w:rsidRDefault="00CD54B8" w:rsidP="00940D1B">
          <w:pPr>
            <w:pStyle w:val="TOC2"/>
            <w:tabs>
              <w:tab w:val="right" w:leader="dot" w:pos="9350"/>
            </w:tabs>
            <w:spacing w:after="0"/>
            <w:jc w:val="left"/>
            <w:rPr>
              <w:rFonts w:cs="Arial"/>
              <w:noProof/>
              <w:szCs w:val="22"/>
            </w:rPr>
          </w:pPr>
          <w:hyperlink w:anchor="_Toc241524971" w:history="1">
            <w:r w:rsidR="007463B0" w:rsidRPr="00860426">
              <w:rPr>
                <w:rStyle w:val="Hyperlink"/>
                <w:rFonts w:cs="Arial"/>
                <w:noProof/>
                <w:color w:val="000000" w:themeColor="text1"/>
                <w:szCs w:val="22"/>
                <w:lang w:val="en-US"/>
              </w:rPr>
              <w:t>How the Service Functions Today</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_Toc241524971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5</w:t>
            </w:r>
            <w:r w:rsidR="007463B0" w:rsidRPr="00860426">
              <w:rPr>
                <w:rFonts w:cs="Arial"/>
                <w:noProof/>
                <w:webHidden/>
                <w:szCs w:val="22"/>
              </w:rPr>
              <w:fldChar w:fldCharType="end"/>
            </w:r>
          </w:hyperlink>
        </w:p>
        <w:p w14:paraId="34C40CD4" w14:textId="6CF1F247" w:rsidR="007463B0" w:rsidRPr="00860426" w:rsidRDefault="00CD54B8" w:rsidP="00940D1B">
          <w:pPr>
            <w:pStyle w:val="TOC2"/>
            <w:tabs>
              <w:tab w:val="right" w:leader="dot" w:pos="9350"/>
            </w:tabs>
            <w:spacing w:after="0"/>
            <w:jc w:val="left"/>
            <w:rPr>
              <w:rFonts w:cs="Arial"/>
              <w:noProof/>
              <w:szCs w:val="22"/>
            </w:rPr>
          </w:pPr>
          <w:hyperlink w:anchor="_Toc241524972" w:history="1">
            <w:r w:rsidR="007463B0" w:rsidRPr="00860426">
              <w:rPr>
                <w:rStyle w:val="Hyperlink"/>
                <w:rFonts w:cs="Arial"/>
                <w:noProof/>
                <w:color w:val="000000" w:themeColor="text1"/>
                <w:szCs w:val="22"/>
                <w:lang w:val="en-US"/>
              </w:rPr>
              <w:t>Critical Evaluation and Significance for Quality of Life</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_Toc241524972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6</w:t>
            </w:r>
            <w:r w:rsidR="007463B0" w:rsidRPr="00860426">
              <w:rPr>
                <w:rFonts w:cs="Arial"/>
                <w:noProof/>
                <w:webHidden/>
                <w:szCs w:val="22"/>
              </w:rPr>
              <w:fldChar w:fldCharType="end"/>
            </w:r>
          </w:hyperlink>
        </w:p>
        <w:p w14:paraId="602CE01B" w14:textId="4B0D181A" w:rsidR="007463B0" w:rsidRPr="00860426" w:rsidRDefault="00CD54B8" w:rsidP="00940D1B">
          <w:pPr>
            <w:pStyle w:val="TOC2"/>
            <w:tabs>
              <w:tab w:val="right" w:leader="dot" w:pos="9350"/>
            </w:tabs>
            <w:spacing w:after="0"/>
            <w:jc w:val="left"/>
            <w:rPr>
              <w:rFonts w:cs="Arial"/>
              <w:noProof/>
              <w:szCs w:val="22"/>
            </w:rPr>
          </w:pPr>
          <w:hyperlink w:anchor="_Toc241524973" w:history="1">
            <w:r w:rsidR="007463B0" w:rsidRPr="00860426">
              <w:rPr>
                <w:rStyle w:val="Hyperlink"/>
                <w:rFonts w:cs="Arial"/>
                <w:noProof/>
                <w:color w:val="000000" w:themeColor="text1"/>
                <w:szCs w:val="22"/>
                <w:lang w:val="en-US"/>
              </w:rPr>
              <w:t>Conclusion</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_Toc241524973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6</w:t>
            </w:r>
            <w:r w:rsidR="007463B0" w:rsidRPr="00860426">
              <w:rPr>
                <w:rFonts w:cs="Arial"/>
                <w:noProof/>
                <w:webHidden/>
                <w:szCs w:val="22"/>
              </w:rPr>
              <w:fldChar w:fldCharType="end"/>
            </w:r>
          </w:hyperlink>
        </w:p>
        <w:p w14:paraId="349E4367" w14:textId="3EDFF4F1" w:rsidR="007463B0" w:rsidRPr="00860426" w:rsidRDefault="00CD54B8" w:rsidP="00940D1B">
          <w:pPr>
            <w:pStyle w:val="TOC1"/>
            <w:tabs>
              <w:tab w:val="right" w:leader="dot" w:pos="9350"/>
            </w:tabs>
            <w:spacing w:after="0"/>
            <w:jc w:val="left"/>
            <w:rPr>
              <w:rFonts w:cs="Arial"/>
              <w:noProof/>
              <w:szCs w:val="22"/>
            </w:rPr>
          </w:pPr>
          <w:hyperlink w:anchor="_Toc241524974" w:history="1">
            <w:r w:rsidR="007463B0" w:rsidRPr="00860426">
              <w:rPr>
                <w:rStyle w:val="Hyperlink"/>
                <w:rFonts w:cs="Arial"/>
                <w:noProof/>
                <w:color w:val="000000" w:themeColor="text1"/>
                <w:szCs w:val="22"/>
                <w:lang w:val="en-US"/>
              </w:rPr>
              <w:t>References</w:t>
            </w:r>
            <w:r w:rsidR="007463B0" w:rsidRPr="00860426">
              <w:rPr>
                <w:rFonts w:cs="Arial"/>
                <w:noProof/>
                <w:webHidden/>
                <w:szCs w:val="22"/>
              </w:rPr>
              <w:tab/>
            </w:r>
            <w:r w:rsidR="007463B0" w:rsidRPr="00860426">
              <w:rPr>
                <w:rFonts w:cs="Arial"/>
                <w:noProof/>
                <w:webHidden/>
                <w:szCs w:val="22"/>
              </w:rPr>
              <w:fldChar w:fldCharType="begin"/>
            </w:r>
            <w:r w:rsidR="007463B0" w:rsidRPr="00860426">
              <w:rPr>
                <w:rFonts w:cs="Arial"/>
                <w:noProof/>
                <w:webHidden/>
                <w:szCs w:val="22"/>
              </w:rPr>
              <w:instrText xml:space="preserve"> PAGEREF _Toc241524974 \h </w:instrText>
            </w:r>
            <w:r w:rsidR="007463B0" w:rsidRPr="00860426">
              <w:rPr>
                <w:rFonts w:cs="Arial"/>
                <w:noProof/>
                <w:webHidden/>
                <w:szCs w:val="22"/>
              </w:rPr>
            </w:r>
            <w:r w:rsidR="007463B0" w:rsidRPr="00860426">
              <w:rPr>
                <w:rFonts w:cs="Arial"/>
                <w:noProof/>
                <w:webHidden/>
                <w:szCs w:val="22"/>
              </w:rPr>
              <w:fldChar w:fldCharType="separate"/>
            </w:r>
            <w:r w:rsidR="00B141DE" w:rsidRPr="00860426">
              <w:rPr>
                <w:rFonts w:cs="Arial"/>
                <w:noProof/>
                <w:webHidden/>
                <w:szCs w:val="22"/>
              </w:rPr>
              <w:t>8</w:t>
            </w:r>
            <w:r w:rsidR="007463B0" w:rsidRPr="00860426">
              <w:rPr>
                <w:rFonts w:cs="Arial"/>
                <w:noProof/>
                <w:webHidden/>
                <w:szCs w:val="22"/>
              </w:rPr>
              <w:fldChar w:fldCharType="end"/>
            </w:r>
          </w:hyperlink>
        </w:p>
        <w:p w14:paraId="78800178" w14:textId="0EED1C61" w:rsidR="007463B0" w:rsidRPr="00860426" w:rsidRDefault="007463B0" w:rsidP="00940D1B">
          <w:pPr>
            <w:jc w:val="left"/>
          </w:pPr>
          <w:r w:rsidRPr="00860426">
            <w:rPr>
              <w:rFonts w:cs="Arial"/>
              <w:b/>
              <w:bCs/>
              <w:noProof/>
              <w:szCs w:val="22"/>
            </w:rPr>
            <w:fldChar w:fldCharType="end"/>
          </w:r>
        </w:p>
      </w:sdtContent>
    </w:sdt>
    <w:p w14:paraId="7FDA15C4" w14:textId="77777777" w:rsidR="007463B0" w:rsidRPr="00860426" w:rsidRDefault="007463B0" w:rsidP="007463B0">
      <w:pPr>
        <w:rPr>
          <w:lang w:val="en-US"/>
        </w:rPr>
      </w:pPr>
    </w:p>
    <w:p w14:paraId="3F7FC0E8" w14:textId="77777777" w:rsidR="007463B0" w:rsidRPr="00860426" w:rsidRDefault="007463B0">
      <w:pPr>
        <w:spacing w:after="200" w:line="276" w:lineRule="auto"/>
        <w:jc w:val="left"/>
        <w:rPr>
          <w:rFonts w:eastAsiaTheme="majorEastAsia" w:cstheme="majorBidi"/>
          <w:b/>
          <w:szCs w:val="40"/>
          <w:lang w:val="en-US"/>
        </w:rPr>
      </w:pPr>
      <w:r w:rsidRPr="00860426">
        <w:rPr>
          <w:lang w:val="en-US"/>
        </w:rPr>
        <w:br w:type="page"/>
      </w:r>
    </w:p>
    <w:p w14:paraId="2FB2AF42" w14:textId="0F0149FA" w:rsidR="00636130" w:rsidRPr="00860426" w:rsidRDefault="00636130" w:rsidP="00D72C44">
      <w:pPr>
        <w:pStyle w:val="Heading1"/>
        <w:rPr>
          <w:lang w:val="en-US"/>
        </w:rPr>
      </w:pPr>
      <w:bookmarkStart w:id="1" w:name="_Toc241524964"/>
      <w:r w:rsidRPr="00860426">
        <w:rPr>
          <w:lang w:val="en-US"/>
        </w:rPr>
        <w:lastRenderedPageBreak/>
        <w:t>TASK 1: GUIDED SCENARIO RESPONSE – SHORTAGE OF DOMICILIARY CARE SERVICES</w:t>
      </w:r>
      <w:bookmarkEnd w:id="1"/>
    </w:p>
    <w:p w14:paraId="74FA51A3" w14:textId="77777777" w:rsidR="00636130" w:rsidRPr="00860426" w:rsidRDefault="00636130" w:rsidP="00636130">
      <w:pPr>
        <w:rPr>
          <w:lang w:val="en-US"/>
        </w:rPr>
      </w:pPr>
      <w:r w:rsidRPr="00860426">
        <w:rPr>
          <w:b/>
          <w:bCs/>
          <w:lang w:val="en-US"/>
        </w:rPr>
        <w:t>To:</w:t>
      </w:r>
      <w:r w:rsidRPr="00860426">
        <w:rPr>
          <w:lang w:val="en-US"/>
        </w:rPr>
        <w:t xml:space="preserve"> Councillor Nosheen Khalid, Cabinet Member for Health and Social Care, Birmingham City Council</w:t>
      </w:r>
      <w:r w:rsidRPr="00860426">
        <w:rPr>
          <w:lang w:val="en-US"/>
        </w:rPr>
        <w:br/>
      </w:r>
      <w:r w:rsidRPr="00860426">
        <w:rPr>
          <w:b/>
          <w:bCs/>
          <w:lang w:val="en-US"/>
        </w:rPr>
        <w:t>Council House, Victoria Square, Birmingham B1 1BB</w:t>
      </w:r>
    </w:p>
    <w:p w14:paraId="421AD22D" w14:textId="77777777" w:rsidR="00636130" w:rsidRPr="00860426" w:rsidRDefault="00636130" w:rsidP="00D72C44">
      <w:pPr>
        <w:pStyle w:val="Heading2"/>
        <w:rPr>
          <w:lang w:val="en-US"/>
        </w:rPr>
      </w:pPr>
      <w:bookmarkStart w:id="2" w:name="_Toc241524965"/>
      <w:r w:rsidRPr="00860426">
        <w:rPr>
          <w:lang w:val="en-US"/>
        </w:rPr>
        <w:t>Introduction</w:t>
      </w:r>
      <w:bookmarkEnd w:id="2"/>
    </w:p>
    <w:p w14:paraId="176D2D6B" w14:textId="54484F2F" w:rsidR="00D72C44" w:rsidRPr="00860426" w:rsidRDefault="00D72C44" w:rsidP="00D72C44">
      <w:pPr>
        <w:rPr>
          <w:lang w:val="en-US"/>
        </w:rPr>
      </w:pPr>
      <w:r w:rsidRPr="00860426">
        <w:t>Domiciliary care' is care and support provided within the home of the person which would include care, medication support, mobility support and reablement. It has certain implications for individuals with ageing and disability as well as frail individuals with long term conditions: individuals who can be supported to live at home can do so, remaining independent and maintaining their dignity. For some individuals who live in their own homes, when domiciliary care is not available, or is not sufficient, unmet care and support needs may result (Allan, 2022). The Care Act 2014 is the key piece of legislation for adult social care in England and contains the values of wellbeing, prevention, assessment, independence and personalisation. Capacity in relation to prevention and consequently assessed needs and wellbeing may be inadequate.</w:t>
      </w:r>
    </w:p>
    <w:p w14:paraId="3AC169C9" w14:textId="77777777" w:rsidR="00636130" w:rsidRPr="00860426" w:rsidRDefault="00636130" w:rsidP="00D72C44">
      <w:pPr>
        <w:pStyle w:val="Heading2"/>
        <w:rPr>
          <w:lang w:val="en-US"/>
        </w:rPr>
      </w:pPr>
      <w:bookmarkStart w:id="3" w:name="_Toc241524966"/>
      <w:r w:rsidRPr="00860426">
        <w:rPr>
          <w:lang w:val="en-US"/>
        </w:rPr>
        <w:t>Impact of the Issue on the Community</w:t>
      </w:r>
      <w:bookmarkEnd w:id="3"/>
    </w:p>
    <w:p w14:paraId="2BD93DD0" w14:textId="3D64103A" w:rsidR="00D72C44" w:rsidRPr="00860426" w:rsidRDefault="00D72C44" w:rsidP="00D72C44">
      <w:pPr>
        <w:rPr>
          <w:lang w:val="en-US"/>
        </w:rPr>
      </w:pPr>
      <w:r w:rsidRPr="00860426">
        <w:t>The lack of domiciliary care could directly impact on a service user. In some cases, the individual may have missed or delayed visits which can lead to missed care to assist them to get moving safely, taking medications or eating (Bennett et al. 2022). Needs for independence may become more complex and there may be deterioration of level of needs for independence. Early help can help maintain people's functioning and help avoid unnecessary escalation of people's care needs and is important.</w:t>
      </w:r>
    </w:p>
    <w:p w14:paraId="48253033" w14:textId="2022F1EC" w:rsidR="00D72C44" w:rsidRPr="00860426" w:rsidRDefault="00D72C44" w:rsidP="00D72C44">
      <w:pPr>
        <w:rPr>
          <w:lang w:val="en-US"/>
        </w:rPr>
      </w:pPr>
      <w:r w:rsidRPr="00860426">
        <w:rPr>
          <w:lang w:val="en-US"/>
        </w:rPr>
        <w:t>When formal support is not in place, unpaid carers might also have to take on more duties. Other care responsibilities may impact work, health, and social inclusion. If the support needs of individuals' own homes are poor, it can result in avoidable crises and be a burden on health and social-care services</w:t>
      </w:r>
      <w:r w:rsidR="00B91F38" w:rsidRPr="00860426">
        <w:rPr>
          <w:lang w:val="en-US"/>
        </w:rPr>
        <w:t xml:space="preserve"> (</w:t>
      </w:r>
      <w:r w:rsidR="00B91F38" w:rsidRPr="00860426">
        <w:t xml:space="preserve">Rand </w:t>
      </w:r>
      <w:r w:rsidR="00B91F38" w:rsidRPr="00860426">
        <w:rPr>
          <w:i/>
          <w:iCs/>
        </w:rPr>
        <w:t>et al.</w:t>
      </w:r>
      <w:r w:rsidR="00B91F38" w:rsidRPr="00860426">
        <w:t xml:space="preserve"> 2022</w:t>
      </w:r>
      <w:r w:rsidR="00B91F38" w:rsidRPr="00860426">
        <w:rPr>
          <w:lang w:val="en-US"/>
        </w:rPr>
        <w:t>)</w:t>
      </w:r>
      <w:r w:rsidRPr="00860426">
        <w:rPr>
          <w:lang w:val="en-US"/>
        </w:rPr>
        <w:t>. This situation therefore has an impact on the community-wide care system.</w:t>
      </w:r>
    </w:p>
    <w:p w14:paraId="55B6F3FC" w14:textId="2861AC32" w:rsidR="00D72C44" w:rsidRPr="00860426" w:rsidRDefault="00D72C44" w:rsidP="00D72C44">
      <w:pPr>
        <w:rPr>
          <w:lang w:val="en-US"/>
        </w:rPr>
      </w:pPr>
      <w:r w:rsidRPr="00860426">
        <w:rPr>
          <w:lang w:val="en-US"/>
        </w:rPr>
        <w:t>It may also manifest itself in a variety of ways in various individuals. Those who are not supported by family or do not have any savings might be at a disadvantage, and there are fewer area providers and fewer options for getting proper support. A shortage can therefore limit choice and help create access inequalities</w:t>
      </w:r>
      <w:r w:rsidR="00B91F38" w:rsidRPr="00860426">
        <w:rPr>
          <w:lang w:val="en-US"/>
        </w:rPr>
        <w:t xml:space="preserve"> (</w:t>
      </w:r>
      <w:r w:rsidR="00B91F38" w:rsidRPr="00860426">
        <w:t xml:space="preserve">Longo </w:t>
      </w:r>
      <w:r w:rsidR="00B91F38" w:rsidRPr="00860426">
        <w:rPr>
          <w:i/>
          <w:iCs/>
        </w:rPr>
        <w:t>et al.</w:t>
      </w:r>
      <w:r w:rsidR="00B91F38" w:rsidRPr="00860426">
        <w:t xml:space="preserve"> 2023</w:t>
      </w:r>
      <w:r w:rsidR="00B91F38" w:rsidRPr="00860426">
        <w:rPr>
          <w:lang w:val="en-US"/>
        </w:rPr>
        <w:t>)</w:t>
      </w:r>
      <w:r w:rsidRPr="00860426">
        <w:rPr>
          <w:lang w:val="en-US"/>
        </w:rPr>
        <w:t>. Local assessment for Birmingham should determine if there are capacity pressures across specific communities, geographical areas, or types of care needs and be used to direct commissioning resources to where the unmet need is highest.</w:t>
      </w:r>
    </w:p>
    <w:p w14:paraId="14FBFE9D" w14:textId="77777777" w:rsidR="00636130" w:rsidRPr="00860426" w:rsidRDefault="00636130" w:rsidP="00D72C44">
      <w:pPr>
        <w:pStyle w:val="Heading2"/>
        <w:rPr>
          <w:lang w:val="en-US"/>
        </w:rPr>
      </w:pPr>
      <w:bookmarkStart w:id="4" w:name="_Toc241524967"/>
      <w:r w:rsidRPr="00860426">
        <w:rPr>
          <w:lang w:val="en-US"/>
        </w:rPr>
        <w:lastRenderedPageBreak/>
        <w:t>Recommended Response to Address the Issue</w:t>
      </w:r>
      <w:bookmarkEnd w:id="4"/>
    </w:p>
    <w:p w14:paraId="1883EC2C" w14:textId="05744320" w:rsidR="00D72C44" w:rsidRPr="00860426" w:rsidRDefault="00D72C44" w:rsidP="00D72C44">
      <w:pPr>
        <w:rPr>
          <w:lang w:val="en-US"/>
        </w:rPr>
      </w:pPr>
      <w:r w:rsidRPr="00860426">
        <w:t>There is a need for Birmingham City Council to take a co-ordinated approach to demand, commissioning and planning of workers. The capacity and demand should be evaluated according to the waiting times, unmet demand, demographic shifts, providers available and workforce capacity (Bach‐Mortensen et al., 2024). This would act as a marker of where there is a mismatch between the assessment of need and provision and would enable targeted commissioning.</w:t>
      </w:r>
    </w:p>
    <w:p w14:paraId="082CBEDE" w14:textId="30A934DC" w:rsidR="00D72C44" w:rsidRPr="00860426" w:rsidRDefault="00D72C44" w:rsidP="00D72C44">
      <w:pPr>
        <w:rPr>
          <w:lang w:val="en-US"/>
        </w:rPr>
      </w:pPr>
      <w:r w:rsidRPr="00860426">
        <w:rPr>
          <w:lang w:val="en-US"/>
        </w:rPr>
        <w:t>Costs and viability of providers, quality, and continuity</w:t>
      </w:r>
      <w:r w:rsidR="00B91F38" w:rsidRPr="00860426">
        <w:rPr>
          <w:lang w:val="en-US"/>
        </w:rPr>
        <w:t xml:space="preserve"> (</w:t>
      </w:r>
      <w:r w:rsidRPr="00860426">
        <w:rPr>
          <w:lang w:val="en-US"/>
        </w:rPr>
        <w:t>not the costs of the package itself</w:t>
      </w:r>
      <w:r w:rsidR="00B91F38" w:rsidRPr="00860426">
        <w:rPr>
          <w:lang w:val="en-US"/>
        </w:rPr>
        <w:t xml:space="preserve">) </w:t>
      </w:r>
      <w:r w:rsidRPr="00860426">
        <w:rPr>
          <w:lang w:val="en-US"/>
        </w:rPr>
        <w:t>should be considered for sustainable commissioning. Unsustainable arrangements can cause an unhappy provider and problems with the workforce, and therefore reduced additional capacity is delivered</w:t>
      </w:r>
      <w:r w:rsidR="009C7DF1" w:rsidRPr="00860426">
        <w:rPr>
          <w:lang w:val="en-US"/>
        </w:rPr>
        <w:t xml:space="preserve"> (</w:t>
      </w:r>
      <w:r w:rsidR="009C7DF1" w:rsidRPr="00860426">
        <w:t>Semark and McFarlane, 2026</w:t>
      </w:r>
      <w:r w:rsidR="009C7DF1" w:rsidRPr="00860426">
        <w:rPr>
          <w:lang w:val="en-US"/>
        </w:rPr>
        <w:t>)</w:t>
      </w:r>
      <w:r w:rsidRPr="00860426">
        <w:rPr>
          <w:lang w:val="en-US"/>
        </w:rPr>
        <w:t>.</w:t>
      </w:r>
      <w:r w:rsidR="009C7DF1" w:rsidRPr="00860426">
        <w:rPr>
          <w:lang w:val="en-US"/>
        </w:rPr>
        <w:t xml:space="preserve"> </w:t>
      </w:r>
      <w:r w:rsidRPr="00860426">
        <w:rPr>
          <w:lang w:val="en-US"/>
        </w:rPr>
        <w:t>Workforce development should facilitate the recruitment, induction, and employment of apprenticeships, qualifications, and career progression. Retention is also key, with limited qualified workers having a negative impact on capacity and continuity of care.</w:t>
      </w:r>
    </w:p>
    <w:p w14:paraId="37A30FCF" w14:textId="5F4B42D1" w:rsidR="00D72C44" w:rsidRPr="00860426" w:rsidRDefault="00D72C44" w:rsidP="00D72C44">
      <w:pPr>
        <w:rPr>
          <w:lang w:val="en-US"/>
        </w:rPr>
      </w:pPr>
      <w:r w:rsidRPr="00860426">
        <w:t>Reablement should be offered as appropriate to support recovery, retention of capacities and support independence and longer term care (where necessary) should be offered. In addition, direct payments and person budgets should be promoted as they may provide more choice and control and care may be more responsive to individual needs (O'Rourke and Beresford, 2022). This is aligned with the Care Act in the sense of: wellbeing, independence and involvement in decisions relating to care.</w:t>
      </w:r>
    </w:p>
    <w:p w14:paraId="1E508DED" w14:textId="18072982" w:rsidR="00636130" w:rsidRPr="00860426" w:rsidRDefault="00D72C44" w:rsidP="00636130">
      <w:pPr>
        <w:rPr>
          <w:lang w:val="en-US"/>
        </w:rPr>
      </w:pPr>
      <w:r w:rsidRPr="00860426">
        <w:rPr>
          <w:lang w:val="en-US"/>
        </w:rPr>
        <w:t>Waiting times, unmet need, continuity of care, workforce turnover, and reablement outcomes and experience should be included as indicators of effectiveness. These would be to establish whether investments lead to access and outcomes or to additional packages being commissioned.</w:t>
      </w:r>
    </w:p>
    <w:p w14:paraId="13617346" w14:textId="77777777" w:rsidR="00636130" w:rsidRPr="00860426" w:rsidRDefault="00636130" w:rsidP="00636130">
      <w:pPr>
        <w:rPr>
          <w:b/>
          <w:bCs/>
          <w:lang w:val="en-US"/>
        </w:rPr>
      </w:pPr>
      <w:r w:rsidRPr="00860426">
        <w:rPr>
          <w:b/>
          <w:bCs/>
          <w:lang w:val="en-US"/>
        </w:rPr>
        <w:t>Conclusion</w:t>
      </w:r>
    </w:p>
    <w:p w14:paraId="79DDDAA6" w14:textId="77777777" w:rsidR="00D72C44" w:rsidRPr="00860426" w:rsidRDefault="00D72C44" w:rsidP="00D72C44">
      <w:pPr>
        <w:rPr>
          <w:lang w:val="en-US"/>
        </w:rPr>
      </w:pPr>
      <w:r w:rsidRPr="00860426">
        <w:rPr>
          <w:lang w:val="en-US"/>
        </w:rPr>
        <w:t>Limits in independence, wellbeing, unpaid carers, and the broader health and social care services are all impacted by the lack of domiciliary care. A well-being, prevention, needs-led, and personal approach takes center stage in the Care Act 2014. A coordinated response for Birmingham should encompass demand assessment, sustainable commissioning, development of the workforce, reablement, and personalized support. Success can and should be measured against the reduction in unmet needs, a lack of avoidable escalation, continuity of service, and service-users' experience.</w:t>
      </w:r>
    </w:p>
    <w:p w14:paraId="318D3091" w14:textId="77777777" w:rsidR="00D72C44" w:rsidRPr="00860426" w:rsidRDefault="00D72C44">
      <w:pPr>
        <w:spacing w:after="200" w:line="276" w:lineRule="auto"/>
        <w:jc w:val="left"/>
        <w:rPr>
          <w:rFonts w:eastAsiaTheme="majorEastAsia" w:cstheme="majorBidi"/>
          <w:b/>
          <w:szCs w:val="40"/>
          <w:lang w:val="en-US"/>
        </w:rPr>
      </w:pPr>
      <w:r w:rsidRPr="00860426">
        <w:rPr>
          <w:lang w:val="en-US"/>
        </w:rPr>
        <w:br w:type="page"/>
      </w:r>
    </w:p>
    <w:p w14:paraId="02D72C24" w14:textId="1E836382" w:rsidR="00191F4E" w:rsidRPr="00860426" w:rsidRDefault="00191F4E" w:rsidP="00D72C44">
      <w:pPr>
        <w:pStyle w:val="Heading1"/>
        <w:rPr>
          <w:lang w:val="en-US"/>
        </w:rPr>
      </w:pPr>
      <w:bookmarkStart w:id="5" w:name="_Toc241524968"/>
      <w:r w:rsidRPr="00860426">
        <w:rPr>
          <w:lang w:val="en-US"/>
        </w:rPr>
        <w:lastRenderedPageBreak/>
        <w:t>TASK 2: THE DEVELOPMENT, CONTEMPORARY FUNCTION AND SIGNIFICANCE OF COMMUNITY PHARMACY SERVICES</w:t>
      </w:r>
      <w:bookmarkEnd w:id="5"/>
    </w:p>
    <w:p w14:paraId="13C50EA3" w14:textId="77777777" w:rsidR="00191F4E" w:rsidRPr="00860426" w:rsidRDefault="00191F4E" w:rsidP="00D72C44">
      <w:pPr>
        <w:pStyle w:val="Heading2"/>
        <w:rPr>
          <w:lang w:val="en-US"/>
        </w:rPr>
      </w:pPr>
      <w:bookmarkStart w:id="6" w:name="_Toc241524969"/>
      <w:r w:rsidRPr="00860426">
        <w:rPr>
          <w:lang w:val="en-US"/>
        </w:rPr>
        <w:t>Introduction</w:t>
      </w:r>
      <w:bookmarkEnd w:id="6"/>
    </w:p>
    <w:p w14:paraId="1B0295A5" w14:textId="35DF0D3D" w:rsidR="00D72C44" w:rsidRPr="00860426" w:rsidRDefault="00D72C44" w:rsidP="00D72C44">
      <w:pPr>
        <w:rPr>
          <w:lang w:val="en-US"/>
        </w:rPr>
      </w:pPr>
      <w:r w:rsidRPr="00860426">
        <w:t>These days, community pharmacies are no longer just about shelves of products, but they're just as much a component of a larger community health care system. The dispensing and giving medicines core skills will be pertinent and, of course, the up-to-date services for providing advice on prevention, health promotion, medicines optimisation and medicines management will continue to be relevant. This change is influenced by professionalization, the NHS, the needs of the population and emphasis on primary care (Tew et al. 2025). It can therefore be used traffic value, by demand for access, and can be used in a clinically-safe and coordinated manner.</w:t>
      </w:r>
    </w:p>
    <w:p w14:paraId="6FF5F001" w14:textId="77777777" w:rsidR="00191F4E" w:rsidRPr="00860426" w:rsidRDefault="00191F4E" w:rsidP="00D72C44">
      <w:pPr>
        <w:pStyle w:val="Heading2"/>
        <w:rPr>
          <w:lang w:val="en-US"/>
        </w:rPr>
      </w:pPr>
      <w:bookmarkStart w:id="7" w:name="_Toc241524970"/>
      <w:r w:rsidRPr="00860426">
        <w:rPr>
          <w:lang w:val="en-US"/>
        </w:rPr>
        <w:t>Origins and Historical Context</w:t>
      </w:r>
      <w:bookmarkEnd w:id="7"/>
    </w:p>
    <w:p w14:paraId="1526833D" w14:textId="77777777" w:rsidR="00D72C44" w:rsidRPr="00860426" w:rsidRDefault="00D72C44" w:rsidP="00D72C44">
      <w:pPr>
        <w:rPr>
          <w:lang w:val="en-US"/>
        </w:rPr>
      </w:pPr>
      <w:r w:rsidRPr="00860426">
        <w:t>The nineteenth century saw a further development of the professionalisation of the art of Pharmacy with the regulation of the profession and the admission of practitioners to the profession, for example the founding of the Pharmaceutical Society of Great Britain in 1841. With its publicly-funded healthcare link to dispensing of prescriptions and supply of medicine, the role of the community pharmacist has grown considerably since the birth of the NHS in 1948. The role of the pharmacist has changed over time and now involves medicines advice and optimisation, health promotion and prevention.</w:t>
      </w:r>
    </w:p>
    <w:p w14:paraId="6B0DBEE8" w14:textId="324FFF53" w:rsidR="00191F4E" w:rsidRPr="00860426" w:rsidRDefault="00D72C44" w:rsidP="00191F4E">
      <w:pPr>
        <w:rPr>
          <w:lang w:val="en-US"/>
        </w:rPr>
      </w:pPr>
      <w:r w:rsidRPr="00860426">
        <w:rPr>
          <w:lang w:val="en-US"/>
        </w:rPr>
        <w:t>These advances are important as a community pharmacy is changing increasingly from a product-based to a patient-based service. There's been a greater focus on the usage of medicines, understanding what treatment is and if prevention and early intervention can be provided locally. Thus, the present-day role is not just an expansion of the volume of services provided but a change in the purpose of the profession</w:t>
      </w:r>
      <w:r w:rsidR="00191F4E" w:rsidRPr="00860426">
        <w:rPr>
          <w:lang w:val="en-US"/>
        </w:rPr>
        <w:t>.</w:t>
      </w:r>
    </w:p>
    <w:p w14:paraId="0961CD1C" w14:textId="77777777" w:rsidR="00191F4E" w:rsidRPr="00860426" w:rsidRDefault="00191F4E" w:rsidP="00D72C44">
      <w:pPr>
        <w:pStyle w:val="Heading2"/>
        <w:rPr>
          <w:lang w:val="en-US"/>
        </w:rPr>
      </w:pPr>
      <w:bookmarkStart w:id="8" w:name="_Toc241524971"/>
      <w:r w:rsidRPr="00860426">
        <w:rPr>
          <w:lang w:val="en-US"/>
        </w:rPr>
        <w:t>How the Service Functions Today</w:t>
      </w:r>
      <w:bookmarkEnd w:id="8"/>
    </w:p>
    <w:p w14:paraId="78225E64" w14:textId="77777777" w:rsidR="00D72C44" w:rsidRPr="00860426" w:rsidRDefault="00D72C44" w:rsidP="00D72C44">
      <w:pPr>
        <w:rPr>
          <w:lang w:val="en-US"/>
        </w:rPr>
      </w:pPr>
      <w:r w:rsidRPr="00860426">
        <w:t>Community Pharmacies will still be able to dispense prescriptions, and offer guidance on the safe and effective use of medicines. The existing services are vaccination, contraception, and case finding (for hypertension) and New Medicine Service and health promotion activities. Pharmacy First is a big milestone as it now allows Pharmacists to successfully evaluate and treat highly defined pathways for treatment of highly known conditions, thereby often minimising the need for a patient to attend other health care providers.</w:t>
      </w:r>
    </w:p>
    <w:p w14:paraId="78444E25" w14:textId="328C4F5B" w:rsidR="00191F4E" w:rsidRPr="00860426" w:rsidRDefault="00D72C44" w:rsidP="00191F4E">
      <w:pPr>
        <w:rPr>
          <w:lang w:val="en-US"/>
        </w:rPr>
      </w:pPr>
      <w:r w:rsidRPr="00860426">
        <w:t>The service is not just treatment – it is more. You might bring with you a health concern and be assessable, advised, treated and/or referred to another health care provider if necessary (Kamei et al. 2024). Community Pharmacy is therefore a component of a broader health care pathway and referral/communication is therefore of utmost importance.</w:t>
      </w:r>
    </w:p>
    <w:p w14:paraId="6F76DAE6" w14:textId="77777777" w:rsidR="00191F4E" w:rsidRPr="00860426" w:rsidRDefault="00191F4E" w:rsidP="00D72C44">
      <w:pPr>
        <w:pStyle w:val="Heading2"/>
        <w:rPr>
          <w:lang w:val="en-US"/>
        </w:rPr>
      </w:pPr>
      <w:bookmarkStart w:id="9" w:name="_Toc241524972"/>
      <w:r w:rsidRPr="00860426">
        <w:rPr>
          <w:lang w:val="en-US"/>
        </w:rPr>
        <w:lastRenderedPageBreak/>
        <w:t>Critical Evaluation and Significance for Quality of Life</w:t>
      </w:r>
      <w:bookmarkEnd w:id="9"/>
    </w:p>
    <w:p w14:paraId="08FB418F" w14:textId="77777777" w:rsidR="00D72C44" w:rsidRPr="00860426" w:rsidRDefault="00D72C44" w:rsidP="00D72C44">
      <w:pPr>
        <w:rPr>
          <w:lang w:val="en-US"/>
        </w:rPr>
      </w:pPr>
      <w:r w:rsidRPr="00860426">
        <w:rPr>
          <w:lang w:val="en-US"/>
        </w:rPr>
        <w:t>One of the strengths is the accessibility of the community pharmacies that can offer local access to advice and treatment. But access doesn't always mean equal access. In practice, access can vary in terms of coverage and availability, as well as staffing and capacity of services. Having a service does not mean it is guaranteed that there will be equitable or equal access to it. More than a pharmacy in the locality, the meaningful accessibility is the availability of the service, the opening time of the pharmacy, and the professional capacity of the pharmacies during the time it is needed.</w:t>
      </w:r>
    </w:p>
    <w:p w14:paraId="2A0EB8E2" w14:textId="377CD0A5" w:rsidR="00D72C44" w:rsidRPr="00860426" w:rsidRDefault="00D72C44" w:rsidP="00D72C44">
      <w:pPr>
        <w:rPr>
          <w:lang w:val="en-US"/>
        </w:rPr>
      </w:pPr>
      <w:r w:rsidRPr="00860426">
        <w:t>In an increased workload within the clinic can be a strain, too. To increase access to services, which should include appropriately qualified professionals with adequate time, equipment and management, can improve access to prevention and early treatment (Bach-Mortensen et al. 2024). If there is not enough staff there will be increased responsibility, which will result in pressure. Thus, making it possible to integrate with GP and other health care providers is important.</w:t>
      </w:r>
    </w:p>
    <w:p w14:paraId="11D776D8" w14:textId="77777777" w:rsidR="00D72C44" w:rsidRPr="00860426" w:rsidRDefault="00D72C44" w:rsidP="00D72C44">
      <w:pPr>
        <w:rPr>
          <w:lang w:val="en-US"/>
        </w:rPr>
      </w:pPr>
      <w:r w:rsidRPr="00860426">
        <w:rPr>
          <w:lang w:val="en-US"/>
        </w:rPr>
        <w:t>Communication and information sharing can help achieve continuity and reduce duplication and facilitate referral. Community pharmacy therefore has the best opportunity to make a contribution if services are seen as part of the wider primary care.</w:t>
      </w:r>
    </w:p>
    <w:p w14:paraId="11F6ED8D" w14:textId="310D60F8" w:rsidR="00D72C44" w:rsidRPr="00860426" w:rsidRDefault="00D72C44" w:rsidP="00D72C44">
      <w:pPr>
        <w:rPr>
          <w:lang w:val="en-US"/>
        </w:rPr>
      </w:pPr>
      <w:r w:rsidRPr="00860426">
        <w:rPr>
          <w:lang w:val="en-US"/>
        </w:rPr>
        <w:t>Its impact on quality of life can be demonstrated by a number of outcomes. Prescribed medication and access to medicines will help to support physical well-being and safe handling of medicines</w:t>
      </w:r>
      <w:r w:rsidR="009C7DF1" w:rsidRPr="00860426">
        <w:rPr>
          <w:lang w:val="en-US"/>
        </w:rPr>
        <w:t xml:space="preserve"> (</w:t>
      </w:r>
      <w:r w:rsidR="009C7DF1" w:rsidRPr="00860426">
        <w:t xml:space="preserve">Rand </w:t>
      </w:r>
      <w:r w:rsidR="009C7DF1" w:rsidRPr="00860426">
        <w:rPr>
          <w:i/>
          <w:iCs/>
        </w:rPr>
        <w:t>et al.</w:t>
      </w:r>
      <w:r w:rsidR="009C7DF1" w:rsidRPr="00860426">
        <w:t xml:space="preserve"> 2022)</w:t>
      </w:r>
      <w:r w:rsidRPr="00860426">
        <w:rPr>
          <w:lang w:val="en-US"/>
        </w:rPr>
        <w:t>. Preventive services could go a long way towards getting at health risks earlier, and local treatment could go a long way to reducing the access difficulties. Medicines support can also help to foster independence in medicines knowledge and management.</w:t>
      </w:r>
    </w:p>
    <w:p w14:paraId="353FA8C0" w14:textId="2E1D3D9A" w:rsidR="00191F4E" w:rsidRPr="00860426" w:rsidRDefault="00D72C44" w:rsidP="00191F4E">
      <w:pPr>
        <w:rPr>
          <w:lang w:val="en-US"/>
        </w:rPr>
      </w:pPr>
      <w:r w:rsidRPr="00860426">
        <w:t>Comfort, however, isn't necessarily better living. Sustainable benefits involves safe assessment, confidentiality, continuity, adequate referral, and communication and equitable access. So, if community pharmacies manage to do so, and if they get accessibility, competency and good integration right, they have a big opportunity to make a big difference in improving people's lives.</w:t>
      </w:r>
    </w:p>
    <w:p w14:paraId="6639ADBB" w14:textId="77777777" w:rsidR="00191F4E" w:rsidRPr="00860426" w:rsidRDefault="00191F4E" w:rsidP="00D72C44">
      <w:pPr>
        <w:pStyle w:val="Heading2"/>
        <w:rPr>
          <w:lang w:val="en-US"/>
        </w:rPr>
      </w:pPr>
      <w:bookmarkStart w:id="10" w:name="_Toc241524973"/>
      <w:r w:rsidRPr="00860426">
        <w:rPr>
          <w:lang w:val="en-US"/>
        </w:rPr>
        <w:t>Conclusion</w:t>
      </w:r>
      <w:bookmarkEnd w:id="10"/>
    </w:p>
    <w:p w14:paraId="79A408DD" w14:textId="77777777" w:rsidR="00D72C44" w:rsidRPr="00860426" w:rsidRDefault="00D72C44" w:rsidP="00D72C44">
      <w:pPr>
        <w:rPr>
          <w:lang w:val="en-US"/>
        </w:rPr>
      </w:pPr>
      <w:r w:rsidRPr="00860426">
        <w:t xml:space="preserve">The extension of the community pharmacy's role has been slowly increasing from the traditional dispensing role to a more clinical and preventative and public health role. This development has been aided by the professionalisation of health and the development of the NHS and health services currently being offered further strengthens its role in primary care. There's lots a community pharmacy can do to improve quality of life, medicines management, prevention and </w:t>
      </w:r>
      <w:r w:rsidRPr="00860426">
        <w:lastRenderedPageBreak/>
        <w:t>treatment and accessible health care. Effectiveness relies on the capacity of personnel, safe practice, correct referral, communication, continuity of services and integration with other extended health care services.</w:t>
      </w:r>
    </w:p>
    <w:p w14:paraId="4DCAD2EC" w14:textId="2E67215C" w:rsidR="00191F4E" w:rsidRPr="00860426" w:rsidRDefault="00191F4E" w:rsidP="00191F4E">
      <w:pPr>
        <w:rPr>
          <w:lang w:val="en-US"/>
        </w:rPr>
      </w:pPr>
    </w:p>
    <w:p w14:paraId="1371E5D7" w14:textId="5B272625" w:rsidR="00DF2F32" w:rsidRPr="00860426" w:rsidRDefault="00DF2F32" w:rsidP="00191F4E">
      <w:pPr>
        <w:rPr>
          <w:lang w:val="en-US"/>
        </w:rPr>
      </w:pPr>
    </w:p>
    <w:p w14:paraId="49B1377E" w14:textId="0E6639C4" w:rsidR="00FF6E20" w:rsidRPr="00860426" w:rsidRDefault="00FF6E20" w:rsidP="00DF2F32">
      <w:pPr>
        <w:rPr>
          <w:lang w:val="en-US"/>
        </w:rPr>
      </w:pPr>
      <w:r w:rsidRPr="00860426">
        <w:rPr>
          <w:lang w:val="en-US"/>
        </w:rPr>
        <w:br w:type="page"/>
      </w:r>
    </w:p>
    <w:p w14:paraId="07F712EB" w14:textId="0CF65616" w:rsidR="00FF6E20" w:rsidRPr="00860426" w:rsidRDefault="00FF6E20" w:rsidP="00FF6E20">
      <w:pPr>
        <w:pStyle w:val="Heading1"/>
        <w:rPr>
          <w:lang w:val="en-US"/>
        </w:rPr>
      </w:pPr>
      <w:bookmarkStart w:id="11" w:name="_Toc241524974"/>
      <w:r w:rsidRPr="00860426">
        <w:rPr>
          <w:lang w:val="en-US"/>
        </w:rPr>
        <w:lastRenderedPageBreak/>
        <w:t>References</w:t>
      </w:r>
      <w:bookmarkEnd w:id="11"/>
    </w:p>
    <w:p w14:paraId="560277FA" w14:textId="77777777" w:rsidR="007463B0" w:rsidRPr="00860426" w:rsidRDefault="007463B0" w:rsidP="009C7DF1">
      <w:pPr>
        <w:rPr>
          <w:lang w:val="en-US"/>
        </w:rPr>
      </w:pPr>
      <w:r w:rsidRPr="00860426">
        <w:t xml:space="preserve">Allan, S., 2022. Care home closure and the influence of domiciliary care supply: evidence from England. </w:t>
      </w:r>
      <w:r w:rsidRPr="00860426">
        <w:rPr>
          <w:i/>
          <w:iCs/>
        </w:rPr>
        <w:t>Journal of European Social Policy</w:t>
      </w:r>
      <w:r w:rsidRPr="00860426">
        <w:t xml:space="preserve">, </w:t>
      </w:r>
      <w:r w:rsidRPr="00860426">
        <w:rPr>
          <w:i/>
          <w:iCs/>
        </w:rPr>
        <w:t>32</w:t>
      </w:r>
      <w:r w:rsidRPr="00860426">
        <w:t xml:space="preserve">(3), pp.333-347. </w:t>
      </w:r>
      <w:hyperlink r:id="rId10" w:history="1">
        <w:r w:rsidRPr="00860426">
          <w:rPr>
            <w:rStyle w:val="Hyperlink"/>
            <w:color w:val="000000" w:themeColor="text1"/>
            <w:lang w:val="en-US"/>
          </w:rPr>
          <w:t>https://journals.sagepub.com/doi/10.1177/09589287221083835</w:t>
        </w:r>
      </w:hyperlink>
    </w:p>
    <w:p w14:paraId="37C1A24A" w14:textId="77777777" w:rsidR="007463B0" w:rsidRPr="00860426" w:rsidRDefault="007463B0" w:rsidP="009C7DF1">
      <w:pPr>
        <w:rPr>
          <w:lang w:val="en-US"/>
        </w:rPr>
      </w:pPr>
      <w:r w:rsidRPr="00860426">
        <w:t>Bach</w:t>
      </w:r>
      <w:r w:rsidRPr="00860426">
        <w:rPr>
          <w:rFonts w:ascii="Cambria Math" w:hAnsi="Cambria Math" w:cs="Cambria Math"/>
        </w:rPr>
        <w:t>‐</w:t>
      </w:r>
      <w:r w:rsidRPr="00860426">
        <w:t xml:space="preserve">Mortensen, A., Goodair, B. and Corlet Walker, C., 2024. A decade of outsourcing in health and social care in England: What was it meant to achieve?. </w:t>
      </w:r>
      <w:r w:rsidRPr="00860426">
        <w:rPr>
          <w:i/>
          <w:iCs/>
        </w:rPr>
        <w:t>Social policy &amp; administration</w:t>
      </w:r>
      <w:r w:rsidRPr="00860426">
        <w:t xml:space="preserve">, </w:t>
      </w:r>
      <w:r w:rsidRPr="00860426">
        <w:rPr>
          <w:i/>
          <w:iCs/>
        </w:rPr>
        <w:t>58</w:t>
      </w:r>
      <w:r w:rsidRPr="00860426">
        <w:t>(6), pp.938-959.</w:t>
      </w:r>
      <w:r w:rsidRPr="00860426">
        <w:rPr>
          <w:lang w:val="en-US"/>
        </w:rPr>
        <w:t xml:space="preserve"> </w:t>
      </w:r>
      <w:hyperlink r:id="rId11" w:history="1">
        <w:r w:rsidRPr="00860426">
          <w:rPr>
            <w:rStyle w:val="Hyperlink"/>
            <w:color w:val="000000" w:themeColor="text1"/>
            <w:lang w:val="en-US"/>
          </w:rPr>
          <w:t>Accessible full article/DOI</w:t>
        </w:r>
      </w:hyperlink>
    </w:p>
    <w:p w14:paraId="1A7BBD03" w14:textId="77777777" w:rsidR="007463B0" w:rsidRPr="00860426" w:rsidRDefault="007463B0" w:rsidP="009C7DF1">
      <w:pPr>
        <w:rPr>
          <w:lang w:val="en-US"/>
        </w:rPr>
      </w:pPr>
      <w:r w:rsidRPr="00860426">
        <w:t xml:space="preserve">Bennett, C., Allen, F., Hodge, S. and Logan, P., 2022. An investigation of Reablement or restorative homecare interventions and outcome effects: A systematic review of randomised control trials. </w:t>
      </w:r>
      <w:r w:rsidRPr="00860426">
        <w:rPr>
          <w:i/>
          <w:iCs/>
        </w:rPr>
        <w:t>Health &amp; Social Care in the Community</w:t>
      </w:r>
      <w:r w:rsidRPr="00860426">
        <w:t xml:space="preserve">, </w:t>
      </w:r>
      <w:r w:rsidRPr="00860426">
        <w:rPr>
          <w:i/>
          <w:iCs/>
        </w:rPr>
        <w:t>30</w:t>
      </w:r>
      <w:r w:rsidRPr="00860426">
        <w:t>(6), pp.e6586-e6600.</w:t>
      </w:r>
      <w:r w:rsidRPr="00860426">
        <w:rPr>
          <w:lang w:val="en-US"/>
        </w:rPr>
        <w:t xml:space="preserve"> </w:t>
      </w:r>
      <w:hyperlink r:id="rId12" w:history="1">
        <w:r w:rsidRPr="00860426">
          <w:rPr>
            <w:rStyle w:val="Hyperlink"/>
            <w:color w:val="000000" w:themeColor="text1"/>
            <w:lang w:val="en-US"/>
          </w:rPr>
          <w:t>https://onlinelibrary.wiley.com/doi/10.1111/spol.13036</w:t>
        </w:r>
      </w:hyperlink>
    </w:p>
    <w:p w14:paraId="180EE48C" w14:textId="77777777" w:rsidR="007463B0" w:rsidRPr="00860426" w:rsidRDefault="007463B0" w:rsidP="009C7DF1">
      <w:pPr>
        <w:rPr>
          <w:lang w:val="en-US"/>
        </w:rPr>
      </w:pPr>
      <w:r w:rsidRPr="00860426">
        <w:t>Kamei, T., Kawada, A., Minami, K., Takahashi, Z., Ishigaki, Y., Yamanaka, T., Yamamoto, N., Yamamoto, Y., Suzuki, Y., Watanabe, T. and Iijima, K., 2024. Effectiveness of an interdisciplinary home care approach for older adults with chronic conditions: A systematic review and meta</w:t>
      </w:r>
      <w:r w:rsidRPr="00860426">
        <w:rPr>
          <w:rFonts w:ascii="Cambria Math" w:hAnsi="Cambria Math" w:cs="Cambria Math"/>
        </w:rPr>
        <w:t>‐</w:t>
      </w:r>
      <w:r w:rsidRPr="00860426">
        <w:t xml:space="preserve">analysis. </w:t>
      </w:r>
      <w:r w:rsidRPr="00860426">
        <w:rPr>
          <w:i/>
          <w:iCs/>
        </w:rPr>
        <w:t>Geriatrics &amp; gerontology international</w:t>
      </w:r>
      <w:r w:rsidRPr="00860426">
        <w:t xml:space="preserve">, </w:t>
      </w:r>
      <w:r w:rsidRPr="00860426">
        <w:rPr>
          <w:i/>
          <w:iCs/>
        </w:rPr>
        <w:t>24</w:t>
      </w:r>
      <w:r w:rsidRPr="00860426">
        <w:t>(9), pp.827-840.</w:t>
      </w:r>
      <w:r w:rsidRPr="00860426">
        <w:rPr>
          <w:lang w:val="en-US"/>
        </w:rPr>
        <w:t xml:space="preserve"> </w:t>
      </w:r>
      <w:hyperlink r:id="rId13" w:history="1">
        <w:r w:rsidRPr="00860426">
          <w:rPr>
            <w:rStyle w:val="Hyperlink"/>
            <w:color w:val="000000" w:themeColor="text1"/>
            <w:lang w:val="en-US"/>
          </w:rPr>
          <w:t>https://onlinelibrary.wiley.com/doi/10.1111/ggi.14931</w:t>
        </w:r>
      </w:hyperlink>
    </w:p>
    <w:p w14:paraId="0E629B24" w14:textId="77777777" w:rsidR="007463B0" w:rsidRPr="00860426" w:rsidRDefault="007463B0" w:rsidP="009C7DF1">
      <w:pPr>
        <w:rPr>
          <w:lang w:val="en-US"/>
        </w:rPr>
      </w:pPr>
      <w:r w:rsidRPr="00860426">
        <w:t xml:space="preserve">Longo, F., Claxton, K., Lomas, J. and Martin, S., 2023. Is extending eligibility for adult social care better than investing more in existing users in England? A cross-sectional evidence for multiple financial years. </w:t>
      </w:r>
      <w:r w:rsidRPr="00860426">
        <w:rPr>
          <w:i/>
          <w:iCs/>
        </w:rPr>
        <w:t>BMJ open</w:t>
      </w:r>
      <w:r w:rsidRPr="00860426">
        <w:t xml:space="preserve">, </w:t>
      </w:r>
      <w:r w:rsidRPr="00860426">
        <w:rPr>
          <w:i/>
          <w:iCs/>
        </w:rPr>
        <w:t>13</w:t>
      </w:r>
      <w:r w:rsidRPr="00860426">
        <w:t xml:space="preserve">(9), p.e070833. </w:t>
      </w:r>
      <w:hyperlink r:id="rId14" w:history="1">
        <w:r w:rsidRPr="00860426">
          <w:rPr>
            <w:rStyle w:val="Hyperlink"/>
            <w:color w:val="000000" w:themeColor="text1"/>
            <w:lang w:val="en-US"/>
          </w:rPr>
          <w:t>https://bmjopen.bmj.com/content/13/9/e070833</w:t>
        </w:r>
      </w:hyperlink>
    </w:p>
    <w:p w14:paraId="77E6641B" w14:textId="77777777" w:rsidR="007463B0" w:rsidRPr="00860426" w:rsidRDefault="007463B0" w:rsidP="009C7DF1">
      <w:pPr>
        <w:rPr>
          <w:lang w:val="en-US"/>
        </w:rPr>
      </w:pPr>
      <w:r w:rsidRPr="00860426">
        <w:t>O'Rourke, G. and Beresford, B., 2022. Research priorities for homecare for older people: A UK multi</w:t>
      </w:r>
      <w:r w:rsidRPr="00860426">
        <w:rPr>
          <w:rFonts w:ascii="Cambria Math" w:hAnsi="Cambria Math" w:cs="Cambria Math"/>
        </w:rPr>
        <w:t>‐</w:t>
      </w:r>
      <w:r w:rsidRPr="00860426">
        <w:t xml:space="preserve">stakeholder consultation. </w:t>
      </w:r>
      <w:r w:rsidRPr="00860426">
        <w:rPr>
          <w:i/>
          <w:iCs/>
        </w:rPr>
        <w:t>Health &amp; Social Care in the Community</w:t>
      </w:r>
      <w:r w:rsidRPr="00860426">
        <w:t xml:space="preserve">, </w:t>
      </w:r>
      <w:r w:rsidRPr="00860426">
        <w:rPr>
          <w:i/>
          <w:iCs/>
        </w:rPr>
        <w:t>30</w:t>
      </w:r>
      <w:r w:rsidRPr="00860426">
        <w:t>(6), pp.e5647-e5660.</w:t>
      </w:r>
      <w:r w:rsidRPr="00860426">
        <w:rPr>
          <w:lang w:val="en-US"/>
        </w:rPr>
        <w:t xml:space="preserve"> </w:t>
      </w:r>
      <w:hyperlink r:id="rId15" w:history="1">
        <w:r w:rsidRPr="00860426">
          <w:rPr>
            <w:rStyle w:val="Hyperlink"/>
            <w:color w:val="000000" w:themeColor="text1"/>
            <w:lang w:val="en-US"/>
          </w:rPr>
          <w:t>https://onlinelibrary.wiley.com/doi/full/10.1111/hsc.13991</w:t>
        </w:r>
      </w:hyperlink>
    </w:p>
    <w:p w14:paraId="5C9B4A35" w14:textId="77777777" w:rsidR="007463B0" w:rsidRPr="00860426" w:rsidRDefault="007463B0" w:rsidP="009C7DF1">
      <w:pPr>
        <w:rPr>
          <w:lang w:val="en-US"/>
        </w:rPr>
      </w:pPr>
      <w:r w:rsidRPr="00860426">
        <w:t>Rand, S.E., Silarova, B., Towers, A.M. and Jones, K., 2022. Social care</w:t>
      </w:r>
      <w:r w:rsidRPr="00860426">
        <w:rPr>
          <w:rFonts w:ascii="Cambria Math" w:hAnsi="Cambria Math" w:cs="Cambria Math"/>
        </w:rPr>
        <w:t>‐</w:t>
      </w:r>
      <w:r w:rsidRPr="00860426">
        <w:t xml:space="preserve">related quality of life of people with dementia and their carers in England. </w:t>
      </w:r>
      <w:r w:rsidRPr="00860426">
        <w:rPr>
          <w:i/>
          <w:iCs/>
        </w:rPr>
        <w:t>Health &amp; social care in the community</w:t>
      </w:r>
      <w:r w:rsidRPr="00860426">
        <w:t xml:space="preserve">, </w:t>
      </w:r>
      <w:r w:rsidRPr="00860426">
        <w:rPr>
          <w:i/>
          <w:iCs/>
        </w:rPr>
        <w:t>30</w:t>
      </w:r>
      <w:r w:rsidRPr="00860426">
        <w:t>(5), pp.e2406-e2418.</w:t>
      </w:r>
      <w:r w:rsidRPr="00860426">
        <w:rPr>
          <w:lang w:val="en-US"/>
        </w:rPr>
        <w:t xml:space="preserve"> </w:t>
      </w:r>
      <w:hyperlink r:id="rId16" w:history="1">
        <w:r w:rsidRPr="00860426">
          <w:rPr>
            <w:rStyle w:val="Hyperlink"/>
            <w:color w:val="000000" w:themeColor="text1"/>
            <w:lang w:val="en-US"/>
          </w:rPr>
          <w:t>https://onlinelibrary.wiley.com/doi/full/10.1111/hsc.13681</w:t>
        </w:r>
      </w:hyperlink>
    </w:p>
    <w:p w14:paraId="4C7AAA65" w14:textId="77777777" w:rsidR="007463B0" w:rsidRPr="00860426" w:rsidRDefault="007463B0" w:rsidP="009C7DF1">
      <w:pPr>
        <w:rPr>
          <w:lang w:val="en-US"/>
        </w:rPr>
      </w:pPr>
      <w:r w:rsidRPr="00860426">
        <w:t>Semark, A. and McFarlane, M., 2026. CARE TO STAY.</w:t>
      </w:r>
      <w:r w:rsidRPr="00860426">
        <w:rPr>
          <w:lang w:val="en-US"/>
        </w:rPr>
        <w:t xml:space="preserve"> </w:t>
      </w:r>
      <w:hyperlink r:id="rId17" w:history="1">
        <w:r w:rsidRPr="00860426">
          <w:rPr>
            <w:rStyle w:val="Hyperlink"/>
            <w:color w:val="000000" w:themeColor="text1"/>
            <w:lang w:val="en-US"/>
          </w:rPr>
          <w:t>https://re-state.co.uk/wp-content/uploads/2026/07/Care-to-stay.pdf</w:t>
        </w:r>
      </w:hyperlink>
    </w:p>
    <w:p w14:paraId="18E7C80D" w14:textId="77777777" w:rsidR="007463B0" w:rsidRPr="00860426" w:rsidRDefault="007463B0" w:rsidP="009C7DF1">
      <w:pPr>
        <w:rPr>
          <w:lang w:val="en-US"/>
        </w:rPr>
      </w:pPr>
      <w:r w:rsidRPr="00860426">
        <w:t xml:space="preserve">Tew, J., Duggal, S. and Carr, S., 2025. How has the idea of prevention been conceptualised and progressed in adult social care in England?. </w:t>
      </w:r>
      <w:r w:rsidRPr="00860426">
        <w:rPr>
          <w:i/>
          <w:iCs/>
        </w:rPr>
        <w:t>Journal of Social Policy</w:t>
      </w:r>
      <w:r w:rsidRPr="00860426">
        <w:t xml:space="preserve">, </w:t>
      </w:r>
      <w:r w:rsidRPr="00860426">
        <w:rPr>
          <w:i/>
          <w:iCs/>
        </w:rPr>
        <w:t>54</w:t>
      </w:r>
      <w:r w:rsidRPr="00860426">
        <w:t xml:space="preserve">(2), pp.429-447. </w:t>
      </w:r>
      <w:hyperlink r:id="rId18" w:history="1">
        <w:r w:rsidRPr="00860426">
          <w:rPr>
            <w:rStyle w:val="Hyperlink"/>
            <w:color w:val="000000" w:themeColor="text1"/>
            <w:lang w:val="en-US"/>
          </w:rPr>
          <w:t>https://www.cambridge.org/core/journals/journal-of-social-policy/article/how-has-the-idea-of-prevention-been-conceptualised-and-progressed-in-adult-social-care-in-england/48F29F9B541ADBCEA43CE311542B916B</w:t>
        </w:r>
      </w:hyperlink>
      <w:bookmarkEnd w:id="0"/>
    </w:p>
    <w:sectPr w:rsidR="007463B0" w:rsidRPr="00860426" w:rsidSect="007463B0">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6F30D2" w14:textId="77777777" w:rsidR="00CD54B8" w:rsidRDefault="00CD54B8" w:rsidP="0024055A">
      <w:pPr>
        <w:spacing w:line="240" w:lineRule="auto"/>
      </w:pPr>
      <w:r>
        <w:separator/>
      </w:r>
    </w:p>
  </w:endnote>
  <w:endnote w:type="continuationSeparator" w:id="0">
    <w:p w14:paraId="2EF88404" w14:textId="77777777" w:rsidR="00CD54B8" w:rsidRDefault="00CD54B8" w:rsidP="002405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Mangal">
    <w:altName w:val="Cambria Math"/>
    <w:panose1 w:val="02040503050203030202"/>
    <w:charset w:val="01"/>
    <w:family w:val="roman"/>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6456186"/>
      <w:docPartObj>
        <w:docPartGallery w:val="Page Numbers (Bottom of Page)"/>
        <w:docPartUnique/>
      </w:docPartObj>
    </w:sdtPr>
    <w:sdtEndPr>
      <w:rPr>
        <w:noProof/>
      </w:rPr>
    </w:sdtEndPr>
    <w:sdtContent>
      <w:p w14:paraId="61D5C877" w14:textId="1025DE52" w:rsidR="0024055A" w:rsidRDefault="0024055A">
        <w:pPr>
          <w:pStyle w:val="Footer"/>
          <w:jc w:val="right"/>
        </w:pPr>
        <w:r>
          <w:fldChar w:fldCharType="begin"/>
        </w:r>
        <w:r>
          <w:instrText xml:space="preserve"> PAGE   \* MERGEFORMAT </w:instrText>
        </w:r>
        <w:r>
          <w:fldChar w:fldCharType="separate"/>
        </w:r>
        <w:r w:rsidR="00860426">
          <w:rPr>
            <w:noProof/>
          </w:rPr>
          <w:t>8</w:t>
        </w:r>
        <w:r>
          <w:rPr>
            <w:noProof/>
          </w:rPr>
          <w:fldChar w:fldCharType="end"/>
        </w:r>
      </w:p>
    </w:sdtContent>
  </w:sdt>
  <w:p w14:paraId="46659265" w14:textId="77777777" w:rsidR="0024055A" w:rsidRDefault="00240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57C1D8" w14:textId="77777777" w:rsidR="00CD54B8" w:rsidRDefault="00CD54B8" w:rsidP="0024055A">
      <w:pPr>
        <w:spacing w:line="240" w:lineRule="auto"/>
      </w:pPr>
      <w:r>
        <w:separator/>
      </w:r>
    </w:p>
  </w:footnote>
  <w:footnote w:type="continuationSeparator" w:id="0">
    <w:p w14:paraId="68251341" w14:textId="77777777" w:rsidR="00CD54B8" w:rsidRDefault="00CD54B8" w:rsidP="002405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DAD44D7"/>
    <w:multiLevelType w:val="hybridMultilevel"/>
    <w:tmpl w:val="672A37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EC2"/>
    <w:rsid w:val="00017ADA"/>
    <w:rsid w:val="00041AA0"/>
    <w:rsid w:val="000467F7"/>
    <w:rsid w:val="000768E0"/>
    <w:rsid w:val="000B7373"/>
    <w:rsid w:val="0010047D"/>
    <w:rsid w:val="0014553A"/>
    <w:rsid w:val="00191F4E"/>
    <w:rsid w:val="001A49C1"/>
    <w:rsid w:val="001E2262"/>
    <w:rsid w:val="001E3D1B"/>
    <w:rsid w:val="001F2623"/>
    <w:rsid w:val="00226654"/>
    <w:rsid w:val="0024055A"/>
    <w:rsid w:val="00242954"/>
    <w:rsid w:val="00272A3E"/>
    <w:rsid w:val="002B5097"/>
    <w:rsid w:val="002C695D"/>
    <w:rsid w:val="002D4FF0"/>
    <w:rsid w:val="00335D4C"/>
    <w:rsid w:val="003A06AA"/>
    <w:rsid w:val="003D03BA"/>
    <w:rsid w:val="003F7130"/>
    <w:rsid w:val="00441A99"/>
    <w:rsid w:val="004744A7"/>
    <w:rsid w:val="004E1918"/>
    <w:rsid w:val="00547EAC"/>
    <w:rsid w:val="005528AA"/>
    <w:rsid w:val="00600CD4"/>
    <w:rsid w:val="006274EF"/>
    <w:rsid w:val="00636130"/>
    <w:rsid w:val="006367B4"/>
    <w:rsid w:val="00666541"/>
    <w:rsid w:val="006F7B19"/>
    <w:rsid w:val="00713981"/>
    <w:rsid w:val="007463B0"/>
    <w:rsid w:val="007733FC"/>
    <w:rsid w:val="008009B3"/>
    <w:rsid w:val="008560A0"/>
    <w:rsid w:val="00860426"/>
    <w:rsid w:val="008800DD"/>
    <w:rsid w:val="008979AA"/>
    <w:rsid w:val="008C6E8A"/>
    <w:rsid w:val="008F69C9"/>
    <w:rsid w:val="00926B44"/>
    <w:rsid w:val="00940D1B"/>
    <w:rsid w:val="0097287B"/>
    <w:rsid w:val="009C7DF1"/>
    <w:rsid w:val="009F5128"/>
    <w:rsid w:val="00A2624C"/>
    <w:rsid w:val="00A374E3"/>
    <w:rsid w:val="00A463C1"/>
    <w:rsid w:val="00B141DE"/>
    <w:rsid w:val="00B26519"/>
    <w:rsid w:val="00B45C1A"/>
    <w:rsid w:val="00B91F38"/>
    <w:rsid w:val="00C07F9A"/>
    <w:rsid w:val="00C84566"/>
    <w:rsid w:val="00CB2490"/>
    <w:rsid w:val="00CD54B8"/>
    <w:rsid w:val="00CF4A08"/>
    <w:rsid w:val="00D72C44"/>
    <w:rsid w:val="00DA61C5"/>
    <w:rsid w:val="00DC659C"/>
    <w:rsid w:val="00DF2F32"/>
    <w:rsid w:val="00E513D8"/>
    <w:rsid w:val="00ED3A82"/>
    <w:rsid w:val="00ED5EC2"/>
    <w:rsid w:val="00F10766"/>
    <w:rsid w:val="00F61D4D"/>
    <w:rsid w:val="00FC7706"/>
    <w:rsid w:val="00FE5C5F"/>
    <w:rsid w:val="00FF6E2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521BC"/>
  <w15:chartTrackingRefBased/>
  <w15:docId w15:val="{AE9D11EF-54AA-44D5-B062-4F4331FEE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055A"/>
    <w:pPr>
      <w:spacing w:after="0" w:line="360" w:lineRule="auto"/>
      <w:jc w:val="both"/>
    </w:pPr>
    <w:rPr>
      <w:rFonts w:ascii="Arial" w:hAnsi="Arial"/>
      <w:color w:val="000000" w:themeColor="text1"/>
      <w:kern w:val="0"/>
      <w:szCs w:val="24"/>
      <w:lang w:val="en"/>
      <w14:ligatures w14:val="none"/>
    </w:rPr>
  </w:style>
  <w:style w:type="paragraph" w:styleId="Heading1">
    <w:name w:val="heading 1"/>
    <w:basedOn w:val="Normal"/>
    <w:next w:val="BodyText"/>
    <w:link w:val="Heading1Char"/>
    <w:uiPriority w:val="9"/>
    <w:qFormat/>
    <w:rsid w:val="00D72C44"/>
    <w:pPr>
      <w:keepNext/>
      <w:keepLines/>
      <w:jc w:val="left"/>
      <w:outlineLvl w:val="0"/>
    </w:pPr>
    <w:rPr>
      <w:rFonts w:eastAsiaTheme="majorEastAsia" w:cstheme="majorBidi"/>
      <w:b/>
      <w:szCs w:val="40"/>
    </w:rPr>
  </w:style>
  <w:style w:type="paragraph" w:styleId="Heading2">
    <w:name w:val="heading 2"/>
    <w:basedOn w:val="Normal"/>
    <w:next w:val="BodyText"/>
    <w:link w:val="Heading2Char"/>
    <w:uiPriority w:val="9"/>
    <w:unhideWhenUsed/>
    <w:qFormat/>
    <w:rsid w:val="00D72C44"/>
    <w:pPr>
      <w:keepNext/>
      <w:keepLines/>
      <w:jc w:val="left"/>
      <w:outlineLvl w:val="1"/>
    </w:pPr>
    <w:rPr>
      <w:rFonts w:eastAsiaTheme="majorEastAsia" w:cstheme="majorBidi"/>
      <w:b/>
      <w:szCs w:val="32"/>
    </w:rPr>
  </w:style>
  <w:style w:type="paragraph" w:styleId="Heading3">
    <w:name w:val="heading 3"/>
    <w:basedOn w:val="Normal"/>
    <w:next w:val="BodyText"/>
    <w:link w:val="Heading3Char"/>
    <w:uiPriority w:val="9"/>
    <w:semiHidden/>
    <w:unhideWhenUsed/>
    <w:qFormat/>
    <w:rsid w:val="0097287B"/>
    <w:pPr>
      <w:keepNext/>
      <w:keepLines/>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ED5EC2"/>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D5EC2"/>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ED5EC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D5EC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D5EC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D5EC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C44"/>
    <w:rPr>
      <w:rFonts w:ascii="Arial" w:eastAsiaTheme="majorEastAsia" w:hAnsi="Arial" w:cstheme="majorBidi"/>
      <w:b/>
      <w:color w:val="000000" w:themeColor="text1"/>
      <w:kern w:val="0"/>
      <w:szCs w:val="40"/>
      <w:lang w:val="en"/>
      <w14:ligatures w14:val="none"/>
    </w:rPr>
  </w:style>
  <w:style w:type="character" w:customStyle="1" w:styleId="Heading2Char">
    <w:name w:val="Heading 2 Char"/>
    <w:basedOn w:val="DefaultParagraphFont"/>
    <w:link w:val="Heading2"/>
    <w:uiPriority w:val="9"/>
    <w:rsid w:val="00D72C44"/>
    <w:rPr>
      <w:rFonts w:ascii="Arial" w:eastAsiaTheme="majorEastAsia" w:hAnsi="Arial" w:cstheme="majorBidi"/>
      <w:b/>
      <w:color w:val="000000" w:themeColor="text1"/>
      <w:kern w:val="0"/>
      <w:szCs w:val="32"/>
      <w:lang w:val="en"/>
      <w14:ligatures w14:val="none"/>
    </w:rPr>
  </w:style>
  <w:style w:type="paragraph" w:styleId="BodyText">
    <w:name w:val="Body Text"/>
    <w:basedOn w:val="Normal"/>
    <w:link w:val="BodyTextChar"/>
    <w:uiPriority w:val="99"/>
    <w:semiHidden/>
    <w:unhideWhenUsed/>
    <w:rsid w:val="0097287B"/>
    <w:pPr>
      <w:spacing w:after="120"/>
    </w:pPr>
  </w:style>
  <w:style w:type="character" w:customStyle="1" w:styleId="BodyTextChar">
    <w:name w:val="Body Text Char"/>
    <w:basedOn w:val="DefaultParagraphFont"/>
    <w:link w:val="BodyText"/>
    <w:uiPriority w:val="99"/>
    <w:semiHidden/>
    <w:rsid w:val="0097287B"/>
    <w:rPr>
      <w:rFonts w:ascii="Times New Roman" w:hAnsi="Times New Roman"/>
      <w:sz w:val="24"/>
    </w:rPr>
  </w:style>
  <w:style w:type="character" w:customStyle="1" w:styleId="Heading3Char">
    <w:name w:val="Heading 3 Char"/>
    <w:basedOn w:val="DefaultParagraphFont"/>
    <w:link w:val="Heading3"/>
    <w:uiPriority w:val="9"/>
    <w:semiHidden/>
    <w:rsid w:val="0097287B"/>
    <w:rPr>
      <w:rFonts w:ascii="Times New Roman" w:eastAsiaTheme="majorEastAsia" w:hAnsi="Times New Roman" w:cstheme="majorBidi"/>
      <w:b/>
      <w:color w:val="000000" w:themeColor="text1"/>
      <w:szCs w:val="28"/>
      <w:u w:val="single"/>
    </w:rPr>
  </w:style>
  <w:style w:type="paragraph" w:styleId="NormalWeb">
    <w:name w:val="Normal (Web)"/>
    <w:basedOn w:val="Normal"/>
    <w:uiPriority w:val="99"/>
    <w:unhideWhenUsed/>
    <w:rsid w:val="0097287B"/>
    <w:pPr>
      <w:ind w:firstLine="720"/>
    </w:pPr>
    <w:rPr>
      <w:rFonts w:eastAsia="Times New Roman" w:cs="Times New Roman"/>
      <w:lang w:eastAsia="en-IN"/>
    </w:rPr>
  </w:style>
  <w:style w:type="character" w:customStyle="1" w:styleId="Heading4Char">
    <w:name w:val="Heading 4 Char"/>
    <w:basedOn w:val="DefaultParagraphFont"/>
    <w:link w:val="Heading4"/>
    <w:uiPriority w:val="9"/>
    <w:semiHidden/>
    <w:rsid w:val="00ED5EC2"/>
    <w:rPr>
      <w:rFonts w:eastAsiaTheme="majorEastAsia" w:cstheme="majorBidi"/>
      <w:i/>
      <w:iCs/>
      <w:color w:val="365F91" w:themeColor="accent1" w:themeShade="BF"/>
      <w:kern w:val="0"/>
      <w:sz w:val="24"/>
      <w:szCs w:val="24"/>
      <w:lang w:val="en"/>
      <w14:ligatures w14:val="none"/>
    </w:rPr>
  </w:style>
  <w:style w:type="character" w:customStyle="1" w:styleId="Heading5Char">
    <w:name w:val="Heading 5 Char"/>
    <w:basedOn w:val="DefaultParagraphFont"/>
    <w:link w:val="Heading5"/>
    <w:uiPriority w:val="9"/>
    <w:semiHidden/>
    <w:rsid w:val="00ED5EC2"/>
    <w:rPr>
      <w:rFonts w:eastAsiaTheme="majorEastAsia" w:cstheme="majorBidi"/>
      <w:color w:val="365F91" w:themeColor="accent1" w:themeShade="BF"/>
      <w:kern w:val="0"/>
      <w:sz w:val="24"/>
      <w:szCs w:val="24"/>
      <w:lang w:val="en"/>
      <w14:ligatures w14:val="none"/>
    </w:rPr>
  </w:style>
  <w:style w:type="character" w:customStyle="1" w:styleId="Heading6Char">
    <w:name w:val="Heading 6 Char"/>
    <w:basedOn w:val="DefaultParagraphFont"/>
    <w:link w:val="Heading6"/>
    <w:uiPriority w:val="9"/>
    <w:semiHidden/>
    <w:rsid w:val="00ED5EC2"/>
    <w:rPr>
      <w:rFonts w:eastAsiaTheme="majorEastAsia" w:cstheme="majorBidi"/>
      <w:i/>
      <w:iCs/>
      <w:color w:val="595959" w:themeColor="text1" w:themeTint="A6"/>
      <w:kern w:val="0"/>
      <w:sz w:val="24"/>
      <w:szCs w:val="24"/>
      <w:lang w:val="en"/>
      <w14:ligatures w14:val="none"/>
    </w:rPr>
  </w:style>
  <w:style w:type="character" w:customStyle="1" w:styleId="Heading7Char">
    <w:name w:val="Heading 7 Char"/>
    <w:basedOn w:val="DefaultParagraphFont"/>
    <w:link w:val="Heading7"/>
    <w:uiPriority w:val="9"/>
    <w:semiHidden/>
    <w:rsid w:val="00ED5EC2"/>
    <w:rPr>
      <w:rFonts w:eastAsiaTheme="majorEastAsia" w:cstheme="majorBidi"/>
      <w:color w:val="595959" w:themeColor="text1" w:themeTint="A6"/>
      <w:kern w:val="0"/>
      <w:sz w:val="24"/>
      <w:szCs w:val="24"/>
      <w:lang w:val="en"/>
      <w14:ligatures w14:val="none"/>
    </w:rPr>
  </w:style>
  <w:style w:type="character" w:customStyle="1" w:styleId="Heading8Char">
    <w:name w:val="Heading 8 Char"/>
    <w:basedOn w:val="DefaultParagraphFont"/>
    <w:link w:val="Heading8"/>
    <w:uiPriority w:val="9"/>
    <w:semiHidden/>
    <w:rsid w:val="00ED5EC2"/>
    <w:rPr>
      <w:rFonts w:eastAsiaTheme="majorEastAsia" w:cstheme="majorBidi"/>
      <w:i/>
      <w:iCs/>
      <w:color w:val="272727" w:themeColor="text1" w:themeTint="D8"/>
      <w:kern w:val="0"/>
      <w:sz w:val="24"/>
      <w:szCs w:val="24"/>
      <w:lang w:val="en"/>
      <w14:ligatures w14:val="none"/>
    </w:rPr>
  </w:style>
  <w:style w:type="character" w:customStyle="1" w:styleId="Heading9Char">
    <w:name w:val="Heading 9 Char"/>
    <w:basedOn w:val="DefaultParagraphFont"/>
    <w:link w:val="Heading9"/>
    <w:uiPriority w:val="9"/>
    <w:semiHidden/>
    <w:rsid w:val="00ED5EC2"/>
    <w:rPr>
      <w:rFonts w:eastAsiaTheme="majorEastAsia" w:cstheme="majorBidi"/>
      <w:color w:val="272727" w:themeColor="text1" w:themeTint="D8"/>
      <w:kern w:val="0"/>
      <w:sz w:val="24"/>
      <w:szCs w:val="24"/>
      <w:lang w:val="en"/>
      <w14:ligatures w14:val="none"/>
    </w:rPr>
  </w:style>
  <w:style w:type="paragraph" w:styleId="Title">
    <w:name w:val="Title"/>
    <w:basedOn w:val="Normal"/>
    <w:next w:val="Normal"/>
    <w:link w:val="TitleChar"/>
    <w:uiPriority w:val="10"/>
    <w:qFormat/>
    <w:rsid w:val="00ED5EC2"/>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D5EC2"/>
    <w:rPr>
      <w:rFonts w:asciiTheme="majorHAnsi" w:eastAsiaTheme="majorEastAsia" w:hAnsiTheme="majorHAnsi" w:cstheme="majorBidi"/>
      <w:spacing w:val="-10"/>
      <w:kern w:val="28"/>
      <w:sz w:val="56"/>
      <w:szCs w:val="56"/>
      <w:lang w:val="en"/>
      <w14:ligatures w14:val="none"/>
    </w:rPr>
  </w:style>
  <w:style w:type="paragraph" w:styleId="Subtitle">
    <w:name w:val="Subtitle"/>
    <w:basedOn w:val="Normal"/>
    <w:next w:val="Normal"/>
    <w:link w:val="SubtitleChar"/>
    <w:uiPriority w:val="11"/>
    <w:qFormat/>
    <w:rsid w:val="00ED5EC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5EC2"/>
    <w:rPr>
      <w:rFonts w:eastAsiaTheme="majorEastAsia" w:cstheme="majorBidi"/>
      <w:color w:val="595959" w:themeColor="text1" w:themeTint="A6"/>
      <w:spacing w:val="15"/>
      <w:kern w:val="0"/>
      <w:sz w:val="28"/>
      <w:szCs w:val="28"/>
      <w:lang w:val="en"/>
      <w14:ligatures w14:val="none"/>
    </w:rPr>
  </w:style>
  <w:style w:type="paragraph" w:styleId="Quote">
    <w:name w:val="Quote"/>
    <w:basedOn w:val="Normal"/>
    <w:next w:val="Normal"/>
    <w:link w:val="QuoteChar"/>
    <w:uiPriority w:val="29"/>
    <w:qFormat/>
    <w:rsid w:val="00ED5E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5EC2"/>
    <w:rPr>
      <w:rFonts w:ascii="Times New Roman" w:hAnsi="Times New Roman"/>
      <w:i/>
      <w:iCs/>
      <w:color w:val="404040" w:themeColor="text1" w:themeTint="BF"/>
      <w:kern w:val="0"/>
      <w:sz w:val="24"/>
      <w:szCs w:val="24"/>
      <w:lang w:val="en"/>
      <w14:ligatures w14:val="none"/>
    </w:rPr>
  </w:style>
  <w:style w:type="paragraph" w:styleId="ListParagraph">
    <w:name w:val="List Paragraph"/>
    <w:basedOn w:val="Normal"/>
    <w:uiPriority w:val="34"/>
    <w:qFormat/>
    <w:rsid w:val="00ED5EC2"/>
    <w:pPr>
      <w:ind w:left="720"/>
      <w:contextualSpacing/>
    </w:pPr>
  </w:style>
  <w:style w:type="character" w:styleId="IntenseEmphasis">
    <w:name w:val="Intense Emphasis"/>
    <w:basedOn w:val="DefaultParagraphFont"/>
    <w:uiPriority w:val="21"/>
    <w:qFormat/>
    <w:rsid w:val="00ED5EC2"/>
    <w:rPr>
      <w:i/>
      <w:iCs/>
      <w:color w:val="365F91" w:themeColor="accent1" w:themeShade="BF"/>
    </w:rPr>
  </w:style>
  <w:style w:type="paragraph" w:styleId="IntenseQuote">
    <w:name w:val="Intense Quote"/>
    <w:basedOn w:val="Normal"/>
    <w:next w:val="Normal"/>
    <w:link w:val="IntenseQuoteChar"/>
    <w:uiPriority w:val="30"/>
    <w:qFormat/>
    <w:rsid w:val="00ED5EC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D5EC2"/>
    <w:rPr>
      <w:rFonts w:ascii="Times New Roman" w:hAnsi="Times New Roman"/>
      <w:i/>
      <w:iCs/>
      <w:color w:val="365F91" w:themeColor="accent1" w:themeShade="BF"/>
      <w:kern w:val="0"/>
      <w:sz w:val="24"/>
      <w:szCs w:val="24"/>
      <w:lang w:val="en"/>
      <w14:ligatures w14:val="none"/>
    </w:rPr>
  </w:style>
  <w:style w:type="character" w:styleId="IntenseReference">
    <w:name w:val="Intense Reference"/>
    <w:basedOn w:val="DefaultParagraphFont"/>
    <w:uiPriority w:val="32"/>
    <w:qFormat/>
    <w:rsid w:val="00ED5EC2"/>
    <w:rPr>
      <w:b/>
      <w:bCs/>
      <w:smallCaps/>
      <w:color w:val="365F91" w:themeColor="accent1" w:themeShade="BF"/>
      <w:spacing w:val="5"/>
    </w:rPr>
  </w:style>
  <w:style w:type="paragraph" w:styleId="Header">
    <w:name w:val="header"/>
    <w:basedOn w:val="Normal"/>
    <w:link w:val="HeaderChar"/>
    <w:uiPriority w:val="99"/>
    <w:unhideWhenUsed/>
    <w:rsid w:val="0024055A"/>
    <w:pPr>
      <w:tabs>
        <w:tab w:val="center" w:pos="4680"/>
        <w:tab w:val="right" w:pos="9360"/>
      </w:tabs>
      <w:spacing w:line="240" w:lineRule="auto"/>
    </w:pPr>
  </w:style>
  <w:style w:type="character" w:customStyle="1" w:styleId="HeaderChar">
    <w:name w:val="Header Char"/>
    <w:basedOn w:val="DefaultParagraphFont"/>
    <w:link w:val="Header"/>
    <w:uiPriority w:val="99"/>
    <w:rsid w:val="0024055A"/>
    <w:rPr>
      <w:rFonts w:ascii="Arial" w:hAnsi="Arial"/>
      <w:color w:val="000000" w:themeColor="text1"/>
      <w:kern w:val="0"/>
      <w:szCs w:val="24"/>
      <w:lang w:val="en"/>
      <w14:ligatures w14:val="none"/>
    </w:rPr>
  </w:style>
  <w:style w:type="paragraph" w:styleId="Footer">
    <w:name w:val="footer"/>
    <w:basedOn w:val="Normal"/>
    <w:link w:val="FooterChar"/>
    <w:uiPriority w:val="99"/>
    <w:unhideWhenUsed/>
    <w:rsid w:val="0024055A"/>
    <w:pPr>
      <w:tabs>
        <w:tab w:val="center" w:pos="4680"/>
        <w:tab w:val="right" w:pos="9360"/>
      </w:tabs>
      <w:spacing w:line="240" w:lineRule="auto"/>
    </w:pPr>
  </w:style>
  <w:style w:type="character" w:customStyle="1" w:styleId="FooterChar">
    <w:name w:val="Footer Char"/>
    <w:basedOn w:val="DefaultParagraphFont"/>
    <w:link w:val="Footer"/>
    <w:uiPriority w:val="99"/>
    <w:rsid w:val="0024055A"/>
    <w:rPr>
      <w:rFonts w:ascii="Arial" w:hAnsi="Arial"/>
      <w:color w:val="000000" w:themeColor="text1"/>
      <w:kern w:val="0"/>
      <w:szCs w:val="24"/>
      <w:lang w:val="en"/>
      <w14:ligatures w14:val="none"/>
    </w:rPr>
  </w:style>
  <w:style w:type="character" w:styleId="Hyperlink">
    <w:name w:val="Hyperlink"/>
    <w:basedOn w:val="DefaultParagraphFont"/>
    <w:uiPriority w:val="99"/>
    <w:unhideWhenUsed/>
    <w:rsid w:val="00FF6E20"/>
    <w:rPr>
      <w:color w:val="0000FF" w:themeColor="hyperlink"/>
      <w:u w:val="single"/>
    </w:rPr>
  </w:style>
  <w:style w:type="character" w:customStyle="1" w:styleId="UnresolvedMention">
    <w:name w:val="Unresolved Mention"/>
    <w:basedOn w:val="DefaultParagraphFont"/>
    <w:uiPriority w:val="99"/>
    <w:semiHidden/>
    <w:unhideWhenUsed/>
    <w:rsid w:val="00FF6E20"/>
    <w:rPr>
      <w:color w:val="605E5C"/>
      <w:shd w:val="clear" w:color="auto" w:fill="E1DFDD"/>
    </w:rPr>
  </w:style>
  <w:style w:type="character" w:styleId="FollowedHyperlink">
    <w:name w:val="FollowedHyperlink"/>
    <w:basedOn w:val="DefaultParagraphFont"/>
    <w:uiPriority w:val="99"/>
    <w:semiHidden/>
    <w:unhideWhenUsed/>
    <w:rsid w:val="00F10766"/>
    <w:rPr>
      <w:color w:val="800080" w:themeColor="followedHyperlink"/>
      <w:u w:val="single"/>
    </w:rPr>
  </w:style>
  <w:style w:type="paragraph" w:styleId="TOCHeading">
    <w:name w:val="TOC Heading"/>
    <w:basedOn w:val="Heading1"/>
    <w:next w:val="Normal"/>
    <w:uiPriority w:val="39"/>
    <w:unhideWhenUsed/>
    <w:qFormat/>
    <w:rsid w:val="007463B0"/>
    <w:pPr>
      <w:spacing w:before="240" w:line="259" w:lineRule="auto"/>
      <w:outlineLvl w:val="9"/>
    </w:pPr>
    <w:rPr>
      <w:rFonts w:asciiTheme="majorHAnsi" w:hAnsiTheme="majorHAnsi"/>
      <w:b w:val="0"/>
      <w:color w:val="365F91" w:themeColor="accent1" w:themeShade="BF"/>
      <w:sz w:val="32"/>
      <w:szCs w:val="32"/>
      <w:lang w:val="en-US"/>
    </w:rPr>
  </w:style>
  <w:style w:type="paragraph" w:styleId="TOC1">
    <w:name w:val="toc 1"/>
    <w:basedOn w:val="Normal"/>
    <w:next w:val="Normal"/>
    <w:autoRedefine/>
    <w:uiPriority w:val="39"/>
    <w:unhideWhenUsed/>
    <w:rsid w:val="007463B0"/>
    <w:pPr>
      <w:spacing w:after="100"/>
    </w:pPr>
  </w:style>
  <w:style w:type="paragraph" w:styleId="TOC2">
    <w:name w:val="toc 2"/>
    <w:basedOn w:val="Normal"/>
    <w:next w:val="Normal"/>
    <w:autoRedefine/>
    <w:uiPriority w:val="39"/>
    <w:unhideWhenUsed/>
    <w:rsid w:val="007463B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10.1111/ggi.14931" TargetMode="External"/><Relationship Id="rId18" Type="http://schemas.openxmlformats.org/officeDocument/2006/relationships/hyperlink" Target="https://www.cambridge.org/core/journals/journal-of-social-policy/article/how-has-the-idea-of-prevention-been-conceptualised-and-progressed-in-adult-social-care-in-england/48F29F9B541ADBCEA43CE311542B916B"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onlinelibrary.wiley.com/doi/10.1111/spol.13036" TargetMode="External"/><Relationship Id="rId17" Type="http://schemas.openxmlformats.org/officeDocument/2006/relationships/hyperlink" Target="https://re-state.co.uk/wp-content/uploads/2026/07/Care-to-stay.pdf" TargetMode="External"/><Relationship Id="rId2" Type="http://schemas.openxmlformats.org/officeDocument/2006/relationships/numbering" Target="numbering.xml"/><Relationship Id="rId16" Type="http://schemas.openxmlformats.org/officeDocument/2006/relationships/hyperlink" Target="https://onlinelibrary.wiley.com/doi/full/10.1111/hsc.1368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spol.13036?utm_source=chatgpt.com" TargetMode="External"/><Relationship Id="rId5" Type="http://schemas.openxmlformats.org/officeDocument/2006/relationships/webSettings" Target="webSettings.xml"/><Relationship Id="rId15" Type="http://schemas.openxmlformats.org/officeDocument/2006/relationships/hyperlink" Target="https://onlinelibrary.wiley.com/doi/full/10.1111/hsc.13991" TargetMode="External"/><Relationship Id="rId10" Type="http://schemas.openxmlformats.org/officeDocument/2006/relationships/hyperlink" Target="https://journals.sagepub.com/doi/10.1177/09589287221083835"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bmjopen.bmj.com/content/13/9/e0708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2DFC1-7D70-4B4D-8971-6BBBE6CF5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8</Pages>
  <Words>2285</Words>
  <Characters>13031</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2026-09-28T14:59:00Z</dcterms:created>
  <dcterms:modified xsi:type="dcterms:W3CDTF">2026-10-17T17:49:00Z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6c24aecb-3346-4a77-bd3c-b290f79f4c15</vt:lpwstr>
  </property>
</Properties>
</file>