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B8646"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6C6ADE14"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5AD69D60"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76605AB1"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69842AF0"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0E703619"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1D3D7F00" w14:textId="77777777" w:rsidR="007D23FD" w:rsidRDefault="007D23FD" w:rsidP="007D23FD">
      <w:pPr>
        <w:pStyle w:val="Normal1"/>
        <w:spacing w:line="360" w:lineRule="auto"/>
        <w:jc w:val="center"/>
        <w:rPr>
          <w:rFonts w:ascii="Times New Roman" w:eastAsia="Times New Roman" w:hAnsi="Times New Roman" w:cs="Times New Roman"/>
          <w:b/>
          <w:sz w:val="32"/>
          <w:szCs w:val="32"/>
          <w:lang w:val="en-GB"/>
        </w:rPr>
      </w:pPr>
    </w:p>
    <w:p w14:paraId="3824EF95" w14:textId="77777777" w:rsidR="00652C91" w:rsidRDefault="004B4AA7" w:rsidP="007D23FD">
      <w:pPr>
        <w:pStyle w:val="Normal1"/>
        <w:spacing w:line="360" w:lineRule="auto"/>
        <w:jc w:val="center"/>
        <w:rPr>
          <w:rFonts w:ascii="Times New Roman" w:eastAsia="Times New Roman" w:hAnsi="Times New Roman" w:cs="Times New Roman"/>
          <w:b/>
          <w:sz w:val="32"/>
          <w:szCs w:val="32"/>
          <w:lang w:val="en-GB"/>
        </w:rPr>
      </w:pPr>
      <w:r w:rsidRPr="007D23FD">
        <w:rPr>
          <w:rFonts w:ascii="Times New Roman" w:eastAsia="Times New Roman" w:hAnsi="Times New Roman" w:cs="Times New Roman"/>
          <w:b/>
          <w:sz w:val="32"/>
          <w:szCs w:val="32"/>
          <w:lang w:val="en-GB"/>
        </w:rPr>
        <w:t>CRIMINAL LAW ASSIGNMENT 1</w:t>
      </w:r>
    </w:p>
    <w:p w14:paraId="5BB7E924" w14:textId="77777777" w:rsidR="00652C91" w:rsidRDefault="00652C91" w:rsidP="007D23FD">
      <w:pPr>
        <w:pStyle w:val="Normal1"/>
        <w:spacing w:line="360" w:lineRule="auto"/>
        <w:jc w:val="center"/>
        <w:rPr>
          <w:rFonts w:ascii="Times New Roman" w:eastAsia="Times New Roman" w:hAnsi="Times New Roman" w:cs="Times New Roman"/>
          <w:b/>
          <w:sz w:val="32"/>
          <w:szCs w:val="32"/>
          <w:lang w:val="en-GB"/>
        </w:rPr>
      </w:pPr>
    </w:p>
    <w:p w14:paraId="5B3DD8A6" w14:textId="0D46DA16" w:rsidR="00454697" w:rsidRPr="007D23FD" w:rsidRDefault="00652C91" w:rsidP="007D23FD">
      <w:pPr>
        <w:pStyle w:val="Normal1"/>
        <w:spacing w:line="360" w:lineRule="auto"/>
        <w:jc w:val="center"/>
        <w:rPr>
          <w:rFonts w:ascii="Times New Roman" w:eastAsia="Times New Roman" w:hAnsi="Times New Roman" w:cs="Times New Roman"/>
          <w:b/>
          <w:sz w:val="32"/>
          <w:szCs w:val="32"/>
          <w:lang w:val="en-GB"/>
        </w:rPr>
      </w:pPr>
      <w:r w:rsidRPr="00652C91">
        <w:rPr>
          <w:sz w:val="32"/>
          <w:szCs w:val="32"/>
          <w:lang w:val="en-GB"/>
        </w:rPr>
        <w:t>Liability by Omission</w:t>
      </w:r>
      <w:r w:rsidR="004B4AA7" w:rsidRPr="007D23FD">
        <w:rPr>
          <w:sz w:val="32"/>
          <w:szCs w:val="32"/>
          <w:lang w:val="en-GB"/>
        </w:rPr>
        <w:br w:type="page"/>
      </w:r>
    </w:p>
    <w:p w14:paraId="6EAD343D" w14:textId="77777777" w:rsidR="00454697" w:rsidRPr="007D23FD" w:rsidRDefault="004B4AA7">
      <w:pPr>
        <w:pStyle w:val="Normal1"/>
        <w:spacing w:line="360" w:lineRule="auto"/>
        <w:jc w:val="both"/>
        <w:rPr>
          <w:rFonts w:ascii="Times New Roman" w:eastAsia="Times New Roman" w:hAnsi="Times New Roman" w:cs="Times New Roman"/>
          <w:b/>
          <w:sz w:val="28"/>
          <w:szCs w:val="28"/>
          <w:lang w:val="en-GB"/>
        </w:rPr>
      </w:pPr>
      <w:r w:rsidRPr="007D23FD">
        <w:rPr>
          <w:rFonts w:ascii="Times New Roman" w:eastAsia="Times New Roman" w:hAnsi="Times New Roman" w:cs="Times New Roman"/>
          <w:b/>
          <w:sz w:val="28"/>
          <w:szCs w:val="28"/>
          <w:lang w:val="en-GB"/>
        </w:rPr>
        <w:lastRenderedPageBreak/>
        <w:t>Introduction</w:t>
      </w:r>
    </w:p>
    <w:p w14:paraId="05BA037F" w14:textId="29DB2D5B"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The discussion of the </w:t>
      </w:r>
      <w:r w:rsidR="00652C91">
        <w:rPr>
          <w:rFonts w:ascii="Times New Roman" w:eastAsia="Times New Roman" w:hAnsi="Times New Roman" w:cs="Times New Roman"/>
          <w:sz w:val="24"/>
          <w:szCs w:val="24"/>
          <w:lang w:val="en-GB"/>
        </w:rPr>
        <w:t>assignment</w:t>
      </w:r>
      <w:r w:rsidRPr="007D23FD">
        <w:rPr>
          <w:rFonts w:ascii="Times New Roman" w:eastAsia="Times New Roman" w:hAnsi="Times New Roman" w:cs="Times New Roman"/>
          <w:sz w:val="24"/>
          <w:szCs w:val="24"/>
          <w:lang w:val="en-GB"/>
        </w:rPr>
        <w:t xml:space="preserve"> has been conducted with the consideration of discussing the time and extent when criminal liability needs to be upheld for failing to act. Based on the consideration of several questions and relevant case laws, the evaluation of the statement and its effective representation has been conducted here. </w:t>
      </w:r>
    </w:p>
    <w:p w14:paraId="4C24D203" w14:textId="77777777" w:rsidR="00454697" w:rsidRPr="007D23FD" w:rsidRDefault="004B4AA7">
      <w:pPr>
        <w:pStyle w:val="Normal1"/>
        <w:spacing w:line="360" w:lineRule="auto"/>
        <w:jc w:val="both"/>
        <w:rPr>
          <w:rFonts w:ascii="Times New Roman" w:eastAsia="Times New Roman" w:hAnsi="Times New Roman" w:cs="Times New Roman"/>
          <w:b/>
          <w:sz w:val="28"/>
          <w:szCs w:val="28"/>
          <w:lang w:val="en-GB"/>
        </w:rPr>
      </w:pPr>
      <w:r w:rsidRPr="007D23FD">
        <w:rPr>
          <w:rFonts w:ascii="Times New Roman" w:eastAsia="Times New Roman" w:hAnsi="Times New Roman" w:cs="Times New Roman"/>
          <w:b/>
          <w:sz w:val="28"/>
          <w:szCs w:val="28"/>
          <w:lang w:val="en-GB"/>
        </w:rPr>
        <w:t>Discussion when criminal liability will be upheld for failing to act</w:t>
      </w:r>
    </w:p>
    <w:p w14:paraId="3B99A3BE"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The understanding of criminal liability indicates the responsibility of an individual in conducting illegal behaviour which causes harm or damage on others. Thus, a person being held legally responsible for committing a crime is considered as the person’s criminal liability. The condition of criminal liability is mainly dependent on natural human error because in order for an act or action to be a criminal liability the criminal act must meet the provision of </w:t>
      </w:r>
      <w:proofErr w:type="spellStart"/>
      <w:r w:rsidRPr="007D23FD">
        <w:rPr>
          <w:rFonts w:ascii="Times New Roman" w:eastAsia="Times New Roman" w:hAnsi="Times New Roman" w:cs="Times New Roman"/>
          <w:sz w:val="24"/>
          <w:szCs w:val="24"/>
          <w:lang w:val="en-GB"/>
        </w:rPr>
        <w:t>mens</w:t>
      </w:r>
      <w:proofErr w:type="spellEnd"/>
      <w:r w:rsidRPr="007D23FD">
        <w:rPr>
          <w:rFonts w:ascii="Times New Roman" w:eastAsia="Times New Roman" w:hAnsi="Times New Roman" w:cs="Times New Roman"/>
          <w:sz w:val="24"/>
          <w:szCs w:val="24"/>
          <w:lang w:val="en-GB"/>
        </w:rPr>
        <w:t xml:space="preserve"> rea and actus </w:t>
      </w:r>
      <w:proofErr w:type="gramStart"/>
      <w:r w:rsidRPr="007D23FD">
        <w:rPr>
          <w:rFonts w:ascii="Times New Roman" w:eastAsia="Times New Roman" w:hAnsi="Times New Roman" w:cs="Times New Roman"/>
          <w:sz w:val="24"/>
          <w:szCs w:val="24"/>
          <w:lang w:val="en-GB"/>
        </w:rPr>
        <w:t>reus  (</w:t>
      </w:r>
      <w:proofErr w:type="spellStart"/>
      <w:proofErr w:type="gramEnd"/>
      <w:r w:rsidRPr="007D23FD">
        <w:rPr>
          <w:rFonts w:ascii="Times New Roman" w:eastAsia="Times New Roman" w:hAnsi="Times New Roman" w:cs="Times New Roman"/>
          <w:sz w:val="24"/>
          <w:szCs w:val="24"/>
          <w:highlight w:val="white"/>
          <w:lang w:val="en-GB"/>
        </w:rPr>
        <w:t>Sinaga</w:t>
      </w:r>
      <w:proofErr w:type="spellEnd"/>
      <w:r w:rsidRPr="007D23FD">
        <w:rPr>
          <w:rFonts w:ascii="Times New Roman" w:eastAsia="Times New Roman" w:hAnsi="Times New Roman" w:cs="Times New Roman"/>
          <w:sz w:val="24"/>
          <w:szCs w:val="24"/>
          <w:highlight w:val="white"/>
          <w:lang w:val="en-GB"/>
        </w:rPr>
        <w:t xml:space="preserve"> et al., 2020</w:t>
      </w:r>
      <w:r w:rsidRPr="007D23FD">
        <w:rPr>
          <w:rFonts w:ascii="Times New Roman" w:eastAsia="Times New Roman" w:hAnsi="Times New Roman" w:cs="Times New Roman"/>
          <w:sz w:val="24"/>
          <w:szCs w:val="24"/>
          <w:lang w:val="en-GB"/>
        </w:rPr>
        <w:t xml:space="preserve">). This mainly indicates the fulfilment of the principle of legality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the principle of culpability or fault. Similarly in the case of </w:t>
      </w:r>
      <w:r w:rsidRPr="007D23FD">
        <w:rPr>
          <w:rFonts w:ascii="Times New Roman" w:eastAsia="Times New Roman" w:hAnsi="Times New Roman" w:cs="Times New Roman"/>
          <w:i/>
          <w:sz w:val="24"/>
          <w:szCs w:val="24"/>
          <w:lang w:val="en-GB"/>
        </w:rPr>
        <w:t>Stone and Dobinson [1977]</w:t>
      </w:r>
      <w:r w:rsidRPr="007D23FD">
        <w:rPr>
          <w:rFonts w:ascii="Times New Roman" w:eastAsia="Times New Roman" w:hAnsi="Times New Roman" w:cs="Times New Roman"/>
          <w:sz w:val="24"/>
          <w:szCs w:val="24"/>
          <w:lang w:val="en-GB"/>
        </w:rPr>
        <w:t xml:space="preserve">, the defendant was owed a duty of care to the victim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the defendant was grossly negligent and also breached the duty of care for which the defendant was considered having criminal liability. Moreover, the knowledge related to failure to act indicates the approach of a person or a party in having a duty to perform in a certain act but the failure of the person in doing so which essentially makes the individual criminally liable. In this context, </w:t>
      </w:r>
      <w:proofErr w:type="gramStart"/>
      <w:r w:rsidRPr="007D23FD">
        <w:rPr>
          <w:rFonts w:ascii="Times New Roman" w:eastAsia="Times New Roman" w:hAnsi="Times New Roman" w:cs="Times New Roman"/>
          <w:sz w:val="24"/>
          <w:szCs w:val="24"/>
          <w:lang w:val="en-GB"/>
        </w:rPr>
        <w:t>in order to</w:t>
      </w:r>
      <w:proofErr w:type="gramEnd"/>
      <w:r w:rsidRPr="007D23FD">
        <w:rPr>
          <w:rFonts w:ascii="Times New Roman" w:eastAsia="Times New Roman" w:hAnsi="Times New Roman" w:cs="Times New Roman"/>
          <w:sz w:val="24"/>
          <w:szCs w:val="24"/>
          <w:lang w:val="en-GB"/>
        </w:rPr>
        <w:t xml:space="preserve"> address the area where criminal liability needs to be held for failing to act, several areas need consideration. </w:t>
      </w:r>
    </w:p>
    <w:p w14:paraId="102B8405"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70747F0B"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It is essential addressing here that criminal liability can also be predicted with the consideration of the failure to act because this mainly indicates the person having a duty of act and the person was enabled to do so which eventually has generated the criminal liability. In the case of </w:t>
      </w:r>
      <w:r w:rsidRPr="007D23FD">
        <w:rPr>
          <w:rFonts w:ascii="Times New Roman" w:eastAsia="Times New Roman" w:hAnsi="Times New Roman" w:cs="Times New Roman"/>
          <w:i/>
          <w:sz w:val="24"/>
          <w:szCs w:val="24"/>
          <w:lang w:val="en-GB"/>
        </w:rPr>
        <w:t>Miller [1983]</w:t>
      </w:r>
      <w:r w:rsidRPr="007D23FD">
        <w:rPr>
          <w:rFonts w:ascii="Times New Roman" w:eastAsia="Times New Roman" w:hAnsi="Times New Roman" w:cs="Times New Roman"/>
          <w:sz w:val="24"/>
          <w:szCs w:val="24"/>
          <w:lang w:val="en-GB"/>
        </w:rPr>
        <w:t xml:space="preserve">, the situation is indicating the situation of the defendant sleeping with a lit cigarette and causing a fire in the house. However, as it was the duty of the person to extinguish the fire, he avoided it and moved to a different room which eventually caused a great fire and a loss of 800 Euro damage. This mainly indicates the crime conducted by the person and the failure to act in stopping the fire which eventually makes the whole situation a criminal liability. It is the part of the crime where the person </w:t>
      </w:r>
      <w:proofErr w:type="gramStart"/>
      <w:r w:rsidRPr="007D23FD">
        <w:rPr>
          <w:rFonts w:ascii="Times New Roman" w:eastAsia="Times New Roman" w:hAnsi="Times New Roman" w:cs="Times New Roman"/>
          <w:sz w:val="24"/>
          <w:szCs w:val="24"/>
          <w:lang w:val="en-GB"/>
        </w:rPr>
        <w:t>is able to</w:t>
      </w:r>
      <w:proofErr w:type="gramEnd"/>
      <w:r w:rsidRPr="007D23FD">
        <w:rPr>
          <w:rFonts w:ascii="Times New Roman" w:eastAsia="Times New Roman" w:hAnsi="Times New Roman" w:cs="Times New Roman"/>
          <w:sz w:val="24"/>
          <w:szCs w:val="24"/>
          <w:lang w:val="en-GB"/>
        </w:rPr>
        <w:t xml:space="preserve"> perform their duty is related to the failure to act. </w:t>
      </w:r>
    </w:p>
    <w:p w14:paraId="403AB0EC"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26A2252D"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lastRenderedPageBreak/>
        <w:t xml:space="preserve">Duty of Act mainly indicates the legal duty of an individual under the law to take necessary actions </w:t>
      </w:r>
      <w:proofErr w:type="gramStart"/>
      <w:r w:rsidRPr="007D23FD">
        <w:rPr>
          <w:rFonts w:ascii="Times New Roman" w:eastAsia="Times New Roman" w:hAnsi="Times New Roman" w:cs="Times New Roman"/>
          <w:sz w:val="24"/>
          <w:szCs w:val="24"/>
          <w:lang w:val="en-GB"/>
        </w:rPr>
        <w:t>in order to</w:t>
      </w:r>
      <w:proofErr w:type="gramEnd"/>
      <w:r w:rsidRPr="007D23FD">
        <w:rPr>
          <w:rFonts w:ascii="Times New Roman" w:eastAsia="Times New Roman" w:hAnsi="Times New Roman" w:cs="Times New Roman"/>
          <w:sz w:val="24"/>
          <w:szCs w:val="24"/>
          <w:lang w:val="en-GB"/>
        </w:rPr>
        <w:t xml:space="preserve"> prevent harm of another person within the general public. The condition of duty to act in the criminal law indicates the situation where the persons are having special relationship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it is required by one person to save another from a situation (</w:t>
      </w:r>
      <w:r w:rsidRPr="007D23FD">
        <w:rPr>
          <w:rFonts w:ascii="Times New Roman" w:eastAsia="Times New Roman" w:hAnsi="Times New Roman" w:cs="Times New Roman"/>
          <w:sz w:val="24"/>
          <w:szCs w:val="24"/>
          <w:highlight w:val="white"/>
          <w:lang w:val="en-GB"/>
        </w:rPr>
        <w:t>Robinson, 2019</w:t>
      </w:r>
      <w:r w:rsidRPr="007D23FD">
        <w:rPr>
          <w:rFonts w:ascii="Times New Roman" w:eastAsia="Times New Roman" w:hAnsi="Times New Roman" w:cs="Times New Roman"/>
          <w:sz w:val="24"/>
          <w:szCs w:val="24"/>
          <w:lang w:val="en-GB"/>
        </w:rPr>
        <w:t xml:space="preserve">). However, when there is no such relationship between two people, the criminal law does not hold the person criminally liable or obligated to help another person. The case of </w:t>
      </w:r>
      <w:r w:rsidRPr="007D23FD">
        <w:rPr>
          <w:rFonts w:ascii="Times New Roman" w:eastAsia="Times New Roman" w:hAnsi="Times New Roman" w:cs="Times New Roman"/>
          <w:i/>
          <w:sz w:val="24"/>
          <w:szCs w:val="24"/>
          <w:lang w:val="en-GB"/>
        </w:rPr>
        <w:t xml:space="preserve">Airedale National Health Service Trust V Bland (1993) </w:t>
      </w:r>
      <w:r w:rsidRPr="007D23FD">
        <w:rPr>
          <w:rFonts w:ascii="Times New Roman" w:eastAsia="Times New Roman" w:hAnsi="Times New Roman" w:cs="Times New Roman"/>
          <w:sz w:val="24"/>
          <w:szCs w:val="24"/>
          <w:lang w:val="en-GB"/>
        </w:rPr>
        <w:t>is applicable here as this indicates the duty arising from a special relationship between the defendant and victim where the professional relationship is also considerable.</w:t>
      </w:r>
    </w:p>
    <w:p w14:paraId="35790837"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7F3CE9C9"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proofErr w:type="gramStart"/>
      <w:r w:rsidRPr="007D23FD">
        <w:rPr>
          <w:rFonts w:ascii="Times New Roman" w:eastAsia="Times New Roman" w:hAnsi="Times New Roman" w:cs="Times New Roman"/>
          <w:sz w:val="24"/>
          <w:szCs w:val="24"/>
          <w:lang w:val="en-GB"/>
        </w:rPr>
        <w:t>In order to</w:t>
      </w:r>
      <w:proofErr w:type="gramEnd"/>
      <w:r w:rsidRPr="007D23FD">
        <w:rPr>
          <w:rFonts w:ascii="Times New Roman" w:eastAsia="Times New Roman" w:hAnsi="Times New Roman" w:cs="Times New Roman"/>
          <w:sz w:val="24"/>
          <w:szCs w:val="24"/>
          <w:lang w:val="en-GB"/>
        </w:rPr>
        <w:t xml:space="preserve"> understand the extent when criminal liability can be upheld for failure to act it is also essential to understand the requirements for a crime to be committed by omission. Omission is only equated with the action when there is a legal duty to act. Thus, the part of the situation is mainly indicating the understanding of what is constituted as a legally relevant omission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the legal obligation of the act (</w:t>
      </w:r>
      <w:proofErr w:type="spellStart"/>
      <w:r w:rsidRPr="007D23FD">
        <w:rPr>
          <w:rFonts w:ascii="Times New Roman" w:eastAsia="Times New Roman" w:hAnsi="Times New Roman" w:cs="Times New Roman"/>
          <w:sz w:val="24"/>
          <w:szCs w:val="24"/>
          <w:highlight w:val="white"/>
          <w:lang w:val="en-GB"/>
        </w:rPr>
        <w:t>Kalpouzos</w:t>
      </w:r>
      <w:proofErr w:type="spellEnd"/>
      <w:r w:rsidRPr="007D23FD">
        <w:rPr>
          <w:rFonts w:ascii="Times New Roman" w:eastAsia="Times New Roman" w:hAnsi="Times New Roman" w:cs="Times New Roman"/>
          <w:sz w:val="24"/>
          <w:szCs w:val="24"/>
          <w:highlight w:val="white"/>
          <w:lang w:val="en-GB"/>
        </w:rPr>
        <w:t>, 2020</w:t>
      </w:r>
      <w:r w:rsidRPr="007D23FD">
        <w:rPr>
          <w:rFonts w:ascii="Times New Roman" w:eastAsia="Times New Roman" w:hAnsi="Times New Roman" w:cs="Times New Roman"/>
          <w:sz w:val="24"/>
          <w:szCs w:val="24"/>
          <w:lang w:val="en-GB"/>
        </w:rPr>
        <w:t xml:space="preserve">). </w:t>
      </w:r>
      <w:proofErr w:type="gramStart"/>
      <w:r w:rsidRPr="007D23FD">
        <w:rPr>
          <w:rFonts w:ascii="Times New Roman" w:eastAsia="Times New Roman" w:hAnsi="Times New Roman" w:cs="Times New Roman"/>
          <w:sz w:val="24"/>
          <w:szCs w:val="24"/>
          <w:lang w:val="en-GB"/>
        </w:rPr>
        <w:t>In order for</w:t>
      </w:r>
      <w:proofErr w:type="gramEnd"/>
      <w:r w:rsidRPr="007D23FD">
        <w:rPr>
          <w:rFonts w:ascii="Times New Roman" w:eastAsia="Times New Roman" w:hAnsi="Times New Roman" w:cs="Times New Roman"/>
          <w:sz w:val="24"/>
          <w:szCs w:val="24"/>
          <w:lang w:val="en-GB"/>
        </w:rPr>
        <w:t xml:space="preserve"> a crime to be committed by omission, there is a requirement of the criminal act to be transpired as this indicates committing a crime by failing from doing something. As the omission is mainly indicating the failure to act or perform a specific </w:t>
      </w:r>
      <w:proofErr w:type="gramStart"/>
      <w:r w:rsidRPr="007D23FD">
        <w:rPr>
          <w:rFonts w:ascii="Times New Roman" w:eastAsia="Times New Roman" w:hAnsi="Times New Roman" w:cs="Times New Roman"/>
          <w:sz w:val="24"/>
          <w:szCs w:val="24"/>
          <w:lang w:val="en-GB"/>
        </w:rPr>
        <w:t>action,  it</w:t>
      </w:r>
      <w:proofErr w:type="gramEnd"/>
      <w:r w:rsidRPr="007D23FD">
        <w:rPr>
          <w:rFonts w:ascii="Times New Roman" w:eastAsia="Times New Roman" w:hAnsi="Times New Roman" w:cs="Times New Roman"/>
          <w:sz w:val="24"/>
          <w:szCs w:val="24"/>
          <w:lang w:val="en-GB"/>
        </w:rPr>
        <w:t xml:space="preserve"> is essential for the criminal law to determine if the defendant was under the duty to act or not and then has failed to fulfil that obligation. Then it will be considered as a crime committed by omission. The case of </w:t>
      </w:r>
      <w:proofErr w:type="spellStart"/>
      <w:r w:rsidRPr="007D23FD">
        <w:rPr>
          <w:rFonts w:ascii="Times New Roman" w:eastAsia="Times New Roman" w:hAnsi="Times New Roman" w:cs="Times New Roman"/>
          <w:i/>
          <w:sz w:val="24"/>
          <w:szCs w:val="24"/>
          <w:lang w:val="en-GB"/>
        </w:rPr>
        <w:t>Instan</w:t>
      </w:r>
      <w:proofErr w:type="spellEnd"/>
      <w:r w:rsidRPr="007D23FD">
        <w:rPr>
          <w:rFonts w:ascii="Times New Roman" w:eastAsia="Times New Roman" w:hAnsi="Times New Roman" w:cs="Times New Roman"/>
          <w:i/>
          <w:sz w:val="24"/>
          <w:szCs w:val="24"/>
          <w:lang w:val="en-GB"/>
        </w:rPr>
        <w:t xml:space="preserve"> (1893) </w:t>
      </w:r>
      <w:r w:rsidRPr="007D23FD">
        <w:rPr>
          <w:rFonts w:ascii="Times New Roman" w:eastAsia="Times New Roman" w:hAnsi="Times New Roman" w:cs="Times New Roman"/>
          <w:sz w:val="24"/>
          <w:szCs w:val="24"/>
          <w:lang w:val="en-GB"/>
        </w:rPr>
        <w:t xml:space="preserve">is also prominent to support the fact as the case is indicating the assumed and voluntary responsibility of the defendant which is also considerable in the crime committed by omission. </w:t>
      </w:r>
    </w:p>
    <w:p w14:paraId="5EE1D2FB"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1867D6E8"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The understanding of stopping a criminal liability under failure to act also requires understanding the statutory duty to act as this indicates the duty which has been imposed by or under any act over an individual. In this context, the occurrences of the breach of the statutory duty of act which has been imposed upon an individual by a statute will be considered as a crime and criminal penalty will also be imposed upon the person. It is also prominent here that there is a possibility for the statute to create private rights in different ways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creates private remedies (</w:t>
      </w:r>
      <w:r w:rsidRPr="007D23FD">
        <w:rPr>
          <w:rFonts w:ascii="Times New Roman" w:eastAsia="Times New Roman" w:hAnsi="Times New Roman" w:cs="Times New Roman"/>
          <w:sz w:val="24"/>
          <w:szCs w:val="24"/>
          <w:highlight w:val="white"/>
          <w:lang w:val="en-GB"/>
        </w:rPr>
        <w:t>Foster, 2011</w:t>
      </w:r>
      <w:r w:rsidRPr="007D23FD">
        <w:rPr>
          <w:rFonts w:ascii="Times New Roman" w:eastAsia="Times New Roman" w:hAnsi="Times New Roman" w:cs="Times New Roman"/>
          <w:sz w:val="24"/>
          <w:szCs w:val="24"/>
          <w:lang w:val="en-GB"/>
        </w:rPr>
        <w:t xml:space="preserve">). However, there are also criminal cases when the statute provides rights but does not address if there is a private remedy presented or not. Thus, the situation is mainly indicating the presence of statutory duty to act in situations when there is an existence of a private remedy </w:t>
      </w:r>
      <w:proofErr w:type="gramStart"/>
      <w:r w:rsidRPr="007D23FD">
        <w:rPr>
          <w:rFonts w:ascii="Times New Roman" w:eastAsia="Times New Roman" w:hAnsi="Times New Roman" w:cs="Times New Roman"/>
          <w:sz w:val="24"/>
          <w:szCs w:val="24"/>
          <w:lang w:val="en-GB"/>
        </w:rPr>
        <w:t>in order to</w:t>
      </w:r>
      <w:proofErr w:type="gramEnd"/>
      <w:r w:rsidRPr="007D23FD">
        <w:rPr>
          <w:rFonts w:ascii="Times New Roman" w:eastAsia="Times New Roman" w:hAnsi="Times New Roman" w:cs="Times New Roman"/>
          <w:sz w:val="24"/>
          <w:szCs w:val="24"/>
          <w:lang w:val="en-GB"/>
        </w:rPr>
        <w:t xml:space="preserve"> uphold </w:t>
      </w:r>
      <w:r w:rsidRPr="007D23FD">
        <w:rPr>
          <w:rFonts w:ascii="Times New Roman" w:eastAsia="Times New Roman" w:hAnsi="Times New Roman" w:cs="Times New Roman"/>
          <w:sz w:val="24"/>
          <w:szCs w:val="24"/>
          <w:lang w:val="en-GB"/>
        </w:rPr>
        <w:lastRenderedPageBreak/>
        <w:t>the criminal liability that has occurred due to the failure to act aspect (</w:t>
      </w:r>
      <w:r w:rsidRPr="007D23FD">
        <w:rPr>
          <w:rFonts w:ascii="Times New Roman" w:eastAsia="Times New Roman" w:hAnsi="Times New Roman" w:cs="Times New Roman"/>
          <w:sz w:val="24"/>
          <w:szCs w:val="24"/>
          <w:highlight w:val="white"/>
          <w:lang w:val="en-GB"/>
        </w:rPr>
        <w:t>Foster, 2011</w:t>
      </w:r>
      <w:r w:rsidRPr="007D23FD">
        <w:rPr>
          <w:rFonts w:ascii="Times New Roman" w:eastAsia="Times New Roman" w:hAnsi="Times New Roman" w:cs="Times New Roman"/>
          <w:sz w:val="24"/>
          <w:szCs w:val="24"/>
          <w:lang w:val="en-GB"/>
        </w:rPr>
        <w:t xml:space="preserve">). This also can be supported with the case of </w:t>
      </w:r>
      <w:proofErr w:type="spellStart"/>
      <w:r w:rsidRPr="007D23FD">
        <w:rPr>
          <w:rFonts w:ascii="Times New Roman" w:eastAsia="Times New Roman" w:hAnsi="Times New Roman" w:cs="Times New Roman"/>
          <w:i/>
          <w:sz w:val="24"/>
          <w:szCs w:val="24"/>
          <w:lang w:val="en-GB"/>
        </w:rPr>
        <w:t>Shama</w:t>
      </w:r>
      <w:proofErr w:type="spellEnd"/>
      <w:r w:rsidRPr="007D23FD">
        <w:rPr>
          <w:rFonts w:ascii="Times New Roman" w:eastAsia="Times New Roman" w:hAnsi="Times New Roman" w:cs="Times New Roman"/>
          <w:i/>
          <w:sz w:val="24"/>
          <w:szCs w:val="24"/>
          <w:lang w:val="en-GB"/>
        </w:rPr>
        <w:t xml:space="preserve"> [1996] </w:t>
      </w:r>
      <w:r w:rsidRPr="007D23FD">
        <w:rPr>
          <w:rFonts w:ascii="Times New Roman" w:eastAsia="Times New Roman" w:hAnsi="Times New Roman" w:cs="Times New Roman"/>
          <w:sz w:val="24"/>
          <w:szCs w:val="24"/>
          <w:lang w:val="en-GB"/>
        </w:rPr>
        <w:t xml:space="preserve">and the failure of the defendant in the case in completing a form when he was having the duty to complete it under the statute duty to act. </w:t>
      </w:r>
    </w:p>
    <w:p w14:paraId="62AC2F16"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029750AA"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Based on the understanding of the statute duty to act, the knowledge on the contractual duty is also essential to understanding determining the area where there is a possibility to upheld criminal liability. Contractual duty mainly indicates a person's liability and having a contractual duty to protect the public. The case of </w:t>
      </w:r>
      <w:proofErr w:type="spellStart"/>
      <w:r w:rsidRPr="007D23FD">
        <w:rPr>
          <w:rFonts w:ascii="Times New Roman" w:eastAsia="Times New Roman" w:hAnsi="Times New Roman" w:cs="Times New Roman"/>
          <w:i/>
          <w:sz w:val="24"/>
          <w:szCs w:val="24"/>
          <w:lang w:val="en-GB"/>
        </w:rPr>
        <w:t>Pittwood</w:t>
      </w:r>
      <w:proofErr w:type="spellEnd"/>
      <w:r w:rsidRPr="007D23FD">
        <w:rPr>
          <w:rFonts w:ascii="Times New Roman" w:eastAsia="Times New Roman" w:hAnsi="Times New Roman" w:cs="Times New Roman"/>
          <w:i/>
          <w:sz w:val="24"/>
          <w:szCs w:val="24"/>
          <w:lang w:val="en-GB"/>
        </w:rPr>
        <w:t xml:space="preserve"> (1902), </w:t>
      </w:r>
      <w:r w:rsidRPr="007D23FD">
        <w:rPr>
          <w:rFonts w:ascii="Times New Roman" w:eastAsia="Times New Roman" w:hAnsi="Times New Roman" w:cs="Times New Roman"/>
          <w:sz w:val="24"/>
          <w:szCs w:val="24"/>
          <w:lang w:val="en-GB"/>
        </w:rPr>
        <w:t xml:space="preserve">is indicating the contractual duty of the defendant to operate the gate at a level crossing and the situation when the defendant left the gate </w:t>
      </w:r>
      <w:proofErr w:type="gramStart"/>
      <w:r w:rsidRPr="007D23FD">
        <w:rPr>
          <w:rFonts w:ascii="Times New Roman" w:eastAsia="Times New Roman" w:hAnsi="Times New Roman" w:cs="Times New Roman"/>
          <w:sz w:val="24"/>
          <w:szCs w:val="24"/>
          <w:lang w:val="en-GB"/>
        </w:rPr>
        <w:t>open</w:t>
      </w:r>
      <w:proofErr w:type="gramEnd"/>
      <w:r w:rsidRPr="007D23FD">
        <w:rPr>
          <w:rFonts w:ascii="Times New Roman" w:eastAsia="Times New Roman" w:hAnsi="Times New Roman" w:cs="Times New Roman"/>
          <w:sz w:val="24"/>
          <w:szCs w:val="24"/>
          <w:lang w:val="en-GB"/>
        </w:rPr>
        <w:t xml:space="preserve"> and the victim was killed by an ongoing train. In this context, when a contractual duty is determined for an individual, the criminal liability </w:t>
      </w:r>
      <w:r w:rsidR="007D23FD" w:rsidRPr="007D23FD">
        <w:rPr>
          <w:rFonts w:ascii="Times New Roman" w:eastAsia="Times New Roman" w:hAnsi="Times New Roman" w:cs="Times New Roman"/>
          <w:sz w:val="24"/>
          <w:szCs w:val="24"/>
          <w:lang w:val="en-GB"/>
        </w:rPr>
        <w:t>cannot</w:t>
      </w:r>
      <w:r w:rsidRPr="007D23FD">
        <w:rPr>
          <w:rFonts w:ascii="Times New Roman" w:eastAsia="Times New Roman" w:hAnsi="Times New Roman" w:cs="Times New Roman"/>
          <w:sz w:val="24"/>
          <w:szCs w:val="24"/>
          <w:lang w:val="en-GB"/>
        </w:rPr>
        <w:t xml:space="preserve"> be upheld under the failure to act </w:t>
      </w:r>
      <w:proofErr w:type="gramStart"/>
      <w:r w:rsidRPr="007D23FD">
        <w:rPr>
          <w:rFonts w:ascii="Times New Roman" w:eastAsia="Times New Roman" w:hAnsi="Times New Roman" w:cs="Times New Roman"/>
          <w:sz w:val="24"/>
          <w:szCs w:val="24"/>
          <w:lang w:val="en-GB"/>
        </w:rPr>
        <w:t>aspect</w:t>
      </w:r>
      <w:proofErr w:type="gramEnd"/>
      <w:r w:rsidRPr="007D23FD">
        <w:rPr>
          <w:rFonts w:ascii="Times New Roman" w:eastAsia="Times New Roman" w:hAnsi="Times New Roman" w:cs="Times New Roman"/>
          <w:sz w:val="24"/>
          <w:szCs w:val="24"/>
          <w:lang w:val="en-GB"/>
        </w:rPr>
        <w:t xml:space="preserve"> and this will be considered as a criminal liability of the defendant (</w:t>
      </w:r>
      <w:r w:rsidRPr="007D23FD">
        <w:rPr>
          <w:rFonts w:ascii="Times New Roman" w:eastAsia="Times New Roman" w:hAnsi="Times New Roman" w:cs="Times New Roman"/>
          <w:sz w:val="24"/>
          <w:szCs w:val="24"/>
          <w:highlight w:val="white"/>
          <w:lang w:val="en-GB"/>
        </w:rPr>
        <w:t>Davies, 2019</w:t>
      </w:r>
      <w:r w:rsidRPr="007D23FD">
        <w:rPr>
          <w:rFonts w:ascii="Times New Roman" w:eastAsia="Times New Roman" w:hAnsi="Times New Roman" w:cs="Times New Roman"/>
          <w:sz w:val="24"/>
          <w:szCs w:val="24"/>
          <w:lang w:val="en-GB"/>
        </w:rPr>
        <w:t xml:space="preserve">). </w:t>
      </w:r>
    </w:p>
    <w:p w14:paraId="01FE2BEE"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0EE7F659"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There is also a possibility for the criminal liability of a person to be upheld from failure to act when a person is performing an act or responsibility under the common law duty to act. Common law duty to act mainly indicates the approach of a person in taking reasonable care in avoiding acts or omissions that the person can reasonably foresee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holds the ability to stop it from occurring. In this context, the occurrences of gross negligence or the intention of harming others raises the case of common law of duty and its breach altogether. There is a possibility for the duty to act being recognised under the common law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the usage of it as this has been derived from the decision of the judge as opposed by the Parliament. Thus, in the case of </w:t>
      </w:r>
      <w:r w:rsidRPr="007D23FD">
        <w:rPr>
          <w:rFonts w:ascii="Times New Roman" w:eastAsia="Times New Roman" w:hAnsi="Times New Roman" w:cs="Times New Roman"/>
          <w:i/>
          <w:sz w:val="24"/>
          <w:szCs w:val="24"/>
          <w:lang w:val="en-GB"/>
        </w:rPr>
        <w:t xml:space="preserve">Miller (1983) </w:t>
      </w:r>
      <w:r w:rsidRPr="007D23FD">
        <w:rPr>
          <w:rFonts w:ascii="Times New Roman" w:eastAsia="Times New Roman" w:hAnsi="Times New Roman" w:cs="Times New Roman"/>
          <w:sz w:val="24"/>
          <w:szCs w:val="24"/>
          <w:lang w:val="en-GB"/>
        </w:rPr>
        <w:t xml:space="preserve">it has been identified by the court that a duty to act can arise from the development of a danger where Miller is responsible for creating a dangerous situation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has avoided in fulfilling his duty to act which eventually makes the person criminally liable and also the condition failure to act.</w:t>
      </w:r>
    </w:p>
    <w:p w14:paraId="73E2773C"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5205393E" w14:textId="77777777" w:rsidR="00454697" w:rsidRPr="007D23FD" w:rsidRDefault="007D23F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duty to act stop</w:t>
      </w:r>
      <w:r w:rsidR="00CE59EA">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lang w:val="en-GB"/>
        </w:rPr>
        <w:t xml:space="preserve"> </w:t>
      </w:r>
      <w:r w:rsidR="004B4AA7" w:rsidRPr="007D23FD">
        <w:rPr>
          <w:rFonts w:ascii="Times New Roman" w:eastAsia="Times New Roman" w:hAnsi="Times New Roman" w:cs="Times New Roman"/>
          <w:sz w:val="24"/>
          <w:szCs w:val="24"/>
          <w:lang w:val="en-GB"/>
        </w:rPr>
        <w:t xml:space="preserve">in a situation when the defendant is not having a statute or contractual duty to act and </w:t>
      </w:r>
      <w:r w:rsidR="00CE59EA">
        <w:rPr>
          <w:rFonts w:ascii="Times New Roman" w:eastAsia="Times New Roman" w:hAnsi="Times New Roman" w:cs="Times New Roman"/>
          <w:sz w:val="24"/>
          <w:szCs w:val="24"/>
          <w:lang w:val="en-GB"/>
        </w:rPr>
        <w:t>only needs to act according to</w:t>
      </w:r>
      <w:r w:rsidR="004B4AA7" w:rsidRPr="007D23FD">
        <w:rPr>
          <w:rFonts w:ascii="Times New Roman" w:eastAsia="Times New Roman" w:hAnsi="Times New Roman" w:cs="Times New Roman"/>
          <w:sz w:val="24"/>
          <w:szCs w:val="24"/>
          <w:lang w:val="en-GB"/>
        </w:rPr>
        <w:t xml:space="preserve"> the common law duty to act</w:t>
      </w:r>
      <w:r w:rsidR="00CE59EA">
        <w:rPr>
          <w:rFonts w:ascii="Times New Roman" w:eastAsia="Times New Roman" w:hAnsi="Times New Roman" w:cs="Times New Roman"/>
          <w:sz w:val="24"/>
          <w:szCs w:val="24"/>
          <w:lang w:val="en-GB"/>
        </w:rPr>
        <w:t xml:space="preserve">. </w:t>
      </w:r>
      <w:r w:rsidR="004B4AA7" w:rsidRPr="007D23FD">
        <w:rPr>
          <w:rFonts w:ascii="Times New Roman" w:eastAsia="Times New Roman" w:hAnsi="Times New Roman" w:cs="Times New Roman"/>
          <w:sz w:val="24"/>
          <w:szCs w:val="24"/>
          <w:lang w:val="en-GB"/>
        </w:rPr>
        <w:t xml:space="preserve">The situation when the person is voluntarily assuming the responsibility to follow a duty to act, this can be considered for determining the criminal liability. However, when the person is not considered under any of the situations, the duty to act can be stopped from determining the criminal liability of the person.  The case of </w:t>
      </w:r>
      <w:r w:rsidR="004B4AA7" w:rsidRPr="007D23FD">
        <w:rPr>
          <w:rFonts w:ascii="Times New Roman" w:eastAsia="Times New Roman" w:hAnsi="Times New Roman" w:cs="Times New Roman"/>
          <w:i/>
          <w:sz w:val="24"/>
          <w:szCs w:val="24"/>
          <w:lang w:val="en-GB"/>
        </w:rPr>
        <w:t xml:space="preserve">Evans (2009) </w:t>
      </w:r>
      <w:r w:rsidR="004B4AA7" w:rsidRPr="007D23FD">
        <w:rPr>
          <w:rFonts w:ascii="Times New Roman" w:eastAsia="Times New Roman" w:hAnsi="Times New Roman" w:cs="Times New Roman"/>
          <w:sz w:val="24"/>
          <w:szCs w:val="24"/>
          <w:lang w:val="en-GB"/>
        </w:rPr>
        <w:t xml:space="preserve">is also prominent to apply here </w:t>
      </w:r>
      <w:proofErr w:type="gramStart"/>
      <w:r w:rsidR="004B4AA7" w:rsidRPr="007D23FD">
        <w:rPr>
          <w:rFonts w:ascii="Times New Roman" w:eastAsia="Times New Roman" w:hAnsi="Times New Roman" w:cs="Times New Roman"/>
          <w:sz w:val="24"/>
          <w:szCs w:val="24"/>
          <w:lang w:val="en-GB"/>
        </w:rPr>
        <w:t>in order to</w:t>
      </w:r>
      <w:proofErr w:type="gramEnd"/>
      <w:r w:rsidR="004B4AA7" w:rsidRPr="007D23FD">
        <w:rPr>
          <w:rFonts w:ascii="Times New Roman" w:eastAsia="Times New Roman" w:hAnsi="Times New Roman" w:cs="Times New Roman"/>
          <w:sz w:val="24"/>
          <w:szCs w:val="24"/>
          <w:lang w:val="en-GB"/>
        </w:rPr>
        <w:t xml:space="preserve"> address the creation of dangerous </w:t>
      </w:r>
      <w:r w:rsidR="004B4AA7" w:rsidRPr="007D23FD">
        <w:rPr>
          <w:rFonts w:ascii="Times New Roman" w:eastAsia="Times New Roman" w:hAnsi="Times New Roman" w:cs="Times New Roman"/>
          <w:sz w:val="24"/>
          <w:szCs w:val="24"/>
          <w:lang w:val="en-GB"/>
        </w:rPr>
        <w:lastRenderedPageBreak/>
        <w:t xml:space="preserve">situations that have occurred accidentally and there is a possibility for the defendant to be held criminally liable. </w:t>
      </w:r>
    </w:p>
    <w:p w14:paraId="2D71DE4F" w14:textId="77777777" w:rsidR="00454697" w:rsidRPr="007D23FD" w:rsidRDefault="00454697">
      <w:pPr>
        <w:pStyle w:val="Normal1"/>
        <w:spacing w:line="360" w:lineRule="auto"/>
        <w:jc w:val="both"/>
        <w:rPr>
          <w:rFonts w:ascii="Times New Roman" w:eastAsia="Times New Roman" w:hAnsi="Times New Roman" w:cs="Times New Roman"/>
          <w:b/>
          <w:sz w:val="24"/>
          <w:szCs w:val="24"/>
          <w:lang w:val="en-GB"/>
        </w:rPr>
      </w:pPr>
    </w:p>
    <w:p w14:paraId="046A4DED"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In this way, with the discussion of each of the areas, it is prominent addressing here that </w:t>
      </w:r>
      <w:proofErr w:type="gramStart"/>
      <w:r w:rsidRPr="007D23FD">
        <w:rPr>
          <w:rFonts w:ascii="Times New Roman" w:eastAsia="Times New Roman" w:hAnsi="Times New Roman" w:cs="Times New Roman"/>
          <w:sz w:val="24"/>
          <w:szCs w:val="24"/>
          <w:lang w:val="en-GB"/>
        </w:rPr>
        <w:t>there  is</w:t>
      </w:r>
      <w:proofErr w:type="gramEnd"/>
      <w:r w:rsidRPr="007D23FD">
        <w:rPr>
          <w:rFonts w:ascii="Times New Roman" w:eastAsia="Times New Roman" w:hAnsi="Times New Roman" w:cs="Times New Roman"/>
          <w:sz w:val="24"/>
          <w:szCs w:val="24"/>
          <w:lang w:val="en-GB"/>
        </w:rPr>
        <w:t xml:space="preserve"> a requirement of considering a general duty to act for an individual who is not falling under any kind of duty to act and also committing a criminal crime and getting justice under failure to act. The development of the general duty to act is essential to determine whether the person has ensured in committing a crime under omission or not. This holds the advantage of determining and justifying a crime that a person has committed. However, it holds the disadvantage of determining effective justice and resolving the crime under the criminal law as this might fail in proving whether the person has committed the crime in the first place or not. Thus, with the consideration of each aspect, criminal liability can be upheld in certain situations when it is effectively proven that the criminal offence has been committed under failure to act aspect. </w:t>
      </w:r>
    </w:p>
    <w:p w14:paraId="7D3C2CAC" w14:textId="77777777" w:rsidR="00454697" w:rsidRPr="00CE59EA" w:rsidRDefault="004B4AA7">
      <w:pPr>
        <w:pStyle w:val="Normal1"/>
        <w:spacing w:line="360" w:lineRule="auto"/>
        <w:jc w:val="both"/>
        <w:rPr>
          <w:rFonts w:ascii="Times New Roman" w:eastAsia="Times New Roman" w:hAnsi="Times New Roman" w:cs="Times New Roman"/>
          <w:b/>
          <w:sz w:val="28"/>
          <w:szCs w:val="28"/>
          <w:lang w:val="en-GB"/>
        </w:rPr>
      </w:pPr>
      <w:r w:rsidRPr="00CE59EA">
        <w:rPr>
          <w:rFonts w:ascii="Times New Roman" w:eastAsia="Times New Roman" w:hAnsi="Times New Roman" w:cs="Times New Roman"/>
          <w:b/>
          <w:sz w:val="28"/>
          <w:szCs w:val="28"/>
          <w:lang w:val="en-GB"/>
        </w:rPr>
        <w:t>Conclusion</w:t>
      </w:r>
    </w:p>
    <w:p w14:paraId="088ACFCE" w14:textId="77777777" w:rsidR="00454697" w:rsidRPr="007D23FD" w:rsidRDefault="004B4AA7">
      <w:pPr>
        <w:pStyle w:val="Normal1"/>
        <w:spacing w:line="360" w:lineRule="auto"/>
        <w:jc w:val="both"/>
        <w:rPr>
          <w:rFonts w:ascii="Times New Roman" w:eastAsia="Times New Roman" w:hAnsi="Times New Roman" w:cs="Times New Roman"/>
          <w:sz w:val="24"/>
          <w:szCs w:val="24"/>
          <w:lang w:val="en-GB"/>
        </w:rPr>
      </w:pPr>
      <w:r w:rsidRPr="007D23FD">
        <w:rPr>
          <w:rFonts w:ascii="Times New Roman" w:eastAsia="Times New Roman" w:hAnsi="Times New Roman" w:cs="Times New Roman"/>
          <w:sz w:val="24"/>
          <w:szCs w:val="24"/>
          <w:lang w:val="en-GB"/>
        </w:rPr>
        <w:t xml:space="preserve">According to the consideration of the statement, the overall essay has ensured in evaluating, analysing, and justifying the aspect of criminal liability under failure to act condition </w:t>
      </w:r>
      <w:proofErr w:type="gramStart"/>
      <w:r w:rsidRPr="007D23FD">
        <w:rPr>
          <w:rFonts w:ascii="Times New Roman" w:eastAsia="Times New Roman" w:hAnsi="Times New Roman" w:cs="Times New Roman"/>
          <w:sz w:val="24"/>
          <w:szCs w:val="24"/>
          <w:lang w:val="en-GB"/>
        </w:rPr>
        <w:t>and also</w:t>
      </w:r>
      <w:proofErr w:type="gramEnd"/>
      <w:r w:rsidRPr="007D23FD">
        <w:rPr>
          <w:rFonts w:ascii="Times New Roman" w:eastAsia="Times New Roman" w:hAnsi="Times New Roman" w:cs="Times New Roman"/>
          <w:sz w:val="24"/>
          <w:szCs w:val="24"/>
          <w:lang w:val="en-GB"/>
        </w:rPr>
        <w:t xml:space="preserve"> the situations where this can be upheld. The usage of effective case examples also has ensured in evaluating and justifying the statement here. </w:t>
      </w:r>
    </w:p>
    <w:p w14:paraId="5052B520" w14:textId="77777777" w:rsidR="00CE59EA" w:rsidRDefault="00CE59EA">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58B2C6D3" w14:textId="6AB8AAF9" w:rsidR="00F81A30" w:rsidRDefault="00F81A30">
      <w:pPr>
        <w:pStyle w:val="Normal1"/>
        <w:spacing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lastRenderedPageBreak/>
        <w:t xml:space="preserve">Cases: </w:t>
      </w:r>
    </w:p>
    <w:p w14:paraId="00170138"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Miller [1983]</w:t>
      </w:r>
    </w:p>
    <w:p w14:paraId="0D966756"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proofErr w:type="spellStart"/>
      <w:r w:rsidRPr="00F81A30">
        <w:rPr>
          <w:rFonts w:ascii="Times New Roman" w:eastAsia="Times New Roman" w:hAnsi="Times New Roman" w:cs="Times New Roman"/>
          <w:bCs/>
          <w:sz w:val="24"/>
          <w:szCs w:val="24"/>
          <w:lang w:val="en-GB"/>
        </w:rPr>
        <w:t>Shama</w:t>
      </w:r>
      <w:proofErr w:type="spellEnd"/>
      <w:r w:rsidRPr="00F81A30">
        <w:rPr>
          <w:rFonts w:ascii="Times New Roman" w:eastAsia="Times New Roman" w:hAnsi="Times New Roman" w:cs="Times New Roman"/>
          <w:bCs/>
          <w:sz w:val="24"/>
          <w:szCs w:val="24"/>
          <w:lang w:val="en-GB"/>
        </w:rPr>
        <w:t xml:space="preserve"> [1996]</w:t>
      </w:r>
    </w:p>
    <w:p w14:paraId="4E60E918"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Yaqoob [2005]</w:t>
      </w:r>
    </w:p>
    <w:p w14:paraId="76DB0F9D"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Gibbins and Proctor [1918]</w:t>
      </w:r>
    </w:p>
    <w:p w14:paraId="4CF2E854"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Hood [2004]</w:t>
      </w:r>
    </w:p>
    <w:p w14:paraId="1DC7C6BE"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Airedale NHS Trust v Bland [1993]</w:t>
      </w:r>
    </w:p>
    <w:p w14:paraId="142033E7"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proofErr w:type="spellStart"/>
      <w:r w:rsidRPr="00F81A30">
        <w:rPr>
          <w:rFonts w:ascii="Times New Roman" w:eastAsia="Times New Roman" w:hAnsi="Times New Roman" w:cs="Times New Roman"/>
          <w:bCs/>
          <w:sz w:val="24"/>
          <w:szCs w:val="24"/>
          <w:lang w:val="en-GB"/>
        </w:rPr>
        <w:t>Dytham</w:t>
      </w:r>
      <w:proofErr w:type="spellEnd"/>
      <w:r w:rsidRPr="00F81A30">
        <w:rPr>
          <w:rFonts w:ascii="Times New Roman" w:eastAsia="Times New Roman" w:hAnsi="Times New Roman" w:cs="Times New Roman"/>
          <w:bCs/>
          <w:sz w:val="24"/>
          <w:szCs w:val="24"/>
          <w:lang w:val="en-GB"/>
        </w:rPr>
        <w:t xml:space="preserve"> [1979]</w:t>
      </w:r>
    </w:p>
    <w:p w14:paraId="3273E655"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Stone and Dobinson [1977]</w:t>
      </w:r>
    </w:p>
    <w:p w14:paraId="23581450"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proofErr w:type="spellStart"/>
      <w:r w:rsidRPr="00F81A30">
        <w:rPr>
          <w:rFonts w:ascii="Times New Roman" w:eastAsia="Times New Roman" w:hAnsi="Times New Roman" w:cs="Times New Roman"/>
          <w:bCs/>
          <w:sz w:val="24"/>
          <w:szCs w:val="24"/>
          <w:lang w:val="en-GB"/>
        </w:rPr>
        <w:t>Instan</w:t>
      </w:r>
      <w:proofErr w:type="spellEnd"/>
      <w:r w:rsidRPr="00F81A30">
        <w:rPr>
          <w:rFonts w:ascii="Times New Roman" w:eastAsia="Times New Roman" w:hAnsi="Times New Roman" w:cs="Times New Roman"/>
          <w:bCs/>
          <w:sz w:val="24"/>
          <w:szCs w:val="24"/>
          <w:lang w:val="en-GB"/>
        </w:rPr>
        <w:t xml:space="preserve"> [1893]</w:t>
      </w:r>
    </w:p>
    <w:p w14:paraId="050FF4D8"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DPP v K (a Minor) [1990]</w:t>
      </w:r>
    </w:p>
    <w:p w14:paraId="5030A349"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Santana Bermudez [2004]</w:t>
      </w:r>
    </w:p>
    <w:p w14:paraId="74F516C9" w14:textId="77777777" w:rsidR="00F81A30" w:rsidRPr="00F81A30" w:rsidRDefault="00F81A30" w:rsidP="00F81A30">
      <w:pPr>
        <w:pStyle w:val="Normal1"/>
        <w:spacing w:line="360" w:lineRule="auto"/>
        <w:jc w:val="both"/>
        <w:rPr>
          <w:rFonts w:ascii="Times New Roman" w:eastAsia="Times New Roman" w:hAnsi="Times New Roman" w:cs="Times New Roman"/>
          <w:bCs/>
          <w:sz w:val="24"/>
          <w:szCs w:val="24"/>
          <w:lang w:val="en-GB"/>
        </w:rPr>
      </w:pPr>
      <w:r w:rsidRPr="00F81A30">
        <w:rPr>
          <w:rFonts w:ascii="Times New Roman" w:eastAsia="Times New Roman" w:hAnsi="Times New Roman" w:cs="Times New Roman"/>
          <w:bCs/>
          <w:sz w:val="24"/>
          <w:szCs w:val="24"/>
          <w:lang w:val="en-GB"/>
        </w:rPr>
        <w:t>Evans [2009]</w:t>
      </w:r>
    </w:p>
    <w:p w14:paraId="6F43BA33" w14:textId="77777777" w:rsidR="00F81A30" w:rsidRDefault="00F81A30">
      <w:pPr>
        <w:pStyle w:val="Normal1"/>
        <w:spacing w:line="360" w:lineRule="auto"/>
        <w:jc w:val="both"/>
        <w:rPr>
          <w:rFonts w:ascii="Times New Roman" w:eastAsia="Times New Roman" w:hAnsi="Times New Roman" w:cs="Times New Roman"/>
          <w:b/>
          <w:sz w:val="28"/>
          <w:szCs w:val="28"/>
          <w:lang w:val="en-GB"/>
        </w:rPr>
      </w:pPr>
    </w:p>
    <w:p w14:paraId="0FFB7BAC" w14:textId="5D826AB0" w:rsidR="00454697" w:rsidRPr="00CE59EA" w:rsidRDefault="004B4AA7">
      <w:pPr>
        <w:pStyle w:val="Normal1"/>
        <w:spacing w:line="360" w:lineRule="auto"/>
        <w:jc w:val="both"/>
        <w:rPr>
          <w:rFonts w:ascii="Times New Roman" w:eastAsia="Times New Roman" w:hAnsi="Times New Roman" w:cs="Times New Roman"/>
          <w:b/>
          <w:sz w:val="28"/>
          <w:szCs w:val="28"/>
          <w:lang w:val="en-GB"/>
        </w:rPr>
      </w:pPr>
      <w:r w:rsidRPr="00CE59EA">
        <w:rPr>
          <w:rFonts w:ascii="Times New Roman" w:eastAsia="Times New Roman" w:hAnsi="Times New Roman" w:cs="Times New Roman"/>
          <w:b/>
          <w:sz w:val="28"/>
          <w:szCs w:val="28"/>
          <w:lang w:val="en-GB"/>
        </w:rPr>
        <w:t xml:space="preserve">Reference List </w:t>
      </w:r>
    </w:p>
    <w:p w14:paraId="3DC4304E" w14:textId="77777777" w:rsidR="00684BF2" w:rsidRPr="007D23FD" w:rsidRDefault="00684BF2">
      <w:pPr>
        <w:pStyle w:val="Normal1"/>
        <w:spacing w:line="360" w:lineRule="auto"/>
        <w:jc w:val="both"/>
        <w:rPr>
          <w:rFonts w:ascii="Times New Roman" w:eastAsia="Times New Roman" w:hAnsi="Times New Roman" w:cs="Times New Roman"/>
          <w:sz w:val="24"/>
          <w:szCs w:val="24"/>
          <w:highlight w:val="white"/>
          <w:lang w:val="en-GB"/>
        </w:rPr>
      </w:pPr>
      <w:r w:rsidRPr="007D23FD">
        <w:rPr>
          <w:rFonts w:ascii="Times New Roman" w:eastAsia="Times New Roman" w:hAnsi="Times New Roman" w:cs="Times New Roman"/>
          <w:sz w:val="24"/>
          <w:szCs w:val="24"/>
          <w:highlight w:val="white"/>
          <w:lang w:val="en-GB"/>
        </w:rPr>
        <w:t xml:space="preserve">Davies, P.S., 2019. The Basis of Contractual Duties of Good Faith. </w:t>
      </w:r>
      <w:r w:rsidRPr="007D23FD">
        <w:rPr>
          <w:rFonts w:ascii="Times New Roman" w:eastAsia="Times New Roman" w:hAnsi="Times New Roman" w:cs="Times New Roman"/>
          <w:i/>
          <w:sz w:val="24"/>
          <w:szCs w:val="24"/>
          <w:highlight w:val="white"/>
          <w:lang w:val="en-GB"/>
        </w:rPr>
        <w:t>Journal of Commonwealth Law</w:t>
      </w:r>
      <w:r w:rsidRPr="007D23FD">
        <w:rPr>
          <w:rFonts w:ascii="Times New Roman" w:eastAsia="Times New Roman" w:hAnsi="Times New Roman" w:cs="Times New Roman"/>
          <w:sz w:val="24"/>
          <w:szCs w:val="24"/>
          <w:highlight w:val="white"/>
          <w:lang w:val="en-GB"/>
        </w:rPr>
        <w:t xml:space="preserve">, </w:t>
      </w:r>
      <w:r w:rsidRPr="007D23FD">
        <w:rPr>
          <w:rFonts w:ascii="Times New Roman" w:eastAsia="Times New Roman" w:hAnsi="Times New Roman" w:cs="Times New Roman"/>
          <w:i/>
          <w:sz w:val="24"/>
          <w:szCs w:val="24"/>
          <w:highlight w:val="white"/>
          <w:lang w:val="en-GB"/>
        </w:rPr>
        <w:t>1</w:t>
      </w:r>
      <w:r w:rsidRPr="007D23FD">
        <w:rPr>
          <w:rFonts w:ascii="Times New Roman" w:eastAsia="Times New Roman" w:hAnsi="Times New Roman" w:cs="Times New Roman"/>
          <w:sz w:val="24"/>
          <w:szCs w:val="24"/>
          <w:highlight w:val="white"/>
          <w:lang w:val="en-GB"/>
        </w:rPr>
        <w:t>(1).</w:t>
      </w:r>
    </w:p>
    <w:p w14:paraId="2A7DEA5E" w14:textId="77777777" w:rsidR="00684BF2" w:rsidRPr="007D23FD" w:rsidRDefault="00684BF2">
      <w:pPr>
        <w:pStyle w:val="Normal1"/>
        <w:spacing w:line="360" w:lineRule="auto"/>
        <w:jc w:val="both"/>
        <w:rPr>
          <w:rFonts w:ascii="Times New Roman" w:eastAsia="Times New Roman" w:hAnsi="Times New Roman" w:cs="Times New Roman"/>
          <w:sz w:val="24"/>
          <w:szCs w:val="24"/>
          <w:highlight w:val="white"/>
          <w:lang w:val="en-GB"/>
        </w:rPr>
      </w:pPr>
      <w:r w:rsidRPr="007D23FD">
        <w:rPr>
          <w:rFonts w:ascii="Times New Roman" w:eastAsia="Times New Roman" w:hAnsi="Times New Roman" w:cs="Times New Roman"/>
          <w:sz w:val="24"/>
          <w:szCs w:val="24"/>
          <w:highlight w:val="white"/>
          <w:lang w:val="en-GB"/>
        </w:rPr>
        <w:t xml:space="preserve">Foster, N., 2011. The merits of the civil action for breach of statutory duty. </w:t>
      </w:r>
      <w:r w:rsidRPr="007D23FD">
        <w:rPr>
          <w:rFonts w:ascii="Times New Roman" w:eastAsia="Times New Roman" w:hAnsi="Times New Roman" w:cs="Times New Roman"/>
          <w:i/>
          <w:sz w:val="24"/>
          <w:szCs w:val="24"/>
          <w:highlight w:val="white"/>
          <w:lang w:val="en-GB"/>
        </w:rPr>
        <w:t>Sydney Law Review</w:t>
      </w:r>
      <w:r w:rsidRPr="007D23FD">
        <w:rPr>
          <w:rFonts w:ascii="Times New Roman" w:eastAsia="Times New Roman" w:hAnsi="Times New Roman" w:cs="Times New Roman"/>
          <w:sz w:val="24"/>
          <w:szCs w:val="24"/>
          <w:highlight w:val="white"/>
          <w:lang w:val="en-GB"/>
        </w:rPr>
        <w:t xml:space="preserve">, </w:t>
      </w:r>
      <w:r w:rsidRPr="007D23FD">
        <w:rPr>
          <w:rFonts w:ascii="Times New Roman" w:eastAsia="Times New Roman" w:hAnsi="Times New Roman" w:cs="Times New Roman"/>
          <w:i/>
          <w:sz w:val="24"/>
          <w:szCs w:val="24"/>
          <w:highlight w:val="white"/>
          <w:lang w:val="en-GB"/>
        </w:rPr>
        <w:t>33</w:t>
      </w:r>
      <w:r w:rsidRPr="007D23FD">
        <w:rPr>
          <w:rFonts w:ascii="Times New Roman" w:eastAsia="Times New Roman" w:hAnsi="Times New Roman" w:cs="Times New Roman"/>
          <w:sz w:val="24"/>
          <w:szCs w:val="24"/>
          <w:highlight w:val="white"/>
          <w:lang w:val="en-GB"/>
        </w:rPr>
        <w:t>(1), pp.67-93.</w:t>
      </w:r>
    </w:p>
    <w:p w14:paraId="3B94DD4F" w14:textId="77777777" w:rsidR="00684BF2" w:rsidRPr="007D23FD" w:rsidRDefault="00684BF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7D23FD">
        <w:rPr>
          <w:rFonts w:ascii="Times New Roman" w:eastAsia="Times New Roman" w:hAnsi="Times New Roman" w:cs="Times New Roman"/>
          <w:sz w:val="24"/>
          <w:szCs w:val="24"/>
          <w:highlight w:val="white"/>
          <w:lang w:val="en-GB"/>
        </w:rPr>
        <w:t>Kalpouzos</w:t>
      </w:r>
      <w:proofErr w:type="spellEnd"/>
      <w:r w:rsidRPr="007D23FD">
        <w:rPr>
          <w:rFonts w:ascii="Times New Roman" w:eastAsia="Times New Roman" w:hAnsi="Times New Roman" w:cs="Times New Roman"/>
          <w:sz w:val="24"/>
          <w:szCs w:val="24"/>
          <w:highlight w:val="white"/>
          <w:lang w:val="en-GB"/>
        </w:rPr>
        <w:t xml:space="preserve">, I., 2020. International Criminal Law and the Violence against Migrants. </w:t>
      </w:r>
      <w:r w:rsidRPr="007D23FD">
        <w:rPr>
          <w:rFonts w:ascii="Times New Roman" w:eastAsia="Times New Roman" w:hAnsi="Times New Roman" w:cs="Times New Roman"/>
          <w:i/>
          <w:sz w:val="24"/>
          <w:szCs w:val="24"/>
          <w:highlight w:val="white"/>
          <w:lang w:val="en-GB"/>
        </w:rPr>
        <w:t>German Law Journal</w:t>
      </w:r>
      <w:r w:rsidRPr="007D23FD">
        <w:rPr>
          <w:rFonts w:ascii="Times New Roman" w:eastAsia="Times New Roman" w:hAnsi="Times New Roman" w:cs="Times New Roman"/>
          <w:sz w:val="24"/>
          <w:szCs w:val="24"/>
          <w:highlight w:val="white"/>
          <w:lang w:val="en-GB"/>
        </w:rPr>
        <w:t xml:space="preserve">, </w:t>
      </w:r>
      <w:r w:rsidRPr="007D23FD">
        <w:rPr>
          <w:rFonts w:ascii="Times New Roman" w:eastAsia="Times New Roman" w:hAnsi="Times New Roman" w:cs="Times New Roman"/>
          <w:i/>
          <w:sz w:val="24"/>
          <w:szCs w:val="24"/>
          <w:highlight w:val="white"/>
          <w:lang w:val="en-GB"/>
        </w:rPr>
        <w:t>21</w:t>
      </w:r>
      <w:r w:rsidRPr="007D23FD">
        <w:rPr>
          <w:rFonts w:ascii="Times New Roman" w:eastAsia="Times New Roman" w:hAnsi="Times New Roman" w:cs="Times New Roman"/>
          <w:sz w:val="24"/>
          <w:szCs w:val="24"/>
          <w:highlight w:val="white"/>
          <w:lang w:val="en-GB"/>
        </w:rPr>
        <w:t>(3), pp.571-597.</w:t>
      </w:r>
    </w:p>
    <w:p w14:paraId="58FAEC46" w14:textId="77777777" w:rsidR="00684BF2" w:rsidRPr="007D23FD" w:rsidRDefault="00684BF2">
      <w:pPr>
        <w:pStyle w:val="Normal1"/>
        <w:spacing w:line="360" w:lineRule="auto"/>
        <w:jc w:val="both"/>
        <w:rPr>
          <w:rFonts w:ascii="Times New Roman" w:eastAsia="Times New Roman" w:hAnsi="Times New Roman" w:cs="Times New Roman"/>
          <w:sz w:val="24"/>
          <w:szCs w:val="24"/>
          <w:highlight w:val="white"/>
          <w:lang w:val="en-GB"/>
        </w:rPr>
      </w:pPr>
      <w:r w:rsidRPr="007D23FD">
        <w:rPr>
          <w:rFonts w:ascii="Times New Roman" w:eastAsia="Times New Roman" w:hAnsi="Times New Roman" w:cs="Times New Roman"/>
          <w:sz w:val="24"/>
          <w:szCs w:val="24"/>
          <w:highlight w:val="white"/>
          <w:lang w:val="en-GB"/>
        </w:rPr>
        <w:t xml:space="preserve">Robinson, P.H., 2019. </w:t>
      </w:r>
      <w:r w:rsidRPr="007D23FD">
        <w:rPr>
          <w:rFonts w:ascii="Times New Roman" w:eastAsia="Times New Roman" w:hAnsi="Times New Roman" w:cs="Times New Roman"/>
          <w:i/>
          <w:sz w:val="24"/>
          <w:szCs w:val="24"/>
          <w:highlight w:val="white"/>
          <w:lang w:val="en-GB"/>
        </w:rPr>
        <w:t>Justice, liability, and blame: Community views and the criminal law</w:t>
      </w:r>
      <w:r w:rsidRPr="007D23FD">
        <w:rPr>
          <w:rFonts w:ascii="Times New Roman" w:eastAsia="Times New Roman" w:hAnsi="Times New Roman" w:cs="Times New Roman"/>
          <w:sz w:val="24"/>
          <w:szCs w:val="24"/>
          <w:highlight w:val="white"/>
          <w:lang w:val="en-GB"/>
        </w:rPr>
        <w:t>. Routledge.</w:t>
      </w:r>
    </w:p>
    <w:p w14:paraId="2D472BB2" w14:textId="77777777" w:rsidR="00684BF2" w:rsidRPr="007D23FD" w:rsidRDefault="00684BF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7D23FD">
        <w:rPr>
          <w:rFonts w:ascii="Times New Roman" w:eastAsia="Times New Roman" w:hAnsi="Times New Roman" w:cs="Times New Roman"/>
          <w:sz w:val="24"/>
          <w:szCs w:val="24"/>
          <w:highlight w:val="white"/>
          <w:lang w:val="en-GB"/>
        </w:rPr>
        <w:t>Sinaga</w:t>
      </w:r>
      <w:proofErr w:type="spellEnd"/>
      <w:r w:rsidRPr="007D23FD">
        <w:rPr>
          <w:rFonts w:ascii="Times New Roman" w:eastAsia="Times New Roman" w:hAnsi="Times New Roman" w:cs="Times New Roman"/>
          <w:sz w:val="24"/>
          <w:szCs w:val="24"/>
          <w:highlight w:val="white"/>
          <w:lang w:val="en-GB"/>
        </w:rPr>
        <w:t xml:space="preserve">, H.D.P., </w:t>
      </w:r>
      <w:proofErr w:type="spellStart"/>
      <w:r w:rsidRPr="007D23FD">
        <w:rPr>
          <w:rFonts w:ascii="Times New Roman" w:eastAsia="Times New Roman" w:hAnsi="Times New Roman" w:cs="Times New Roman"/>
          <w:sz w:val="24"/>
          <w:szCs w:val="24"/>
          <w:highlight w:val="white"/>
          <w:lang w:val="en-GB"/>
        </w:rPr>
        <w:t>Wirawan</w:t>
      </w:r>
      <w:proofErr w:type="spellEnd"/>
      <w:r w:rsidRPr="007D23FD">
        <w:rPr>
          <w:rFonts w:ascii="Times New Roman" w:eastAsia="Times New Roman" w:hAnsi="Times New Roman" w:cs="Times New Roman"/>
          <w:sz w:val="24"/>
          <w:szCs w:val="24"/>
          <w:highlight w:val="white"/>
          <w:lang w:val="en-GB"/>
        </w:rPr>
        <w:t xml:space="preserve">, A. and </w:t>
      </w:r>
      <w:proofErr w:type="spellStart"/>
      <w:r w:rsidRPr="007D23FD">
        <w:rPr>
          <w:rFonts w:ascii="Times New Roman" w:eastAsia="Times New Roman" w:hAnsi="Times New Roman" w:cs="Times New Roman"/>
          <w:sz w:val="24"/>
          <w:szCs w:val="24"/>
          <w:highlight w:val="white"/>
          <w:lang w:val="en-GB"/>
        </w:rPr>
        <w:t>Pramugar</w:t>
      </w:r>
      <w:proofErr w:type="spellEnd"/>
      <w:r w:rsidRPr="007D23FD">
        <w:rPr>
          <w:rFonts w:ascii="Times New Roman" w:eastAsia="Times New Roman" w:hAnsi="Times New Roman" w:cs="Times New Roman"/>
          <w:sz w:val="24"/>
          <w:szCs w:val="24"/>
          <w:highlight w:val="white"/>
          <w:lang w:val="en-GB"/>
        </w:rPr>
        <w:t xml:space="preserve">, R.N., 2020. </w:t>
      </w:r>
      <w:proofErr w:type="spellStart"/>
      <w:r w:rsidRPr="007D23FD">
        <w:rPr>
          <w:rFonts w:ascii="Times New Roman" w:eastAsia="Times New Roman" w:hAnsi="Times New Roman" w:cs="Times New Roman"/>
          <w:sz w:val="24"/>
          <w:szCs w:val="24"/>
          <w:highlight w:val="white"/>
          <w:lang w:val="en-GB"/>
        </w:rPr>
        <w:t>Recontruction</w:t>
      </w:r>
      <w:proofErr w:type="spellEnd"/>
      <w:r w:rsidRPr="007D23FD">
        <w:rPr>
          <w:rFonts w:ascii="Times New Roman" w:eastAsia="Times New Roman" w:hAnsi="Times New Roman" w:cs="Times New Roman"/>
          <w:sz w:val="24"/>
          <w:szCs w:val="24"/>
          <w:highlight w:val="white"/>
          <w:lang w:val="en-GB"/>
        </w:rPr>
        <w:t xml:space="preserve"> of Corporate Criminal Liability in Indonesia. </w:t>
      </w:r>
      <w:r w:rsidRPr="007D23FD">
        <w:rPr>
          <w:rFonts w:ascii="Times New Roman" w:eastAsia="Times New Roman" w:hAnsi="Times New Roman" w:cs="Times New Roman"/>
          <w:i/>
          <w:sz w:val="24"/>
          <w:szCs w:val="24"/>
          <w:highlight w:val="white"/>
          <w:lang w:val="en-GB"/>
        </w:rPr>
        <w:t>International Journal of Advanced Science and Technology</w:t>
      </w:r>
      <w:r w:rsidRPr="007D23FD">
        <w:rPr>
          <w:rFonts w:ascii="Times New Roman" w:eastAsia="Times New Roman" w:hAnsi="Times New Roman" w:cs="Times New Roman"/>
          <w:sz w:val="24"/>
          <w:szCs w:val="24"/>
          <w:highlight w:val="white"/>
          <w:lang w:val="en-GB"/>
        </w:rPr>
        <w:t xml:space="preserve">, </w:t>
      </w:r>
      <w:r w:rsidRPr="007D23FD">
        <w:rPr>
          <w:rFonts w:ascii="Times New Roman" w:eastAsia="Times New Roman" w:hAnsi="Times New Roman" w:cs="Times New Roman"/>
          <w:i/>
          <w:sz w:val="24"/>
          <w:szCs w:val="24"/>
          <w:highlight w:val="white"/>
          <w:lang w:val="en-GB"/>
        </w:rPr>
        <w:t>29</w:t>
      </w:r>
      <w:r w:rsidRPr="007D23FD">
        <w:rPr>
          <w:rFonts w:ascii="Times New Roman" w:eastAsia="Times New Roman" w:hAnsi="Times New Roman" w:cs="Times New Roman"/>
          <w:sz w:val="24"/>
          <w:szCs w:val="24"/>
          <w:highlight w:val="white"/>
          <w:lang w:val="en-GB"/>
        </w:rPr>
        <w:t>(8), pp.1231-1240.</w:t>
      </w:r>
    </w:p>
    <w:sectPr w:rsidR="00684BF2" w:rsidRPr="007D23FD" w:rsidSect="007D23FD">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7E580" w14:textId="77777777" w:rsidR="00985270" w:rsidRDefault="00985270" w:rsidP="007D23FD">
      <w:pPr>
        <w:spacing w:line="240" w:lineRule="auto"/>
      </w:pPr>
      <w:r>
        <w:separator/>
      </w:r>
    </w:p>
  </w:endnote>
  <w:endnote w:type="continuationSeparator" w:id="0">
    <w:p w14:paraId="65F49A91" w14:textId="77777777" w:rsidR="00985270" w:rsidRDefault="00985270" w:rsidP="007D23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15157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3EC35EA2" w14:textId="77777777" w:rsidR="007D23FD" w:rsidRPr="007D23FD" w:rsidRDefault="007D23FD">
            <w:pPr>
              <w:pStyle w:val="Footer"/>
              <w:jc w:val="right"/>
              <w:rPr>
                <w:rFonts w:ascii="Times New Roman" w:hAnsi="Times New Roman" w:cs="Times New Roman"/>
              </w:rPr>
            </w:pPr>
            <w:r w:rsidRPr="007D23FD">
              <w:rPr>
                <w:rFonts w:ascii="Times New Roman" w:hAnsi="Times New Roman" w:cs="Times New Roman"/>
              </w:rPr>
              <w:t xml:space="preserve">Page </w:t>
            </w:r>
            <w:r w:rsidRPr="007D23FD">
              <w:rPr>
                <w:rFonts w:ascii="Times New Roman" w:hAnsi="Times New Roman" w:cs="Times New Roman"/>
              </w:rPr>
              <w:fldChar w:fldCharType="begin"/>
            </w:r>
            <w:r w:rsidRPr="007D23FD">
              <w:rPr>
                <w:rFonts w:ascii="Times New Roman" w:hAnsi="Times New Roman" w:cs="Times New Roman"/>
              </w:rPr>
              <w:instrText xml:space="preserve"> PAGE </w:instrText>
            </w:r>
            <w:r w:rsidRPr="007D23FD">
              <w:rPr>
                <w:rFonts w:ascii="Times New Roman" w:hAnsi="Times New Roman" w:cs="Times New Roman"/>
              </w:rPr>
              <w:fldChar w:fldCharType="separate"/>
            </w:r>
            <w:r w:rsidR="00684BF2">
              <w:rPr>
                <w:rFonts w:ascii="Times New Roman" w:hAnsi="Times New Roman" w:cs="Times New Roman"/>
                <w:noProof/>
              </w:rPr>
              <w:t>6</w:t>
            </w:r>
            <w:r w:rsidRPr="007D23FD">
              <w:rPr>
                <w:rFonts w:ascii="Times New Roman" w:hAnsi="Times New Roman" w:cs="Times New Roman"/>
              </w:rPr>
              <w:fldChar w:fldCharType="end"/>
            </w:r>
            <w:r w:rsidRPr="007D23FD">
              <w:rPr>
                <w:rFonts w:ascii="Times New Roman" w:hAnsi="Times New Roman" w:cs="Times New Roman"/>
              </w:rPr>
              <w:t xml:space="preserve"> of </w:t>
            </w:r>
            <w:r w:rsidRPr="007D23FD">
              <w:rPr>
                <w:rFonts w:ascii="Times New Roman" w:hAnsi="Times New Roman" w:cs="Times New Roman"/>
              </w:rPr>
              <w:fldChar w:fldCharType="begin"/>
            </w:r>
            <w:r w:rsidRPr="007D23FD">
              <w:rPr>
                <w:rFonts w:ascii="Times New Roman" w:hAnsi="Times New Roman" w:cs="Times New Roman"/>
              </w:rPr>
              <w:instrText xml:space="preserve"> NUMPAGES  </w:instrText>
            </w:r>
            <w:r w:rsidRPr="007D23FD">
              <w:rPr>
                <w:rFonts w:ascii="Times New Roman" w:hAnsi="Times New Roman" w:cs="Times New Roman"/>
              </w:rPr>
              <w:fldChar w:fldCharType="separate"/>
            </w:r>
            <w:r w:rsidR="00684BF2">
              <w:rPr>
                <w:rFonts w:ascii="Times New Roman" w:hAnsi="Times New Roman" w:cs="Times New Roman"/>
                <w:noProof/>
              </w:rPr>
              <w:t>6</w:t>
            </w:r>
            <w:r w:rsidRPr="007D23FD">
              <w:rPr>
                <w:rFonts w:ascii="Times New Roman" w:hAnsi="Times New Roman" w:cs="Times New Roman"/>
              </w:rPr>
              <w:fldChar w:fldCharType="end"/>
            </w:r>
          </w:p>
        </w:sdtContent>
      </w:sdt>
    </w:sdtContent>
  </w:sdt>
  <w:p w14:paraId="6812456A" w14:textId="77777777" w:rsidR="007D23FD" w:rsidRPr="007D23FD" w:rsidRDefault="007D23FD">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5CEB8" w14:textId="77777777" w:rsidR="00985270" w:rsidRDefault="00985270" w:rsidP="007D23FD">
      <w:pPr>
        <w:spacing w:line="240" w:lineRule="auto"/>
      </w:pPr>
      <w:r>
        <w:separator/>
      </w:r>
    </w:p>
  </w:footnote>
  <w:footnote w:type="continuationSeparator" w:id="0">
    <w:p w14:paraId="37C5582F" w14:textId="77777777" w:rsidR="00985270" w:rsidRDefault="00985270" w:rsidP="007D23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697"/>
    <w:rsid w:val="00454697"/>
    <w:rsid w:val="004B4AA7"/>
    <w:rsid w:val="00652C91"/>
    <w:rsid w:val="00684BF2"/>
    <w:rsid w:val="007D23FD"/>
    <w:rsid w:val="00985270"/>
    <w:rsid w:val="00CE59EA"/>
    <w:rsid w:val="00F81A30"/>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EEEE"/>
  <w15:docId w15:val="{0D2AFAD3-B91E-904C-9BFF-8968CFCE1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4697"/>
    <w:pPr>
      <w:keepNext/>
      <w:keepLines/>
      <w:spacing w:before="400" w:after="120"/>
      <w:outlineLvl w:val="0"/>
    </w:pPr>
    <w:rPr>
      <w:sz w:val="40"/>
      <w:szCs w:val="40"/>
    </w:rPr>
  </w:style>
  <w:style w:type="paragraph" w:styleId="Heading2">
    <w:name w:val="heading 2"/>
    <w:basedOn w:val="Normal1"/>
    <w:next w:val="Normal1"/>
    <w:rsid w:val="00454697"/>
    <w:pPr>
      <w:keepNext/>
      <w:keepLines/>
      <w:spacing w:before="360" w:after="120"/>
      <w:outlineLvl w:val="1"/>
    </w:pPr>
    <w:rPr>
      <w:sz w:val="32"/>
      <w:szCs w:val="32"/>
    </w:rPr>
  </w:style>
  <w:style w:type="paragraph" w:styleId="Heading3">
    <w:name w:val="heading 3"/>
    <w:basedOn w:val="Normal1"/>
    <w:next w:val="Normal1"/>
    <w:rsid w:val="00454697"/>
    <w:pPr>
      <w:keepNext/>
      <w:keepLines/>
      <w:spacing w:before="320" w:after="80"/>
      <w:outlineLvl w:val="2"/>
    </w:pPr>
    <w:rPr>
      <w:color w:val="434343"/>
      <w:sz w:val="28"/>
      <w:szCs w:val="28"/>
    </w:rPr>
  </w:style>
  <w:style w:type="paragraph" w:styleId="Heading4">
    <w:name w:val="heading 4"/>
    <w:basedOn w:val="Normal1"/>
    <w:next w:val="Normal1"/>
    <w:rsid w:val="00454697"/>
    <w:pPr>
      <w:keepNext/>
      <w:keepLines/>
      <w:spacing w:before="280" w:after="80"/>
      <w:outlineLvl w:val="3"/>
    </w:pPr>
    <w:rPr>
      <w:color w:val="666666"/>
      <w:sz w:val="24"/>
      <w:szCs w:val="24"/>
    </w:rPr>
  </w:style>
  <w:style w:type="paragraph" w:styleId="Heading5">
    <w:name w:val="heading 5"/>
    <w:basedOn w:val="Normal1"/>
    <w:next w:val="Normal1"/>
    <w:rsid w:val="00454697"/>
    <w:pPr>
      <w:keepNext/>
      <w:keepLines/>
      <w:spacing w:before="240" w:after="80"/>
      <w:outlineLvl w:val="4"/>
    </w:pPr>
    <w:rPr>
      <w:color w:val="666666"/>
    </w:rPr>
  </w:style>
  <w:style w:type="paragraph" w:styleId="Heading6">
    <w:name w:val="heading 6"/>
    <w:basedOn w:val="Normal1"/>
    <w:next w:val="Normal1"/>
    <w:rsid w:val="004546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4697"/>
  </w:style>
  <w:style w:type="paragraph" w:styleId="Title">
    <w:name w:val="Title"/>
    <w:basedOn w:val="Normal1"/>
    <w:next w:val="Normal1"/>
    <w:rsid w:val="00454697"/>
    <w:pPr>
      <w:keepNext/>
      <w:keepLines/>
      <w:spacing w:after="60"/>
    </w:pPr>
    <w:rPr>
      <w:sz w:val="52"/>
      <w:szCs w:val="52"/>
    </w:rPr>
  </w:style>
  <w:style w:type="paragraph" w:styleId="Subtitle">
    <w:name w:val="Subtitle"/>
    <w:basedOn w:val="Normal1"/>
    <w:next w:val="Normal1"/>
    <w:rsid w:val="00454697"/>
    <w:pPr>
      <w:keepNext/>
      <w:keepLines/>
      <w:spacing w:after="320"/>
    </w:pPr>
    <w:rPr>
      <w:color w:val="666666"/>
      <w:sz w:val="30"/>
      <w:szCs w:val="30"/>
    </w:rPr>
  </w:style>
  <w:style w:type="paragraph" w:styleId="Header">
    <w:name w:val="header"/>
    <w:basedOn w:val="Normal"/>
    <w:link w:val="HeaderChar"/>
    <w:uiPriority w:val="99"/>
    <w:semiHidden/>
    <w:unhideWhenUsed/>
    <w:rsid w:val="007D23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D23FD"/>
  </w:style>
  <w:style w:type="paragraph" w:styleId="Footer">
    <w:name w:val="footer"/>
    <w:basedOn w:val="Normal"/>
    <w:link w:val="FooterChar"/>
    <w:uiPriority w:val="99"/>
    <w:unhideWhenUsed/>
    <w:rsid w:val="007D23FD"/>
    <w:pPr>
      <w:tabs>
        <w:tab w:val="center" w:pos="4680"/>
        <w:tab w:val="right" w:pos="9360"/>
      </w:tabs>
      <w:spacing w:line="240" w:lineRule="auto"/>
    </w:pPr>
  </w:style>
  <w:style w:type="character" w:customStyle="1" w:styleId="FooterChar">
    <w:name w:val="Footer Char"/>
    <w:basedOn w:val="DefaultParagraphFont"/>
    <w:link w:val="Footer"/>
    <w:uiPriority w:val="99"/>
    <w:rsid w:val="007D2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1774</Words>
  <Characters>8714</Characters>
  <Application>Microsoft Office Word</Application>
  <DocSecurity>0</DocSecurity>
  <Lines>138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3</cp:revision>
  <dcterms:created xsi:type="dcterms:W3CDTF">2022-11-10T16:17:00Z</dcterms:created>
  <dcterms:modified xsi:type="dcterms:W3CDTF">2022-11-10T16:18:00Z</dcterms:modified>
  <cp:category/>
</cp:coreProperties>
</file>