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r>
        <w:drawing>
          <wp:inline distT="0" distB="0" distL="114300" distR="114300">
            <wp:extent cx="2971800" cy="704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2971800" cy="704850"/>
                    </a:xfrm>
                    <a:prstGeom prst="rect">
                      <a:avLst/>
                    </a:prstGeom>
                    <a:noFill/>
                    <a:ln>
                      <a:noFill/>
                    </a:ln>
                  </pic:spPr>
                </pic:pic>
              </a:graphicData>
            </a:graphic>
          </wp:inline>
        </w:drawing>
      </w:r>
    </w:p>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center"/>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center"/>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center"/>
        <w:rPr>
          <w:rFonts w:ascii="Times New Roman" w:hAnsi="Times New Roman" w:eastAsia="Times New Roman" w:cs="Times New Roman"/>
          <w:b/>
          <w:bCs/>
          <w:color w:val="000000" w:themeColor="text1"/>
          <w:sz w:val="24"/>
          <w:szCs w:val="24"/>
          <w:lang w:val="en-GB"/>
          <w14:textFill>
            <w14:solidFill>
              <w14:schemeClr w14:val="tx1"/>
            </w14:solidFill>
          </w14:textFill>
        </w:rPr>
      </w:pPr>
      <w:r>
        <w:rPr>
          <w:rFonts w:ascii="Times New Roman" w:hAnsi="Times New Roman" w:eastAsia="Times New Roman" w:cs="Times New Roman"/>
          <w:b/>
          <w:bCs/>
          <w:color w:val="000000" w:themeColor="text1"/>
          <w:sz w:val="24"/>
          <w:szCs w:val="24"/>
          <w:lang w:val="en-GB"/>
          <w14:textFill>
            <w14:solidFill>
              <w14:schemeClr w14:val="tx1"/>
            </w14:solidFill>
          </w14:textFill>
        </w:rPr>
        <w:t>Strategic Marketing Plan: Marriot International</w:t>
      </w:r>
    </w:p>
    <w:p>
      <w:pPr>
        <w:spacing w:before="120" w:after="0" w:line="360" w:lineRule="auto"/>
        <w:jc w:val="center"/>
        <w:rPr>
          <w:rFonts w:hint="eastAsia" w:ascii="Times New Roman" w:hAnsi="Times New Roman" w:cs="Times New Roman"/>
          <w:b/>
          <w:bCs/>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TianChang Tan</w:t>
      </w:r>
    </w:p>
    <w:p>
      <w:pPr>
        <w:spacing w:before="120" w:after="0" w:line="360" w:lineRule="auto"/>
        <w:jc w:val="center"/>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2022.5.2</w:t>
      </w:r>
      <w:bookmarkStart w:id="12" w:name="_GoBack"/>
      <w:bookmarkEnd w:id="12"/>
    </w:p>
    <w:p>
      <w:pPr>
        <w:spacing w:before="120" w:after="0" w:line="360" w:lineRule="auto"/>
        <w:jc w:val="center"/>
        <w:rPr>
          <w:rFonts w:ascii="Times New Roman" w:hAnsi="Times New Roman" w:eastAsia="Times New Roman" w:cs="Times New Roman"/>
          <w:color w:val="000000" w:themeColor="text1"/>
          <w:sz w:val="24"/>
          <w:szCs w:val="24"/>
          <w:lang w:val="en-GB"/>
          <w14:textFill>
            <w14:solidFill>
              <w14:schemeClr w14:val="tx1"/>
            </w14:solidFill>
          </w14:textFill>
        </w:rPr>
      </w:pPr>
      <w:r>
        <w:rPr>
          <w:rFonts w:ascii="Times New Roman" w:hAnsi="Times New Roman" w:eastAsia="Times New Roman" w:cs="Times New Roman"/>
          <w:color w:val="000000" w:themeColor="text1"/>
          <w:sz w:val="24"/>
          <w:szCs w:val="24"/>
          <w:lang w:val="en-GB"/>
          <w14:textFill>
            <w14:solidFill>
              <w14:schemeClr w14:val="tx1"/>
            </w14:solidFill>
          </w14:textFill>
        </w:rPr>
        <w:br w:type="textWrapping"/>
      </w:r>
    </w:p>
    <w:p>
      <w:pPr>
        <w:spacing w:before="120" w:after="0" w:line="360" w:lineRule="auto"/>
        <w:jc w:val="center"/>
        <w:rPr>
          <w:rFonts w:ascii="Times New Roman" w:hAnsi="Times New Roman" w:cs="Times New Roman"/>
          <w:b/>
          <w:color w:val="000000" w:themeColor="text1"/>
          <w:sz w:val="24"/>
          <w:szCs w:val="24"/>
          <w:lang w:val="en-GB"/>
          <w14:textFill>
            <w14:solidFill>
              <w14:schemeClr w14:val="tx1"/>
            </w14:solidFill>
          </w14:textFill>
        </w:rPr>
        <w:sectPr>
          <w:footerReference r:id="rId5" w:type="default"/>
          <w:pgSz w:w="12240" w:h="15840"/>
          <w:pgMar w:top="1440" w:right="1440" w:bottom="1440" w:left="1440" w:header="708" w:footer="708" w:gutter="0"/>
          <w:cols w:space="708" w:num="1"/>
          <w:titlePg/>
          <w:docGrid w:linePitch="360" w:charSpace="0"/>
        </w:sectPr>
      </w:pPr>
    </w:p>
    <w:p>
      <w:pPr>
        <w:spacing w:before="120" w:after="0" w:line="360" w:lineRule="auto"/>
        <w:jc w:val="center"/>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Executive Summary</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This report evaluates the strategic marketing objective of Marriot International to adopt an Airbnb approach to gain a competitive edge in the hospitality sector. Due to the effects of COVID-19 and the disruptive nature of the sharing economy, the strategic marketing tool was developed using the S.O.S.T.A.C. model. The objectives were to introduce 500 pilot homes, fully automate them and achieve an 80% occupancy rate by the end of 2024. The strategy followed the S.T.P. model in which Marriot International would target the younger generation through social media marketing. Under tactics, the 4Ps marketing mix was used to show the service (automated homes), pricing (different tiers), place (top tourist cities globally), and promotion (discounts and offers). The strategy would be executed by selected managers and staff through restructuring but maintaining the original matrix structure of the organization. To effectively measure the strategy's success, it was proposed that a review of occupancy rates, N.P.S. and C.R.R. metrics be done to provide an accurate picture. </w:t>
      </w:r>
    </w:p>
    <w:p>
      <w:pPr>
        <w:pStyle w:val="15"/>
        <w:spacing w:before="120" w:line="360" w:lineRule="auto"/>
        <w:jc w:val="center"/>
        <w:rPr>
          <w:rFonts w:ascii="Times New Roman" w:hAnsi="Times New Roman" w:cs="Times New Roman"/>
          <w:color w:val="000000" w:themeColor="text1"/>
          <w:sz w:val="24"/>
          <w:szCs w:val="24"/>
          <w:lang w:val="en-GB"/>
          <w14:textFill>
            <w14:solidFill>
              <w14:schemeClr w14:val="tx1"/>
            </w14:solidFill>
          </w14:textFill>
        </w:rPr>
        <w:sectPr>
          <w:pgSz w:w="12240" w:h="15840"/>
          <w:pgMar w:top="1440" w:right="1440" w:bottom="1440" w:left="1440" w:header="708" w:footer="708" w:gutter="0"/>
          <w:cols w:space="708" w:num="1"/>
          <w:titlePg/>
          <w:docGrid w:linePitch="360" w:charSpace="0"/>
        </w:sectPr>
      </w:pPr>
      <w:r>
        <w:rPr>
          <w:rFonts w:ascii="Times New Roman" w:hAnsi="Times New Roman" w:cs="Times New Roman"/>
          <w:color w:val="000000" w:themeColor="text1"/>
          <w:sz w:val="24"/>
          <w:szCs w:val="24"/>
          <w:lang w:val="en-GB"/>
          <w14:textFill>
            <w14:solidFill>
              <w14:schemeClr w14:val="tx1"/>
            </w14:solidFill>
          </w14:textFill>
        </w:rPr>
        <w:br w:type="page"/>
      </w:r>
    </w:p>
    <w:p>
      <w:pPr>
        <w:pStyle w:val="15"/>
        <w:spacing w:before="120" w:line="360" w:lineRule="auto"/>
        <w:jc w:val="center"/>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Table of Contents</w:t>
      </w:r>
    </w:p>
    <w:sdt>
      <w:sdtPr>
        <w:rPr>
          <w:rFonts w:ascii="Times New Roman" w:hAnsi="Times New Roman" w:cs="Times New Roman" w:eastAsiaTheme="minorHAnsi"/>
          <w:color w:val="000000" w:themeColor="text1"/>
          <w:sz w:val="24"/>
          <w:szCs w:val="24"/>
          <w:lang w:val="en-GB"/>
          <w14:textFill>
            <w14:solidFill>
              <w14:schemeClr w14:val="tx1"/>
            </w14:solidFill>
          </w14:textFill>
        </w:rPr>
        <w:id w:val="-453169468"/>
        <w:docPartObj>
          <w:docPartGallery w:val="Table of Contents"/>
          <w:docPartUnique/>
        </w:docPartObj>
      </w:sdtPr>
      <w:sdtEndPr>
        <w:rPr>
          <w:rFonts w:ascii="Times New Roman" w:hAnsi="Times New Roman" w:eastAsia="宋体" w:cs="Times New Roman"/>
          <w:b/>
          <w:bCs/>
          <w:color w:val="000000" w:themeColor="text1"/>
          <w:sz w:val="24"/>
          <w:szCs w:val="24"/>
          <w:lang w:val="en-GB"/>
          <w14:textFill>
            <w14:solidFill>
              <w14:schemeClr w14:val="tx1"/>
            </w14:solidFill>
          </w14:textFill>
        </w:rPr>
      </w:sdtEndPr>
      <w:sdtContent>
        <w:p>
          <w:pPr>
            <w:pStyle w:val="8"/>
            <w:tabs>
              <w:tab w:val="right" w:leader="dot" w:pos="9350"/>
            </w:tabs>
            <w:rPr>
              <w:rFonts w:ascii="Times New Roman" w:hAnsi="Times New Roman" w:cs="Times New Roman" w:eastAsiaTheme="minorEastAsia"/>
              <w:sz w:val="24"/>
              <w:szCs w:val="24"/>
              <w:lang w:val="en-GB" w:eastAsia="zh-CN"/>
            </w:rPr>
          </w:pPr>
          <w:r>
            <w:rPr>
              <w:rFonts w:ascii="Times New Roman" w:hAnsi="Times New Roman" w:cs="Times New Roman"/>
              <w:color w:val="000000" w:themeColor="text1"/>
              <w:sz w:val="24"/>
              <w:szCs w:val="24"/>
              <w:lang w:val="en-GB"/>
              <w14:textFill>
                <w14:solidFill>
                  <w14:schemeClr w14:val="tx1"/>
                </w14:solidFill>
              </w14:textFill>
            </w:rPr>
            <w:fldChar w:fldCharType="begin"/>
          </w:r>
          <w:r>
            <w:rPr>
              <w:rFonts w:ascii="Times New Roman" w:hAnsi="Times New Roman" w:cs="Times New Roman"/>
              <w:color w:val="000000" w:themeColor="text1"/>
              <w:sz w:val="24"/>
              <w:szCs w:val="24"/>
              <w:lang w:val="en-GB"/>
              <w14:textFill>
                <w14:solidFill>
                  <w14:schemeClr w14:val="tx1"/>
                </w14:solidFill>
              </w14:textFill>
            </w:rPr>
            <w:instrText xml:space="preserve"> TOC \o "1-3" \h \z \u </w:instrText>
          </w:r>
          <w:r>
            <w:rPr>
              <w:rFonts w:ascii="Times New Roman" w:hAnsi="Times New Roman" w:cs="Times New Roman"/>
              <w:color w:val="000000" w:themeColor="text1"/>
              <w:sz w:val="24"/>
              <w:szCs w:val="24"/>
              <w:lang w:val="en-GB"/>
              <w14:textFill>
                <w14:solidFill>
                  <w14:schemeClr w14:val="tx1"/>
                </w14:solidFill>
              </w14:textFill>
            </w:rPr>
            <w:fldChar w:fldCharType="separate"/>
          </w:r>
          <w:r>
            <w:fldChar w:fldCharType="begin"/>
          </w:r>
          <w:r>
            <w:instrText xml:space="preserve"> HYPERLINK \l "_Toc102409533" </w:instrText>
          </w:r>
          <w:r>
            <w:fldChar w:fldCharType="separate"/>
          </w:r>
          <w:r>
            <w:rPr>
              <w:rStyle w:val="13"/>
              <w:rFonts w:ascii="Times New Roman" w:hAnsi="Times New Roman" w:cs="Times New Roman"/>
              <w:sz w:val="24"/>
              <w:szCs w:val="24"/>
              <w:lang w:val="en-GB"/>
            </w:rPr>
            <w:t>1.0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_Toc102409533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"_Toc102409534" </w:instrText>
          </w:r>
          <w:r>
            <w:fldChar w:fldCharType="separate"/>
          </w:r>
          <w:r>
            <w:rPr>
              <w:rStyle w:val="13"/>
              <w:rFonts w:ascii="Times New Roman" w:hAnsi="Times New Roman" w:cs="Times New Roman"/>
              <w:sz w:val="24"/>
              <w:szCs w:val="24"/>
              <w:lang w:val="en-GB"/>
            </w:rPr>
            <w:t>2.0 Main Findings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_Toc102409534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"_Toc102409535" </w:instrText>
          </w:r>
          <w:r>
            <w:fldChar w:fldCharType="separate"/>
          </w:r>
          <w:r>
            <w:rPr>
              <w:rStyle w:val="13"/>
              <w:rFonts w:ascii="Times New Roman" w:hAnsi="Times New Roman" w:cs="Times New Roman"/>
              <w:sz w:val="24"/>
              <w:szCs w:val="24"/>
              <w:lang w:val="en-GB"/>
            </w:rPr>
            <w:t>2.1 Structure of the Marketing Plan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_Toc102409535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"_Toc102409536" </w:instrText>
          </w:r>
          <w:r>
            <w:fldChar w:fldCharType="separate"/>
          </w:r>
          <w:r>
            <w:rPr>
              <w:rStyle w:val="13"/>
              <w:rFonts w:ascii="Times New Roman" w:hAnsi="Times New Roman" w:cs="Times New Roman"/>
              <w:sz w:val="24"/>
              <w:szCs w:val="24"/>
              <w:lang w:val="en-GB"/>
            </w:rPr>
            <w:t>2.1.1 Situational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_Toc102409536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"_Toc102409537" </w:instrText>
          </w:r>
          <w:r>
            <w:fldChar w:fldCharType="separate"/>
          </w:r>
          <w:r>
            <w:rPr>
              <w:rStyle w:val="13"/>
              <w:rFonts w:ascii="Times New Roman" w:hAnsi="Times New Roman" w:cs="Times New Roman"/>
              <w:sz w:val="24"/>
              <w:szCs w:val="24"/>
              <w:lang w:val="en-GB"/>
            </w:rPr>
            <w:t>2.1.2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_Toc102409537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"_Toc102409538" </w:instrText>
          </w:r>
          <w:r>
            <w:fldChar w:fldCharType="separate"/>
          </w:r>
          <w:r>
            <w:rPr>
              <w:rStyle w:val="13"/>
              <w:rFonts w:ascii="Times New Roman" w:hAnsi="Times New Roman" w:cs="Times New Roman"/>
              <w:sz w:val="24"/>
              <w:szCs w:val="24"/>
              <w:lang w:val="en-GB"/>
            </w:rPr>
            <w:t>2.1.3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"_Toc102409539" </w:instrText>
          </w:r>
          <w:r>
            <w:fldChar w:fldCharType="separate"/>
          </w:r>
          <w:r>
            <w:rPr>
              <w:rStyle w:val="13"/>
              <w:rFonts w:ascii="Times New Roman" w:hAnsi="Times New Roman" w:cs="Times New Roman"/>
              <w:sz w:val="24"/>
              <w:szCs w:val="24"/>
              <w:lang w:val="en-GB"/>
            </w:rPr>
            <w:t>2.1.4 Tactics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_Toc102409539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"_Toc102409540" </w:instrText>
          </w:r>
          <w:r>
            <w:fldChar w:fldCharType="separate"/>
          </w:r>
          <w:r>
            <w:rPr>
              <w:rStyle w:val="13"/>
              <w:rFonts w:ascii="Times New Roman" w:hAnsi="Times New Roman" w:cs="Times New Roman"/>
              <w:sz w:val="24"/>
              <w:szCs w:val="24"/>
              <w:lang w:val="en-GB"/>
            </w:rPr>
            <w:t>2.1.5 Actions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_Toc102409540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"_Toc102409541" </w:instrText>
          </w:r>
          <w:r>
            <w:fldChar w:fldCharType="separate"/>
          </w:r>
          <w:r>
            <w:rPr>
              <w:rStyle w:val="13"/>
              <w:rFonts w:ascii="Times New Roman" w:hAnsi="Times New Roman" w:cs="Times New Roman"/>
              <w:sz w:val="24"/>
              <w:szCs w:val="24"/>
              <w:lang w:val="en-GB"/>
            </w:rPr>
            <w:t>2.1.6 Control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_Toc102409541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"_Toc102409542" </w:instrText>
          </w:r>
          <w:r>
            <w:fldChar w:fldCharType="separate"/>
          </w:r>
          <w:r>
            <w:rPr>
              <w:rStyle w:val="13"/>
              <w:rFonts w:ascii="Times New Roman" w:hAnsi="Times New Roman" w:cs="Times New Roman"/>
              <w:sz w:val="24"/>
              <w:szCs w:val="24"/>
              <w:lang w:val="en-GB"/>
            </w:rPr>
            <w:t>3.0 Recommendation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_Toc102409542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"_Toc102409543" </w:instrText>
          </w:r>
          <w:r>
            <w:fldChar w:fldCharType="separate"/>
          </w:r>
          <w:r>
            <w:rPr>
              <w:rStyle w:val="13"/>
              <w:rFonts w:ascii="Times New Roman" w:hAnsi="Times New Roman" w:cs="Times New Roman"/>
              <w:sz w:val="24"/>
              <w:szCs w:val="24"/>
              <w:lang w:val="en-GB"/>
            </w:rPr>
            <w:t>4.0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"_Toc102409544" </w:instrText>
          </w:r>
          <w:r>
            <w:fldChar w:fldCharType="separate"/>
          </w:r>
          <w:r>
            <w:rPr>
              <w:rStyle w:val="13"/>
              <w:rFonts w:ascii="Times New Roman" w:hAnsi="Times New Roman" w:cs="Times New Roman"/>
              <w:sz w:val="24"/>
              <w:szCs w:val="24"/>
              <w:lang w:val="en-GB"/>
            </w:rPr>
            <w:t>Reference</w:t>
          </w:r>
          <w:r>
            <w:rPr>
              <w:rStyle w:val="13"/>
              <w:rFonts w:ascii="Times New Roman" w:hAnsi="Times New Roman" w:cs="Times New Roman"/>
              <w:sz w:val="24"/>
              <w:szCs w:val="24"/>
              <w:lang w:val="en-GB" w:eastAsia="zh-CN"/>
            </w:rPr>
            <w: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_Toc102409544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fldChar w:fldCharType="end"/>
          </w:r>
        </w:p>
      </w:sdtContent>
    </w:sdt>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br w:type="page"/>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sectPr>
          <w:pgSz w:w="12240" w:h="15840"/>
          <w:pgMar w:top="1440" w:right="1440" w:bottom="1440" w:left="1440" w:header="708" w:footer="708" w:gutter="0"/>
          <w:cols w:space="708" w:num="1"/>
          <w:titlePg/>
          <w:docGrid w:linePitch="360" w:charSpace="0"/>
        </w:sectPr>
      </w:pP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0" w:name="_Toc102409533"/>
      <w:r>
        <w:rPr>
          <w:rFonts w:ascii="Times New Roman" w:hAnsi="Times New Roman" w:cs="Times New Roman"/>
          <w:b/>
          <w:color w:val="000000" w:themeColor="text1"/>
          <w:sz w:val="24"/>
          <w:szCs w:val="24"/>
          <w:lang w:val="en-GB"/>
          <w14:textFill>
            <w14:solidFill>
              <w14:schemeClr w14:val="tx1"/>
            </w14:solidFill>
          </w14:textFill>
        </w:rPr>
        <w:t>1.0 Introduction</w:t>
      </w:r>
      <w:bookmarkEnd w:id="0"/>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A marketing plan is a strategy used by an organization to promote its product or service to consumers (Chernev, 2020). It is mainly purposed to determine the target market, the appropriate pricing and quality, and the measurement metrics to check the plan's effectiveness (Wood, 2016). Some tools to develop suitable marketing plans include S.O.S.T.A.C. (used to assess the current situation, develop objectives, strategy, tactics, actions, and controls of the marketing plan) and SMART (used to create organizational goals), which will feature in the main body of the essay (Reed, 2014; Chaffey and Bosomworth, 2013). The tools will assess the strategic marketing objective of Marriot International to adopt the concept of automated homes for its customers. </w:t>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1" w:name="_Toc102409534"/>
      <w:r>
        <w:rPr>
          <w:rFonts w:ascii="Times New Roman" w:hAnsi="Times New Roman" w:cs="Times New Roman"/>
          <w:b/>
          <w:color w:val="000000" w:themeColor="text1"/>
          <w:sz w:val="24"/>
          <w:szCs w:val="24"/>
          <w:lang w:val="en-GB"/>
          <w14:textFill>
            <w14:solidFill>
              <w14:schemeClr w14:val="tx1"/>
            </w14:solidFill>
          </w14:textFill>
        </w:rPr>
        <w:t>2.0 Main Findings</w:t>
      </w:r>
      <w:bookmarkEnd w:id="1"/>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Following the analysis of Marriot International, the hospitality giant was reeling from the negative impact of COVID-19 and the threat of companies such as Airbnb, which operate on the shared economy model (Zervas et al., 2017). In light of these challenges, the strategic marketing objective relevant to Marriot International is adopting automated Airbnb-style homes that can redeem the hotel's economic performance. Based on the audit, it was clear that hotel bookings and expenditure dropped due to COVID, creating a turbulent business environment for Marriot International. It was also evident that Airbnb bookings, although lower in 2020 than in 2019, were much higher than hotel bookings (Business of Apps, 2021). By comparing the two findings, it is evident that the Airbnb style is fast catching up in the hospitality industry, thus presenting a significant threat to Marriot International (Zervas et al., 2017). Therefore, the strategic objective to adopt a similar approach in the market could give the company a chance to remain competitive.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strategic objective selected will directly benefit the hotel in terms of bookings, customization, revenue, and reputation. The creation of smaller size autonomous units will give customers an exclusive 5-star experience that will be private and affordable at the same time (Jiang and Wen, 2020). Due to this, the company will record more bookings and generate more revenue. In the context of customization, the hotel can customize each unit based on a customer's taste to ensure the experience remains unique and hard to imitate on the market (Rutherford, 2021). Consequently, the provision of these new options will favour the company's reputation, thus increasing its influence within the hospitality market. The strategic objectives selected will utilize the SMART model (Specific, measurable, attainable, relevant, and time-bound) to define the goals and time frame to work with. In this case, it will include acquiring 500 pilot fully automated homes with optional standby staff by 2024 and achieving an 80% occupancy rate in the fourth quarter of 2024.  </w:t>
      </w:r>
    </w:p>
    <w:p>
      <w:pPr>
        <w:pStyle w:val="3"/>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2" w:name="_Toc102409535"/>
      <w:r>
        <w:rPr>
          <w:rFonts w:ascii="Times New Roman" w:hAnsi="Times New Roman" w:cs="Times New Roman"/>
          <w:b/>
          <w:color w:val="000000" w:themeColor="text1"/>
          <w:sz w:val="24"/>
          <w:szCs w:val="24"/>
          <w:lang w:val="en-GB"/>
          <w14:textFill>
            <w14:solidFill>
              <w14:schemeClr w14:val="tx1"/>
            </w14:solidFill>
          </w14:textFill>
        </w:rPr>
        <w:t>2.1 Structure of the Marketing Plan</w:t>
      </w:r>
      <w:bookmarkEnd w:id="2"/>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3" w:name="_Toc102409536"/>
      <w:r>
        <w:rPr>
          <w:rFonts w:ascii="Times New Roman" w:hAnsi="Times New Roman" w:cs="Times New Roman"/>
          <w:b/>
          <w:color w:val="000000" w:themeColor="text1"/>
          <w:lang w:val="en-GB"/>
          <w14:textFill>
            <w14:solidFill>
              <w14:schemeClr w14:val="tx1"/>
            </w14:solidFill>
          </w14:textFill>
        </w:rPr>
        <w:t>2.1.1 Situational Analysis</w:t>
      </w:r>
      <w:bookmarkEnd w:id="3"/>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marketing audit covered the external and internal environment of Marriot International to reveal the following.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P.E.S.T.E.L. analysis identified that COVID-19 created an economic slowdown in several countries, thereby reducing the purchasing power of customers. Consequently, the company registered a 90% decline in demand in 2020 (Marriott International Annual Report, 2020). Due to the economic disruption caused by the pandemic, the company also recorded a significant decrease in revenue from $20.971 billion in 2019 to $10.571 billion in 2020 (Marriott International Annual Report, 2020). It was also clear that consumer habits changed due to COVID-19, where travel, recreational, and hotel expenditure declined (O.N.S., 2020). It was attributed to the containment measures taken by governments globally to curb the spread of the virus.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According to Porter's five forces, the hotel compared fairly to other competitors such as Hilton and Hyatt. Given the similarity in business models and environments, Marriot International's direct competitors also suffered the blow from COVID-19 (Gursoy and Chi, 2020). In this case, the competitors did not present a direct challenge since COVID-19 disrupted the entire hospitality industry. Initially, Marriot had an advantage due to the use of technology in its services, but it has ceased to be a source of competitive advantage because COVID-19 measures have forced other competitors to create similar models. The possible threat lies in the new strategies that competitors might adopt to advance business in the post-pandemic world.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the final SWOT analysis, the alternative Airbnb industry was a significant threat to the hotel business as findings indicated that the company was less impacted than the hotel business. Due to the disruptive nature of the business, Marriot International has to consider borrowing some of the ideas of the business model to ensure its survival in the market (Fox, 2021). The company needs to diversify to capture an emerging market and remain competitive in the hospitality sector.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4" w:name="_Toc102409537"/>
      <w:r>
        <w:rPr>
          <w:rFonts w:ascii="Times New Roman" w:hAnsi="Times New Roman" w:cs="Times New Roman"/>
          <w:b/>
          <w:color w:val="000000" w:themeColor="text1"/>
          <w:lang w:val="en-GB"/>
          <w14:textFill>
            <w14:solidFill>
              <w14:schemeClr w14:val="tx1"/>
            </w14:solidFill>
          </w14:textFill>
        </w:rPr>
        <w:t>2.1.2 Objectives</w:t>
      </w:r>
      <w:bookmarkEnd w:id="4"/>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Based on the strategic objective to adopt automated Airbnb-style homes as hotel spots will be guided by three main objectives developed using the SMART model.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first objective will be the acquisition of 500 pilot homes. To test run the viability of the new approach, the project will incorporate 500 Marriot International homes spread out across critical global locations in North America and Europe. The project will be expected to run to mid-2023 to allow the sorting out of place, regulation, and acquisition expenses. According to the 5s model, this objective will fulfil the service component (Chaffey and Smith, 2017). The acquisition of these homes will be in line with the emerging consumer preferences for Airbnb-style accommodations.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second objective will be the automation of homes by early 2024. In this objective, Marriot International will work on creating an easy-to-use platform for people to view homes and make bookings. In addition, the automation process will cover installing devices to enable Q.R. code scanning to confirm booking upon arrival and generation of critical cards valid for the stay. The automatic system will eliminate the check-in and check-out procedure, thus giving customers more space (Denysenko and Breus, 2020). Based on the 5s model, this objective will apply to sell and serve aspects (Chaffey and Smith, 2017). It will attract more customers, retain current ones, and meet customer desires to incorporate seamless technology in service delivery (Chen et al., 2012). The company used technology before the pandemic to run its premises; therefore, it presents a viable opportunity to use the same concept in the new approach.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third objective will be to achieve an 80% occupancy rate of the new homes by the fourth quarter of 2024. After establishing the infrastructure to cater to the new service, Marriot International will proceed to market and achieve high occupancy rates in the new establishments. The company will use the digital marketing strategy, specifically social media marketing, to reach potential customers. An aggressive marketing approach will be suitable to achieve substantial results within 2024 (Kurt and Hulland, 2013). This objective will satisfy the speak concept in the 5s model as it will reflect the number of customers reached through its occupancy rates.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5" w:name="_Toc102409538"/>
      <w:r>
        <w:rPr>
          <w:rFonts w:ascii="Times New Roman" w:hAnsi="Times New Roman" w:cs="Times New Roman"/>
          <w:b/>
          <w:color w:val="000000" w:themeColor="text1"/>
          <w:lang w:val="en-GB"/>
          <w14:textFill>
            <w14:solidFill>
              <w14:schemeClr w14:val="tx1"/>
            </w14:solidFill>
          </w14:textFill>
        </w:rPr>
        <w:t>2.1.3 Strategy</w:t>
      </w:r>
      <w:bookmarkEnd w:id="5"/>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overall strategy ensures that Marriot International adopts automated Airbnb-style homes to recoup its lost business and expand into an emerging market.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first point of the strategy will be the creation of partnerships. The company will not limit buying unoccupied homes; instead, it will work with local homeowners interested in joining the Marriot International platform. The partnerships will increase local people's business, thereby kneading an inclusive business model (Geissdoerfer et al., 2018). The purpose of the strategy will remain to promote enterprise among individual homeowners to meet customer needs.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company will use S.T.P. (segmentation, targeting, and positioning) to achieve high occupancy rates. According to market research, Marriot International will focus on the 18-30 segment who prefer the Airbnb experience (Lutz and Newland, 2018). The targeting will take the form of concentrated marketing by creating specific adverts to appeal to the younger consumer segment. According to Condor Ferries (2022), 55% of millennials consider traveling a vital activity in any particular year. Given the statistic, targeting the specific segment with relevant accommodation services will increase Marriot International's booking ratings (Camilleri, 2018). Consequently, the company will be repositioning itself from a hotel service provider to an accommodation service provider.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tactical tools necessary for the operation will include social media marketing to fulfil the S.T.P. approach discussed above. According to Condor Ferries (2022), 87% of millennials used social media to research their destinations, and 74% fulfilled booking and travel using their smartphones. The data indicate that social media is crucial for reaching out to the targeted market. The specific sites to be operated are Facebook, Twitter, Pinterest, Tik Tok, YouTube, and Instagram. The use of social media marketing will reach a greater audience of young consumers considering travel.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6" w:name="_Toc102409539"/>
      <w:r>
        <w:rPr>
          <w:rFonts w:ascii="Times New Roman" w:hAnsi="Times New Roman" w:cs="Times New Roman"/>
          <w:b/>
          <w:color w:val="000000" w:themeColor="text1"/>
          <w:lang w:val="en-GB"/>
          <w14:textFill>
            <w14:solidFill>
              <w14:schemeClr w14:val="tx1"/>
            </w14:solidFill>
          </w14:textFill>
        </w:rPr>
        <w:t>2.1.4 Tactics</w:t>
      </w:r>
      <w:bookmarkEnd w:id="6"/>
      <w:r>
        <w:rPr>
          <w:rFonts w:ascii="Times New Roman" w:hAnsi="Times New Roman" w:cs="Times New Roman"/>
          <w:b/>
          <w:color w:val="000000" w:themeColor="text1"/>
          <w:lang w:val="en-GB"/>
          <w14:textFill>
            <w14:solidFill>
              <w14:schemeClr w14:val="tx1"/>
            </w14:solidFill>
          </w14:textFill>
        </w:rPr>
        <w:t xml:space="preserve">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this section, Marriot International will employ the 4Ps of the marketing mix to fulfil its intentions with the new strategy.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Under product, the organization will be offering a 5-star experience in an independent unit. In this instance, each home will include some of the features and services that one might find in a Marriot International hotel premises. Essentially, it will combine spread-out rooms globally in various locations. Since the service offered will be high quality, the product will attract more customers to its platform.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Under pricing, the company will offer various selections of homes and prices. There will be a standard price to cover for classic stays, including furnished spaces, food delivery, and other essential services. Pricing will be adjusted to higher perks for individuals interested in private catering, luxury items, and other amenities, including pools and Jacuzzis. The standard pricing will attract as many young customers as possible (Kienzler and Kowalkowski, 2017). The main objective will be to provide the right price for 100% value to the customer.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Under place, the company will position the first 500 homes in the most popular travel destinations in North America and Europe. These will include cities in the U.S. (Los Angeles and New York) and European cities (London, Barcelona, Istanbul, Paris, Rome, and Amsterdam). Given that these are the most popular travel destinations globally, staking investments in the cities will favour Marriot International (Guo et al., 2015).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Finally, the promotional aspect will feature making relevant advertisements on social media. The main catch to consumers will be offering the hotel experience and Airbnb experience in one package. In this case, social media marketing these spaces as viable accommodation options will ensure customers understand the company's intentions to offer quality at a reasonable price (Evans et al., 2021). Social media marketing will feature regular posts of available spaces and offers during holidays and select weekends.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7" w:name="_Toc102409540"/>
      <w:r>
        <w:rPr>
          <w:rFonts w:ascii="Times New Roman" w:hAnsi="Times New Roman" w:cs="Times New Roman"/>
          <w:b/>
          <w:color w:val="000000" w:themeColor="text1"/>
          <w:lang w:val="en-GB"/>
          <w14:textFill>
            <w14:solidFill>
              <w14:schemeClr w14:val="tx1"/>
            </w14:solidFill>
          </w14:textFill>
        </w:rPr>
        <w:t>2.1.5 Actions</w:t>
      </w:r>
      <w:bookmarkEnd w:id="7"/>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the preliminary stages of acquisition and automation, the company will restructure its staff to dedicate a percentage of the workforce to begin the pilot of the automated home plan. In this approach, hotel managers within the selected cities will be assigned an additional task to monitor the homes and ensure the necessary materials are available for their operation (one manager per home). The acquisition process will be a joint venture between the procurement and marketing teams to ensure the selection of the most suitable properties.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Currently, Marriot International runs on a matrix structure suited for a turbulent environment to increase the efficiency and effectiveness of the organization (How and Lee, 2021). In this case, the company can utilize the same design to run the automated homes. Specifically, each country will have an overseeing manager who will report to an international executive coordinating the international automated home experience. There will be two staff assigned for each unit who will perform light duties of cooking and cleaning the space during the guests' stay. Additional staff will only be posted upon customer request to fulfil extended needs (only available in the higher perks).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Once operational, the automated system will confirm bookings and automatically assign staff to each location. The space will be prepared and stocked with the necessary materials hours before the arrival of the guests (assigned staff of the home will perform this job role). Given that the system is autonomous, it is expected most requests will be made through the Marriot mobile application to provide a seamless experience and service.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key aspects of interest will be to ensure the space is prepared and stocked thoroughly before the arrival of guests, a welcoming atmosphere, and attention to guests' needs during the stay. The stated aspects will appear on the developed checklists to ensure top-notch service delivery (Krishan, 2013). In addition, a rating system, reviewed by respective managers, will be used to show aspects that might need improvement in the future.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8" w:name="_Toc102409541"/>
      <w:r>
        <w:rPr>
          <w:rFonts w:ascii="Times New Roman" w:hAnsi="Times New Roman" w:cs="Times New Roman"/>
          <w:b/>
          <w:color w:val="000000" w:themeColor="text1"/>
          <w:lang w:val="en-GB"/>
          <w14:textFill>
            <w14:solidFill>
              <w14:schemeClr w14:val="tx1"/>
            </w14:solidFill>
          </w14:textFill>
        </w:rPr>
        <w:t>2.1.6 Control</w:t>
      </w:r>
      <w:bookmarkEnd w:id="8"/>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strategy will require control to assess its effectiveness and areas that might need attention. To begin, assigned managers will be in complete control of the activities of each autonomous unit. The key areas that managers will compare are occupancy rates at various periods. The collective data will indicate how the new venture is fairing compared to its competitor Airbnb (Kotler and Keller, 2016). The company will also tabulate the revenues collected in the pilot period to make projections with market data.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company will also use the rating system where customers will rate their stay at every premise. This will be a direct customer feedback tool to incorporate suggestions to meet customer needs (Nunkoo et al., 2020). Given that the project will be in a pilot phase, adopting some of the recommendations might be helpful in full-scale operation. The ratings will be reviewed and compared by managers before making a final set of recommendations.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To understand the project's viability, the company will conduct a customer survey project using the net promoter score (N.P.S.) and customer retention rate (C.R.R.) tools to check the project's progress. The N.P.S. results will project the likelihood of people recommending Marriot International automated homes to other people, thereby gauging customer perception of the project (Neirotti et al., 2016). The C.R.R. tool will be important in measuring the chance of previous customers staying in the automated homes again (Ascarza et al., 2018). These metrics are crucial in establishing the specific points of the project that may need tweaking.</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control process will also include employees, ensuring that all provided obligations are satisfied during the guests' stay. The control process will shift employees within a region to ensure all are familiar with the homes and possible specifications to enhance the experience. In areas that seem lacking, additional training will be provided to boost service delivery. </w:t>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9" w:name="_Toc102409542"/>
      <w:r>
        <w:rPr>
          <w:rFonts w:ascii="Times New Roman" w:hAnsi="Times New Roman" w:cs="Times New Roman"/>
          <w:b/>
          <w:color w:val="000000" w:themeColor="text1"/>
          <w:sz w:val="24"/>
          <w:szCs w:val="24"/>
          <w:lang w:val="en-GB"/>
          <w14:textFill>
            <w14:solidFill>
              <w14:schemeClr w14:val="tx1"/>
            </w14:solidFill>
          </w14:textFill>
        </w:rPr>
        <w:t>3.0 Recommendation</w:t>
      </w:r>
      <w:bookmarkEnd w:id="9"/>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Based on the strategic marketing objective analysis above, the company should proceed with the automated home experience to enhance its competitiveness in the market. The company can gain a competitive advantage over other competitors by creating a balance between quality and price (Bilgihan et al., 2011). Offering high quality at a reasonable price will ensure a sustainable competitive advantage as Airbnb might not mimic quality. It will stay ahead of other hotel competitors by repositioning itself as an accommodation provider. </w:t>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10" w:name="_Toc102409543"/>
      <w:r>
        <w:rPr>
          <w:rFonts w:ascii="Times New Roman" w:hAnsi="Times New Roman" w:cs="Times New Roman"/>
          <w:b/>
          <w:color w:val="000000" w:themeColor="text1"/>
          <w:sz w:val="24"/>
          <w:szCs w:val="24"/>
          <w:lang w:val="en-GB"/>
          <w14:textFill>
            <w14:solidFill>
              <w14:schemeClr w14:val="tx1"/>
            </w14:solidFill>
          </w14:textFill>
        </w:rPr>
        <w:t>4.0 Conclusion</w:t>
      </w:r>
      <w:bookmarkEnd w:id="10"/>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the discussion above, it was clear that Marriot International needed to restructure its business position due to the effects of COVID-19 and the threat from substitutes manifested through Airbnb. It was apparent that the company would invest in 500 automated pilot homes by the end of 2023, complete the automation process by early 2024 and achieve occupancy of 80% by the fourth quarter of 2024. The analysis suggested the company should use social media marketing for its targeted audience and use the 4Ps to affect the outcome. In ensuring the process works, the organization will review bookings, ratings, and customer measurements using N.P.S. and C.R.R. to establish the strategy's progress.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sectPr>
          <w:pgSz w:w="12240" w:h="15840"/>
          <w:pgMar w:top="1440" w:right="1440" w:bottom="1440" w:left="1440" w:header="708" w:footer="708" w:gutter="0"/>
          <w:pgNumType w:start="1"/>
          <w:cols w:space="708" w:num="1"/>
          <w:docGrid w:linePitch="360" w:charSpace="0"/>
        </w:sectPr>
      </w:pPr>
      <w:r>
        <w:rPr>
          <w:rFonts w:ascii="Times New Roman" w:hAnsi="Times New Roman" w:cs="Times New Roman"/>
          <w:color w:val="000000" w:themeColor="text1"/>
          <w:sz w:val="24"/>
          <w:szCs w:val="24"/>
          <w:lang w:val="en-GB"/>
          <w14:textFill>
            <w14:solidFill>
              <w14:schemeClr w14:val="tx1"/>
            </w14:solidFill>
          </w14:textFill>
        </w:rPr>
        <w:br w:type="page"/>
      </w:r>
    </w:p>
    <w:p>
      <w:pPr>
        <w:pStyle w:val="2"/>
        <w:spacing w:before="120" w:line="360" w:lineRule="auto"/>
        <w:jc w:val="both"/>
        <w:rPr>
          <w:rFonts w:ascii="Times New Roman" w:hAnsi="Times New Roman" w:cs="Times New Roman"/>
          <w:b/>
          <w:bCs/>
          <w:color w:val="000000" w:themeColor="text1"/>
          <w:sz w:val="24"/>
          <w:szCs w:val="24"/>
          <w:lang w:val="en-GB"/>
          <w14:textFill>
            <w14:solidFill>
              <w14:schemeClr w14:val="tx1"/>
            </w14:solidFill>
          </w14:textFill>
        </w:rPr>
      </w:pPr>
      <w:bookmarkStart w:id="11" w:name="_Toc102409544"/>
      <w:r>
        <w:rPr>
          <w:rFonts w:ascii="Times New Roman" w:hAnsi="Times New Roman" w:cs="Times New Roman"/>
          <w:b/>
          <w:color w:val="000000" w:themeColor="text1"/>
          <w:sz w:val="24"/>
          <w:szCs w:val="24"/>
          <w:lang w:val="en-GB"/>
          <w14:textFill>
            <w14:solidFill>
              <w14:schemeClr w14:val="tx1"/>
            </w14:solidFill>
          </w14:textFill>
        </w:rPr>
        <w:t>Reference</w:t>
      </w:r>
      <w:r>
        <w:rPr>
          <w:rFonts w:ascii="Times New Roman" w:hAnsi="Times New Roman" w:cs="Times New Roman" w:eastAsiaTheme="minorEastAsia"/>
          <w:b/>
          <w:color w:val="000000" w:themeColor="text1"/>
          <w:sz w:val="24"/>
          <w:szCs w:val="24"/>
          <w:lang w:val="en-GB" w:eastAsia="zh-CN"/>
          <w14:textFill>
            <w14:solidFill>
              <w14:schemeClr w14:val="tx1"/>
            </w14:solidFill>
          </w14:textFill>
        </w:rPr>
        <w:t>s</w:t>
      </w:r>
      <w:bookmarkEnd w:id="11"/>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Ascarza, E., Neslin, S.A., Netzer, O., Anderson, Z., Fader, P.S., Gupta, S., Hardie, B.G., Lemmens, A., Libai, B., Neal, D. and Provost, F., (2018) 'In pursuit of enhanced customer retention management: Review, key issues, and future directions',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Customer Needs and Solutions</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5</w:t>
      </w:r>
      <w:r>
        <w:rPr>
          <w:rFonts w:ascii="Times New Roman" w:hAnsi="Times New Roman" w:cs="Times New Roman"/>
          <w:color w:val="000000" w:themeColor="text1"/>
          <w:sz w:val="24"/>
          <w:szCs w:val="24"/>
          <w:shd w:val="clear" w:color="auto" w:fill="FFFFFF"/>
          <w:lang w:val="en-GB"/>
          <w14:textFill>
            <w14:solidFill>
              <w14:schemeClr w14:val="tx1"/>
            </w14:solidFill>
          </w14:textFill>
        </w:rPr>
        <w:t>(1), pp.65-81.</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Bilgihan, A., Okumus, F. and Kwun, D.J.W., (2011) 'Information technology applications and competitive advantage in hotel companies',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Hospitality and Tourism Technology</w:t>
      </w:r>
      <w:r>
        <w:rPr>
          <w:rFonts w:ascii="Times New Roman" w:hAnsi="Times New Roman" w:cs="Times New Roman"/>
          <w:color w:val="000000" w:themeColor="text1"/>
          <w:sz w:val="24"/>
          <w:szCs w:val="24"/>
          <w:shd w:val="clear" w:color="auto" w:fill="FFFFFF"/>
          <w:lang w:val="en-GB"/>
          <w14:textFill>
            <w14:solidFill>
              <w14:schemeClr w14:val="tx1"/>
            </w14:solidFill>
          </w14:textFill>
        </w:rPr>
        <w:t>.</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Business of Apps. (2021) </w:t>
      </w:r>
      <w:r>
        <w:rPr>
          <w:rFonts w:ascii="Times New Roman" w:hAnsi="Times New Roman" w:eastAsia="Times New Roman" w:cs="Times New Roman"/>
          <w:i/>
          <w:color w:val="000000" w:themeColor="text1"/>
          <w:sz w:val="24"/>
          <w:szCs w:val="24"/>
          <w:lang w:val="en-GB" w:eastAsia="en-GB"/>
          <w14:textFill>
            <w14:solidFill>
              <w14:schemeClr w14:val="tx1"/>
            </w14:solidFill>
          </w14:textFill>
        </w:rPr>
        <w:t>Airbnb revenue and usage statistics (2021)</w:t>
      </w:r>
      <w:r>
        <w:rPr>
          <w:rFonts w:ascii="Times New Roman" w:hAnsi="Times New Roman" w:eastAsia="Times New Roman" w:cs="Times New Roman"/>
          <w:color w:val="000000" w:themeColor="text1"/>
          <w:sz w:val="24"/>
          <w:szCs w:val="24"/>
          <w:lang w:val="en-GB" w:eastAsia="en-GB"/>
          <w14:textFill>
            <w14:solidFill>
              <w14:schemeClr w14:val="tx1"/>
            </w14:solidFill>
          </w14:textFill>
        </w:rPr>
        <w:t>, Available at https://www.businessofapps.com/data/airbnb-statistics/ (Accessed 2</w:t>
      </w:r>
      <w:r>
        <w:rPr>
          <w:rFonts w:ascii="Times New Roman" w:hAnsi="Times New Roman" w:eastAsia="Times New Roman" w:cs="Times New Roman"/>
          <w:color w:val="000000" w:themeColor="text1"/>
          <w:sz w:val="24"/>
          <w:szCs w:val="24"/>
          <w:vertAlign w:val="superscript"/>
          <w:lang w:val="en-GB" w:eastAsia="en-GB"/>
          <w14:textFill>
            <w14:solidFill>
              <w14:schemeClr w14:val="tx1"/>
            </w14:solidFill>
          </w14:textFill>
        </w:rPr>
        <w:t>nd</w:t>
      </w: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 May 2022).</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Camilleri, M.A., (2018) Market segmentation, targeting and positioning, In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Travel marketing, tourism economics and the airline product</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 69-83). Springer, Cham.</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Chaffey, D. and Bosomworth, D., (2013) Digital marketing strategy planning template,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Smart Insights</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pp.1-14.</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Chaffey, D. and Smith, P.R., (2017)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Digital marketing excellence: planning, optimizing and integrating online marketing</w:t>
      </w:r>
      <w:r>
        <w:rPr>
          <w:rFonts w:ascii="Times New Roman" w:hAnsi="Times New Roman" w:cs="Times New Roman"/>
          <w:color w:val="000000" w:themeColor="text1"/>
          <w:sz w:val="24"/>
          <w:szCs w:val="24"/>
          <w:shd w:val="clear" w:color="auto" w:fill="FFFFFF"/>
          <w:lang w:val="en-GB"/>
          <w14:textFill>
            <w14:solidFill>
              <w14:schemeClr w14:val="tx1"/>
            </w14:solidFill>
          </w14:textFill>
        </w:rPr>
        <w:t>, Routledge.</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Chen, R.X., Cheung, C. and Law, R., (2012) ‘A review of the literature on culture in hotel management research: what is the future?’,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Hospitality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31</w:t>
      </w:r>
      <w:r>
        <w:rPr>
          <w:rFonts w:ascii="Times New Roman" w:hAnsi="Times New Roman" w:cs="Times New Roman"/>
          <w:color w:val="000000" w:themeColor="text1"/>
          <w:sz w:val="24"/>
          <w:szCs w:val="24"/>
          <w:shd w:val="clear" w:color="auto" w:fill="FFFFFF"/>
          <w:lang w:val="en-GB"/>
          <w14:textFill>
            <w14:solidFill>
              <w14:schemeClr w14:val="tx1"/>
            </w14:solidFill>
          </w14:textFill>
        </w:rPr>
        <w:t>(1), pp.52-65.</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Chernev, A., (2020)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The marketing plan handbook</w:t>
      </w:r>
      <w:r>
        <w:rPr>
          <w:rFonts w:ascii="Times New Roman" w:hAnsi="Times New Roman" w:cs="Times New Roman"/>
          <w:color w:val="000000" w:themeColor="text1"/>
          <w:sz w:val="24"/>
          <w:szCs w:val="24"/>
          <w:shd w:val="clear" w:color="auto" w:fill="FFFFFF"/>
          <w:lang w:val="en-GB"/>
          <w14:textFill>
            <w14:solidFill>
              <w14:schemeClr w14:val="tx1"/>
            </w14:solidFill>
          </w14:textFill>
        </w:rPr>
        <w:t>, Cerebellum Press.</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Condor Ferries, (2022)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60+ Millennial Travel Statistics &amp; Trends (2020-2021)</w:t>
      </w:r>
      <w:r>
        <w:rPr>
          <w:rFonts w:ascii="Times New Roman" w:hAnsi="Times New Roman" w:cs="Times New Roman"/>
          <w:color w:val="000000" w:themeColor="text1"/>
          <w:sz w:val="24"/>
          <w:szCs w:val="24"/>
          <w:shd w:val="clear" w:color="auto" w:fill="FFFFFF"/>
          <w:lang w:val="en-GB"/>
          <w14:textFill>
            <w14:solidFill>
              <w14:schemeClr w14:val="tx1"/>
            </w14:solidFill>
          </w14:textFill>
        </w:rPr>
        <w:t>, [online] Condor Ferries, Available at: &lt;https://www.condorferries.co.uk/millennials-travel-statistics-trends#:~:text=58%25%20of%20millennials%20stated%20they,children%20under%20five%20years%20old.&gt; [Accessed 28 A</w:t>
      </w:r>
      <w:r>
        <w:rPr>
          <w:rFonts w:ascii="Times New Roman" w:hAnsi="Times New Roman" w:cs="Times New Roman"/>
          <w:color w:val="000000" w:themeColor="text1"/>
          <w:sz w:val="24"/>
          <w:szCs w:val="24"/>
          <w:shd w:val="clear" w:color="auto" w:fill="FFFFFF"/>
          <w:lang w:val="en-GB" w:eastAsia="zh-CN"/>
          <w14:textFill>
            <w14:solidFill>
              <w14:schemeClr w14:val="tx1"/>
            </w14:solidFill>
          </w14:textFill>
        </w:rPr>
        <w:t>pril</w:t>
      </w:r>
      <w:r>
        <w:rPr>
          <w:rFonts w:ascii="Times New Roman" w:hAnsi="Times New Roman" w:cs="Times New Roman"/>
          <w:color w:val="000000" w:themeColor="text1"/>
          <w:sz w:val="24"/>
          <w:szCs w:val="24"/>
          <w:shd w:val="clear" w:color="auto" w:fill="FFFFFF"/>
          <w:lang w:val="en-GB"/>
          <w14:textFill>
            <w14:solidFill>
              <w14:schemeClr w14:val="tx1"/>
            </w14:solidFill>
          </w14:textFill>
        </w:rPr>
        <w:t xml:space="preserve"> 2022].</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Denysenko, M. and Breus, S., (2020) 'Hotel business management in modern business conditions',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Economic strategies for the development of society</w:t>
      </w:r>
      <w:r>
        <w:rPr>
          <w:rFonts w:ascii="Times New Roman" w:hAnsi="Times New Roman" w:cs="Times New Roman"/>
          <w:color w:val="000000" w:themeColor="text1"/>
          <w:sz w:val="24"/>
          <w:szCs w:val="24"/>
          <w:shd w:val="clear" w:color="auto" w:fill="FFFFFF"/>
          <w:lang w:val="en-GB"/>
          <w14:textFill>
            <w14:solidFill>
              <w14:schemeClr w14:val="tx1"/>
            </w14:solidFill>
          </w14:textFill>
        </w:rPr>
        <w:t>.</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Evans, D., Bratton, S. and McKee, J., (2021)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Social media marketing</w:t>
      </w:r>
      <w:r>
        <w:rPr>
          <w:rFonts w:ascii="Times New Roman" w:hAnsi="Times New Roman" w:cs="Times New Roman"/>
          <w:color w:val="000000" w:themeColor="text1"/>
          <w:sz w:val="24"/>
          <w:szCs w:val="24"/>
          <w:shd w:val="clear" w:color="auto" w:fill="FFFFFF"/>
          <w:lang w:val="en-GB"/>
          <w14:textFill>
            <w14:solidFill>
              <w14:schemeClr w14:val="tx1"/>
            </w14:solidFill>
          </w14:textFill>
        </w:rPr>
        <w:t>, AG Printing &amp; Publishing.</w:t>
      </w:r>
    </w:p>
    <w:p>
      <w:pPr>
        <w:shd w:val="clear" w:color="auto" w:fill="FFFFFF"/>
        <w:spacing w:before="120" w:after="0" w:line="360" w:lineRule="auto"/>
        <w:ind w:right="75"/>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Fox, J. T. (2021) </w:t>
      </w:r>
      <w:r>
        <w:rPr>
          <w:rFonts w:ascii="Times New Roman" w:hAnsi="Times New Roman" w:eastAsia="Times New Roman" w:cs="Times New Roman"/>
          <w:i/>
          <w:color w:val="000000" w:themeColor="text1"/>
          <w:sz w:val="24"/>
          <w:szCs w:val="24"/>
          <w:lang w:val="en-GB" w:eastAsia="en-GB"/>
          <w14:textFill>
            <w14:solidFill>
              <w14:schemeClr w14:val="tx1"/>
            </w14:solidFill>
          </w14:textFill>
        </w:rPr>
        <w:t>Marriott tests new contactless tech at hotels</w:t>
      </w:r>
      <w:r>
        <w:rPr>
          <w:rFonts w:ascii="Times New Roman" w:hAnsi="Times New Roman" w:eastAsia="Times New Roman" w:cs="Times New Roman"/>
          <w:color w:val="000000" w:themeColor="text1"/>
          <w:sz w:val="24"/>
          <w:szCs w:val="24"/>
          <w:lang w:val="en-GB" w:eastAsia="en-GB"/>
          <w14:textFill>
            <w14:solidFill>
              <w14:schemeClr w14:val="tx1"/>
            </w14:solidFill>
          </w14:textFill>
        </w:rPr>
        <w:t>. Available at https://www.hotelmanagement.net/tech/marriott-tests-new-contactless-tech-at-hotels (Accessed 1</w:t>
      </w:r>
      <w:r>
        <w:rPr>
          <w:rFonts w:ascii="Times New Roman" w:hAnsi="Times New Roman" w:cs="Times New Roman"/>
          <w:color w:val="000000" w:themeColor="text1"/>
          <w:sz w:val="24"/>
          <w:szCs w:val="24"/>
          <w:lang w:val="en-GB" w:eastAsia="zh-CN"/>
          <w14:textFill>
            <w14:solidFill>
              <w14:schemeClr w14:val="tx1"/>
            </w14:solidFill>
          </w14:textFill>
        </w:rPr>
        <w:t>4</w:t>
      </w: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 March 2022).</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Geissdoerfer, M., Vladimirova, D. and Evans, S., (2018) 'Sustainable business model innovation: A review',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cleaner production</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198</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pp.401-416.</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Guo, L., Li, Z. and Sun, W., (2015) 'Understanding travel destinations from structured tourism blogs', In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Proceedings of 2015 Wuhan International Conference on e-Business</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 144-151).</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Gursoy, D. and Chi, C.G., (2020) 'Effects of COVID-19 pandemic on hospitality industry: review of the current situations and a research agenda',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Hospitality Marketing &amp;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29</w:t>
      </w:r>
      <w:r>
        <w:rPr>
          <w:rFonts w:ascii="Times New Roman" w:hAnsi="Times New Roman" w:cs="Times New Roman"/>
          <w:color w:val="000000" w:themeColor="text1"/>
          <w:sz w:val="24"/>
          <w:szCs w:val="24"/>
          <w:shd w:val="clear" w:color="auto" w:fill="FFFFFF"/>
          <w:lang w:val="en-GB"/>
          <w14:textFill>
            <w14:solidFill>
              <w14:schemeClr w14:val="tx1"/>
            </w14:solidFill>
          </w14:textFill>
        </w:rPr>
        <w:t>(5), pp.527-529.</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How, S.M. and Lee, C.G., (2021) 'Customer satisfaction and financial performance-linear or non-linear relationship: a case study of Marriot International',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Current Issues in Tourism</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24</w:t>
      </w:r>
      <w:r>
        <w:rPr>
          <w:rFonts w:ascii="Times New Roman" w:hAnsi="Times New Roman" w:cs="Times New Roman"/>
          <w:color w:val="000000" w:themeColor="text1"/>
          <w:sz w:val="24"/>
          <w:szCs w:val="24"/>
          <w:shd w:val="clear" w:color="auto" w:fill="FFFFFF"/>
          <w:lang w:val="en-GB"/>
          <w14:textFill>
            <w14:solidFill>
              <w14:schemeClr w14:val="tx1"/>
            </w14:solidFill>
          </w14:textFill>
        </w:rPr>
        <w:t>(9), pp.1184-1189.</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Jiang, Y. and Wen, J., (2020) 'Effects of COVID-19 on hotel marketing and management: a perspective article',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Contemporary Hospitality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Kienzler, M. and Kowalkowski, C., (2017) 'Pricing strategy: A review of 22 years of marketing research',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Business Research</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78</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pp.101-110.</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Kotler, P. and Keller, K.L., (2016)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A framework for marketing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(p. 352), Boston, MA: Pearson.</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Krishnan, S., (2013) What Is the SOSTAC® Model of Marketing.</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Kurt, D. and Hulland, J., (2013) 'Aggressive marketing strategy following equity offerings and firm value: the role of relative strategic flexibility',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Marketing</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77</w:t>
      </w:r>
      <w:r>
        <w:rPr>
          <w:rFonts w:ascii="Times New Roman" w:hAnsi="Times New Roman" w:cs="Times New Roman"/>
          <w:color w:val="000000" w:themeColor="text1"/>
          <w:sz w:val="24"/>
          <w:szCs w:val="24"/>
          <w:shd w:val="clear" w:color="auto" w:fill="FFFFFF"/>
          <w:lang w:val="en-GB"/>
          <w14:textFill>
            <w14:solidFill>
              <w14:schemeClr w14:val="tx1"/>
            </w14:solidFill>
          </w14:textFill>
        </w:rPr>
        <w:t>(5), pp.57-74.</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Lutz, C. and Newlands, G., (2018) 'Consumer segmentation within the sharing economy: The case of Airbnb',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Business Research</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88</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pp.187-196.</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Marriott International Annual Report. (2020) </w:t>
      </w:r>
      <w:r>
        <w:rPr>
          <w:rFonts w:ascii="Times New Roman" w:hAnsi="Times New Roman" w:eastAsia="Times New Roman" w:cs="Times New Roman"/>
          <w:i/>
          <w:color w:val="000000" w:themeColor="text1"/>
          <w:sz w:val="24"/>
          <w:szCs w:val="24"/>
          <w:lang w:val="en-GB" w:eastAsia="en-GB"/>
          <w14:textFill>
            <w14:solidFill>
              <w14:schemeClr w14:val="tx1"/>
            </w14:solidFill>
          </w14:textFill>
        </w:rPr>
        <w:t>Marriott International Annual Report</w:t>
      </w:r>
      <w:r>
        <w:rPr>
          <w:rFonts w:ascii="Times New Roman" w:hAnsi="Times New Roman" w:eastAsia="Times New Roman" w:cs="Times New Roman"/>
          <w:color w:val="000000" w:themeColor="text1"/>
          <w:sz w:val="24"/>
          <w:szCs w:val="24"/>
          <w:lang w:val="en-GB" w:eastAsia="en-GB"/>
          <w14:textFill>
            <w14:solidFill>
              <w14:schemeClr w14:val="tx1"/>
            </w14:solidFill>
          </w14:textFill>
        </w:rPr>
        <w:t>, Available at https://marriott.gcs-web.com/static-files/c5e1faef-f1e5-40e3-bd70-5efbbb929a7f (Accessed 29 A</w:t>
      </w:r>
      <w:r>
        <w:rPr>
          <w:rFonts w:ascii="Times New Roman" w:hAnsi="Times New Roman" w:cs="Times New Roman" w:eastAsiaTheme="minorEastAsia"/>
          <w:color w:val="000000" w:themeColor="text1"/>
          <w:sz w:val="24"/>
          <w:szCs w:val="24"/>
          <w:lang w:val="en-GB" w:eastAsia="zh-CN"/>
          <w14:textFill>
            <w14:solidFill>
              <w14:schemeClr w14:val="tx1"/>
            </w14:solidFill>
          </w14:textFill>
        </w:rPr>
        <w:t>pril</w:t>
      </w: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 2022).</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Neirotti, P., Raguseo, E. and Paolucci, E., (2016) 'Are customers' reviews creating value in the hospitality industry? Exploring the moderating effects of market positioning',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Information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36</w:t>
      </w:r>
      <w:r>
        <w:rPr>
          <w:rFonts w:ascii="Times New Roman" w:hAnsi="Times New Roman" w:cs="Times New Roman"/>
          <w:color w:val="000000" w:themeColor="text1"/>
          <w:sz w:val="24"/>
          <w:szCs w:val="24"/>
          <w:shd w:val="clear" w:color="auto" w:fill="FFFFFF"/>
          <w:lang w:val="en-GB"/>
          <w14:textFill>
            <w14:solidFill>
              <w14:schemeClr w14:val="tx1"/>
            </w14:solidFill>
          </w14:textFill>
        </w:rPr>
        <w:t>(6), pp.1133-1143.</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Nunkoo, R., Teeroovengadum, V., Ringle, C.M. and Sunnassee, V., (2020) 'Service quality and customer satisfaction: The moderating effects of hotel star rating',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Hospitality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91</w:t>
      </w:r>
      <w:r>
        <w:rPr>
          <w:rFonts w:ascii="Times New Roman" w:hAnsi="Times New Roman" w:cs="Times New Roman"/>
          <w:color w:val="000000" w:themeColor="text1"/>
          <w:sz w:val="24"/>
          <w:szCs w:val="24"/>
          <w:shd w:val="clear" w:color="auto" w:fill="FFFFFF"/>
          <w:lang w:val="en-GB"/>
          <w14:textFill>
            <w14:solidFill>
              <w14:schemeClr w14:val="tx1"/>
            </w14:solidFill>
          </w14:textFill>
        </w:rPr>
        <w:t>, p.102414.</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O.N.S. (2020) </w:t>
      </w:r>
      <w:r>
        <w:rPr>
          <w:rFonts w:ascii="Times New Roman" w:hAnsi="Times New Roman" w:cs="Times New Roman"/>
          <w:i/>
          <w:color w:val="000000" w:themeColor="text1"/>
          <w:sz w:val="24"/>
          <w:szCs w:val="24"/>
          <w:lang w:val="en-GB"/>
          <w14:textFill>
            <w14:solidFill>
              <w14:schemeClr w14:val="tx1"/>
            </w14:solidFill>
          </w14:textFill>
        </w:rPr>
        <w:t>Coronavirus and the Impact on U.K. households and businesses: 2020</w:t>
      </w:r>
      <w:r>
        <w:rPr>
          <w:rFonts w:ascii="Times New Roman" w:hAnsi="Times New Roman" w:cs="Times New Roman"/>
          <w:color w:val="000000" w:themeColor="text1"/>
          <w:sz w:val="24"/>
          <w:szCs w:val="24"/>
          <w:lang w:val="en-GB"/>
          <w14:textFill>
            <w14:solidFill>
              <w14:schemeClr w14:val="tx1"/>
            </w14:solidFill>
          </w14:textFill>
        </w:rPr>
        <w:t>, Available at: https://www.ons.gov.uk/economy/nationalaccounts/uksectoraccounts/articles/coronavirusandtheimpactonukhouseholdsandbusinesses/2020 (Accessed 30 A</w:t>
      </w:r>
      <w:r>
        <w:rPr>
          <w:rFonts w:ascii="Times New Roman" w:hAnsi="Times New Roman" w:cs="Times New Roman"/>
          <w:color w:val="000000" w:themeColor="text1"/>
          <w:sz w:val="24"/>
          <w:szCs w:val="24"/>
          <w:lang w:val="en-GB" w:eastAsia="zh-CN"/>
          <w14:textFill>
            <w14:solidFill>
              <w14:schemeClr w14:val="tx1"/>
            </w14:solidFill>
          </w14:textFill>
        </w:rPr>
        <w:t>pril</w:t>
      </w:r>
      <w:r>
        <w:rPr>
          <w:rFonts w:ascii="Times New Roman" w:hAnsi="Times New Roman" w:cs="Times New Roman"/>
          <w:color w:val="000000" w:themeColor="text1"/>
          <w:sz w:val="24"/>
          <w:szCs w:val="24"/>
          <w:lang w:val="en-GB"/>
          <w14:textFill>
            <w14:solidFill>
              <w14:schemeClr w14:val="tx1"/>
            </w14:solidFill>
          </w14:textFill>
        </w:rPr>
        <w:t xml:space="preserve"> 2022).</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Reed, F.I.D.M., (2014) 'S.O.S.T.A.C.: The guide to the perfect digital marketing plan',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Direct, Data and Digital Marketing Practice</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16</w:t>
      </w:r>
      <w:r>
        <w:rPr>
          <w:rFonts w:ascii="Times New Roman" w:hAnsi="Times New Roman" w:cs="Times New Roman"/>
          <w:color w:val="000000" w:themeColor="text1"/>
          <w:sz w:val="24"/>
          <w:szCs w:val="24"/>
          <w:shd w:val="clear" w:color="auto" w:fill="FFFFFF"/>
          <w:lang w:val="en-GB"/>
          <w14:textFill>
            <w14:solidFill>
              <w14:schemeClr w14:val="tx1"/>
            </w14:solidFill>
          </w14:textFill>
        </w:rPr>
        <w:t>(2), pp.146-147.</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Rutherford, D.G., (2021) Hotel management and operations.</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Wood, M.B., (2016)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The marketing plan handbook</w:t>
      </w:r>
      <w:r>
        <w:rPr>
          <w:rFonts w:ascii="Times New Roman" w:hAnsi="Times New Roman" w:cs="Times New Roman"/>
          <w:color w:val="000000" w:themeColor="text1"/>
          <w:sz w:val="24"/>
          <w:szCs w:val="24"/>
          <w:shd w:val="clear" w:color="auto" w:fill="FFFFFF"/>
          <w:lang w:val="en-GB"/>
          <w14:textFill>
            <w14:solidFill>
              <w14:schemeClr w14:val="tx1"/>
            </w14:solidFill>
          </w14:textFill>
        </w:rPr>
        <w:t> (p. 224), Pearson.</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Zervas, G., Proserpio, D. and Byers, J.W., (2017) 'The rise of the sharing economy: Estimating the impact of Airbnb on the hotel industry',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marketing research</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54</w:t>
      </w:r>
      <w:r>
        <w:rPr>
          <w:rFonts w:ascii="Times New Roman" w:hAnsi="Times New Roman" w:cs="Times New Roman"/>
          <w:color w:val="000000" w:themeColor="text1"/>
          <w:sz w:val="24"/>
          <w:szCs w:val="24"/>
          <w:shd w:val="clear" w:color="auto" w:fill="FFFFFF"/>
          <w:lang w:val="en-GB"/>
          <w14:textFill>
            <w14:solidFill>
              <w14:schemeClr w14:val="tx1"/>
            </w14:solidFill>
          </w14:textFill>
        </w:rPr>
        <w:t>(5), pp.687-705.</w:t>
      </w: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7853455"/>
      <w:docPartObj>
        <w:docPartGallery w:val="AutoText"/>
      </w:docPartObj>
    </w:sdtPr>
    <w:sdtContent>
      <w:p>
        <w:pPr>
          <w:pStyle w:val="6"/>
          <w:jc w:val="center"/>
        </w:pPr>
        <w:r>
          <w:fldChar w:fldCharType="begin"/>
        </w:r>
        <w:r>
          <w:instrText xml:space="preserve">PAGE   \* MERGEFORMAT</w:instrText>
        </w:r>
        <w:r>
          <w:fldChar w:fldCharType="separate"/>
        </w:r>
        <w:r>
          <w:rPr>
            <w:lang w:val="zh-CN" w:eastAsia="zh-CN"/>
          </w:rP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U0NrE0MTS1MDMyMTNX0lEKTi0uzszPAykwrAUAPf+JwCwAAAA="/>
    <w:docVar w:name="commondata" w:val="eyJoZGlkIjoiMGM2OWNlOTA0NjZiN2JhNjk4NTA3YmY4OTdmZjg1MGEifQ=="/>
  </w:docVars>
  <w:rsids>
    <w:rsidRoot w:val="00DB2E14"/>
    <w:rsid w:val="0000388D"/>
    <w:rsid w:val="0000587D"/>
    <w:rsid w:val="00007DBF"/>
    <w:rsid w:val="00011AEF"/>
    <w:rsid w:val="000265BE"/>
    <w:rsid w:val="00040545"/>
    <w:rsid w:val="00046DFB"/>
    <w:rsid w:val="00050586"/>
    <w:rsid w:val="00052E2D"/>
    <w:rsid w:val="00064A41"/>
    <w:rsid w:val="00077D6B"/>
    <w:rsid w:val="0008288E"/>
    <w:rsid w:val="000B2486"/>
    <w:rsid w:val="000B34D1"/>
    <w:rsid w:val="000B34E5"/>
    <w:rsid w:val="000F441F"/>
    <w:rsid w:val="001318DB"/>
    <w:rsid w:val="00151B96"/>
    <w:rsid w:val="00167BA3"/>
    <w:rsid w:val="0017708C"/>
    <w:rsid w:val="00183A66"/>
    <w:rsid w:val="00187C5E"/>
    <w:rsid w:val="001911F8"/>
    <w:rsid w:val="001A5BA4"/>
    <w:rsid w:val="001A7DCF"/>
    <w:rsid w:val="001C175B"/>
    <w:rsid w:val="001F0503"/>
    <w:rsid w:val="00261022"/>
    <w:rsid w:val="00283A6E"/>
    <w:rsid w:val="0028690F"/>
    <w:rsid w:val="00294A7C"/>
    <w:rsid w:val="00295CF6"/>
    <w:rsid w:val="002A523A"/>
    <w:rsid w:val="002E4633"/>
    <w:rsid w:val="002E7B59"/>
    <w:rsid w:val="002F7B33"/>
    <w:rsid w:val="00323B78"/>
    <w:rsid w:val="00333551"/>
    <w:rsid w:val="00355C4C"/>
    <w:rsid w:val="00357CA4"/>
    <w:rsid w:val="003A222E"/>
    <w:rsid w:val="003A4DE2"/>
    <w:rsid w:val="003E0592"/>
    <w:rsid w:val="003E4D64"/>
    <w:rsid w:val="003E6E72"/>
    <w:rsid w:val="003F26C0"/>
    <w:rsid w:val="00444F47"/>
    <w:rsid w:val="004464C9"/>
    <w:rsid w:val="00461F7B"/>
    <w:rsid w:val="0046464E"/>
    <w:rsid w:val="004648CC"/>
    <w:rsid w:val="00484130"/>
    <w:rsid w:val="00491B6D"/>
    <w:rsid w:val="004A4CA1"/>
    <w:rsid w:val="004A6DA6"/>
    <w:rsid w:val="004A7903"/>
    <w:rsid w:val="004B60BE"/>
    <w:rsid w:val="004C01E7"/>
    <w:rsid w:val="004D211E"/>
    <w:rsid w:val="005210B4"/>
    <w:rsid w:val="005340BD"/>
    <w:rsid w:val="00534A63"/>
    <w:rsid w:val="0053618A"/>
    <w:rsid w:val="00571467"/>
    <w:rsid w:val="0057485E"/>
    <w:rsid w:val="00574E8B"/>
    <w:rsid w:val="005A2A05"/>
    <w:rsid w:val="005C19D0"/>
    <w:rsid w:val="005C3D96"/>
    <w:rsid w:val="005D60B4"/>
    <w:rsid w:val="005E12DF"/>
    <w:rsid w:val="005F2E30"/>
    <w:rsid w:val="006105C4"/>
    <w:rsid w:val="006442A4"/>
    <w:rsid w:val="00652098"/>
    <w:rsid w:val="00654006"/>
    <w:rsid w:val="006772EA"/>
    <w:rsid w:val="006846BB"/>
    <w:rsid w:val="006E3E85"/>
    <w:rsid w:val="006E6291"/>
    <w:rsid w:val="006F36FF"/>
    <w:rsid w:val="00730E05"/>
    <w:rsid w:val="007404A7"/>
    <w:rsid w:val="00742C7A"/>
    <w:rsid w:val="00744910"/>
    <w:rsid w:val="007574D8"/>
    <w:rsid w:val="00775669"/>
    <w:rsid w:val="00775862"/>
    <w:rsid w:val="00785BD8"/>
    <w:rsid w:val="00787834"/>
    <w:rsid w:val="007A63F4"/>
    <w:rsid w:val="007B2226"/>
    <w:rsid w:val="007C1BD3"/>
    <w:rsid w:val="007D4D7F"/>
    <w:rsid w:val="007E00EE"/>
    <w:rsid w:val="007E1C2E"/>
    <w:rsid w:val="007F5C4C"/>
    <w:rsid w:val="0084007A"/>
    <w:rsid w:val="00845FDC"/>
    <w:rsid w:val="0085454E"/>
    <w:rsid w:val="00886697"/>
    <w:rsid w:val="008902FB"/>
    <w:rsid w:val="0089248F"/>
    <w:rsid w:val="00893206"/>
    <w:rsid w:val="00896848"/>
    <w:rsid w:val="008A3EF6"/>
    <w:rsid w:val="008B2282"/>
    <w:rsid w:val="008C0A2E"/>
    <w:rsid w:val="008E5A39"/>
    <w:rsid w:val="009137B2"/>
    <w:rsid w:val="0093394C"/>
    <w:rsid w:val="0095231E"/>
    <w:rsid w:val="0095386C"/>
    <w:rsid w:val="0096272E"/>
    <w:rsid w:val="00963C10"/>
    <w:rsid w:val="009849C0"/>
    <w:rsid w:val="009B6244"/>
    <w:rsid w:val="009C00EF"/>
    <w:rsid w:val="009C3E4C"/>
    <w:rsid w:val="009C3E85"/>
    <w:rsid w:val="009C5909"/>
    <w:rsid w:val="009D784E"/>
    <w:rsid w:val="00A2403C"/>
    <w:rsid w:val="00A4161D"/>
    <w:rsid w:val="00A42210"/>
    <w:rsid w:val="00A51807"/>
    <w:rsid w:val="00A734FD"/>
    <w:rsid w:val="00AB1717"/>
    <w:rsid w:val="00AE3A52"/>
    <w:rsid w:val="00AE4588"/>
    <w:rsid w:val="00B06E24"/>
    <w:rsid w:val="00B406E8"/>
    <w:rsid w:val="00B65F3F"/>
    <w:rsid w:val="00B87B67"/>
    <w:rsid w:val="00BA24C4"/>
    <w:rsid w:val="00BC0BBF"/>
    <w:rsid w:val="00BD4C51"/>
    <w:rsid w:val="00BE1684"/>
    <w:rsid w:val="00BF01FC"/>
    <w:rsid w:val="00BF3167"/>
    <w:rsid w:val="00C02043"/>
    <w:rsid w:val="00C079ED"/>
    <w:rsid w:val="00C07CFE"/>
    <w:rsid w:val="00C22988"/>
    <w:rsid w:val="00C2669B"/>
    <w:rsid w:val="00C31E39"/>
    <w:rsid w:val="00C67B92"/>
    <w:rsid w:val="00CB0A80"/>
    <w:rsid w:val="00CB7362"/>
    <w:rsid w:val="00CF052A"/>
    <w:rsid w:val="00CF4B46"/>
    <w:rsid w:val="00CF5BBA"/>
    <w:rsid w:val="00D074E1"/>
    <w:rsid w:val="00D20743"/>
    <w:rsid w:val="00D214C9"/>
    <w:rsid w:val="00D21C0D"/>
    <w:rsid w:val="00D3026E"/>
    <w:rsid w:val="00D5250B"/>
    <w:rsid w:val="00D97D26"/>
    <w:rsid w:val="00DA5EFF"/>
    <w:rsid w:val="00DB2E14"/>
    <w:rsid w:val="00DC028B"/>
    <w:rsid w:val="00DD3F58"/>
    <w:rsid w:val="00DD788C"/>
    <w:rsid w:val="00DE639A"/>
    <w:rsid w:val="00DF76C0"/>
    <w:rsid w:val="00E24882"/>
    <w:rsid w:val="00E325D9"/>
    <w:rsid w:val="00E35323"/>
    <w:rsid w:val="00E41AE5"/>
    <w:rsid w:val="00E620EC"/>
    <w:rsid w:val="00E64857"/>
    <w:rsid w:val="00E673A0"/>
    <w:rsid w:val="00E94F14"/>
    <w:rsid w:val="00E95196"/>
    <w:rsid w:val="00EA4448"/>
    <w:rsid w:val="00EA4934"/>
    <w:rsid w:val="00EC255A"/>
    <w:rsid w:val="00F06685"/>
    <w:rsid w:val="00F13C21"/>
    <w:rsid w:val="00F21D0A"/>
    <w:rsid w:val="00F24B28"/>
    <w:rsid w:val="00F271CB"/>
    <w:rsid w:val="00F50CE4"/>
    <w:rsid w:val="00F5407E"/>
    <w:rsid w:val="00F57C32"/>
    <w:rsid w:val="00F627D7"/>
    <w:rsid w:val="00F63830"/>
    <w:rsid w:val="00F71745"/>
    <w:rsid w:val="00F83220"/>
    <w:rsid w:val="00F86775"/>
    <w:rsid w:val="00F96690"/>
    <w:rsid w:val="00FA19F3"/>
    <w:rsid w:val="00FA64BB"/>
    <w:rsid w:val="00FB02F5"/>
    <w:rsid w:val="00FD3941"/>
    <w:rsid w:val="00FD4844"/>
    <w:rsid w:val="00FF731B"/>
    <w:rsid w:val="6E8B2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eastAsia="宋体" w:asciiTheme="minorHAnsi" w:hAnsiTheme="minorHAnsi" w:cstheme="minorBidi"/>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6"/>
    <w:semiHidden/>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7"/>
    <w:semiHidden/>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uiPriority w:val="39"/>
    <w:pPr>
      <w:spacing w:after="100"/>
      <w:ind w:left="440"/>
    </w:pPr>
  </w:style>
  <w:style w:type="paragraph" w:styleId="6">
    <w:name w:val="footer"/>
    <w:basedOn w:val="1"/>
    <w:link w:val="19"/>
    <w:unhideWhenUsed/>
    <w:uiPriority w:val="99"/>
    <w:pPr>
      <w:tabs>
        <w:tab w:val="center" w:pos="4153"/>
        <w:tab w:val="right" w:pos="8306"/>
      </w:tabs>
      <w:spacing w:after="0" w:line="240" w:lineRule="auto"/>
    </w:pPr>
  </w:style>
  <w:style w:type="paragraph" w:styleId="7">
    <w:name w:val="header"/>
    <w:basedOn w:val="1"/>
    <w:link w:val="18"/>
    <w:unhideWhenUsed/>
    <w:uiPriority w:val="99"/>
    <w:pPr>
      <w:tabs>
        <w:tab w:val="center" w:pos="4153"/>
        <w:tab w:val="right" w:pos="8306"/>
      </w:tabs>
      <w:spacing w:after="0" w:line="240" w:lineRule="auto"/>
    </w:pPr>
  </w:style>
  <w:style w:type="paragraph" w:styleId="8">
    <w:name w:val="toc 1"/>
    <w:basedOn w:val="1"/>
    <w:next w:val="1"/>
    <w:unhideWhenUsed/>
    <w:uiPriority w:val="39"/>
    <w:pPr>
      <w:spacing w:after="100"/>
    </w:pPr>
  </w:style>
  <w:style w:type="paragraph" w:styleId="9">
    <w:name w:val="toc 2"/>
    <w:basedOn w:val="1"/>
    <w:next w:val="1"/>
    <w:unhideWhenUsed/>
    <w:uiPriority w:val="39"/>
    <w:pPr>
      <w:spacing w:after="100"/>
      <w:ind w:left="220"/>
    </w:p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3">
    <w:name w:val="Hyperlink"/>
    <w:basedOn w:val="12"/>
    <w:unhideWhenUsed/>
    <w:uiPriority w:val="99"/>
    <w:rPr>
      <w:color w:val="0563C1" w:themeColor="hyperlink"/>
      <w:u w:val="single"/>
      <w14:textFill>
        <w14:solidFill>
          <w14:schemeClr w14:val="hlink"/>
        </w14:solidFill>
      </w14:textFill>
    </w:rPr>
  </w:style>
  <w:style w:type="character" w:customStyle="1" w:styleId="14">
    <w:name w:val="标题 1 字符"/>
    <w:basedOn w:val="12"/>
    <w:link w:val="2"/>
    <w:uiPriority w:val="9"/>
    <w:rPr>
      <w:rFonts w:asciiTheme="majorHAnsi" w:hAnsiTheme="majorHAnsi" w:eastAsiaTheme="majorEastAsia" w:cstheme="majorBidi"/>
      <w:color w:val="2E75B6" w:themeColor="accent1" w:themeShade="BF"/>
      <w:sz w:val="32"/>
      <w:szCs w:val="32"/>
    </w:rPr>
  </w:style>
  <w:style w:type="paragraph" w:customStyle="1" w:styleId="15">
    <w:name w:val="TOC Heading"/>
    <w:basedOn w:val="2"/>
    <w:next w:val="1"/>
    <w:unhideWhenUsed/>
    <w:qFormat/>
    <w:uiPriority w:val="39"/>
    <w:pPr>
      <w:outlineLvl w:val="9"/>
    </w:pPr>
  </w:style>
  <w:style w:type="character" w:customStyle="1" w:styleId="16">
    <w:name w:val="标题 2 字符"/>
    <w:basedOn w:val="12"/>
    <w:link w:val="3"/>
    <w:semiHidden/>
    <w:uiPriority w:val="9"/>
    <w:rPr>
      <w:rFonts w:asciiTheme="majorHAnsi" w:hAnsiTheme="majorHAnsi" w:eastAsiaTheme="majorEastAsia" w:cstheme="majorBidi"/>
      <w:color w:val="2E75B6" w:themeColor="accent1" w:themeShade="BF"/>
      <w:sz w:val="26"/>
      <w:szCs w:val="26"/>
    </w:rPr>
  </w:style>
  <w:style w:type="character" w:customStyle="1" w:styleId="17">
    <w:name w:val="标题 3 字符"/>
    <w:basedOn w:val="12"/>
    <w:link w:val="4"/>
    <w:semiHidden/>
    <w:uiPriority w:val="9"/>
    <w:rPr>
      <w:rFonts w:asciiTheme="majorHAnsi" w:hAnsiTheme="majorHAnsi" w:eastAsiaTheme="majorEastAsia" w:cstheme="majorBidi"/>
      <w:color w:val="1F4E79" w:themeColor="accent1" w:themeShade="80"/>
      <w:sz w:val="24"/>
      <w:szCs w:val="24"/>
    </w:rPr>
  </w:style>
  <w:style w:type="character" w:customStyle="1" w:styleId="18">
    <w:name w:val="页眉 字符"/>
    <w:basedOn w:val="12"/>
    <w:link w:val="7"/>
    <w:uiPriority w:val="99"/>
  </w:style>
  <w:style w:type="character" w:customStyle="1" w:styleId="19">
    <w:name w:val="页脚 字符"/>
    <w:basedOn w:val="12"/>
    <w:link w:val="6"/>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40A4D-FAC0-46A8-A989-74F7D2CCEB22}">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3421</Words>
  <Characters>19870</Characters>
  <Lines>171</Lines>
  <Paragraphs>48</Paragraphs>
  <TotalTime>369</TotalTime>
  <ScaleCrop>false</ScaleCrop>
  <LinksUpToDate>false</LinksUpToDate>
  <CharactersWithSpaces>23260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2022-05-02T03:15:00Z</dcterms:created>
  <dc:creator>驳壳枪</dc:creator>
  <cp:lastModifiedBy>驳壳枪</cp:lastModifiedBy>
  <dcterms:modified xsi:type="dcterms:W3CDTF">2022-05-02T22:05:20Z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433469A4D0E0437E9346DA4B60B32947</vt:lpwstr>
  </property>
</Properties>
</file>