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433BA3" w14:textId="2FA03478" w:rsidR="007F4379" w:rsidRDefault="00000000">
      <w:pPr>
        <w:jc w:val="center"/>
        <w:rPr>
          <w:b/>
          <w:sz w:val="28"/>
          <w:szCs w:val="28"/>
        </w:rPr>
      </w:pPr>
      <w:r w:rsidRPr="002840E1">
        <w:rPr>
          <w:b/>
          <w:sz w:val="28"/>
          <w:szCs w:val="28"/>
        </w:rPr>
        <w:t>E-</w:t>
      </w:r>
      <w:proofErr w:type="spellStart"/>
      <w:r w:rsidRPr="002840E1">
        <w:rPr>
          <w:b/>
          <w:sz w:val="28"/>
          <w:szCs w:val="28"/>
        </w:rPr>
        <w:t>Bortffolio</w:t>
      </w:r>
      <w:proofErr w:type="spellEnd"/>
      <w:r w:rsidRPr="002840E1">
        <w:rPr>
          <w:b/>
          <w:sz w:val="28"/>
          <w:szCs w:val="28"/>
        </w:rPr>
        <w:t xml:space="preserve"> </w:t>
      </w:r>
      <w:proofErr w:type="spellStart"/>
      <w:r w:rsidRPr="002840E1">
        <w:rPr>
          <w:b/>
          <w:sz w:val="28"/>
          <w:szCs w:val="28"/>
        </w:rPr>
        <w:t>Tystiolaeth</w:t>
      </w:r>
      <w:proofErr w:type="spellEnd"/>
      <w:r w:rsidRPr="002840E1">
        <w:rPr>
          <w:b/>
          <w:sz w:val="28"/>
          <w:szCs w:val="28"/>
        </w:rPr>
        <w:t xml:space="preserve"> o </w:t>
      </w:r>
      <w:proofErr w:type="spellStart"/>
      <w:r w:rsidRPr="002840E1">
        <w:rPr>
          <w:b/>
          <w:sz w:val="28"/>
          <w:szCs w:val="28"/>
        </w:rPr>
        <w:t>Ddysgu</w:t>
      </w:r>
      <w:proofErr w:type="spellEnd"/>
    </w:p>
    <w:p w14:paraId="3009AF52" w14:textId="77777777" w:rsidR="002840E1" w:rsidRPr="002840E1" w:rsidRDefault="002840E1">
      <w:pPr>
        <w:jc w:val="center"/>
        <w:rPr>
          <w:b/>
          <w:sz w:val="28"/>
          <w:szCs w:val="28"/>
        </w:rPr>
      </w:pPr>
    </w:p>
    <w:p w14:paraId="5C539BAD" w14:textId="13B025AA" w:rsidR="007F4379" w:rsidRDefault="007F4379">
      <w:pPr>
        <w:jc w:val="center"/>
        <w:rPr>
          <w:b/>
        </w:rPr>
      </w:pPr>
    </w:p>
    <w:p w14:paraId="67A1B83B" w14:textId="70B5E8E4" w:rsidR="002840E1" w:rsidRDefault="002840E1" w:rsidP="002840E1">
      <w:pPr>
        <w:jc w:val="center"/>
        <w:rPr>
          <w:b/>
        </w:rPr>
      </w:pPr>
      <w:r>
        <w:rPr>
          <w:b/>
        </w:rPr>
        <w:t>Fideo</w:t>
      </w:r>
      <w:r w:rsidR="005A6D27">
        <w:rPr>
          <w:b/>
        </w:rPr>
        <w:t xml:space="preserve">: </w:t>
      </w:r>
      <w:r w:rsidR="005A6D27" w:rsidRPr="005A6D27">
        <w:rPr>
          <w:b/>
        </w:rPr>
        <w:t>https://www.youtube.com/watch?v=_olDtesUvOs</w:t>
      </w:r>
    </w:p>
    <w:p w14:paraId="2E8140D0" w14:textId="77777777" w:rsidR="002840E1" w:rsidRDefault="002840E1" w:rsidP="002840E1">
      <w:pPr>
        <w:jc w:val="center"/>
        <w:rPr>
          <w:b/>
        </w:rPr>
      </w:pPr>
    </w:p>
    <w:p w14:paraId="0E883649" w14:textId="77777777" w:rsidR="007F4379" w:rsidRDefault="007F4379">
      <w:pPr>
        <w:jc w:val="center"/>
        <w:rPr>
          <w:b/>
        </w:rPr>
      </w:pPr>
    </w:p>
    <w:p w14:paraId="1A973A5B" w14:textId="77777777" w:rsidR="007F4379" w:rsidRDefault="00000000">
      <w:pPr>
        <w:rPr>
          <w:rFonts w:ascii="Times" w:eastAsia="Times" w:hAnsi="Times" w:cs="Times"/>
        </w:rPr>
      </w:pPr>
      <w:proofErr w:type="spellStart"/>
      <w:r>
        <w:rPr>
          <w:rFonts w:ascii="Times" w:eastAsia="Times" w:hAnsi="Times" w:cs="Times"/>
        </w:rPr>
        <w:t>Cyferiadau</w:t>
      </w:r>
      <w:proofErr w:type="spellEnd"/>
      <w:r>
        <w:rPr>
          <w:rFonts w:ascii="Times" w:eastAsia="Times" w:hAnsi="Times" w:cs="Times"/>
        </w:rPr>
        <w:t>:</w:t>
      </w:r>
    </w:p>
    <w:p w14:paraId="36A67280" w14:textId="77777777" w:rsidR="007F4379" w:rsidRDefault="007F4379">
      <w:pPr>
        <w:rPr>
          <w:rFonts w:ascii="Times" w:eastAsia="Times" w:hAnsi="Times" w:cs="Times"/>
        </w:rPr>
      </w:pPr>
    </w:p>
    <w:p w14:paraId="2A83703E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AFSP, (2022.) Suicide statistics. [online] Available at: &lt;</w:t>
      </w:r>
      <w:hyperlink r:id="rId6">
        <w:r>
          <w:rPr>
            <w:rFonts w:ascii="Times" w:eastAsia="Times" w:hAnsi="Times" w:cs="Times"/>
            <w:highlight w:val="white"/>
          </w:rPr>
          <w:t>https://afsp.org/suicide-statistics/</w:t>
        </w:r>
      </w:hyperlink>
      <w:r>
        <w:rPr>
          <w:rFonts w:ascii="Times" w:eastAsia="Times" w:hAnsi="Times" w:cs="Times"/>
          <w:highlight w:val="white"/>
        </w:rPr>
        <w:t>&gt; [Accessed 17 October 2022].</w:t>
      </w:r>
    </w:p>
    <w:p w14:paraId="0F75C8E7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34A8F93F" w14:textId="77777777" w:rsidR="007F4379" w:rsidRDefault="00000000">
      <w:pPr>
        <w:rPr>
          <w:rFonts w:ascii="Times" w:eastAsia="Times" w:hAnsi="Times" w:cs="Times"/>
          <w:highlight w:val="white"/>
        </w:rPr>
      </w:pPr>
      <w:proofErr w:type="spellStart"/>
      <w:r>
        <w:rPr>
          <w:rFonts w:ascii="Times" w:eastAsia="Times" w:hAnsi="Times" w:cs="Times"/>
          <w:highlight w:val="white"/>
        </w:rPr>
        <w:t>Almohammed</w:t>
      </w:r>
      <w:proofErr w:type="spellEnd"/>
      <w:r>
        <w:rPr>
          <w:rFonts w:ascii="Times" w:eastAsia="Times" w:hAnsi="Times" w:cs="Times"/>
          <w:highlight w:val="white"/>
        </w:rPr>
        <w:t xml:space="preserve">, O., Alsalem, A., </w:t>
      </w:r>
      <w:proofErr w:type="spellStart"/>
      <w:r>
        <w:rPr>
          <w:rFonts w:ascii="Times" w:eastAsia="Times" w:hAnsi="Times" w:cs="Times"/>
          <w:highlight w:val="white"/>
        </w:rPr>
        <w:t>Almangour</w:t>
      </w:r>
      <w:proofErr w:type="spellEnd"/>
      <w:r>
        <w:rPr>
          <w:rFonts w:ascii="Times" w:eastAsia="Times" w:hAnsi="Times" w:cs="Times"/>
          <w:highlight w:val="white"/>
        </w:rPr>
        <w:t>, A., Alotaibi, L., Al Yami, M. and Lai, L., (2022.) Antidepressants and health-related quality of life (</w:t>
      </w:r>
      <w:proofErr w:type="spellStart"/>
      <w:r>
        <w:rPr>
          <w:rFonts w:ascii="Times" w:eastAsia="Times" w:hAnsi="Times" w:cs="Times"/>
          <w:highlight w:val="white"/>
        </w:rPr>
        <w:t>HRQoL</w:t>
      </w:r>
      <w:proofErr w:type="spellEnd"/>
      <w:r>
        <w:rPr>
          <w:rFonts w:ascii="Times" w:eastAsia="Times" w:hAnsi="Times" w:cs="Times"/>
          <w:highlight w:val="white"/>
        </w:rPr>
        <w:t>) for patients with depression: Analysis of the medical expenditure panel survey from the United States. PLOS ONE, 17(4), p.e0265928.</w:t>
      </w:r>
    </w:p>
    <w:p w14:paraId="516EA99F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1D6E1A65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Bickerdike, L., Booth, A., Wilson, P., Farley, K. and Wright, K., (2017.) Social prescribing: less rhetoric and more reality. A systematic review of the evidence. BMJ Open, 7(4), p.e013384.</w:t>
      </w:r>
    </w:p>
    <w:p w14:paraId="23F7622B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647DDE6A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Bowling, A. (2014). Research methods in health: investigating health and health services. </w:t>
      </w:r>
      <w:proofErr w:type="spellStart"/>
      <w:r>
        <w:rPr>
          <w:rFonts w:ascii="Times" w:eastAsia="Times" w:hAnsi="Times" w:cs="Times"/>
          <w:highlight w:val="white"/>
        </w:rPr>
        <w:t>McGraw-hill</w:t>
      </w:r>
      <w:proofErr w:type="spellEnd"/>
      <w:r>
        <w:rPr>
          <w:rFonts w:ascii="Times" w:eastAsia="Times" w:hAnsi="Times" w:cs="Times"/>
          <w:highlight w:val="white"/>
        </w:rPr>
        <w:t xml:space="preserve"> education (UK).</w:t>
      </w:r>
    </w:p>
    <w:p w14:paraId="4BCA7DB2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3244F2CD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British Phycological Society (2021) BPS Code of Human Research Ethics, The British Psychological Society. Available at: </w:t>
      </w:r>
      <w:hyperlink r:id="rId7">
        <w:r>
          <w:rPr>
            <w:rFonts w:ascii="Times" w:eastAsia="Times" w:hAnsi="Times" w:cs="Times"/>
            <w:highlight w:val="white"/>
          </w:rPr>
          <w:t>https://www.bps.org.uk/guideline/bps-code-human-research-ethics-0</w:t>
        </w:r>
      </w:hyperlink>
      <w:r>
        <w:rPr>
          <w:rFonts w:ascii="Times" w:eastAsia="Times" w:hAnsi="Times" w:cs="Times"/>
          <w:highlight w:val="white"/>
        </w:rPr>
        <w:t xml:space="preserve"> (Accessed: December 2, 2022).</w:t>
      </w:r>
    </w:p>
    <w:p w14:paraId="1A2373D9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5D200959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Burke, L., John, M. and Hanna, P. (2022.) A qualitative exploration of how young men in the UK perceive and experience informal help-seeking for mental health difficulties. Children and Youth Services Review, 137, p.106440</w:t>
      </w:r>
    </w:p>
    <w:p w14:paraId="31137A0B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533DC240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Campbell, S., Greenwood, M., Prior, S., Shearer, T., </w:t>
      </w:r>
      <w:proofErr w:type="spellStart"/>
      <w:r>
        <w:rPr>
          <w:rFonts w:ascii="Times" w:eastAsia="Times" w:hAnsi="Times" w:cs="Times"/>
          <w:highlight w:val="white"/>
        </w:rPr>
        <w:t>Walkem</w:t>
      </w:r>
      <w:proofErr w:type="spellEnd"/>
      <w:r>
        <w:rPr>
          <w:rFonts w:ascii="Times" w:eastAsia="Times" w:hAnsi="Times" w:cs="Times"/>
          <w:highlight w:val="white"/>
        </w:rPr>
        <w:t>, K., Young, S., Bywaters, D. and Walker, K., 2020. Purposive sampling: complex or simple? Research case examples. Journal of research in Nursing, 25(8), pp.652-661.</w:t>
      </w:r>
    </w:p>
    <w:p w14:paraId="0351EB51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78BD42A3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Elliott, R., &amp; </w:t>
      </w:r>
      <w:proofErr w:type="spellStart"/>
      <w:r>
        <w:rPr>
          <w:rFonts w:ascii="Times" w:eastAsia="Times" w:hAnsi="Times" w:cs="Times"/>
          <w:highlight w:val="white"/>
        </w:rPr>
        <w:t>Timulak</w:t>
      </w:r>
      <w:proofErr w:type="spellEnd"/>
      <w:r>
        <w:rPr>
          <w:rFonts w:ascii="Times" w:eastAsia="Times" w:hAnsi="Times" w:cs="Times"/>
          <w:highlight w:val="white"/>
        </w:rPr>
        <w:t>, L. (2005). Descriptive and interpretive approaches to qualitative research. A handbook of research methods for clinical and health psychology, 1(7), 147-159.</w:t>
      </w:r>
    </w:p>
    <w:p w14:paraId="0FB25A9C" w14:textId="77777777" w:rsidR="007F4379" w:rsidRDefault="007F4379">
      <w:pPr>
        <w:rPr>
          <w:rFonts w:ascii="Times" w:eastAsia="Times" w:hAnsi="Times" w:cs="Times"/>
        </w:rPr>
      </w:pPr>
    </w:p>
    <w:p w14:paraId="484AD2BC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Gogoi, M., Webb, A., Pareek, M., Bayliss, C. and Gies, L., (2022.) University Students’ Mental Health and Well-Being during the COVID-19 Pandemic: Findings from the </w:t>
      </w:r>
      <w:proofErr w:type="spellStart"/>
      <w:r>
        <w:rPr>
          <w:rFonts w:ascii="Times" w:eastAsia="Times" w:hAnsi="Times" w:cs="Times"/>
          <w:highlight w:val="white"/>
        </w:rPr>
        <w:t>UniCoVac</w:t>
      </w:r>
      <w:proofErr w:type="spellEnd"/>
      <w:r>
        <w:rPr>
          <w:rFonts w:ascii="Times" w:eastAsia="Times" w:hAnsi="Times" w:cs="Times"/>
          <w:highlight w:val="white"/>
        </w:rPr>
        <w:t xml:space="preserve"> Qualitative Study. International Journal of Environmental Research and Public Health, 19(15), p.9322.</w:t>
      </w:r>
    </w:p>
    <w:p w14:paraId="79835BBF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3F63AC57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Hammersley, M. (2013) What is qualitative research? London: Bloomsbury Academic.</w:t>
      </w:r>
    </w:p>
    <w:p w14:paraId="6DD76C7B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7C699394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Joffe, H. (2012). Thematic analysis. Qualitative research methods in mental health and psychotherapy, 1, 210-223.</w:t>
      </w:r>
    </w:p>
    <w:p w14:paraId="794FA05B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7EC7AC2E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Keogh, B., Murphy, E., Doyle, L., Sheaf, G., Watts, M. and Higgins, A., (2021.) Mental health service </w:t>
      </w:r>
      <w:proofErr w:type="gramStart"/>
      <w:r>
        <w:rPr>
          <w:rFonts w:ascii="Times" w:eastAsia="Times" w:hAnsi="Times" w:cs="Times"/>
          <w:highlight w:val="white"/>
        </w:rPr>
        <w:t>users</w:t>
      </w:r>
      <w:proofErr w:type="gramEnd"/>
      <w:r>
        <w:rPr>
          <w:rFonts w:ascii="Times" w:eastAsia="Times" w:hAnsi="Times" w:cs="Times"/>
          <w:highlight w:val="white"/>
        </w:rPr>
        <w:t xml:space="preserve"> </w:t>
      </w:r>
      <w:proofErr w:type="gramStart"/>
      <w:r>
        <w:rPr>
          <w:rFonts w:ascii="Times" w:eastAsia="Times" w:hAnsi="Times" w:cs="Times"/>
          <w:highlight w:val="white"/>
        </w:rPr>
        <w:t>experiences of</w:t>
      </w:r>
      <w:proofErr w:type="gramEnd"/>
      <w:r>
        <w:rPr>
          <w:rFonts w:ascii="Times" w:eastAsia="Times" w:hAnsi="Times" w:cs="Times"/>
          <w:highlight w:val="white"/>
        </w:rPr>
        <w:t xml:space="preserve"> medication discontinuation: a systematic review of qualitative studies. Journal of Mental Health, 31(2), pp.227-238.</w:t>
      </w:r>
    </w:p>
    <w:p w14:paraId="4D255AEB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D1DCD1A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Layard, R., (2012.) "How Mental Illness Loses Out in the NHS A report by The Centre for Economic Performance's Mental Health Policy Group," CEP Reports 26, Centre for Economic Performance, LSE.</w:t>
      </w:r>
    </w:p>
    <w:p w14:paraId="6B522F37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4AEA49D7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Legrand, F., </w:t>
      </w:r>
      <w:proofErr w:type="spellStart"/>
      <w:r>
        <w:rPr>
          <w:rFonts w:ascii="Times" w:eastAsia="Times" w:hAnsi="Times" w:cs="Times"/>
          <w:highlight w:val="white"/>
        </w:rPr>
        <w:t>Jeandet</w:t>
      </w:r>
      <w:proofErr w:type="spellEnd"/>
      <w:r>
        <w:rPr>
          <w:rFonts w:ascii="Times" w:eastAsia="Times" w:hAnsi="Times" w:cs="Times"/>
          <w:highlight w:val="white"/>
        </w:rPr>
        <w:t>, P., Beaumont, F. and Polidori, G., (2022.) Effects of Outdoor Walking on Positive and Negative Affect: Nature Contact Makes a Big Difference. Frontiers in Behavioral Neuroscience, 16.</w:t>
      </w:r>
    </w:p>
    <w:p w14:paraId="191F967F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6BDD545C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Lindseth, A., &amp; Norberg, A. (2004). A phenomenological hermeneutical method for researching lived experience. Scandinavian journal of caring sciences, 18(2), 145-153.</w:t>
      </w:r>
    </w:p>
    <w:p w14:paraId="24FA3F8A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F645D30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National Health Service</w:t>
      </w:r>
      <w:proofErr w:type="gramStart"/>
      <w:r>
        <w:rPr>
          <w:rFonts w:ascii="Times" w:eastAsia="Times" w:hAnsi="Times" w:cs="Times"/>
          <w:highlight w:val="white"/>
        </w:rPr>
        <w:t>.,(</w:t>
      </w:r>
      <w:proofErr w:type="gramEnd"/>
      <w:r>
        <w:rPr>
          <w:rFonts w:ascii="Times" w:eastAsia="Times" w:hAnsi="Times" w:cs="Times"/>
          <w:highlight w:val="white"/>
        </w:rPr>
        <w:t>2022.) Mental health services monthly statistics - NHS Digital. [online] NHS Digital. Available at: &lt;</w:t>
      </w:r>
      <w:hyperlink r:id="rId8">
        <w:r>
          <w:rPr>
            <w:rFonts w:ascii="Times" w:eastAsia="Times" w:hAnsi="Times" w:cs="Times"/>
            <w:highlight w:val="white"/>
          </w:rPr>
          <w:t>https://digital.nhs.uk/data-and-information/data-tools-and-services/data-services/mental-health-data-hub/dashboards/mental-health-services-monthly-statistics</w:t>
        </w:r>
      </w:hyperlink>
      <w:r>
        <w:rPr>
          <w:rFonts w:ascii="Times" w:eastAsia="Times" w:hAnsi="Times" w:cs="Times"/>
          <w:highlight w:val="white"/>
        </w:rPr>
        <w:t>&gt; [Accessed 17 October 2022].</w:t>
      </w:r>
    </w:p>
    <w:p w14:paraId="3857BBED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18D14380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Palinkas L. A. (2014). Qualitative and mixed methods in mental health services and implementation research. Journal of clinical child and adolescent </w:t>
      </w:r>
      <w:proofErr w:type="gramStart"/>
      <w:r>
        <w:rPr>
          <w:rFonts w:ascii="Times" w:eastAsia="Times" w:hAnsi="Times" w:cs="Times"/>
          <w:highlight w:val="white"/>
        </w:rPr>
        <w:t>psychology :</w:t>
      </w:r>
      <w:proofErr w:type="gramEnd"/>
      <w:r>
        <w:rPr>
          <w:rFonts w:ascii="Times" w:eastAsia="Times" w:hAnsi="Times" w:cs="Times"/>
          <w:highlight w:val="white"/>
        </w:rPr>
        <w:t xml:space="preserve"> the official journal for the Society of Clinical Child and Adolescent Psychology, American Psychological Association, Division 53, 43(6), 851–861.</w:t>
      </w:r>
    </w:p>
    <w:p w14:paraId="2F173528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85F0717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Proto, E. and Quintana-</w:t>
      </w:r>
      <w:proofErr w:type="spellStart"/>
      <w:r>
        <w:rPr>
          <w:rFonts w:ascii="Times" w:eastAsia="Times" w:hAnsi="Times" w:cs="Times"/>
          <w:highlight w:val="white"/>
        </w:rPr>
        <w:t>Domeque</w:t>
      </w:r>
      <w:proofErr w:type="spellEnd"/>
      <w:r>
        <w:rPr>
          <w:rFonts w:ascii="Times" w:eastAsia="Times" w:hAnsi="Times" w:cs="Times"/>
          <w:highlight w:val="white"/>
        </w:rPr>
        <w:t>, C., (2021.) COVID-19 and mental health deterioration by ethnicity and gender in the UK. PLOS ONE, 16(1), p.e0244419.</w:t>
      </w:r>
    </w:p>
    <w:p w14:paraId="609FC2BD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6BFEAE24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Read, J. and Moncrieff, J., (2022.) Depression: why drugs and electricity are not the answer. Psychological Medicine, 52(8), pp.1401-1410.</w:t>
      </w:r>
    </w:p>
    <w:p w14:paraId="246B80FC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4B3FF839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Rice, S., Telford, N., </w:t>
      </w:r>
      <w:proofErr w:type="spellStart"/>
      <w:r>
        <w:rPr>
          <w:rFonts w:ascii="Times" w:eastAsia="Times" w:hAnsi="Times" w:cs="Times"/>
          <w:highlight w:val="white"/>
        </w:rPr>
        <w:t>Rickwood</w:t>
      </w:r>
      <w:proofErr w:type="spellEnd"/>
      <w:r>
        <w:rPr>
          <w:rFonts w:ascii="Times" w:eastAsia="Times" w:hAnsi="Times" w:cs="Times"/>
          <w:highlight w:val="white"/>
        </w:rPr>
        <w:t>, D. and Parker, A., (2017.) Young men’s access to community-based mental health care: qualitative analysis of barriers and facilitators. Journal of Mental Health, 27(1), pp.59-65.</w:t>
      </w:r>
    </w:p>
    <w:p w14:paraId="702270C8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744D8CD5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Tang MO, </w:t>
      </w:r>
      <w:proofErr w:type="spellStart"/>
      <w:r>
        <w:rPr>
          <w:rFonts w:ascii="Times" w:eastAsia="Times" w:hAnsi="Times" w:cs="Times"/>
          <w:highlight w:val="white"/>
        </w:rPr>
        <w:t>Oliffe</w:t>
      </w:r>
      <w:proofErr w:type="spellEnd"/>
      <w:r>
        <w:rPr>
          <w:rFonts w:ascii="Times" w:eastAsia="Times" w:hAnsi="Times" w:cs="Times"/>
          <w:highlight w:val="white"/>
        </w:rPr>
        <w:t xml:space="preserve"> JL, </w:t>
      </w:r>
      <w:proofErr w:type="spellStart"/>
      <w:r>
        <w:rPr>
          <w:rFonts w:ascii="Times" w:eastAsia="Times" w:hAnsi="Times" w:cs="Times"/>
          <w:highlight w:val="white"/>
        </w:rPr>
        <w:t>Galdas</w:t>
      </w:r>
      <w:proofErr w:type="spellEnd"/>
      <w:r>
        <w:rPr>
          <w:rFonts w:ascii="Times" w:eastAsia="Times" w:hAnsi="Times" w:cs="Times"/>
          <w:highlight w:val="white"/>
        </w:rPr>
        <w:t xml:space="preserve"> PM, et al. (2014). College men’s </w:t>
      </w:r>
      <w:proofErr w:type="spellStart"/>
      <w:proofErr w:type="gramStart"/>
      <w:r>
        <w:rPr>
          <w:rFonts w:ascii="Times" w:eastAsia="Times" w:hAnsi="Times" w:cs="Times"/>
          <w:highlight w:val="white"/>
        </w:rPr>
        <w:t>depressionrelated</w:t>
      </w:r>
      <w:proofErr w:type="spellEnd"/>
      <w:proofErr w:type="gramEnd"/>
      <w:r>
        <w:rPr>
          <w:rFonts w:ascii="Times" w:eastAsia="Times" w:hAnsi="Times" w:cs="Times"/>
          <w:highlight w:val="white"/>
        </w:rPr>
        <w:t xml:space="preserve"> help-seeking: A gender analysis. J Ment Health, 23, 219–24.</w:t>
      </w:r>
    </w:p>
    <w:p w14:paraId="5E20C209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9C0BA73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Thieme, A., Wallace, J., Meyer, T. and Olivier, P., (2015.) Designing for mental wellbeing. Proceedings of the 2015 British HCI </w:t>
      </w:r>
      <w:proofErr w:type="gramStart"/>
      <w:r>
        <w:rPr>
          <w:rFonts w:ascii="Times" w:eastAsia="Times" w:hAnsi="Times" w:cs="Times"/>
          <w:highlight w:val="white"/>
        </w:rPr>
        <w:t>Conference,.</w:t>
      </w:r>
      <w:proofErr w:type="gramEnd"/>
    </w:p>
    <w:p w14:paraId="61BD85D2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3EC3C466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Thompson, N. and Wilkie, S., (2019.) ‘I’m just lost in the world’: the impact of blue exercise on participant well-being. Qualitative Research in Sport, Exercise and Health, 13(4), pp.624-638.</w:t>
      </w:r>
    </w:p>
    <w:p w14:paraId="7752413D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99DA63D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lastRenderedPageBreak/>
        <w:t>Usher, W., (2019.) Living in quiet desperation: The mental health epidemic in Australia’s higher education. Health Education Journal, 79(2), pp.138-151</w:t>
      </w:r>
    </w:p>
    <w:p w14:paraId="1FFF4D5A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20472B59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 xml:space="preserve">UWTSD (2022) Research ethics, UWTSD. Available at: </w:t>
      </w:r>
      <w:hyperlink r:id="rId9">
        <w:r>
          <w:rPr>
            <w:rFonts w:ascii="Times" w:eastAsia="Times" w:hAnsi="Times" w:cs="Times"/>
            <w:highlight w:val="white"/>
          </w:rPr>
          <w:t>https://www.uwtsd.ac.uk/research/research-ethics/</w:t>
        </w:r>
      </w:hyperlink>
      <w:r>
        <w:rPr>
          <w:rFonts w:ascii="Times" w:eastAsia="Times" w:hAnsi="Times" w:cs="Times"/>
          <w:highlight w:val="white"/>
        </w:rPr>
        <w:t xml:space="preserve"> (Accessed: December 2, 2022).</w:t>
      </w:r>
    </w:p>
    <w:p w14:paraId="6556AAE7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48E75B40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World Health Organization (2021). Guidance on community mental health services: Promoting person-</w:t>
      </w:r>
      <w:proofErr w:type="spellStart"/>
      <w:r>
        <w:rPr>
          <w:rFonts w:ascii="Times" w:eastAsia="Times" w:hAnsi="Times" w:cs="Times"/>
          <w:highlight w:val="white"/>
        </w:rPr>
        <w:t>centred</w:t>
      </w:r>
      <w:proofErr w:type="spellEnd"/>
      <w:r>
        <w:rPr>
          <w:rFonts w:ascii="Times" w:eastAsia="Times" w:hAnsi="Times" w:cs="Times"/>
          <w:highlight w:val="white"/>
        </w:rPr>
        <w:t xml:space="preserve"> and rights-based approaches.</w:t>
      </w:r>
    </w:p>
    <w:p w14:paraId="6EA47F56" w14:textId="77777777" w:rsidR="007F4379" w:rsidRDefault="007F4379">
      <w:pPr>
        <w:rPr>
          <w:rFonts w:ascii="Times" w:eastAsia="Times" w:hAnsi="Times" w:cs="Times"/>
          <w:highlight w:val="white"/>
        </w:rPr>
      </w:pPr>
    </w:p>
    <w:p w14:paraId="37B60552" w14:textId="77777777" w:rsidR="007F4379" w:rsidRDefault="00000000">
      <w:pPr>
        <w:rPr>
          <w:rFonts w:ascii="Times" w:eastAsia="Times" w:hAnsi="Times" w:cs="Times"/>
          <w:highlight w:val="white"/>
        </w:rPr>
      </w:pPr>
      <w:r>
        <w:rPr>
          <w:rFonts w:ascii="Times" w:eastAsia="Times" w:hAnsi="Times" w:cs="Times"/>
          <w:highlight w:val="white"/>
        </w:rPr>
        <w:t>Yao, Y., Chen, J., Dong, D., Feng, Y. and Qiao, Z., (2022.) The Relationship between Exercise and Mental Health Outcomes during the COVID-19 Pandemic: From the Perspective of Hope. International Journal of Environmental Research and Public Health, 19(7), p.4090.</w:t>
      </w:r>
    </w:p>
    <w:p w14:paraId="5CF6F706" w14:textId="77777777" w:rsidR="007F4379" w:rsidRDefault="007F4379">
      <w:pPr>
        <w:rPr>
          <w:rFonts w:ascii="Times" w:eastAsia="Times" w:hAnsi="Times" w:cs="Times"/>
        </w:rPr>
      </w:pPr>
    </w:p>
    <w:p w14:paraId="096F9206" w14:textId="77777777" w:rsidR="007F4379" w:rsidRDefault="007F4379">
      <w:pPr>
        <w:rPr>
          <w:rFonts w:ascii="Times" w:eastAsia="Times" w:hAnsi="Times" w:cs="Times"/>
        </w:rPr>
      </w:pPr>
    </w:p>
    <w:p w14:paraId="1841B8CA" w14:textId="77777777" w:rsidR="007F4379" w:rsidRDefault="00000000">
      <w:pPr>
        <w:spacing w:before="240" w:after="240"/>
        <w:jc w:val="both"/>
        <w:rPr>
          <w:rFonts w:ascii="Times" w:eastAsia="Times" w:hAnsi="Times" w:cs="Times"/>
        </w:rPr>
      </w:pPr>
      <w:r>
        <w:rPr>
          <w:rFonts w:ascii="Times" w:eastAsia="Times" w:hAnsi="Times" w:cs="Times"/>
        </w:rPr>
        <w:t xml:space="preserve"> </w:t>
      </w:r>
    </w:p>
    <w:p w14:paraId="2C5AD13C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3319B8F3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7CD9070F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2CF0C0EA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2B258B3B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5A5B0F14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725E5864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2871E446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344F134B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58A3F11F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24661A0A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7C01BB0F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69722EF3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p w14:paraId="5C800DE5" w14:textId="77777777" w:rsidR="007F4379" w:rsidRDefault="007F4379">
      <w:pPr>
        <w:spacing w:before="240" w:after="240"/>
        <w:jc w:val="both"/>
        <w:rPr>
          <w:rFonts w:ascii="Times" w:eastAsia="Times" w:hAnsi="Times" w:cs="Times"/>
        </w:rPr>
      </w:pPr>
    </w:p>
    <w:tbl>
      <w:tblPr>
        <w:tblStyle w:val="a"/>
        <w:tblW w:w="8895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8895"/>
      </w:tblGrid>
      <w:tr w:rsidR="007F4379" w14:paraId="158143B8" w14:textId="77777777">
        <w:trPr>
          <w:trHeight w:val="1295"/>
        </w:trPr>
        <w:tc>
          <w:tcPr>
            <w:tcW w:w="88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A2006E" w14:textId="77777777" w:rsidR="007F4379" w:rsidRDefault="007F4379">
            <w:pPr>
              <w:rPr>
                <w:sz w:val="32"/>
                <w:szCs w:val="32"/>
              </w:rPr>
            </w:pPr>
          </w:p>
          <w:p w14:paraId="5CF74790" w14:textId="77777777" w:rsidR="007F4379" w:rsidRDefault="00000000">
            <w:pPr>
              <w:spacing w:before="240" w:after="240"/>
              <w:rPr>
                <w:rFonts w:ascii="Times" w:eastAsia="Times" w:hAnsi="Times" w:cs="Times"/>
                <w:b/>
                <w:sz w:val="40"/>
                <w:szCs w:val="40"/>
              </w:rPr>
            </w:pPr>
            <w:r>
              <w:rPr>
                <w:rFonts w:ascii="Times" w:eastAsia="Times" w:hAnsi="Times" w:cs="Times"/>
                <w:b/>
                <w:sz w:val="40"/>
                <w:szCs w:val="40"/>
              </w:rPr>
              <w:t xml:space="preserve"> FFURFLEN ADBORTH </w:t>
            </w:r>
            <w:proofErr w:type="spellStart"/>
            <w:r>
              <w:rPr>
                <w:rFonts w:ascii="Times" w:eastAsia="Times" w:hAnsi="Times" w:cs="Times"/>
                <w:b/>
                <w:sz w:val="40"/>
                <w:szCs w:val="40"/>
              </w:rPr>
              <w:t>Myfyrwyr</w:t>
            </w:r>
            <w:proofErr w:type="spellEnd"/>
          </w:p>
        </w:tc>
      </w:tr>
    </w:tbl>
    <w:p w14:paraId="1B0FAC9C" w14:textId="77777777" w:rsidR="007F4379" w:rsidRDefault="00000000">
      <w:pPr>
        <w:spacing w:before="240" w:after="240"/>
        <w:rPr>
          <w:rFonts w:ascii="Times" w:eastAsia="Times" w:hAnsi="Times" w:cs="Times"/>
          <w:sz w:val="20"/>
          <w:szCs w:val="20"/>
        </w:rPr>
      </w:pPr>
      <w:r>
        <w:rPr>
          <w:rFonts w:ascii="Times" w:eastAsia="Times" w:hAnsi="Times" w:cs="Times"/>
          <w:sz w:val="20"/>
          <w:szCs w:val="20"/>
        </w:rPr>
        <w:t xml:space="preserve"> </w:t>
      </w:r>
    </w:p>
    <w:p w14:paraId="435D8A14" w14:textId="77777777" w:rsidR="007F4379" w:rsidRDefault="00000000">
      <w:pPr>
        <w:spacing w:before="240" w:after="240"/>
        <w:jc w:val="both"/>
        <w:rPr>
          <w:rFonts w:ascii="Times" w:eastAsia="Times" w:hAnsi="Times" w:cs="Times"/>
          <w:sz w:val="20"/>
          <w:szCs w:val="20"/>
        </w:rPr>
      </w:pPr>
      <w:proofErr w:type="spellStart"/>
      <w:r>
        <w:rPr>
          <w:rFonts w:ascii="Times" w:eastAsia="Times" w:hAnsi="Times" w:cs="Times"/>
          <w:sz w:val="20"/>
          <w:szCs w:val="20"/>
        </w:rPr>
        <w:t>Noda’r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adran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hon </w:t>
      </w:r>
      <w:proofErr w:type="spellStart"/>
      <w:r>
        <w:rPr>
          <w:rFonts w:ascii="Times" w:eastAsia="Times" w:hAnsi="Times" w:cs="Times"/>
          <w:sz w:val="20"/>
          <w:szCs w:val="20"/>
        </w:rPr>
        <w:t>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ba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i/>
          <w:sz w:val="20"/>
          <w:szCs w:val="20"/>
        </w:rPr>
        <w:t>raddau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y </w:t>
      </w:r>
      <w:proofErr w:type="spellStart"/>
      <w:r>
        <w:rPr>
          <w:rFonts w:ascii="Times" w:eastAsia="Times" w:hAnsi="Times" w:cs="Times"/>
          <w:sz w:val="20"/>
          <w:szCs w:val="20"/>
        </w:rPr>
        <w:t>mae’r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meini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prawf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asesu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yn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cael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eu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harddangos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gennych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, </w:t>
      </w:r>
      <w:proofErr w:type="spellStart"/>
      <w:r>
        <w:rPr>
          <w:rFonts w:ascii="Times" w:eastAsia="Times" w:hAnsi="Times" w:cs="Times"/>
          <w:sz w:val="20"/>
          <w:szCs w:val="20"/>
        </w:rPr>
        <w:t>sydd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yn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ei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dro’n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pennu’ch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marc. </w:t>
      </w:r>
      <w:proofErr w:type="spellStart"/>
      <w:r>
        <w:rPr>
          <w:rFonts w:ascii="Times" w:eastAsia="Times" w:hAnsi="Times" w:cs="Times"/>
          <w:sz w:val="20"/>
          <w:szCs w:val="20"/>
        </w:rPr>
        <w:t>Dangosir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y </w:t>
      </w:r>
      <w:proofErr w:type="spellStart"/>
      <w:r>
        <w:rPr>
          <w:rFonts w:ascii="Times" w:eastAsia="Times" w:hAnsi="Times" w:cs="Times"/>
          <w:sz w:val="20"/>
          <w:szCs w:val="20"/>
        </w:rPr>
        <w:t>marciau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sydd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gael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gyfer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pob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categori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sgiliau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. </w:t>
      </w:r>
      <w:proofErr w:type="spellStart"/>
      <w:r>
        <w:rPr>
          <w:rFonts w:ascii="Times" w:eastAsia="Times" w:hAnsi="Times" w:cs="Times"/>
          <w:sz w:val="20"/>
          <w:szCs w:val="20"/>
        </w:rPr>
        <w:t>Bydd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darlithwyr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yn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defnyddio’r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lle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a </w:t>
      </w:r>
      <w:proofErr w:type="spellStart"/>
      <w:r>
        <w:rPr>
          <w:rFonts w:ascii="Times" w:eastAsia="Times" w:hAnsi="Times" w:cs="Times"/>
          <w:sz w:val="20"/>
          <w:szCs w:val="20"/>
        </w:rPr>
        <w:t>ddarperir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roi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sylwadau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gyflawniad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y </w:t>
      </w:r>
      <w:proofErr w:type="spellStart"/>
      <w:r>
        <w:rPr>
          <w:rFonts w:ascii="Times" w:eastAsia="Times" w:hAnsi="Times" w:cs="Times"/>
          <w:sz w:val="20"/>
          <w:szCs w:val="20"/>
        </w:rPr>
        <w:t>dasg</w:t>
      </w:r>
      <w:proofErr w:type="spellEnd"/>
      <w:r>
        <w:rPr>
          <w:rFonts w:ascii="Times" w:eastAsia="Times" w:hAnsi="Times" w:cs="Times"/>
          <w:sz w:val="20"/>
          <w:szCs w:val="20"/>
        </w:rPr>
        <w:t>/</w:t>
      </w:r>
      <w:proofErr w:type="spellStart"/>
      <w:r>
        <w:rPr>
          <w:rFonts w:ascii="Times" w:eastAsia="Times" w:hAnsi="Times" w:cs="Times"/>
          <w:sz w:val="20"/>
          <w:szCs w:val="20"/>
        </w:rPr>
        <w:t>tasgau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, </w:t>
      </w:r>
      <w:proofErr w:type="spellStart"/>
      <w:r>
        <w:rPr>
          <w:rFonts w:ascii="Times" w:eastAsia="Times" w:hAnsi="Times" w:cs="Times"/>
          <w:sz w:val="20"/>
          <w:szCs w:val="20"/>
        </w:rPr>
        <w:t>gan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gynnwys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y </w:t>
      </w:r>
      <w:proofErr w:type="spellStart"/>
      <w:r>
        <w:rPr>
          <w:rFonts w:ascii="Times" w:eastAsia="Times" w:hAnsi="Times" w:cs="Times"/>
          <w:sz w:val="20"/>
          <w:szCs w:val="20"/>
        </w:rPr>
        <w:t>meysydd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hynny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rydych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wedi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gwneud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yn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dda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ynddynt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a’r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meysydd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a </w:t>
      </w:r>
      <w:proofErr w:type="spellStart"/>
      <w:r>
        <w:rPr>
          <w:rFonts w:ascii="Times" w:eastAsia="Times" w:hAnsi="Times" w:cs="Times"/>
          <w:sz w:val="20"/>
          <w:szCs w:val="20"/>
        </w:rPr>
        <w:t>fyddai’n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elwa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o </w:t>
      </w:r>
      <w:proofErr w:type="spellStart"/>
      <w:r>
        <w:rPr>
          <w:rFonts w:ascii="Times" w:eastAsia="Times" w:hAnsi="Times" w:cs="Times"/>
          <w:sz w:val="20"/>
          <w:szCs w:val="20"/>
        </w:rPr>
        <w:t>gael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eu</w:t>
      </w:r>
      <w:proofErr w:type="spellEnd"/>
      <w:r>
        <w:rPr>
          <w:rFonts w:ascii="Times" w:eastAsia="Times" w:hAnsi="Times" w:cs="Times"/>
          <w:sz w:val="20"/>
          <w:szCs w:val="20"/>
        </w:rPr>
        <w:t xml:space="preserve"> </w:t>
      </w:r>
      <w:proofErr w:type="spellStart"/>
      <w:r>
        <w:rPr>
          <w:rFonts w:ascii="Times" w:eastAsia="Times" w:hAnsi="Times" w:cs="Times"/>
          <w:sz w:val="20"/>
          <w:szCs w:val="20"/>
        </w:rPr>
        <w:t>datblygu</w:t>
      </w:r>
      <w:proofErr w:type="spellEnd"/>
      <w:r>
        <w:rPr>
          <w:rFonts w:ascii="Times" w:eastAsia="Times" w:hAnsi="Times" w:cs="Times"/>
          <w:sz w:val="20"/>
          <w:szCs w:val="20"/>
        </w:rPr>
        <w:t>/</w:t>
      </w:r>
      <w:proofErr w:type="spellStart"/>
      <w:r>
        <w:rPr>
          <w:rFonts w:ascii="Times" w:eastAsia="Times" w:hAnsi="Times" w:cs="Times"/>
          <w:sz w:val="20"/>
          <w:szCs w:val="20"/>
        </w:rPr>
        <w:t>gwella</w:t>
      </w:r>
      <w:proofErr w:type="spellEnd"/>
      <w:r>
        <w:rPr>
          <w:rFonts w:ascii="Times" w:eastAsia="Times" w:hAnsi="Times" w:cs="Times"/>
          <w:sz w:val="20"/>
          <w:szCs w:val="20"/>
        </w:rPr>
        <w:t>.</w:t>
      </w:r>
    </w:p>
    <w:p w14:paraId="7686FDF3" w14:textId="77777777" w:rsidR="007F4379" w:rsidRDefault="007F4379">
      <w:pPr>
        <w:rPr>
          <w:b/>
        </w:rPr>
      </w:pPr>
    </w:p>
    <w:p w14:paraId="33C94791" w14:textId="77777777" w:rsidR="007F4379" w:rsidRDefault="00000000">
      <w:pPr>
        <w:spacing w:before="240" w:after="240"/>
        <w:rPr>
          <w:b/>
        </w:rPr>
      </w:pPr>
      <w:r>
        <w:rPr>
          <w:b/>
        </w:rPr>
        <w:t xml:space="preserve"> </w:t>
      </w:r>
    </w:p>
    <w:tbl>
      <w:tblPr>
        <w:tblStyle w:val="a0"/>
        <w:tblW w:w="888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6450"/>
        <w:gridCol w:w="1035"/>
        <w:gridCol w:w="1395"/>
      </w:tblGrid>
      <w:tr w:rsidR="007F4379" w14:paraId="292303C1" w14:textId="77777777">
        <w:trPr>
          <w:trHeight w:val="1205"/>
        </w:trPr>
        <w:tc>
          <w:tcPr>
            <w:tcW w:w="6450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BFBFBF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CB5BEB" w14:textId="77777777" w:rsidR="007F4379" w:rsidRDefault="00000000">
            <w:pPr>
              <w:spacing w:before="240" w:after="240"/>
              <w:rPr>
                <w:rFonts w:ascii="Times" w:eastAsia="Times" w:hAnsi="Times" w:cs="Times"/>
                <w:b/>
                <w:sz w:val="16"/>
                <w:szCs w:val="16"/>
              </w:rPr>
            </w:pP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Dyrennir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marciau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yn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seiliedig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ar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ba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mor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dda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y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mae'r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myfyriwr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wedi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cwrdd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â'r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meini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prawf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asesu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generig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ym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mhob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tasg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>.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BFBFBF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9222D5" w14:textId="77777777" w:rsidR="007F4379" w:rsidRDefault="00000000">
            <w:pPr>
              <w:ind w:left="40" w:right="120"/>
              <w:jc w:val="center"/>
              <w:rPr>
                <w:rFonts w:ascii="Times" w:eastAsia="Times" w:hAnsi="Times" w:cs="Times"/>
                <w:b/>
                <w:sz w:val="18"/>
                <w:szCs w:val="18"/>
              </w:rPr>
            </w:pP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Marciau</w:t>
            </w:r>
            <w:proofErr w:type="spellEnd"/>
            <w:r>
              <w:rPr>
                <w:rFonts w:ascii="Times" w:eastAsia="Times" w:hAnsi="Times" w:cs="Times"/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sydd</w:t>
            </w:r>
            <w:proofErr w:type="spellEnd"/>
            <w:r>
              <w:rPr>
                <w:rFonts w:ascii="Times" w:eastAsia="Times" w:hAnsi="Times" w:cs="Times"/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ar</w:t>
            </w:r>
            <w:proofErr w:type="spellEnd"/>
            <w:r>
              <w:rPr>
                <w:rFonts w:ascii="Times" w:eastAsia="Times" w:hAnsi="Times" w:cs="Times"/>
                <w:b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gael</w:t>
            </w:r>
            <w:proofErr w:type="spellEnd"/>
          </w:p>
        </w:tc>
        <w:tc>
          <w:tcPr>
            <w:tcW w:w="1395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BFBFBF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4F24C4" w14:textId="77777777" w:rsidR="007F4379" w:rsidRDefault="00000000">
            <w:pPr>
              <w:ind w:left="120" w:right="120"/>
              <w:jc w:val="center"/>
              <w:rPr>
                <w:rFonts w:ascii="Times" w:eastAsia="Times" w:hAnsi="Times" w:cs="Times"/>
                <w:b/>
                <w:sz w:val="18"/>
                <w:szCs w:val="18"/>
              </w:rPr>
            </w:pP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Marciau</w:t>
            </w:r>
            <w:proofErr w:type="spellEnd"/>
          </w:p>
          <w:p w14:paraId="7F422F71" w14:textId="77777777" w:rsidR="007F4379" w:rsidRDefault="00000000">
            <w:pPr>
              <w:ind w:left="120" w:right="120"/>
              <w:jc w:val="center"/>
              <w:rPr>
                <w:rFonts w:ascii="Times" w:eastAsia="Times" w:hAnsi="Times" w:cs="Times"/>
                <w:b/>
                <w:sz w:val="18"/>
                <w:szCs w:val="18"/>
              </w:rPr>
            </w:pPr>
            <w:r>
              <w:rPr>
                <w:rFonts w:ascii="Times" w:eastAsia="Times" w:hAnsi="Times" w:cs="Times"/>
                <w:b/>
                <w:sz w:val="18"/>
                <w:szCs w:val="18"/>
              </w:rPr>
              <w:t xml:space="preserve">a </w:t>
            </w:r>
            <w:proofErr w:type="spellStart"/>
            <w:r>
              <w:rPr>
                <w:rFonts w:ascii="Times" w:eastAsia="Times" w:hAnsi="Times" w:cs="Times"/>
                <w:b/>
                <w:sz w:val="18"/>
                <w:szCs w:val="18"/>
              </w:rPr>
              <w:t>ddyfarnwyd</w:t>
            </w:r>
            <w:proofErr w:type="spellEnd"/>
          </w:p>
        </w:tc>
      </w:tr>
      <w:tr w:rsidR="007F4379" w14:paraId="6038D8AD" w14:textId="77777777">
        <w:trPr>
          <w:trHeight w:val="980"/>
        </w:trPr>
        <w:tc>
          <w:tcPr>
            <w:tcW w:w="6450" w:type="dxa"/>
            <w:tcBorders>
              <w:top w:val="single" w:sz="8" w:space="0" w:color="000000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53C6C6" w14:textId="77777777" w:rsidR="007F4379" w:rsidRDefault="00000000">
            <w:pPr>
              <w:spacing w:before="240" w:after="240"/>
              <w:jc w:val="both"/>
              <w:rPr>
                <w:rFonts w:ascii="Times" w:eastAsia="Times" w:hAnsi="Times" w:cs="Times"/>
                <w:b/>
              </w:rPr>
            </w:pPr>
            <w:proofErr w:type="spellStart"/>
            <w:r>
              <w:rPr>
                <w:rFonts w:ascii="Times" w:eastAsia="Times" w:hAnsi="Times" w:cs="Times"/>
                <w:b/>
              </w:rPr>
              <w:t>Sgiliau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</w:rPr>
              <w:t>Ymgysylltu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â </w:t>
            </w:r>
            <w:proofErr w:type="spellStart"/>
            <w:r>
              <w:rPr>
                <w:rFonts w:ascii="Times" w:eastAsia="Times" w:hAnsi="Times" w:cs="Times"/>
                <w:b/>
              </w:rPr>
              <w:t>Llenyddiaeth</w:t>
            </w:r>
            <w:proofErr w:type="spellEnd"/>
          </w:p>
          <w:p w14:paraId="0BFD7499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56EBCD2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4E7059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35A3C597" w14:textId="77777777">
        <w:trPr>
          <w:trHeight w:val="650"/>
        </w:trPr>
        <w:tc>
          <w:tcPr>
            <w:tcW w:w="6450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FDD5696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4FAE5A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>25</w:t>
            </w:r>
          </w:p>
        </w:tc>
        <w:tc>
          <w:tcPr>
            <w:tcW w:w="139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E0A842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765D5F37" w14:textId="77777777">
        <w:trPr>
          <w:trHeight w:val="650"/>
        </w:trPr>
        <w:tc>
          <w:tcPr>
            <w:tcW w:w="6450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6E014FC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91ED4D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2497013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</w:tr>
      <w:tr w:rsidR="007F4379" w14:paraId="08445866" w14:textId="77777777">
        <w:trPr>
          <w:trHeight w:val="980"/>
        </w:trPr>
        <w:tc>
          <w:tcPr>
            <w:tcW w:w="645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1ACAC5" w14:textId="77777777" w:rsidR="007F4379" w:rsidRDefault="00000000">
            <w:pPr>
              <w:spacing w:before="240" w:after="240"/>
              <w:jc w:val="both"/>
              <w:rPr>
                <w:rFonts w:ascii="Times" w:eastAsia="Times" w:hAnsi="Times" w:cs="Times"/>
                <w:b/>
              </w:rPr>
            </w:pPr>
            <w:proofErr w:type="spellStart"/>
            <w:r>
              <w:rPr>
                <w:rFonts w:ascii="Times" w:eastAsia="Times" w:hAnsi="Times" w:cs="Times"/>
                <w:b/>
              </w:rPr>
              <w:t>Sgiliau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</w:rPr>
              <w:t>Gwybodaeth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a </w:t>
            </w:r>
            <w:proofErr w:type="spellStart"/>
            <w:r>
              <w:rPr>
                <w:rFonts w:ascii="Times" w:eastAsia="Times" w:hAnsi="Times" w:cs="Times"/>
                <w:b/>
              </w:rPr>
              <w:t>Dealltwriaeth</w:t>
            </w:r>
            <w:proofErr w:type="spellEnd"/>
          </w:p>
          <w:p w14:paraId="59E1E944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BEBFBA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CE1D3D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37CC3E2F" w14:textId="77777777">
        <w:trPr>
          <w:trHeight w:val="650"/>
        </w:trPr>
        <w:tc>
          <w:tcPr>
            <w:tcW w:w="6450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0FFED1D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53843E2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91007B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3055552D" w14:textId="77777777">
        <w:trPr>
          <w:trHeight w:val="650"/>
        </w:trPr>
        <w:tc>
          <w:tcPr>
            <w:tcW w:w="6450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7A6033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C9572C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>25</w:t>
            </w:r>
          </w:p>
        </w:tc>
        <w:tc>
          <w:tcPr>
            <w:tcW w:w="1395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221A3C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</w:tr>
      <w:tr w:rsidR="007F4379" w14:paraId="3BB31480" w14:textId="77777777">
        <w:trPr>
          <w:trHeight w:val="980"/>
        </w:trPr>
        <w:tc>
          <w:tcPr>
            <w:tcW w:w="645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4B16FF8" w14:textId="77777777" w:rsidR="007F4379" w:rsidRDefault="00000000">
            <w:pPr>
              <w:spacing w:before="240" w:after="240"/>
              <w:jc w:val="both"/>
              <w:rPr>
                <w:rFonts w:ascii="Times" w:eastAsia="Times" w:hAnsi="Times" w:cs="Times"/>
                <w:b/>
              </w:rPr>
            </w:pPr>
            <w:proofErr w:type="spellStart"/>
            <w:r>
              <w:rPr>
                <w:rFonts w:ascii="Times" w:eastAsia="Times" w:hAnsi="Times" w:cs="Times"/>
                <w:b/>
              </w:rPr>
              <w:t>Sgiliau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</w:rPr>
              <w:t>Gwybyddol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a </w:t>
            </w:r>
            <w:proofErr w:type="spellStart"/>
            <w:r>
              <w:rPr>
                <w:rFonts w:ascii="Times" w:eastAsia="Times" w:hAnsi="Times" w:cs="Times"/>
                <w:b/>
              </w:rPr>
              <w:t>Deallusol</w:t>
            </w:r>
            <w:proofErr w:type="spellEnd"/>
          </w:p>
          <w:p w14:paraId="36216804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A04303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379099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2CF6127B" w14:textId="77777777">
        <w:trPr>
          <w:trHeight w:val="650"/>
        </w:trPr>
        <w:tc>
          <w:tcPr>
            <w:tcW w:w="6450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2640F3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968AF0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5CD8CD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17DA5D0D" w14:textId="77777777">
        <w:trPr>
          <w:trHeight w:val="650"/>
        </w:trPr>
        <w:tc>
          <w:tcPr>
            <w:tcW w:w="6450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72FC2A3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E4ACBC4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>20</w:t>
            </w:r>
          </w:p>
        </w:tc>
        <w:tc>
          <w:tcPr>
            <w:tcW w:w="1395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78156B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</w:tr>
      <w:tr w:rsidR="007F4379" w14:paraId="38F6B0D9" w14:textId="77777777">
        <w:trPr>
          <w:trHeight w:val="980"/>
        </w:trPr>
        <w:tc>
          <w:tcPr>
            <w:tcW w:w="645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F307186" w14:textId="77777777" w:rsidR="007F4379" w:rsidRDefault="00000000">
            <w:pPr>
              <w:spacing w:before="240" w:after="240"/>
              <w:jc w:val="both"/>
              <w:rPr>
                <w:rFonts w:ascii="Times" w:eastAsia="Times" w:hAnsi="Times" w:cs="Times"/>
                <w:b/>
              </w:rPr>
            </w:pPr>
            <w:proofErr w:type="spellStart"/>
            <w:r>
              <w:rPr>
                <w:rFonts w:ascii="Times" w:eastAsia="Times" w:hAnsi="Times" w:cs="Times"/>
                <w:b/>
              </w:rPr>
              <w:t>Sgiliau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</w:rPr>
              <w:t>Ymarferol</w:t>
            </w:r>
            <w:proofErr w:type="spellEnd"/>
          </w:p>
          <w:p w14:paraId="707FE530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5885586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45F5E3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48F24678" w14:textId="77777777">
        <w:trPr>
          <w:trHeight w:val="650"/>
        </w:trPr>
        <w:tc>
          <w:tcPr>
            <w:tcW w:w="6450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AEB5530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14"/>
                <w:szCs w:val="14"/>
              </w:rPr>
            </w:pPr>
            <w:r>
              <w:rPr>
                <w:rFonts w:ascii="Times" w:eastAsia="Times" w:hAnsi="Times" w:cs="Times"/>
                <w:b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3002E7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9EC4A7D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693EBCBB" w14:textId="77777777">
        <w:trPr>
          <w:trHeight w:val="650"/>
        </w:trPr>
        <w:tc>
          <w:tcPr>
            <w:tcW w:w="6450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186581E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9EF274D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>10</w:t>
            </w:r>
          </w:p>
        </w:tc>
        <w:tc>
          <w:tcPr>
            <w:tcW w:w="1395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6C39BDA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</w:tr>
      <w:tr w:rsidR="007F4379" w14:paraId="2429654A" w14:textId="77777777">
        <w:trPr>
          <w:trHeight w:val="650"/>
        </w:trPr>
        <w:tc>
          <w:tcPr>
            <w:tcW w:w="645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6DB372A" w14:textId="77777777" w:rsidR="007F4379" w:rsidRDefault="00000000">
            <w:pPr>
              <w:spacing w:before="240" w:after="120"/>
              <w:rPr>
                <w:rFonts w:ascii="Times" w:eastAsia="Times" w:hAnsi="Times" w:cs="Times"/>
                <w:b/>
                <w:sz w:val="20"/>
                <w:szCs w:val="20"/>
              </w:rPr>
            </w:pP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Sgiliau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Trosglwyddadwy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ar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gyfer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Bywyd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ac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Arfer</w:t>
            </w:r>
            <w:proofErr w:type="spellEnd"/>
            <w:r>
              <w:rPr>
                <w:rFonts w:ascii="Times" w:eastAsia="Times" w:hAnsi="Times" w:cs="Times"/>
                <w:b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20"/>
                <w:szCs w:val="20"/>
              </w:rPr>
              <w:t>Proffesiynol</w:t>
            </w:r>
            <w:proofErr w:type="spellEnd"/>
          </w:p>
        </w:tc>
        <w:tc>
          <w:tcPr>
            <w:tcW w:w="1035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2E008F2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C3F8B8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56BB8AF5" w14:textId="77777777">
        <w:trPr>
          <w:trHeight w:val="650"/>
        </w:trPr>
        <w:tc>
          <w:tcPr>
            <w:tcW w:w="6450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31F956F" w14:textId="77777777" w:rsidR="007F4379" w:rsidRDefault="00000000">
            <w:pPr>
              <w:spacing w:before="240" w:after="120"/>
              <w:rPr>
                <w:rFonts w:ascii="Times" w:eastAsia="Times" w:hAnsi="Times" w:cs="Times"/>
                <w:sz w:val="14"/>
                <w:szCs w:val="14"/>
              </w:rPr>
            </w:pPr>
            <w:r>
              <w:rPr>
                <w:rFonts w:ascii="Times" w:eastAsia="Times" w:hAnsi="Times" w:cs="Times"/>
                <w:sz w:val="14"/>
                <w:szCs w:val="14"/>
              </w:rPr>
              <w:t xml:space="preserve"> </w:t>
            </w:r>
          </w:p>
        </w:tc>
        <w:tc>
          <w:tcPr>
            <w:tcW w:w="1035" w:type="dxa"/>
            <w:tcBorders>
              <w:top w:val="single" w:sz="8" w:space="0" w:color="000000"/>
              <w:left w:val="nil"/>
              <w:bottom w:val="nil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B49D16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  <w:tc>
          <w:tcPr>
            <w:tcW w:w="139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4FB4610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 xml:space="preserve"> </w:t>
            </w:r>
          </w:p>
        </w:tc>
      </w:tr>
      <w:tr w:rsidR="007F4379" w14:paraId="25EB80F0" w14:textId="77777777">
        <w:trPr>
          <w:trHeight w:val="650"/>
        </w:trPr>
        <w:tc>
          <w:tcPr>
            <w:tcW w:w="6450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CECD37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  <w:tc>
          <w:tcPr>
            <w:tcW w:w="1035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A3AC9E" w14:textId="77777777" w:rsidR="007F4379" w:rsidRDefault="00000000">
            <w:pPr>
              <w:spacing w:before="240" w:after="240"/>
              <w:jc w:val="center"/>
              <w:rPr>
                <w:rFonts w:ascii="Times" w:eastAsia="Times" w:hAnsi="Times" w:cs="Times"/>
                <w:sz w:val="32"/>
                <w:szCs w:val="32"/>
              </w:rPr>
            </w:pPr>
            <w:r>
              <w:rPr>
                <w:rFonts w:ascii="Times" w:eastAsia="Times" w:hAnsi="Times" w:cs="Times"/>
                <w:sz w:val="32"/>
                <w:szCs w:val="32"/>
              </w:rPr>
              <w:t>20</w:t>
            </w:r>
          </w:p>
        </w:tc>
        <w:tc>
          <w:tcPr>
            <w:tcW w:w="1395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220A22" w14:textId="77777777" w:rsidR="007F4379" w:rsidRDefault="007F4379">
            <w:pPr>
              <w:rPr>
                <w:rFonts w:ascii="Times" w:eastAsia="Times" w:hAnsi="Times" w:cs="Times"/>
              </w:rPr>
            </w:pPr>
          </w:p>
        </w:tc>
      </w:tr>
    </w:tbl>
    <w:p w14:paraId="56BE2EB5" w14:textId="77777777" w:rsidR="007F4379" w:rsidRDefault="00000000">
      <w:pPr>
        <w:ind w:left="280" w:right="540"/>
        <w:rPr>
          <w:rFonts w:ascii="Times" w:eastAsia="Times" w:hAnsi="Times" w:cs="Times"/>
          <w:b/>
          <w:sz w:val="16"/>
          <w:szCs w:val="16"/>
        </w:rPr>
      </w:pPr>
      <w:r>
        <w:rPr>
          <w:rFonts w:ascii="Times" w:eastAsia="Times" w:hAnsi="Times" w:cs="Times"/>
          <w:b/>
          <w:sz w:val="16"/>
          <w:szCs w:val="16"/>
        </w:rPr>
        <w:t xml:space="preserve"> </w:t>
      </w:r>
    </w:p>
    <w:tbl>
      <w:tblPr>
        <w:tblStyle w:val="a1"/>
        <w:tblW w:w="9360" w:type="dxa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5044"/>
        <w:gridCol w:w="2548"/>
        <w:gridCol w:w="712"/>
        <w:gridCol w:w="1056"/>
      </w:tblGrid>
      <w:tr w:rsidR="007F4379" w14:paraId="74ECF769" w14:textId="77777777">
        <w:trPr>
          <w:trHeight w:val="545"/>
        </w:trPr>
        <w:tc>
          <w:tcPr>
            <w:tcW w:w="5043" w:type="dxa"/>
            <w:vMerge w:val="restar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912C672" w14:textId="77777777" w:rsidR="007F4379" w:rsidRDefault="00000000">
            <w:pPr>
              <w:spacing w:before="240" w:after="240"/>
              <w:ind w:left="140" w:right="140"/>
              <w:rPr>
                <w:rFonts w:ascii="Times" w:eastAsia="Times" w:hAnsi="Times" w:cs="Times"/>
                <w:sz w:val="16"/>
                <w:szCs w:val="16"/>
              </w:rPr>
            </w:pPr>
            <w:r>
              <w:rPr>
                <w:rFonts w:ascii="Times" w:eastAsia="Times" w:hAnsi="Times" w:cs="Times"/>
                <w:b/>
              </w:rPr>
              <w:t xml:space="preserve">Marc </w:t>
            </w:r>
            <w:proofErr w:type="spellStart"/>
            <w:r>
              <w:rPr>
                <w:rFonts w:ascii="Times" w:eastAsia="Times" w:hAnsi="Times" w:cs="Times"/>
                <w:b/>
              </w:rPr>
              <w:t>Asesiad</w:t>
            </w:r>
            <w:proofErr w:type="spellEnd"/>
            <w:r>
              <w:rPr>
                <w:rFonts w:ascii="Times" w:eastAsia="Times" w:hAnsi="Times" w:cs="Times"/>
                <w:b/>
              </w:rPr>
              <w:t xml:space="preserve"> </w:t>
            </w:r>
            <w:r>
              <w:rPr>
                <w:rFonts w:ascii="Times" w:eastAsia="Times" w:hAnsi="Times" w:cs="Times"/>
              </w:rPr>
              <w:t>(</w:t>
            </w:r>
            <w:r>
              <w:rPr>
                <w:rFonts w:ascii="Times" w:eastAsia="Times" w:hAnsi="Times" w:cs="Times"/>
                <w:sz w:val="16"/>
                <w:szCs w:val="16"/>
              </w:rPr>
              <w:t xml:space="preserve">Mae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marciau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asesiadau’n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amodol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ar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gadarnhad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y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Bwrdd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Arholi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.  Diben y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sylwadau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a’r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marciau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hyn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yw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rhoi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adborth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ar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waith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modiwl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a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rhoi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arweiniad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yn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unig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,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nes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y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cânt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eu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cadarnhau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>.)</w:t>
            </w:r>
          </w:p>
        </w:tc>
        <w:tc>
          <w:tcPr>
            <w:tcW w:w="3259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/>
            <w:tcMar>
              <w:top w:w="100" w:type="dxa"/>
              <w:left w:w="100" w:type="dxa"/>
              <w:bottom w:w="100" w:type="dxa"/>
              <w:right w:w="100" w:type="dxa"/>
            </w:tcMar>
            <w:vAlign w:val="bottom"/>
          </w:tcPr>
          <w:p w14:paraId="4053E472" w14:textId="77777777" w:rsidR="007F4379" w:rsidRDefault="00000000">
            <w:pPr>
              <w:spacing w:before="240" w:after="240"/>
              <w:ind w:left="140" w:right="140"/>
              <w:rPr>
                <w:rFonts w:ascii="Times" w:eastAsia="Times" w:hAnsi="Times" w:cs="Times"/>
                <w:b/>
                <w:sz w:val="16"/>
                <w:szCs w:val="16"/>
              </w:rPr>
            </w:pP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Cosbau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Cyflwyno'n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Hwyr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(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ticiwch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os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yw’n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b/>
                <w:sz w:val="16"/>
                <w:szCs w:val="16"/>
              </w:rPr>
              <w:t>berthnasol</w:t>
            </w:r>
            <w:proofErr w:type="spellEnd"/>
            <w:r>
              <w:rPr>
                <w:rFonts w:ascii="Times" w:eastAsia="Times" w:hAnsi="Times" w:cs="Times"/>
                <w:b/>
                <w:sz w:val="16"/>
                <w:szCs w:val="16"/>
              </w:rPr>
              <w:t>)</w:t>
            </w:r>
          </w:p>
        </w:tc>
        <w:tc>
          <w:tcPr>
            <w:tcW w:w="1056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6FCBDE" w14:textId="77777777" w:rsidR="007F4379" w:rsidRDefault="00000000">
            <w:pPr>
              <w:spacing w:before="240" w:after="240"/>
              <w:ind w:left="140" w:right="140"/>
              <w:jc w:val="right"/>
              <w:rPr>
                <w:rFonts w:ascii="Times" w:eastAsia="Times" w:hAnsi="Times" w:cs="Times"/>
                <w:b/>
                <w:sz w:val="20"/>
                <w:szCs w:val="20"/>
              </w:rPr>
            </w:pPr>
            <w:r>
              <w:rPr>
                <w:rFonts w:ascii="Times" w:eastAsia="Times" w:hAnsi="Times" w:cs="Times"/>
                <w:b/>
                <w:sz w:val="20"/>
                <w:szCs w:val="20"/>
              </w:rPr>
              <w:t>%</w:t>
            </w:r>
          </w:p>
        </w:tc>
      </w:tr>
      <w:tr w:rsidR="007F4379" w14:paraId="3B666301" w14:textId="77777777">
        <w:trPr>
          <w:trHeight w:val="515"/>
        </w:trPr>
        <w:tc>
          <w:tcPr>
            <w:tcW w:w="5043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DC6969" w14:textId="77777777" w:rsidR="007F4379" w:rsidRDefault="007F4379">
            <w:pPr>
              <w:ind w:left="140" w:right="140"/>
              <w:rPr>
                <w:rFonts w:ascii="Times" w:eastAsia="Times" w:hAnsi="Times" w:cs="Times"/>
              </w:rPr>
            </w:pPr>
          </w:p>
        </w:tc>
        <w:tc>
          <w:tcPr>
            <w:tcW w:w="2547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  <w:vAlign w:val="bottom"/>
          </w:tcPr>
          <w:p w14:paraId="3FC4BB22" w14:textId="77777777" w:rsidR="007F4379" w:rsidRDefault="00000000">
            <w:pPr>
              <w:spacing w:before="240" w:after="240"/>
              <w:ind w:left="140" w:right="140"/>
              <w:rPr>
                <w:rFonts w:ascii="Times" w:eastAsia="Times" w:hAnsi="Times" w:cs="Times"/>
                <w:sz w:val="12"/>
                <w:szCs w:val="12"/>
              </w:rPr>
            </w:pP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Hyd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at 1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wythnos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yn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hwyr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(</w:t>
            </w:r>
            <w:proofErr w:type="spellStart"/>
            <w:r>
              <w:rPr>
                <w:rFonts w:ascii="Times" w:eastAsia="Times" w:hAnsi="Times" w:cs="Times"/>
                <w:sz w:val="12"/>
                <w:szCs w:val="12"/>
              </w:rPr>
              <w:t>Uchafswm</w:t>
            </w:r>
            <w:proofErr w:type="spellEnd"/>
            <w:r>
              <w:rPr>
                <w:rFonts w:ascii="Times" w:eastAsia="Times" w:hAnsi="Times" w:cs="Times"/>
                <w:sz w:val="12"/>
                <w:szCs w:val="12"/>
              </w:rPr>
              <w:t xml:space="preserve"> o 40%)</w:t>
            </w:r>
          </w:p>
        </w:tc>
        <w:tc>
          <w:tcPr>
            <w:tcW w:w="712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  <w:vAlign w:val="bottom"/>
          </w:tcPr>
          <w:p w14:paraId="794BE6F5" w14:textId="77777777" w:rsidR="007F4379" w:rsidRDefault="00000000">
            <w:pPr>
              <w:spacing w:before="240" w:after="240"/>
              <w:ind w:left="140" w:right="140"/>
              <w:jc w:val="center"/>
              <w:rPr>
                <w:rFonts w:ascii="Times" w:eastAsia="Times" w:hAnsi="Times" w:cs="Times"/>
                <w:sz w:val="12"/>
                <w:szCs w:val="12"/>
              </w:rPr>
            </w:pPr>
            <w:r>
              <w:rPr>
                <w:rFonts w:ascii="Times" w:eastAsia="Times" w:hAnsi="Times" w:cs="Times"/>
                <w:sz w:val="12"/>
                <w:szCs w:val="12"/>
              </w:rPr>
              <w:t xml:space="preserve"> </w:t>
            </w:r>
          </w:p>
        </w:tc>
        <w:tc>
          <w:tcPr>
            <w:tcW w:w="1056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E83C83" w14:textId="77777777" w:rsidR="007F4379" w:rsidRDefault="007F4379">
            <w:pPr>
              <w:ind w:left="140" w:right="140"/>
              <w:rPr>
                <w:rFonts w:ascii="Times" w:eastAsia="Times" w:hAnsi="Times" w:cs="Times"/>
              </w:rPr>
            </w:pPr>
          </w:p>
        </w:tc>
      </w:tr>
      <w:tr w:rsidR="007F4379" w14:paraId="0BE8C2A7" w14:textId="77777777">
        <w:trPr>
          <w:trHeight w:val="380"/>
        </w:trPr>
        <w:tc>
          <w:tcPr>
            <w:tcW w:w="5043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1F0E91D" w14:textId="77777777" w:rsidR="007F4379" w:rsidRDefault="007F4379">
            <w:pPr>
              <w:ind w:left="140" w:right="140"/>
              <w:rPr>
                <w:rFonts w:ascii="Times" w:eastAsia="Times" w:hAnsi="Times" w:cs="Times"/>
              </w:rPr>
            </w:pPr>
          </w:p>
        </w:tc>
        <w:tc>
          <w:tcPr>
            <w:tcW w:w="2547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  <w:vAlign w:val="bottom"/>
          </w:tcPr>
          <w:p w14:paraId="722BEFDF" w14:textId="77777777" w:rsidR="007F4379" w:rsidRDefault="00000000">
            <w:pPr>
              <w:spacing w:before="240" w:after="240"/>
              <w:ind w:left="140" w:right="140"/>
              <w:rPr>
                <w:rFonts w:ascii="Times" w:eastAsia="Times" w:hAnsi="Times" w:cs="Times"/>
                <w:sz w:val="12"/>
                <w:szCs w:val="12"/>
              </w:rPr>
            </w:pPr>
            <w:r>
              <w:rPr>
                <w:rFonts w:ascii="Times" w:eastAsia="Times" w:hAnsi="Times" w:cs="Times"/>
                <w:sz w:val="16"/>
                <w:szCs w:val="16"/>
              </w:rPr>
              <w:t xml:space="preserve">Dros 1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wythnos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yn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 xml:space="preserve"> </w:t>
            </w:r>
            <w:proofErr w:type="spellStart"/>
            <w:r>
              <w:rPr>
                <w:rFonts w:ascii="Times" w:eastAsia="Times" w:hAnsi="Times" w:cs="Times"/>
                <w:sz w:val="16"/>
                <w:szCs w:val="16"/>
              </w:rPr>
              <w:t>hwyr</w:t>
            </w:r>
            <w:proofErr w:type="spellEnd"/>
            <w:r>
              <w:rPr>
                <w:rFonts w:ascii="Times" w:eastAsia="Times" w:hAnsi="Times" w:cs="Times"/>
                <w:sz w:val="16"/>
                <w:szCs w:val="16"/>
              </w:rPr>
              <w:t>, (</w:t>
            </w:r>
            <w:r>
              <w:rPr>
                <w:rFonts w:ascii="Times" w:eastAsia="Times" w:hAnsi="Times" w:cs="Times"/>
                <w:sz w:val="12"/>
                <w:szCs w:val="12"/>
              </w:rPr>
              <w:t>0%.)</w:t>
            </w:r>
          </w:p>
        </w:tc>
        <w:tc>
          <w:tcPr>
            <w:tcW w:w="712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  <w:vAlign w:val="bottom"/>
          </w:tcPr>
          <w:p w14:paraId="1A9E4543" w14:textId="77777777" w:rsidR="007F4379" w:rsidRDefault="00000000">
            <w:pPr>
              <w:spacing w:before="240" w:after="240"/>
              <w:ind w:left="140" w:right="140"/>
              <w:jc w:val="center"/>
              <w:rPr>
                <w:rFonts w:ascii="Times" w:eastAsia="Times" w:hAnsi="Times" w:cs="Times"/>
                <w:sz w:val="12"/>
                <w:szCs w:val="12"/>
              </w:rPr>
            </w:pPr>
            <w:r>
              <w:rPr>
                <w:rFonts w:ascii="Times" w:eastAsia="Times" w:hAnsi="Times" w:cs="Times"/>
                <w:sz w:val="12"/>
                <w:szCs w:val="12"/>
              </w:rPr>
              <w:t xml:space="preserve"> </w:t>
            </w:r>
          </w:p>
        </w:tc>
        <w:tc>
          <w:tcPr>
            <w:tcW w:w="1056" w:type="dxa"/>
            <w:vMerge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D3C992" w14:textId="77777777" w:rsidR="007F4379" w:rsidRDefault="007F4379">
            <w:pPr>
              <w:ind w:left="140" w:right="140"/>
              <w:rPr>
                <w:rFonts w:ascii="Times" w:eastAsia="Times" w:hAnsi="Times" w:cs="Times"/>
              </w:rPr>
            </w:pPr>
          </w:p>
        </w:tc>
      </w:tr>
    </w:tbl>
    <w:p w14:paraId="7B80479F" w14:textId="77777777" w:rsidR="007F4379" w:rsidRDefault="007F4379">
      <w:pPr>
        <w:rPr>
          <w:rFonts w:ascii="Times" w:eastAsia="Times" w:hAnsi="Times" w:cs="Times"/>
        </w:rPr>
      </w:pPr>
    </w:p>
    <w:sectPr w:rsidR="007F4379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5C6144" w14:textId="77777777" w:rsidR="00E35CF4" w:rsidRDefault="00E35CF4" w:rsidP="002840E1">
      <w:pPr>
        <w:spacing w:line="240" w:lineRule="auto"/>
      </w:pPr>
      <w:r>
        <w:separator/>
      </w:r>
    </w:p>
  </w:endnote>
  <w:endnote w:type="continuationSeparator" w:id="0">
    <w:p w14:paraId="0779DF46" w14:textId="77777777" w:rsidR="00E35CF4" w:rsidRDefault="00E35CF4" w:rsidP="002840E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428607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174EAE" w14:textId="42BF385D" w:rsidR="002840E1" w:rsidRDefault="002840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2AE6D7" w14:textId="77777777" w:rsidR="002840E1" w:rsidRDefault="002840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EE7C26" w14:textId="77777777" w:rsidR="00E35CF4" w:rsidRDefault="00E35CF4" w:rsidP="002840E1">
      <w:pPr>
        <w:spacing w:line="240" w:lineRule="auto"/>
      </w:pPr>
      <w:r>
        <w:separator/>
      </w:r>
    </w:p>
  </w:footnote>
  <w:footnote w:type="continuationSeparator" w:id="0">
    <w:p w14:paraId="68DC14C4" w14:textId="77777777" w:rsidR="00E35CF4" w:rsidRDefault="00E35CF4" w:rsidP="002840E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86B7AC" w14:textId="48FC2F3B" w:rsidR="002840E1" w:rsidRDefault="002840E1">
    <w:pPr>
      <w:pStyle w:val="Header"/>
    </w:pPr>
    <w:r>
      <w:t>BMSS5005/C</w:t>
    </w:r>
    <w:r>
      <w:ptab w:relativeTo="margin" w:alignment="center" w:leader="none"/>
    </w:r>
    <w:r>
      <w:ptab w:relativeTo="margin" w:alignment="right" w:leader="none"/>
    </w:r>
    <w:r>
      <w:t>Dafydd Millns: 21050904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4379"/>
    <w:rsid w:val="002840E1"/>
    <w:rsid w:val="005A6D27"/>
    <w:rsid w:val="007F4379"/>
    <w:rsid w:val="00E35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B5AA6"/>
  <w15:docId w15:val="{C73AE629-15FB-462E-819F-E92C39DA44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  <w:tcPr>
      <w:shd w:val="clear" w:color="auto" w:fill="BFBFBF"/>
    </w:tc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2840E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40E1"/>
  </w:style>
  <w:style w:type="paragraph" w:styleId="Footer">
    <w:name w:val="footer"/>
    <w:basedOn w:val="Normal"/>
    <w:link w:val="FooterChar"/>
    <w:uiPriority w:val="99"/>
    <w:unhideWhenUsed/>
    <w:rsid w:val="002840E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40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/data-and-information/data-tools-and-services/data-services/mental-health-data-hub/dashboards/mental-health-services-monthly-statistic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ps.org.uk/guideline/bps-code-human-research-ethics-0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fsp.org/suicide-statistics/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uwtsd.ac.uk/research/research-ethic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1019</Words>
  <Characters>5812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Dafydd Millns</dc:creator>
  <cp:lastModifiedBy>Dafydd Millns</cp:lastModifiedBy>
  <cp:revision>2</cp:revision>
  <dcterms:created xsi:type="dcterms:W3CDTF">2022-12-09T11:26:00Z</dcterms:created>
  <dcterms:modified xsi:type="dcterms:W3CDTF">2022-12-09T11:26:00Z</dcterms:modified>
</cp:coreProperties>
</file>