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2C7FE" w14:textId="77777777" w:rsidR="00AE0364" w:rsidRDefault="00000000">
      <w:pPr>
        <w:spacing w:after="0" w:line="240" w:lineRule="auto"/>
        <w:ind w:left="-180" w:right="-334"/>
        <w:jc w:val="center"/>
        <w:rPr>
          <w:rFonts w:ascii="Arial" w:eastAsia="Arial" w:hAnsi="Arial" w:cs="Arial"/>
          <w:b/>
          <w:color w:val="000000"/>
          <w:sz w:val="28"/>
          <w:szCs w:val="28"/>
        </w:rPr>
      </w:pPr>
      <w:r>
        <w:rPr>
          <w:rFonts w:ascii="Arial" w:eastAsia="Arial" w:hAnsi="Arial" w:cs="Arial"/>
          <w:b/>
          <w:color w:val="000000"/>
          <w:sz w:val="28"/>
          <w:szCs w:val="28"/>
        </w:rPr>
        <w:t xml:space="preserve">Postgraduate/Distance Learning </w:t>
      </w:r>
    </w:p>
    <w:p w14:paraId="38B2C7FF" w14:textId="77777777" w:rsidR="00AE0364" w:rsidRDefault="00000000">
      <w:pPr>
        <w:spacing w:after="0" w:line="240" w:lineRule="auto"/>
        <w:ind w:left="-180" w:right="-334"/>
        <w:jc w:val="center"/>
        <w:rPr>
          <w:rFonts w:ascii="Arial" w:eastAsia="Arial" w:hAnsi="Arial" w:cs="Arial"/>
          <w:b/>
          <w:color w:val="000000"/>
          <w:sz w:val="28"/>
          <w:szCs w:val="28"/>
        </w:rPr>
      </w:pPr>
      <w:r>
        <w:rPr>
          <w:rFonts w:ascii="Arial" w:eastAsia="Arial" w:hAnsi="Arial" w:cs="Arial"/>
          <w:b/>
          <w:color w:val="000000"/>
          <w:sz w:val="28"/>
          <w:szCs w:val="28"/>
        </w:rPr>
        <w:t>Assignment coversheet &amp; feedback form</w:t>
      </w:r>
    </w:p>
    <w:p w14:paraId="38B2C800" w14:textId="77777777" w:rsidR="00AE0364" w:rsidRDefault="00AE0364">
      <w:pPr>
        <w:spacing w:after="0" w:line="240" w:lineRule="auto"/>
        <w:rPr>
          <w:rFonts w:ascii="Arial" w:eastAsia="Arial" w:hAnsi="Arial" w:cs="Arial"/>
          <w:sz w:val="28"/>
          <w:szCs w:val="28"/>
        </w:rPr>
      </w:pPr>
    </w:p>
    <w:p w14:paraId="38B2C801" w14:textId="77777777" w:rsidR="00AE0364" w:rsidRDefault="00000000">
      <w:pPr>
        <w:keepNext/>
        <w:spacing w:after="0" w:line="240" w:lineRule="auto"/>
        <w:ind w:left="720"/>
        <w:jc w:val="center"/>
        <w:rPr>
          <w:rFonts w:ascii="Tahoma" w:eastAsia="Tahoma" w:hAnsi="Tahoma" w:cs="Tahoma"/>
          <w:b/>
          <w:sz w:val="20"/>
          <w:szCs w:val="20"/>
        </w:rPr>
      </w:pPr>
      <w:r>
        <w:rPr>
          <w:rFonts w:ascii="Tahoma" w:eastAsia="Tahoma" w:hAnsi="Tahoma" w:cs="Tahoma"/>
          <w:b/>
          <w:sz w:val="20"/>
          <w:szCs w:val="20"/>
        </w:rPr>
        <w:t xml:space="preserve">THIS SHEET MUST BE THE FIRST PAGE OF THE ASSIGNMENT YOU ARE </w:t>
      </w:r>
      <w:proofErr w:type="gramStart"/>
      <w:r>
        <w:rPr>
          <w:rFonts w:ascii="Tahoma" w:eastAsia="Tahoma" w:hAnsi="Tahoma" w:cs="Tahoma"/>
          <w:b/>
          <w:sz w:val="20"/>
          <w:szCs w:val="20"/>
        </w:rPr>
        <w:t>SUBMITTING  (</w:t>
      </w:r>
      <w:proofErr w:type="gramEnd"/>
      <w:r>
        <w:rPr>
          <w:rFonts w:ascii="Tahoma" w:eastAsia="Tahoma" w:hAnsi="Tahoma" w:cs="Tahoma"/>
          <w:b/>
          <w:sz w:val="20"/>
          <w:szCs w:val="20"/>
        </w:rPr>
        <w:t>DO NOT SEND AS A SEPARATE FILE)</w:t>
      </w:r>
    </w:p>
    <w:p w14:paraId="38B2C802" w14:textId="77777777" w:rsidR="00AE0364" w:rsidRDefault="00AE0364">
      <w:pPr>
        <w:keepNext/>
        <w:spacing w:after="0" w:line="240" w:lineRule="auto"/>
        <w:ind w:left="720"/>
        <w:jc w:val="center"/>
        <w:rPr>
          <w:rFonts w:ascii="Trebuchet MS" w:eastAsia="Trebuchet MS" w:hAnsi="Trebuchet MS" w:cs="Trebuchet MS"/>
          <w:b/>
          <w:sz w:val="20"/>
          <w:szCs w:val="20"/>
        </w:rPr>
      </w:pP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23"/>
        <w:gridCol w:w="1557"/>
        <w:gridCol w:w="286"/>
        <w:gridCol w:w="1802"/>
      </w:tblGrid>
      <w:tr w:rsidR="00AE0364" w14:paraId="38B2C804" w14:textId="77777777">
        <w:trPr>
          <w:trHeight w:val="614"/>
        </w:trPr>
        <w:tc>
          <w:tcPr>
            <w:tcW w:w="8856" w:type="dxa"/>
            <w:gridSpan w:val="5"/>
          </w:tcPr>
          <w:p w14:paraId="38B2C803" w14:textId="77777777" w:rsidR="00AE0364" w:rsidRDefault="00000000">
            <w:pPr>
              <w:spacing w:after="0" w:line="240" w:lineRule="auto"/>
              <w:ind w:right="34"/>
              <w:rPr>
                <w:rFonts w:ascii="Arial" w:eastAsia="Arial" w:hAnsi="Arial" w:cs="Arial"/>
                <w:color w:val="000000"/>
              </w:rPr>
            </w:pPr>
            <w:r>
              <w:rPr>
                <w:rFonts w:ascii="Arial" w:eastAsia="Arial" w:hAnsi="Arial" w:cs="Arial"/>
                <w:b/>
                <w:color w:val="000000"/>
              </w:rPr>
              <w:t>For completion by the student</w:t>
            </w:r>
            <w:r>
              <w:rPr>
                <w:rFonts w:ascii="Arial" w:eastAsia="Arial" w:hAnsi="Arial" w:cs="Arial"/>
                <w:color w:val="000000"/>
              </w:rPr>
              <w:t>:</w:t>
            </w:r>
          </w:p>
        </w:tc>
      </w:tr>
      <w:tr w:rsidR="00AE0364" w14:paraId="38B2C808" w14:textId="77777777">
        <w:trPr>
          <w:trHeight w:val="718"/>
        </w:trPr>
        <w:tc>
          <w:tcPr>
            <w:tcW w:w="8856" w:type="dxa"/>
            <w:gridSpan w:val="5"/>
          </w:tcPr>
          <w:p w14:paraId="38B2C805"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Student Name: Lee Ying Ching (Berna)</w:t>
            </w:r>
          </w:p>
          <w:p w14:paraId="38B2C806" w14:textId="77777777" w:rsidR="00AE0364" w:rsidRDefault="00AE0364">
            <w:pPr>
              <w:spacing w:after="0" w:line="240" w:lineRule="auto"/>
              <w:ind w:right="34"/>
              <w:rPr>
                <w:rFonts w:ascii="Arial" w:eastAsia="Arial" w:hAnsi="Arial" w:cs="Arial"/>
                <w:color w:val="000000"/>
              </w:rPr>
            </w:pPr>
          </w:p>
          <w:p w14:paraId="38B2C807"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 xml:space="preserve">Student </w:t>
            </w:r>
            <w:r>
              <w:rPr>
                <w:rFonts w:ascii="Arial" w:eastAsia="Arial" w:hAnsi="Arial" w:cs="Arial"/>
                <w:b/>
                <w:color w:val="000000"/>
                <w:u w:val="single"/>
              </w:rPr>
              <w:t>University</w:t>
            </w:r>
            <w:r>
              <w:rPr>
                <w:rFonts w:ascii="Arial" w:eastAsia="Arial" w:hAnsi="Arial" w:cs="Arial"/>
                <w:color w:val="000000"/>
                <w:u w:val="single"/>
              </w:rPr>
              <w:t xml:space="preserve"> </w:t>
            </w:r>
            <w:r>
              <w:rPr>
                <w:rFonts w:ascii="Arial" w:eastAsia="Arial" w:hAnsi="Arial" w:cs="Arial"/>
                <w:color w:val="000000"/>
              </w:rPr>
              <w:t>Email: 2126627@student.uwtsd.ac.uk</w:t>
            </w:r>
          </w:p>
        </w:tc>
      </w:tr>
      <w:tr w:rsidR="00AE0364" w14:paraId="38B2C812" w14:textId="77777777">
        <w:trPr>
          <w:trHeight w:val="849"/>
        </w:trPr>
        <w:tc>
          <w:tcPr>
            <w:tcW w:w="4788" w:type="dxa"/>
          </w:tcPr>
          <w:p w14:paraId="38B2C809"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Module code: HPCA7015</w:t>
            </w:r>
          </w:p>
          <w:p w14:paraId="38B2C80A" w14:textId="77777777" w:rsidR="00AE0364" w:rsidRDefault="00AE0364">
            <w:pPr>
              <w:spacing w:after="0" w:line="240" w:lineRule="auto"/>
              <w:ind w:right="34"/>
              <w:rPr>
                <w:rFonts w:ascii="Arial" w:eastAsia="Arial" w:hAnsi="Arial" w:cs="Arial"/>
                <w:color w:val="000000"/>
              </w:rPr>
            </w:pPr>
          </w:p>
          <w:p w14:paraId="38B2C80B"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Module title: Foundations in Cultural Astronomy and Astrology</w:t>
            </w:r>
          </w:p>
          <w:p w14:paraId="38B2C80C" w14:textId="77777777" w:rsidR="00AE0364" w:rsidRDefault="00AE0364">
            <w:pPr>
              <w:spacing w:after="0" w:line="240" w:lineRule="auto"/>
              <w:ind w:right="34"/>
              <w:rPr>
                <w:rFonts w:ascii="Arial" w:eastAsia="Arial" w:hAnsi="Arial" w:cs="Arial"/>
                <w:color w:val="000000"/>
              </w:rPr>
            </w:pPr>
          </w:p>
          <w:p w14:paraId="38B2C80D" w14:textId="77777777" w:rsidR="00AE0364" w:rsidRDefault="00AE0364">
            <w:pPr>
              <w:spacing w:after="0" w:line="240" w:lineRule="auto"/>
              <w:ind w:right="34"/>
              <w:rPr>
                <w:rFonts w:ascii="Arial" w:eastAsia="Arial" w:hAnsi="Arial" w:cs="Arial"/>
                <w:color w:val="000000"/>
              </w:rPr>
            </w:pPr>
          </w:p>
        </w:tc>
        <w:tc>
          <w:tcPr>
            <w:tcW w:w="2266" w:type="dxa"/>
            <w:gridSpan w:val="3"/>
          </w:tcPr>
          <w:p w14:paraId="38B2C80E"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Student ID number:</w:t>
            </w:r>
          </w:p>
          <w:p w14:paraId="38B2C80F"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2126627</w:t>
            </w:r>
          </w:p>
        </w:tc>
        <w:tc>
          <w:tcPr>
            <w:tcW w:w="1802" w:type="dxa"/>
          </w:tcPr>
          <w:p w14:paraId="38B2C810"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Educational support needs:</w:t>
            </w:r>
          </w:p>
          <w:p w14:paraId="38B2C811"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No</w:t>
            </w:r>
          </w:p>
        </w:tc>
      </w:tr>
      <w:tr w:rsidR="00AE0364" w14:paraId="38B2C817" w14:textId="77777777">
        <w:trPr>
          <w:trHeight w:val="1139"/>
        </w:trPr>
        <w:tc>
          <w:tcPr>
            <w:tcW w:w="8856" w:type="dxa"/>
            <w:gridSpan w:val="5"/>
          </w:tcPr>
          <w:p w14:paraId="38B2C813"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Assignment title: Compare and Contrast Two Sky Myths from Two Different Cultures</w:t>
            </w:r>
          </w:p>
          <w:p w14:paraId="38B2C814" w14:textId="77777777" w:rsidR="00AE0364" w:rsidRDefault="00AE0364">
            <w:pPr>
              <w:spacing w:after="0" w:line="240" w:lineRule="auto"/>
              <w:ind w:right="34"/>
              <w:rPr>
                <w:rFonts w:ascii="Arial" w:eastAsia="Arial" w:hAnsi="Arial" w:cs="Arial"/>
                <w:color w:val="000000"/>
              </w:rPr>
            </w:pPr>
          </w:p>
          <w:p w14:paraId="38B2C815" w14:textId="77777777" w:rsidR="00AE0364" w:rsidRDefault="00AE0364">
            <w:pPr>
              <w:spacing w:after="0" w:line="240" w:lineRule="auto"/>
              <w:ind w:right="34"/>
              <w:rPr>
                <w:rFonts w:ascii="Arial" w:eastAsia="Arial" w:hAnsi="Arial" w:cs="Arial"/>
                <w:color w:val="000000"/>
              </w:rPr>
            </w:pPr>
          </w:p>
          <w:p w14:paraId="38B2C816"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Assignment due date: 3</w:t>
            </w:r>
            <w:r>
              <w:rPr>
                <w:rFonts w:ascii="Arial" w:eastAsia="Arial" w:hAnsi="Arial" w:cs="Arial"/>
                <w:color w:val="000000"/>
                <w:vertAlign w:val="superscript"/>
              </w:rPr>
              <w:t>rd</w:t>
            </w:r>
            <w:r>
              <w:rPr>
                <w:rFonts w:ascii="Arial" w:eastAsia="Arial" w:hAnsi="Arial" w:cs="Arial"/>
                <w:color w:val="000000"/>
              </w:rPr>
              <w:t xml:space="preserve"> January 2023</w:t>
            </w:r>
          </w:p>
        </w:tc>
      </w:tr>
      <w:tr w:rsidR="00AE0364" w14:paraId="38B2C819" w14:textId="77777777">
        <w:trPr>
          <w:trHeight w:val="978"/>
        </w:trPr>
        <w:tc>
          <w:tcPr>
            <w:tcW w:w="8856" w:type="dxa"/>
            <w:gridSpan w:val="5"/>
            <w:tcBorders>
              <w:bottom w:val="single" w:sz="4" w:space="0" w:color="000000"/>
            </w:tcBorders>
          </w:tcPr>
          <w:p w14:paraId="38B2C818" w14:textId="77777777" w:rsidR="00AE0364" w:rsidRDefault="00000000">
            <w:pPr>
              <w:spacing w:after="0" w:line="240" w:lineRule="auto"/>
              <w:rPr>
                <w:rFonts w:ascii="Arial" w:eastAsia="Arial" w:hAnsi="Arial" w:cs="Arial"/>
              </w:rPr>
            </w:pPr>
            <w:r>
              <w:rPr>
                <w:rFonts w:ascii="Arial" w:eastAsia="Arial" w:hAnsi="Arial" w:cs="Arial"/>
              </w:rPr>
              <w:t>This assignment is for the       1</w:t>
            </w:r>
            <w:r>
              <w:rPr>
                <w:rFonts w:ascii="Arial" w:eastAsia="Arial" w:hAnsi="Arial" w:cs="Arial"/>
                <w:vertAlign w:val="superscript"/>
              </w:rPr>
              <w:t xml:space="preserve">st </w:t>
            </w:r>
            <w:bookmarkStart w:id="0" w:name="bookmark=id.gjdgxs" w:colFirst="0" w:colLast="0"/>
            <w:bookmarkEnd w:id="0"/>
            <w:r>
              <w:rPr>
                <w:rFonts w:ascii="Arial" w:eastAsia="Arial" w:hAnsi="Arial" w:cs="Arial"/>
              </w:rPr>
              <w:t>☐    2</w:t>
            </w:r>
            <w:proofErr w:type="gramStart"/>
            <w:r>
              <w:rPr>
                <w:rFonts w:ascii="Arial" w:eastAsia="Arial" w:hAnsi="Arial" w:cs="Arial"/>
                <w:vertAlign w:val="superscript"/>
              </w:rPr>
              <w:t>nd</w:t>
            </w:r>
            <w:r>
              <w:rPr>
                <w:rFonts w:ascii="Arial" w:eastAsia="Arial" w:hAnsi="Arial" w:cs="Arial"/>
              </w:rPr>
              <w:t xml:space="preserve">  </w:t>
            </w:r>
            <w:bookmarkStart w:id="1" w:name="bookmark=id.30j0zll" w:colFirst="0" w:colLast="0"/>
            <w:bookmarkEnd w:id="1"/>
            <w:r>
              <w:rPr>
                <w:rFonts w:ascii="Arial" w:eastAsia="Arial" w:hAnsi="Arial" w:cs="Arial"/>
              </w:rPr>
              <w:t>☐</w:t>
            </w:r>
            <w:proofErr w:type="gramEnd"/>
            <w:r>
              <w:rPr>
                <w:rFonts w:ascii="Arial" w:eastAsia="Arial" w:hAnsi="Arial" w:cs="Arial"/>
              </w:rPr>
              <w:t xml:space="preserve">     3</w:t>
            </w:r>
            <w:r>
              <w:rPr>
                <w:rFonts w:ascii="Arial" w:eastAsia="Arial" w:hAnsi="Arial" w:cs="Arial"/>
                <w:vertAlign w:val="superscript"/>
              </w:rPr>
              <w:t>rd</w:t>
            </w:r>
            <w:r>
              <w:rPr>
                <w:rFonts w:ascii="Arial" w:eastAsia="Arial" w:hAnsi="Arial" w:cs="Arial"/>
              </w:rPr>
              <w:t xml:space="preserve">  x     4</w:t>
            </w:r>
            <w:r>
              <w:rPr>
                <w:rFonts w:ascii="Arial" w:eastAsia="Arial" w:hAnsi="Arial" w:cs="Arial"/>
                <w:vertAlign w:val="superscript"/>
              </w:rPr>
              <w:t>th</w:t>
            </w:r>
            <w:r>
              <w:rPr>
                <w:rFonts w:ascii="Arial" w:eastAsia="Arial" w:hAnsi="Arial" w:cs="Arial"/>
              </w:rPr>
              <w:t xml:space="preserve"> </w:t>
            </w:r>
            <w:bookmarkStart w:id="2" w:name="bookmark=id.1fob9te" w:colFirst="0" w:colLast="0"/>
            <w:bookmarkEnd w:id="2"/>
            <w:r>
              <w:rPr>
                <w:rFonts w:ascii="Arial" w:eastAsia="Arial" w:hAnsi="Arial" w:cs="Arial"/>
              </w:rPr>
              <w:t>☐      5</w:t>
            </w:r>
            <w:r>
              <w:rPr>
                <w:rFonts w:ascii="Arial" w:eastAsia="Arial" w:hAnsi="Arial" w:cs="Arial"/>
                <w:vertAlign w:val="superscript"/>
              </w:rPr>
              <w:t>th</w:t>
            </w:r>
            <w:r>
              <w:rPr>
                <w:rFonts w:ascii="Arial" w:eastAsia="Arial" w:hAnsi="Arial" w:cs="Arial"/>
              </w:rPr>
              <w:t xml:space="preserve"> </w:t>
            </w:r>
            <w:bookmarkStart w:id="3" w:name="bookmark=id.3znysh7" w:colFirst="0" w:colLast="0"/>
            <w:bookmarkEnd w:id="3"/>
            <w:r>
              <w:rPr>
                <w:rFonts w:ascii="Arial" w:eastAsia="Arial" w:hAnsi="Arial" w:cs="Arial"/>
              </w:rPr>
              <w:t>☐      6</w:t>
            </w:r>
            <w:r>
              <w:rPr>
                <w:rFonts w:ascii="Arial" w:eastAsia="Arial" w:hAnsi="Arial" w:cs="Arial"/>
                <w:vertAlign w:val="superscript"/>
              </w:rPr>
              <w:t>th</w:t>
            </w:r>
            <w:r>
              <w:rPr>
                <w:rFonts w:ascii="Arial" w:eastAsia="Arial" w:hAnsi="Arial" w:cs="Arial"/>
              </w:rPr>
              <w:t xml:space="preserve"> </w:t>
            </w:r>
            <w:bookmarkStart w:id="4" w:name="bookmark=id.2et92p0" w:colFirst="0" w:colLast="0"/>
            <w:bookmarkEnd w:id="4"/>
            <w:r>
              <w:rPr>
                <w:rFonts w:ascii="Arial" w:eastAsia="Arial" w:hAnsi="Arial" w:cs="Arial"/>
              </w:rPr>
              <w:t>☐</w:t>
            </w:r>
            <w:r>
              <w:rPr>
                <w:rFonts w:ascii="Arial" w:eastAsia="Arial" w:hAnsi="Arial" w:cs="Arial"/>
                <w:b/>
              </w:rPr>
              <w:t xml:space="preserve">   </w:t>
            </w:r>
            <w:r>
              <w:rPr>
                <w:rFonts w:ascii="Arial" w:eastAsia="Arial" w:hAnsi="Arial" w:cs="Arial"/>
              </w:rPr>
              <w:t>module of the degree</w:t>
            </w:r>
          </w:p>
        </w:tc>
      </w:tr>
      <w:tr w:rsidR="00AE0364" w14:paraId="38B2C81E" w14:textId="77777777">
        <w:trPr>
          <w:trHeight w:val="978"/>
        </w:trPr>
        <w:tc>
          <w:tcPr>
            <w:tcW w:w="8856" w:type="dxa"/>
            <w:gridSpan w:val="5"/>
            <w:shd w:val="clear" w:color="auto" w:fill="D9D9D9"/>
          </w:tcPr>
          <w:p w14:paraId="38B2C81A"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I confirm that this is my original work and that I have adhered to the University policy on plagiarism.</w:t>
            </w:r>
          </w:p>
          <w:p w14:paraId="38B2C81B" w14:textId="77777777" w:rsidR="00AE0364" w:rsidRDefault="00000000">
            <w:pPr>
              <w:spacing w:after="0" w:line="240" w:lineRule="auto"/>
              <w:ind w:right="34"/>
              <w:rPr>
                <w:rFonts w:ascii="Arial" w:eastAsia="Arial" w:hAnsi="Arial" w:cs="Arial"/>
                <w:color w:val="000000"/>
              </w:rPr>
            </w:pPr>
            <w:r>
              <w:rPr>
                <w:rFonts w:ascii="Arial" w:eastAsia="Arial" w:hAnsi="Arial" w:cs="Arial"/>
                <w:color w:val="000000"/>
              </w:rPr>
              <w:t>Signed ……………Lee Ying Ching………………………………………………</w:t>
            </w:r>
          </w:p>
          <w:p w14:paraId="38B2C81C" w14:textId="77777777" w:rsidR="00AE0364" w:rsidRDefault="00000000">
            <w:pPr>
              <w:spacing w:after="0" w:line="240" w:lineRule="auto"/>
              <w:ind w:right="34"/>
              <w:rPr>
                <w:b/>
                <w:color w:val="000000"/>
                <w:sz w:val="44"/>
                <w:szCs w:val="44"/>
              </w:rPr>
            </w:pPr>
            <w:r>
              <w:rPr>
                <w:b/>
                <w:color w:val="000000"/>
                <w:sz w:val="24"/>
                <w:szCs w:val="24"/>
              </w:rPr>
              <w:t xml:space="preserve">Email </w:t>
            </w:r>
            <w:proofErr w:type="spellStart"/>
            <w:proofErr w:type="gramStart"/>
            <w:r>
              <w:rPr>
                <w:b/>
                <w:color w:val="000000"/>
                <w:sz w:val="24"/>
                <w:szCs w:val="24"/>
              </w:rPr>
              <w:t>submission:if</w:t>
            </w:r>
            <w:proofErr w:type="spellEnd"/>
            <w:proofErr w:type="gramEnd"/>
            <w:r>
              <w:rPr>
                <w:b/>
                <w:color w:val="000000"/>
                <w:sz w:val="24"/>
                <w:szCs w:val="24"/>
              </w:rPr>
              <w:t xml:space="preserve"> you are submitting this form via email, please tick this box </w:t>
            </w:r>
            <w:r>
              <w:rPr>
                <w:b/>
                <w:color w:val="000000"/>
                <w:sz w:val="44"/>
                <w:szCs w:val="44"/>
              </w:rPr>
              <w:t>□</w:t>
            </w:r>
          </w:p>
          <w:p w14:paraId="38B2C81D" w14:textId="77777777" w:rsidR="00AE0364" w:rsidRDefault="00000000">
            <w:pPr>
              <w:spacing w:after="0" w:line="240" w:lineRule="auto"/>
              <w:ind w:right="34"/>
              <w:rPr>
                <w:rFonts w:ascii="Arial" w:eastAsia="Arial" w:hAnsi="Arial" w:cs="Arial"/>
                <w:color w:val="000000"/>
              </w:rPr>
            </w:pPr>
            <w:r>
              <w:rPr>
                <w:b/>
                <w:color w:val="000000"/>
                <w:sz w:val="24"/>
                <w:szCs w:val="24"/>
              </w:rPr>
              <w:t>(</w:t>
            </w:r>
            <w:proofErr w:type="gramStart"/>
            <w:r>
              <w:rPr>
                <w:b/>
                <w:color w:val="000000"/>
                <w:sz w:val="24"/>
                <w:szCs w:val="24"/>
              </w:rPr>
              <w:t>as</w:t>
            </w:r>
            <w:proofErr w:type="gramEnd"/>
            <w:r>
              <w:rPr>
                <w:b/>
                <w:color w:val="000000"/>
                <w:sz w:val="24"/>
                <w:szCs w:val="24"/>
              </w:rPr>
              <w:t xml:space="preserve"> a substitute for your signature) to confirm that you agree to the above declaration.</w:t>
            </w:r>
          </w:p>
        </w:tc>
      </w:tr>
      <w:tr w:rsidR="00AE0364" w14:paraId="38B2C83C" w14:textId="77777777">
        <w:trPr>
          <w:trHeight w:val="3972"/>
        </w:trPr>
        <w:tc>
          <w:tcPr>
            <w:tcW w:w="8856" w:type="dxa"/>
            <w:gridSpan w:val="5"/>
          </w:tcPr>
          <w:p w14:paraId="38B2C81F" w14:textId="77777777" w:rsidR="00AE0364" w:rsidRDefault="00AE0364">
            <w:pPr>
              <w:spacing w:after="0" w:line="240" w:lineRule="auto"/>
              <w:rPr>
                <w:rFonts w:ascii="Arial" w:eastAsia="Arial" w:hAnsi="Arial" w:cs="Arial"/>
                <w:b/>
                <w:sz w:val="24"/>
                <w:szCs w:val="24"/>
              </w:rPr>
            </w:pPr>
          </w:p>
          <w:p w14:paraId="38B2C820" w14:textId="77777777" w:rsidR="00AE0364" w:rsidRDefault="00000000">
            <w:pPr>
              <w:spacing w:after="0" w:line="240" w:lineRule="auto"/>
              <w:rPr>
                <w:rFonts w:ascii="Arial" w:eastAsia="Arial" w:hAnsi="Arial" w:cs="Arial"/>
                <w:sz w:val="24"/>
                <w:szCs w:val="24"/>
              </w:rPr>
            </w:pPr>
            <w:r>
              <w:rPr>
                <w:rFonts w:ascii="Arial" w:eastAsia="Arial" w:hAnsi="Arial" w:cs="Arial"/>
                <w:b/>
                <w:sz w:val="24"/>
                <w:szCs w:val="24"/>
              </w:rPr>
              <w:t>Assignment Mark</w:t>
            </w:r>
          </w:p>
          <w:tbl>
            <w:tblPr>
              <w:tblStyle w:val="a0"/>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AE0364" w14:paraId="38B2C824" w14:textId="77777777">
              <w:tc>
                <w:tcPr>
                  <w:tcW w:w="6970" w:type="dxa"/>
                </w:tcPr>
                <w:p w14:paraId="38B2C821" w14:textId="77777777" w:rsidR="00AE0364" w:rsidRDefault="00AE0364">
                  <w:pPr>
                    <w:spacing w:after="0" w:line="240" w:lineRule="auto"/>
                    <w:rPr>
                      <w:rFonts w:ascii="Arial" w:eastAsia="Arial" w:hAnsi="Arial" w:cs="Arial"/>
                      <w:sz w:val="20"/>
                      <w:szCs w:val="20"/>
                    </w:rPr>
                  </w:pPr>
                </w:p>
                <w:p w14:paraId="38B2C822" w14:textId="77777777" w:rsidR="00AE0364" w:rsidRDefault="00000000">
                  <w:pPr>
                    <w:spacing w:after="0" w:line="240" w:lineRule="auto"/>
                    <w:rPr>
                      <w:rFonts w:ascii="Arial" w:eastAsia="Arial" w:hAnsi="Arial" w:cs="Arial"/>
                      <w:sz w:val="20"/>
                      <w:szCs w:val="20"/>
                    </w:rPr>
                  </w:pPr>
                  <w:r>
                    <w:rPr>
                      <w:rFonts w:ascii="Arial" w:eastAsia="Arial" w:hAnsi="Arial" w:cs="Arial"/>
                      <w:sz w:val="20"/>
                      <w:szCs w:val="20"/>
                    </w:rPr>
                    <w:t>1</w:t>
                  </w:r>
                  <w:r>
                    <w:rPr>
                      <w:rFonts w:ascii="Arial" w:eastAsia="Arial" w:hAnsi="Arial" w:cs="Arial"/>
                      <w:sz w:val="20"/>
                      <w:szCs w:val="20"/>
                      <w:vertAlign w:val="superscript"/>
                    </w:rPr>
                    <w:t>st</w:t>
                  </w:r>
                  <w:r>
                    <w:rPr>
                      <w:rFonts w:ascii="Arial" w:eastAsia="Arial" w:hAnsi="Arial" w:cs="Arial"/>
                      <w:sz w:val="20"/>
                      <w:szCs w:val="20"/>
                    </w:rPr>
                    <w:t xml:space="preserve"> Marker’s Provisional mark</w:t>
                  </w:r>
                </w:p>
              </w:tc>
              <w:tc>
                <w:tcPr>
                  <w:tcW w:w="1660" w:type="dxa"/>
                </w:tcPr>
                <w:p w14:paraId="38B2C823" w14:textId="77777777" w:rsidR="00AE0364" w:rsidRDefault="00AE0364">
                  <w:pPr>
                    <w:spacing w:after="0" w:line="240" w:lineRule="auto"/>
                    <w:rPr>
                      <w:rFonts w:ascii="Arial" w:eastAsia="Arial" w:hAnsi="Arial" w:cs="Arial"/>
                      <w:sz w:val="20"/>
                      <w:szCs w:val="20"/>
                    </w:rPr>
                  </w:pPr>
                </w:p>
              </w:tc>
            </w:tr>
            <w:tr w:rsidR="00AE0364" w14:paraId="38B2C828" w14:textId="77777777">
              <w:tc>
                <w:tcPr>
                  <w:tcW w:w="6970" w:type="dxa"/>
                </w:tcPr>
                <w:p w14:paraId="38B2C825" w14:textId="77777777" w:rsidR="00AE0364" w:rsidRDefault="00AE0364">
                  <w:pPr>
                    <w:spacing w:after="0" w:line="240" w:lineRule="auto"/>
                    <w:rPr>
                      <w:rFonts w:ascii="Arial" w:eastAsia="Arial" w:hAnsi="Arial" w:cs="Arial"/>
                      <w:sz w:val="20"/>
                      <w:szCs w:val="20"/>
                    </w:rPr>
                  </w:pPr>
                </w:p>
                <w:p w14:paraId="38B2C826" w14:textId="77777777" w:rsidR="00AE0364" w:rsidRDefault="00000000">
                  <w:pPr>
                    <w:spacing w:after="0" w:line="240" w:lineRule="auto"/>
                    <w:rPr>
                      <w:rFonts w:ascii="Arial" w:eastAsia="Arial" w:hAnsi="Arial" w:cs="Arial"/>
                      <w:sz w:val="20"/>
                      <w:szCs w:val="20"/>
                    </w:rPr>
                  </w:pPr>
                  <w:r>
                    <w:rPr>
                      <w:rFonts w:ascii="Arial" w:eastAsia="Arial" w:hAnsi="Arial" w:cs="Arial"/>
                      <w:sz w:val="20"/>
                      <w:szCs w:val="20"/>
                    </w:rPr>
                    <w:t>2</w:t>
                  </w:r>
                  <w:r>
                    <w:rPr>
                      <w:rFonts w:ascii="Arial" w:eastAsia="Arial" w:hAnsi="Arial" w:cs="Arial"/>
                      <w:sz w:val="20"/>
                      <w:szCs w:val="20"/>
                      <w:vertAlign w:val="superscript"/>
                    </w:rPr>
                    <w:t>nd</w:t>
                  </w:r>
                  <w:r>
                    <w:rPr>
                      <w:rFonts w:ascii="Arial" w:eastAsia="Arial" w:hAnsi="Arial" w:cs="Arial"/>
                      <w:sz w:val="20"/>
                      <w:szCs w:val="20"/>
                    </w:rPr>
                    <w:t xml:space="preserve"> Marker’s/Moderator’s provisional mark</w:t>
                  </w:r>
                </w:p>
              </w:tc>
              <w:tc>
                <w:tcPr>
                  <w:tcW w:w="1660" w:type="dxa"/>
                </w:tcPr>
                <w:p w14:paraId="38B2C827" w14:textId="77777777" w:rsidR="00AE0364" w:rsidRDefault="00AE0364">
                  <w:pPr>
                    <w:spacing w:after="0" w:line="240" w:lineRule="auto"/>
                    <w:rPr>
                      <w:rFonts w:ascii="Arial" w:eastAsia="Arial" w:hAnsi="Arial" w:cs="Arial"/>
                      <w:sz w:val="20"/>
                      <w:szCs w:val="20"/>
                    </w:rPr>
                  </w:pPr>
                </w:p>
              </w:tc>
            </w:tr>
            <w:tr w:rsidR="00AE0364" w14:paraId="38B2C82C" w14:textId="77777777">
              <w:tc>
                <w:tcPr>
                  <w:tcW w:w="6970" w:type="dxa"/>
                </w:tcPr>
                <w:p w14:paraId="38B2C829" w14:textId="77777777" w:rsidR="00AE0364" w:rsidRDefault="00AE0364">
                  <w:pPr>
                    <w:spacing w:after="0" w:line="240" w:lineRule="auto"/>
                    <w:rPr>
                      <w:rFonts w:ascii="Arial" w:eastAsia="Arial" w:hAnsi="Arial" w:cs="Arial"/>
                      <w:sz w:val="20"/>
                      <w:szCs w:val="20"/>
                    </w:rPr>
                  </w:pPr>
                </w:p>
                <w:p w14:paraId="38B2C82A" w14:textId="77777777" w:rsidR="00AE0364" w:rsidRDefault="00000000">
                  <w:pPr>
                    <w:spacing w:after="0" w:line="240" w:lineRule="auto"/>
                    <w:rPr>
                      <w:rFonts w:ascii="Arial" w:eastAsia="Arial" w:hAnsi="Arial" w:cs="Arial"/>
                      <w:sz w:val="20"/>
                      <w:szCs w:val="20"/>
                    </w:rPr>
                  </w:pPr>
                  <w:r>
                    <w:rPr>
                      <w:rFonts w:ascii="Arial" w:eastAsia="Arial" w:hAnsi="Arial" w:cs="Arial"/>
                      <w:sz w:val="20"/>
                      <w:szCs w:val="20"/>
                    </w:rPr>
                    <w:t>External Examiner’s mark (if relevant)</w:t>
                  </w:r>
                </w:p>
              </w:tc>
              <w:tc>
                <w:tcPr>
                  <w:tcW w:w="1660" w:type="dxa"/>
                </w:tcPr>
                <w:p w14:paraId="38B2C82B" w14:textId="77777777" w:rsidR="00AE0364" w:rsidRDefault="00AE0364">
                  <w:pPr>
                    <w:spacing w:after="0" w:line="240" w:lineRule="auto"/>
                    <w:rPr>
                      <w:rFonts w:ascii="Arial" w:eastAsia="Arial" w:hAnsi="Arial" w:cs="Arial"/>
                      <w:sz w:val="20"/>
                      <w:szCs w:val="20"/>
                    </w:rPr>
                  </w:pPr>
                </w:p>
              </w:tc>
            </w:tr>
            <w:tr w:rsidR="00AE0364" w14:paraId="38B2C831" w14:textId="77777777">
              <w:tc>
                <w:tcPr>
                  <w:tcW w:w="6970" w:type="dxa"/>
                </w:tcPr>
                <w:p w14:paraId="38B2C82D" w14:textId="77777777" w:rsidR="00AE0364" w:rsidRDefault="00AE0364">
                  <w:pPr>
                    <w:spacing w:after="0" w:line="240" w:lineRule="auto"/>
                    <w:rPr>
                      <w:rFonts w:ascii="Arial" w:eastAsia="Arial" w:hAnsi="Arial" w:cs="Arial"/>
                      <w:sz w:val="20"/>
                      <w:szCs w:val="20"/>
                    </w:rPr>
                  </w:pPr>
                </w:p>
                <w:p w14:paraId="38B2C82E" w14:textId="77777777" w:rsidR="00AE0364" w:rsidRDefault="00000000">
                  <w:pPr>
                    <w:spacing w:after="0" w:line="240" w:lineRule="auto"/>
                    <w:rPr>
                      <w:rFonts w:ascii="Arial" w:eastAsia="Arial" w:hAnsi="Arial" w:cs="Arial"/>
                      <w:b/>
                      <w:sz w:val="20"/>
                      <w:szCs w:val="20"/>
                    </w:rPr>
                  </w:pPr>
                  <w:r>
                    <w:rPr>
                      <w:rFonts w:ascii="Arial" w:eastAsia="Arial" w:hAnsi="Arial" w:cs="Arial"/>
                      <w:b/>
                      <w:sz w:val="20"/>
                      <w:szCs w:val="20"/>
                    </w:rPr>
                    <w:t>Final Mark</w:t>
                  </w:r>
                </w:p>
                <w:p w14:paraId="38B2C82F" w14:textId="77777777" w:rsidR="00AE0364" w:rsidRDefault="00AE0364">
                  <w:pPr>
                    <w:spacing w:after="0" w:line="240" w:lineRule="auto"/>
                    <w:rPr>
                      <w:rFonts w:ascii="Arial" w:eastAsia="Arial" w:hAnsi="Arial" w:cs="Arial"/>
                      <w:sz w:val="20"/>
                      <w:szCs w:val="20"/>
                    </w:rPr>
                  </w:pPr>
                </w:p>
              </w:tc>
              <w:tc>
                <w:tcPr>
                  <w:tcW w:w="1660" w:type="dxa"/>
                </w:tcPr>
                <w:p w14:paraId="38B2C830" w14:textId="77777777" w:rsidR="00AE0364" w:rsidRDefault="00AE0364">
                  <w:pPr>
                    <w:spacing w:after="0" w:line="240" w:lineRule="auto"/>
                    <w:rPr>
                      <w:rFonts w:ascii="Arial" w:eastAsia="Arial" w:hAnsi="Arial" w:cs="Arial"/>
                      <w:sz w:val="20"/>
                      <w:szCs w:val="20"/>
                    </w:rPr>
                  </w:pPr>
                </w:p>
              </w:tc>
            </w:tr>
          </w:tbl>
          <w:p w14:paraId="38B2C832" w14:textId="77777777" w:rsidR="00AE0364" w:rsidRDefault="00AE0364">
            <w:pPr>
              <w:spacing w:after="0" w:line="240" w:lineRule="auto"/>
              <w:ind w:left="142" w:right="34"/>
              <w:rPr>
                <w:rFonts w:ascii="Arial" w:eastAsia="Arial" w:hAnsi="Arial" w:cs="Arial"/>
                <w:b/>
                <w:color w:val="000000"/>
              </w:rPr>
            </w:pPr>
          </w:p>
          <w:p w14:paraId="38B2C833" w14:textId="77777777" w:rsidR="00AE0364" w:rsidRDefault="00000000">
            <w:pPr>
              <w:spacing w:after="0" w:line="240" w:lineRule="auto"/>
              <w:ind w:left="142" w:right="34"/>
              <w:rPr>
                <w:rFonts w:ascii="Arial" w:eastAsia="Arial" w:hAnsi="Arial" w:cs="Arial"/>
                <w:color w:val="000000"/>
              </w:rPr>
            </w:pPr>
            <w:r>
              <w:rPr>
                <w:rFonts w:ascii="Arial" w:eastAsia="Arial" w:hAnsi="Arial" w:cs="Arial"/>
                <w:b/>
                <w:color w:val="000000"/>
              </w:rPr>
              <w:t>NB.</w:t>
            </w:r>
            <w:r>
              <w:rPr>
                <w:rFonts w:ascii="Arial" w:eastAsia="Arial" w:hAnsi="Arial" w:cs="Arial"/>
                <w:color w:val="000000"/>
              </w:rPr>
              <w:t xml:space="preserve">  All marks are provisional until confirmed by the Final Examination Board.</w:t>
            </w:r>
          </w:p>
          <w:p w14:paraId="38B2C834" w14:textId="77777777" w:rsidR="00AE0364" w:rsidRDefault="00AE0364">
            <w:pPr>
              <w:spacing w:after="0" w:line="240" w:lineRule="auto"/>
              <w:rPr>
                <w:rFonts w:ascii="Arial" w:eastAsia="Arial" w:hAnsi="Arial" w:cs="Arial"/>
                <w:b/>
                <w:color w:val="000000"/>
              </w:rPr>
            </w:pPr>
          </w:p>
          <w:p w14:paraId="38B2C835" w14:textId="77777777" w:rsidR="00AE0364" w:rsidRDefault="00AE0364">
            <w:pPr>
              <w:spacing w:after="0" w:line="240" w:lineRule="auto"/>
              <w:rPr>
                <w:rFonts w:ascii="Arial" w:eastAsia="Arial" w:hAnsi="Arial" w:cs="Arial"/>
                <w:b/>
                <w:color w:val="000000"/>
              </w:rPr>
            </w:pPr>
          </w:p>
          <w:p w14:paraId="38B2C836" w14:textId="77777777" w:rsidR="00AE0364" w:rsidRDefault="00AE0364">
            <w:pPr>
              <w:spacing w:after="0" w:line="240" w:lineRule="auto"/>
              <w:rPr>
                <w:rFonts w:ascii="Arial" w:eastAsia="Arial" w:hAnsi="Arial" w:cs="Arial"/>
                <w:b/>
                <w:color w:val="000000"/>
              </w:rPr>
            </w:pPr>
          </w:p>
          <w:p w14:paraId="38B2C837" w14:textId="77777777" w:rsidR="00AE0364" w:rsidRDefault="00AE0364">
            <w:pPr>
              <w:spacing w:after="0" w:line="240" w:lineRule="auto"/>
              <w:rPr>
                <w:rFonts w:ascii="Arial" w:eastAsia="Arial" w:hAnsi="Arial" w:cs="Arial"/>
                <w:b/>
                <w:color w:val="000000"/>
              </w:rPr>
            </w:pPr>
          </w:p>
          <w:p w14:paraId="38B2C838" w14:textId="77777777" w:rsidR="00AE0364" w:rsidRDefault="00AE0364">
            <w:pPr>
              <w:spacing w:after="0" w:line="240" w:lineRule="auto"/>
              <w:rPr>
                <w:rFonts w:ascii="Arial" w:eastAsia="Arial" w:hAnsi="Arial" w:cs="Arial"/>
                <w:b/>
                <w:color w:val="000000"/>
              </w:rPr>
            </w:pPr>
          </w:p>
          <w:p w14:paraId="38B2C839" w14:textId="77777777" w:rsidR="00AE0364" w:rsidRDefault="00000000">
            <w:pPr>
              <w:spacing w:after="0" w:line="240" w:lineRule="auto"/>
              <w:rPr>
                <w:rFonts w:ascii="Arial" w:eastAsia="Arial" w:hAnsi="Arial" w:cs="Arial"/>
                <w:b/>
                <w:color w:val="000000"/>
              </w:rPr>
            </w:pPr>
            <w:r>
              <w:rPr>
                <w:rFonts w:ascii="Arial" w:eastAsia="Arial" w:hAnsi="Arial" w:cs="Arial"/>
                <w:b/>
                <w:color w:val="000000"/>
              </w:rPr>
              <w:t xml:space="preserve">For completion by Marker </w:t>
            </w:r>
            <w:proofErr w:type="gramStart"/>
            <w:r>
              <w:rPr>
                <w:rFonts w:ascii="Arial" w:eastAsia="Arial" w:hAnsi="Arial" w:cs="Arial"/>
                <w:b/>
                <w:color w:val="000000"/>
              </w:rPr>
              <w:t>1 :</w:t>
            </w:r>
            <w:proofErr w:type="gramEnd"/>
          </w:p>
          <w:p w14:paraId="38B2C83A" w14:textId="77777777" w:rsidR="00AE0364" w:rsidRDefault="00000000">
            <w:pPr>
              <w:spacing w:before="280" w:after="280" w:line="240" w:lineRule="auto"/>
              <w:rPr>
                <w:rFonts w:ascii="Arial" w:eastAsia="Arial" w:hAnsi="Arial" w:cs="Arial"/>
                <w:color w:val="000000"/>
              </w:rPr>
            </w:pPr>
            <w:r>
              <w:rPr>
                <w:rFonts w:ascii="Arial" w:eastAsia="Arial" w:hAnsi="Arial" w:cs="Arial"/>
                <w:color w:val="000000"/>
              </w:rPr>
              <w:t>Comments:</w:t>
            </w:r>
          </w:p>
          <w:p w14:paraId="38B2C83B" w14:textId="77777777" w:rsidR="00AE0364" w:rsidRDefault="00AE0364">
            <w:pPr>
              <w:spacing w:before="280" w:line="240" w:lineRule="auto"/>
              <w:rPr>
                <w:rFonts w:ascii="Arial" w:eastAsia="Arial" w:hAnsi="Arial" w:cs="Arial"/>
                <w:color w:val="000000"/>
              </w:rPr>
            </w:pPr>
          </w:p>
        </w:tc>
      </w:tr>
      <w:tr w:rsidR="00AE0364" w14:paraId="38B2C83F" w14:textId="77777777">
        <w:trPr>
          <w:trHeight w:val="492"/>
        </w:trPr>
        <w:tc>
          <w:tcPr>
            <w:tcW w:w="6768" w:type="dxa"/>
            <w:gridSpan w:val="3"/>
          </w:tcPr>
          <w:p w14:paraId="38B2C83D" w14:textId="77777777" w:rsidR="00AE0364" w:rsidRDefault="00000000">
            <w:pPr>
              <w:spacing w:line="240" w:lineRule="auto"/>
              <w:ind w:left="142" w:right="34"/>
              <w:rPr>
                <w:rFonts w:ascii="Arial" w:eastAsia="Arial" w:hAnsi="Arial" w:cs="Arial"/>
                <w:color w:val="000000"/>
              </w:rPr>
            </w:pPr>
            <w:r>
              <w:rPr>
                <w:rFonts w:ascii="Arial" w:eastAsia="Arial" w:hAnsi="Arial" w:cs="Arial"/>
                <w:color w:val="000000"/>
              </w:rPr>
              <w:lastRenderedPageBreak/>
              <w:t>Marker’s signature:</w:t>
            </w:r>
          </w:p>
        </w:tc>
        <w:tc>
          <w:tcPr>
            <w:tcW w:w="2088" w:type="dxa"/>
            <w:gridSpan w:val="2"/>
          </w:tcPr>
          <w:p w14:paraId="38B2C83E" w14:textId="77777777" w:rsidR="00AE0364" w:rsidRDefault="00000000">
            <w:pPr>
              <w:spacing w:line="240" w:lineRule="auto"/>
              <w:ind w:left="142" w:right="34"/>
              <w:rPr>
                <w:rFonts w:ascii="Arial" w:eastAsia="Arial" w:hAnsi="Arial" w:cs="Arial"/>
                <w:color w:val="000000"/>
              </w:rPr>
            </w:pPr>
            <w:r>
              <w:rPr>
                <w:rFonts w:ascii="Arial" w:eastAsia="Arial" w:hAnsi="Arial" w:cs="Arial"/>
                <w:color w:val="000000"/>
              </w:rPr>
              <w:t>Date:</w:t>
            </w:r>
          </w:p>
        </w:tc>
      </w:tr>
      <w:tr w:rsidR="00AE0364" w14:paraId="38B2C84B" w14:textId="77777777">
        <w:tc>
          <w:tcPr>
            <w:tcW w:w="8856" w:type="dxa"/>
            <w:gridSpan w:val="5"/>
          </w:tcPr>
          <w:p w14:paraId="38B2C840" w14:textId="77777777" w:rsidR="00AE0364" w:rsidRDefault="00AE0364">
            <w:pPr>
              <w:spacing w:after="0" w:line="240" w:lineRule="auto"/>
              <w:ind w:right="-334"/>
              <w:rPr>
                <w:rFonts w:ascii="Arial" w:eastAsia="Arial" w:hAnsi="Arial" w:cs="Arial"/>
                <w:i/>
                <w:color w:val="000000"/>
              </w:rPr>
            </w:pPr>
          </w:p>
          <w:p w14:paraId="38B2C841" w14:textId="77777777" w:rsidR="00AE0364" w:rsidRDefault="00000000">
            <w:pPr>
              <w:spacing w:after="0" w:line="240" w:lineRule="auto"/>
              <w:ind w:right="-334"/>
              <w:rPr>
                <w:rFonts w:ascii="Arial" w:eastAsia="Arial" w:hAnsi="Arial" w:cs="Arial"/>
                <w:b/>
                <w:color w:val="000000"/>
              </w:rPr>
            </w:pPr>
            <w:r>
              <w:rPr>
                <w:rFonts w:ascii="Arial" w:eastAsia="Arial" w:hAnsi="Arial" w:cs="Arial"/>
                <w:b/>
                <w:color w:val="000000"/>
              </w:rPr>
              <w:t>For completion by Marker 2/Moderator:</w:t>
            </w:r>
          </w:p>
          <w:p w14:paraId="38B2C842" w14:textId="77777777" w:rsidR="00AE0364" w:rsidRDefault="00AE0364">
            <w:pPr>
              <w:spacing w:after="0" w:line="240" w:lineRule="auto"/>
              <w:ind w:right="-334"/>
              <w:rPr>
                <w:rFonts w:ascii="Arial" w:eastAsia="Arial" w:hAnsi="Arial" w:cs="Arial"/>
                <w:b/>
                <w:color w:val="000000"/>
              </w:rPr>
            </w:pPr>
          </w:p>
          <w:p w14:paraId="38B2C843" w14:textId="77777777" w:rsidR="00AE0364" w:rsidRDefault="00000000">
            <w:pPr>
              <w:spacing w:after="0" w:line="240" w:lineRule="auto"/>
              <w:ind w:right="-334"/>
              <w:rPr>
                <w:rFonts w:ascii="Arial" w:eastAsia="Arial" w:hAnsi="Arial" w:cs="Arial"/>
                <w:color w:val="000000"/>
              </w:rPr>
            </w:pPr>
            <w:r>
              <w:rPr>
                <w:rFonts w:ascii="Arial" w:eastAsia="Arial" w:hAnsi="Arial" w:cs="Arial"/>
                <w:color w:val="000000"/>
              </w:rPr>
              <w:t>Comments:</w:t>
            </w:r>
          </w:p>
          <w:p w14:paraId="38B2C844" w14:textId="77777777" w:rsidR="00AE0364" w:rsidRDefault="00AE0364">
            <w:pPr>
              <w:spacing w:after="0" w:line="240" w:lineRule="auto"/>
              <w:ind w:right="-334"/>
              <w:rPr>
                <w:rFonts w:ascii="Arial" w:eastAsia="Arial" w:hAnsi="Arial" w:cs="Arial"/>
                <w:color w:val="000000"/>
              </w:rPr>
            </w:pPr>
          </w:p>
          <w:p w14:paraId="38B2C845" w14:textId="77777777" w:rsidR="00AE0364" w:rsidRDefault="00AE0364">
            <w:pPr>
              <w:spacing w:after="0" w:line="240" w:lineRule="auto"/>
              <w:ind w:right="-334"/>
              <w:rPr>
                <w:rFonts w:ascii="Arial" w:eastAsia="Arial" w:hAnsi="Arial" w:cs="Arial"/>
                <w:color w:val="000000"/>
              </w:rPr>
            </w:pPr>
          </w:p>
          <w:p w14:paraId="38B2C846" w14:textId="77777777" w:rsidR="00AE0364" w:rsidRDefault="00AE0364">
            <w:pPr>
              <w:spacing w:after="0" w:line="240" w:lineRule="auto"/>
              <w:ind w:right="-334"/>
              <w:rPr>
                <w:rFonts w:ascii="Arial" w:eastAsia="Arial" w:hAnsi="Arial" w:cs="Arial"/>
                <w:color w:val="000000"/>
              </w:rPr>
            </w:pPr>
          </w:p>
          <w:p w14:paraId="38B2C847" w14:textId="77777777" w:rsidR="00AE0364" w:rsidRDefault="00AE0364">
            <w:pPr>
              <w:spacing w:after="0" w:line="240" w:lineRule="auto"/>
              <w:ind w:right="-334"/>
              <w:rPr>
                <w:rFonts w:ascii="Arial" w:eastAsia="Arial" w:hAnsi="Arial" w:cs="Arial"/>
                <w:color w:val="000000"/>
              </w:rPr>
            </w:pPr>
          </w:p>
          <w:p w14:paraId="38B2C848" w14:textId="77777777" w:rsidR="00AE0364" w:rsidRDefault="00AE0364">
            <w:pPr>
              <w:spacing w:after="0" w:line="240" w:lineRule="auto"/>
              <w:ind w:right="-334"/>
              <w:rPr>
                <w:rFonts w:ascii="Arial" w:eastAsia="Arial" w:hAnsi="Arial" w:cs="Arial"/>
                <w:color w:val="000000"/>
              </w:rPr>
            </w:pPr>
          </w:p>
          <w:p w14:paraId="38B2C849" w14:textId="77777777" w:rsidR="00AE0364" w:rsidRDefault="00AE0364">
            <w:pPr>
              <w:spacing w:after="0" w:line="240" w:lineRule="auto"/>
              <w:ind w:right="-334"/>
              <w:rPr>
                <w:rFonts w:ascii="Arial" w:eastAsia="Arial" w:hAnsi="Arial" w:cs="Arial"/>
                <w:color w:val="000000"/>
              </w:rPr>
            </w:pPr>
          </w:p>
          <w:p w14:paraId="38B2C84A" w14:textId="77777777" w:rsidR="00AE0364" w:rsidRDefault="00AE0364">
            <w:pPr>
              <w:spacing w:after="0" w:line="240" w:lineRule="auto"/>
              <w:ind w:right="-334"/>
              <w:rPr>
                <w:rFonts w:ascii="Arial" w:eastAsia="Arial" w:hAnsi="Arial" w:cs="Arial"/>
                <w:color w:val="000000"/>
              </w:rPr>
            </w:pPr>
          </w:p>
        </w:tc>
      </w:tr>
      <w:tr w:rsidR="00AE0364" w14:paraId="38B2C84E" w14:textId="77777777">
        <w:trPr>
          <w:trHeight w:val="720"/>
        </w:trPr>
        <w:tc>
          <w:tcPr>
            <w:tcW w:w="5211" w:type="dxa"/>
            <w:gridSpan w:val="2"/>
          </w:tcPr>
          <w:p w14:paraId="38B2C84C" w14:textId="77777777" w:rsidR="00AE0364" w:rsidRDefault="00000000">
            <w:pPr>
              <w:spacing w:after="0" w:line="240" w:lineRule="auto"/>
              <w:ind w:right="-334"/>
              <w:rPr>
                <w:rFonts w:ascii="Arial" w:eastAsia="Arial" w:hAnsi="Arial" w:cs="Arial"/>
                <w:color w:val="000000"/>
              </w:rPr>
            </w:pPr>
            <w:r>
              <w:rPr>
                <w:rFonts w:ascii="Arial" w:eastAsia="Arial" w:hAnsi="Arial" w:cs="Arial"/>
                <w:color w:val="000000"/>
              </w:rPr>
              <w:t>Marker’s Signature:</w:t>
            </w:r>
          </w:p>
        </w:tc>
        <w:tc>
          <w:tcPr>
            <w:tcW w:w="3645" w:type="dxa"/>
            <w:gridSpan w:val="3"/>
          </w:tcPr>
          <w:p w14:paraId="38B2C84D" w14:textId="77777777" w:rsidR="00AE0364" w:rsidRDefault="00000000">
            <w:pPr>
              <w:spacing w:after="0" w:line="240" w:lineRule="auto"/>
              <w:ind w:right="-334"/>
              <w:rPr>
                <w:rFonts w:ascii="Arial" w:eastAsia="Arial" w:hAnsi="Arial" w:cs="Arial"/>
                <w:color w:val="000000"/>
              </w:rPr>
            </w:pPr>
            <w:r>
              <w:rPr>
                <w:rFonts w:ascii="Arial" w:eastAsia="Arial" w:hAnsi="Arial" w:cs="Arial"/>
                <w:color w:val="000000"/>
              </w:rPr>
              <w:t>Date:</w:t>
            </w:r>
          </w:p>
        </w:tc>
      </w:tr>
      <w:tr w:rsidR="00AE0364" w14:paraId="38B2C858" w14:textId="77777777">
        <w:trPr>
          <w:trHeight w:val="720"/>
        </w:trPr>
        <w:tc>
          <w:tcPr>
            <w:tcW w:w="8856" w:type="dxa"/>
            <w:gridSpan w:val="5"/>
          </w:tcPr>
          <w:p w14:paraId="38B2C84F" w14:textId="77777777" w:rsidR="00AE0364" w:rsidRDefault="00000000">
            <w:pPr>
              <w:spacing w:after="0" w:line="240" w:lineRule="auto"/>
              <w:rPr>
                <w:rFonts w:ascii="Arial" w:eastAsia="Arial" w:hAnsi="Arial" w:cs="Arial"/>
                <w:b/>
              </w:rPr>
            </w:pPr>
            <w:r>
              <w:rPr>
                <w:rFonts w:ascii="Arial" w:eastAsia="Arial" w:hAnsi="Arial" w:cs="Arial"/>
                <w:b/>
              </w:rPr>
              <w:t>External Examiner’s comments (if relevant)</w:t>
            </w:r>
          </w:p>
          <w:p w14:paraId="38B2C850" w14:textId="77777777" w:rsidR="00AE0364" w:rsidRDefault="00AE0364">
            <w:pPr>
              <w:spacing w:after="0" w:line="240" w:lineRule="auto"/>
              <w:ind w:right="-334"/>
              <w:rPr>
                <w:rFonts w:ascii="Arial" w:eastAsia="Arial" w:hAnsi="Arial" w:cs="Arial"/>
                <w:color w:val="000000"/>
              </w:rPr>
            </w:pPr>
          </w:p>
          <w:p w14:paraId="38B2C851" w14:textId="77777777" w:rsidR="00AE0364" w:rsidRDefault="00AE0364">
            <w:pPr>
              <w:spacing w:after="0" w:line="240" w:lineRule="auto"/>
              <w:ind w:right="-334"/>
              <w:rPr>
                <w:rFonts w:ascii="Arial" w:eastAsia="Arial" w:hAnsi="Arial" w:cs="Arial"/>
                <w:color w:val="000000"/>
              </w:rPr>
            </w:pPr>
          </w:p>
          <w:p w14:paraId="38B2C852" w14:textId="77777777" w:rsidR="00AE0364" w:rsidRDefault="00AE0364">
            <w:pPr>
              <w:spacing w:after="0" w:line="240" w:lineRule="auto"/>
              <w:ind w:right="-334"/>
              <w:rPr>
                <w:rFonts w:ascii="Arial" w:eastAsia="Arial" w:hAnsi="Arial" w:cs="Arial"/>
                <w:color w:val="000000"/>
              </w:rPr>
            </w:pPr>
          </w:p>
          <w:p w14:paraId="38B2C853" w14:textId="77777777" w:rsidR="00AE0364" w:rsidRDefault="00AE0364">
            <w:pPr>
              <w:spacing w:after="0" w:line="240" w:lineRule="auto"/>
              <w:ind w:right="-334"/>
              <w:rPr>
                <w:rFonts w:ascii="Arial" w:eastAsia="Arial" w:hAnsi="Arial" w:cs="Arial"/>
                <w:color w:val="000000"/>
              </w:rPr>
            </w:pPr>
          </w:p>
          <w:p w14:paraId="38B2C854" w14:textId="77777777" w:rsidR="00AE0364" w:rsidRDefault="00AE0364">
            <w:pPr>
              <w:spacing w:after="0" w:line="240" w:lineRule="auto"/>
              <w:ind w:right="-334"/>
              <w:rPr>
                <w:rFonts w:ascii="Arial" w:eastAsia="Arial" w:hAnsi="Arial" w:cs="Arial"/>
                <w:color w:val="000000"/>
              </w:rPr>
            </w:pPr>
          </w:p>
          <w:p w14:paraId="38B2C855" w14:textId="77777777" w:rsidR="00AE0364" w:rsidRDefault="00AE0364">
            <w:pPr>
              <w:spacing w:after="0" w:line="240" w:lineRule="auto"/>
              <w:ind w:right="-334"/>
              <w:rPr>
                <w:rFonts w:ascii="Arial" w:eastAsia="Arial" w:hAnsi="Arial" w:cs="Arial"/>
                <w:color w:val="000000"/>
              </w:rPr>
            </w:pPr>
          </w:p>
          <w:p w14:paraId="38B2C856" w14:textId="77777777" w:rsidR="00AE0364" w:rsidRDefault="00AE0364">
            <w:pPr>
              <w:spacing w:after="0" w:line="240" w:lineRule="auto"/>
              <w:ind w:right="-334"/>
              <w:rPr>
                <w:rFonts w:ascii="Arial" w:eastAsia="Arial" w:hAnsi="Arial" w:cs="Arial"/>
                <w:color w:val="000000"/>
              </w:rPr>
            </w:pPr>
          </w:p>
          <w:p w14:paraId="38B2C857" w14:textId="77777777" w:rsidR="00AE0364" w:rsidRDefault="00AE0364">
            <w:pPr>
              <w:spacing w:after="0" w:line="240" w:lineRule="auto"/>
              <w:ind w:right="-334"/>
              <w:rPr>
                <w:rFonts w:ascii="Arial" w:eastAsia="Arial" w:hAnsi="Arial" w:cs="Arial"/>
                <w:color w:val="000000"/>
              </w:rPr>
            </w:pPr>
          </w:p>
        </w:tc>
      </w:tr>
      <w:tr w:rsidR="00AE0364" w14:paraId="38B2C85B" w14:textId="77777777">
        <w:trPr>
          <w:trHeight w:val="720"/>
        </w:trPr>
        <w:tc>
          <w:tcPr>
            <w:tcW w:w="5211" w:type="dxa"/>
            <w:gridSpan w:val="2"/>
          </w:tcPr>
          <w:p w14:paraId="38B2C859" w14:textId="77777777" w:rsidR="00AE0364" w:rsidRDefault="00000000">
            <w:pPr>
              <w:spacing w:after="0" w:line="240" w:lineRule="auto"/>
              <w:rPr>
                <w:rFonts w:ascii="Arial" w:eastAsia="Arial" w:hAnsi="Arial" w:cs="Arial"/>
              </w:rPr>
            </w:pPr>
            <w:r>
              <w:rPr>
                <w:rFonts w:ascii="Arial" w:eastAsia="Arial" w:hAnsi="Arial" w:cs="Arial"/>
              </w:rPr>
              <w:t>External Examiner’s Signature:</w:t>
            </w:r>
          </w:p>
        </w:tc>
        <w:tc>
          <w:tcPr>
            <w:tcW w:w="3645" w:type="dxa"/>
            <w:gridSpan w:val="3"/>
          </w:tcPr>
          <w:p w14:paraId="38B2C85A" w14:textId="77777777" w:rsidR="00AE0364" w:rsidRDefault="00000000">
            <w:pPr>
              <w:spacing w:after="0" w:line="240" w:lineRule="auto"/>
              <w:rPr>
                <w:rFonts w:ascii="Arial" w:eastAsia="Arial" w:hAnsi="Arial" w:cs="Arial"/>
              </w:rPr>
            </w:pPr>
            <w:r>
              <w:rPr>
                <w:rFonts w:ascii="Arial" w:eastAsia="Arial" w:hAnsi="Arial" w:cs="Arial"/>
              </w:rPr>
              <w:t>Date:</w:t>
            </w:r>
          </w:p>
        </w:tc>
      </w:tr>
    </w:tbl>
    <w:p w14:paraId="38B2C85C" w14:textId="77777777" w:rsidR="00AE0364" w:rsidRDefault="00AE0364">
      <w:pPr>
        <w:spacing w:after="240" w:line="240" w:lineRule="auto"/>
        <w:rPr>
          <w:b/>
        </w:rPr>
      </w:pPr>
    </w:p>
    <w:p w14:paraId="38B2C85D" w14:textId="77777777" w:rsidR="00AE0364" w:rsidRDefault="00AE0364">
      <w:pPr>
        <w:spacing w:after="240" w:line="240" w:lineRule="auto"/>
        <w:rPr>
          <w:b/>
        </w:rPr>
      </w:pPr>
    </w:p>
    <w:p w14:paraId="38B2C85E" w14:textId="77777777" w:rsidR="00AE0364" w:rsidRDefault="00AE0364">
      <w:pPr>
        <w:spacing w:after="240" w:line="240" w:lineRule="auto"/>
        <w:rPr>
          <w:b/>
        </w:rPr>
      </w:pPr>
    </w:p>
    <w:p w14:paraId="38B2C85F" w14:textId="77777777" w:rsidR="00AE0364" w:rsidRDefault="00AE0364">
      <w:pPr>
        <w:spacing w:after="240" w:line="240" w:lineRule="auto"/>
        <w:rPr>
          <w:b/>
        </w:rPr>
      </w:pPr>
    </w:p>
    <w:p w14:paraId="38B2C865" w14:textId="77777777" w:rsidR="00AE0364" w:rsidRDefault="00000000">
      <w:pPr>
        <w:spacing w:after="240" w:line="240" w:lineRule="auto"/>
        <w:rPr>
          <w:b/>
        </w:rPr>
      </w:pPr>
      <w:r>
        <w:rPr>
          <w:b/>
        </w:rPr>
        <w:lastRenderedPageBreak/>
        <w:t>Introduction</w:t>
      </w:r>
    </w:p>
    <w:p w14:paraId="38B2C866" w14:textId="28E3E79A" w:rsidR="00AE0364" w:rsidRDefault="00000000">
      <w:pPr>
        <w:spacing w:after="240" w:line="240" w:lineRule="auto"/>
        <w:ind w:left="144" w:firstLine="720"/>
      </w:pPr>
      <w:r>
        <w:t xml:space="preserve">This paper draws a comparison of the Chinese </w:t>
      </w:r>
      <w:proofErr w:type="spellStart"/>
      <w:r>
        <w:t>Beidou</w:t>
      </w:r>
      <w:proofErr w:type="spellEnd"/>
      <w:r>
        <w:t xml:space="preserve"> and the Greek </w:t>
      </w:r>
      <w:proofErr w:type="spellStart"/>
      <w:r>
        <w:t>Helike</w:t>
      </w:r>
      <w:proofErr w:type="spellEnd"/>
      <w:r>
        <w:t xml:space="preserve">, both are sky myths derived from the constellation of Ursa Major, the Great Bear. Located in the North celestial pole, the Great Bear is one of the few similarly recognized constellations across cultures. Known as the </w:t>
      </w:r>
      <w:proofErr w:type="spellStart"/>
      <w:r>
        <w:t>Beidou</w:t>
      </w:r>
      <w:proofErr w:type="spellEnd"/>
      <w:r>
        <w:t xml:space="preserve"> in Chinese myth 北斗七星 (</w:t>
      </w:r>
      <w:proofErr w:type="spellStart"/>
      <w:r>
        <w:t>Beidou</w:t>
      </w:r>
      <w:proofErr w:type="spellEnd"/>
      <w:r>
        <w:t xml:space="preserve">北斗) and </w:t>
      </w:r>
      <w:proofErr w:type="spellStart"/>
      <w:r>
        <w:t>Helike</w:t>
      </w:r>
      <w:proofErr w:type="spellEnd"/>
      <w:r>
        <w:t xml:space="preserve"> in several Greek myths, the Great Bear’s story was understood differently in both skies. The paper aims to understand the formation of myths and to explore if they are static stories or a myth that evolves in time to meet the demands of society. Examining two primary sources including the Chinese sky myth of </w:t>
      </w:r>
      <w:proofErr w:type="spellStart"/>
      <w:r>
        <w:t>Beidou</w:t>
      </w:r>
      <w:proofErr w:type="spellEnd"/>
      <w:r>
        <w:t xml:space="preserve"> in </w:t>
      </w:r>
      <w:proofErr w:type="spellStart"/>
      <w:r>
        <w:rPr>
          <w:i/>
        </w:rPr>
        <w:t>Shiji</w:t>
      </w:r>
      <w:proofErr w:type="spellEnd"/>
      <w:r>
        <w:t xml:space="preserve"> 史記, the </w:t>
      </w:r>
      <w:r>
        <w:rPr>
          <w:i/>
        </w:rPr>
        <w:t>Grand Scribe Records</w:t>
      </w:r>
      <w:r>
        <w:t xml:space="preserve"> (109-91 BCE),</w:t>
      </w:r>
      <w:r>
        <w:rPr>
          <w:vertAlign w:val="superscript"/>
        </w:rPr>
        <w:footnoteReference w:id="1"/>
      </w:r>
      <w:r>
        <w:t xml:space="preserve"> by </w:t>
      </w:r>
      <w:proofErr w:type="spellStart"/>
      <w:r>
        <w:t>Sima</w:t>
      </w:r>
      <w:proofErr w:type="spellEnd"/>
      <w:r>
        <w:t xml:space="preserve"> Qian 司馬遷 (145-86 BCE), and the Greek mythology of </w:t>
      </w:r>
      <w:proofErr w:type="spellStart"/>
      <w:r>
        <w:t>Helike</w:t>
      </w:r>
      <w:proofErr w:type="spellEnd"/>
      <w:r>
        <w:t xml:space="preserve"> in</w:t>
      </w:r>
      <w:r>
        <w:rPr>
          <w:i/>
        </w:rPr>
        <w:t xml:space="preserve"> </w:t>
      </w:r>
      <w:proofErr w:type="spellStart"/>
      <w:r>
        <w:rPr>
          <w:i/>
        </w:rPr>
        <w:t>Phaenomena</w:t>
      </w:r>
      <w:proofErr w:type="spellEnd"/>
      <w:r>
        <w:t xml:space="preserve"> by Aratus (3 CE).</w:t>
      </w:r>
      <w:r w:rsidR="00BA3FAA">
        <w:rPr>
          <w:rStyle w:val="FootnoteReference"/>
        </w:rPr>
        <w:footnoteReference w:id="2"/>
      </w:r>
      <w:r>
        <w:t xml:space="preserve"> The paper studies the respective myths’ characteristics and investigates the influence of the socio-political factors on their evolution. </w:t>
      </w:r>
    </w:p>
    <w:p w14:paraId="38B2C867" w14:textId="77777777" w:rsidR="00AE0364" w:rsidRDefault="00000000">
      <w:pPr>
        <w:spacing w:after="240" w:line="240" w:lineRule="auto"/>
        <w:rPr>
          <w:b/>
        </w:rPr>
      </w:pPr>
      <w:r>
        <w:rPr>
          <w:b/>
        </w:rPr>
        <w:t>Context</w:t>
      </w:r>
    </w:p>
    <w:p w14:paraId="38B2C868" w14:textId="77777777" w:rsidR="00AE0364" w:rsidRDefault="00000000">
      <w:pPr>
        <w:spacing w:after="240" w:line="240" w:lineRule="auto"/>
        <w:ind w:left="144" w:firstLine="720"/>
      </w:pPr>
      <w:r>
        <w:t>Sky myths were myths of the cosmos developed from an underlying cosmology. These myths act as a vehicle to preserve the cosmology of a civilization, adorned with imaginative or functional narratives, poems, or art forms. As cosmology evolved with historical, social, and political factors, myths also refashioned accordingly with the change in culture. Chinese myths developed from the origin myth from the early Xia Dynasty (2070-1600 BC) with pre-existing astrological associations with terrestrial powers.</w:t>
      </w:r>
      <w:r>
        <w:rPr>
          <w:vertAlign w:val="superscript"/>
        </w:rPr>
        <w:footnoteReference w:id="3"/>
      </w:r>
      <w:r>
        <w:t xml:space="preserve"> Cosmos was seen as an organic whole that interacts and reflects Earthly life. Sky myths presented themselves in fragments of imaginative poems and artifacts. These myths were seen as analytically constructed representations of astral practices. Similarly, Greek myths were also preserved as poems and artifacts. However, the poems presented themselves as stories with a concept of an external creator, forging order in the universe by gods and goddesses. According to Hetherington, cosmology is the study of the universe as an orderly system.</w:t>
      </w:r>
      <w:r>
        <w:rPr>
          <w:vertAlign w:val="superscript"/>
        </w:rPr>
        <w:footnoteReference w:id="4"/>
      </w:r>
      <w:r>
        <w:t xml:space="preserve"> Cosmologies can contribute to a very different form of myth given the same constellation seen by a different civilization. Freya Mathews said, “cosmology is not a cultural epiphenomenon; once it has taken hold of the communal imagination it can on the one hand serve the community…undermining its morale even when material conditions improve and permit expansion…” Therefore, different cosmologies can determine the direction of development and the use of myths in a particular culture. Myth is an application of cosmology to understand the world and the universe at large and is also an intuitive vehicle to preserve a cultural lineage.</w:t>
      </w:r>
    </w:p>
    <w:p w14:paraId="38B2C869" w14:textId="77777777" w:rsidR="00AE0364" w:rsidRDefault="00000000">
      <w:pPr>
        <w:spacing w:after="240" w:line="240" w:lineRule="auto"/>
        <w:ind w:left="144" w:firstLine="720"/>
      </w:pPr>
      <w:r>
        <w:t xml:space="preserve">The myth of </w:t>
      </w:r>
      <w:proofErr w:type="spellStart"/>
      <w:r>
        <w:t>Beidou</w:t>
      </w:r>
      <w:proofErr w:type="spellEnd"/>
      <w:r>
        <w:t xml:space="preserve"> and the astrological association existed as allusions and artifacts since the Neolithic age.</w:t>
      </w:r>
      <w:r>
        <w:rPr>
          <w:vertAlign w:val="superscript"/>
        </w:rPr>
        <w:footnoteReference w:id="5"/>
      </w:r>
      <w:r>
        <w:t xml:space="preserve"> The Chinese sky was divided into four regions of the four cardinal directions, each corresponding with a totem. Each region contains a set of constellations from the Twenty-Eight Lunar Mansions二十八宿. The Northern sky region </w:t>
      </w:r>
      <w:proofErr w:type="gramStart"/>
      <w:r>
        <w:t>was considered to be</w:t>
      </w:r>
      <w:proofErr w:type="gramEnd"/>
      <w:r>
        <w:t xml:space="preserve"> the orientation of the Chinese sky centering around the circumpolar position. In the </w:t>
      </w:r>
      <w:proofErr w:type="spellStart"/>
      <w:r>
        <w:t>Beidou</w:t>
      </w:r>
      <w:proofErr w:type="spellEnd"/>
      <w:r>
        <w:t xml:space="preserve"> myth </w:t>
      </w:r>
      <w:proofErr w:type="spellStart"/>
      <w:r>
        <w:rPr>
          <w:i/>
        </w:rPr>
        <w:t>Shiji</w:t>
      </w:r>
      <w:proofErr w:type="spellEnd"/>
      <w:r>
        <w:t xml:space="preserve">, this central region was further </w:t>
      </w:r>
      <w:r>
        <w:lastRenderedPageBreak/>
        <w:t>divided into the Three Enclosures 三垣.</w:t>
      </w:r>
      <w:r>
        <w:rPr>
          <w:vertAlign w:val="superscript"/>
        </w:rPr>
        <w:footnoteReference w:id="6"/>
      </w:r>
      <w:r>
        <w:t xml:space="preserve"> While </w:t>
      </w:r>
      <w:proofErr w:type="spellStart"/>
      <w:r>
        <w:t>Beidou</w:t>
      </w:r>
      <w:proofErr w:type="spellEnd"/>
      <w:r>
        <w:t xml:space="preserve"> was among the first set of Lunar Mansions in the Northern sky revolving around the North Pole, it holds an important role of indicating the center. From the earliest archeological evidence in a shaman burial 4</w:t>
      </w:r>
      <w:r>
        <w:rPr>
          <w:vertAlign w:val="superscript"/>
        </w:rPr>
        <w:t>th</w:t>
      </w:r>
      <w:r>
        <w:t xml:space="preserve"> millennium BCE, </w:t>
      </w:r>
      <w:proofErr w:type="spellStart"/>
      <w:r>
        <w:t>Beidou</w:t>
      </w:r>
      <w:proofErr w:type="spellEnd"/>
      <w:r>
        <w:t xml:space="preserve"> and the Northern sky have shown to be a form of orientation while not necessarily related to the throne.</w:t>
      </w:r>
      <w:r>
        <w:rPr>
          <w:vertAlign w:val="superscript"/>
        </w:rPr>
        <w:t xml:space="preserve"> </w:t>
      </w:r>
      <w:r>
        <w:rPr>
          <w:vertAlign w:val="superscript"/>
        </w:rPr>
        <w:footnoteReference w:id="7"/>
      </w:r>
      <w:r>
        <w:t xml:space="preserve"> Through refashioning through history as recorded in </w:t>
      </w:r>
      <w:proofErr w:type="spellStart"/>
      <w:r>
        <w:rPr>
          <w:i/>
        </w:rPr>
        <w:t>Shiji</w:t>
      </w:r>
      <w:proofErr w:type="spellEnd"/>
      <w:r>
        <w:t xml:space="preserve">, court historian </w:t>
      </w:r>
      <w:proofErr w:type="spellStart"/>
      <w:r>
        <w:t>Sima</w:t>
      </w:r>
      <w:proofErr w:type="spellEnd"/>
      <w:r>
        <w:t xml:space="preserve"> Qian reorganized information in the Han Dynasty 漢 reinforced the narrative towards the myth of the Mandate of Heaven (Tian Ming 天命). From historical accounts from the Shang Zhou 商周dynastic succession in 1046 BCE</w:t>
      </w:r>
      <w:r>
        <w:rPr>
          <w:vertAlign w:val="superscript"/>
        </w:rPr>
        <w:footnoteReference w:id="8"/>
      </w:r>
      <w:r>
        <w:t xml:space="preserve"> and the astral practices in Qin Dynasty 秦 (221-206 BCE) to astronomical observations from the Warring State Period </w:t>
      </w:r>
      <w:proofErr w:type="gramStart"/>
      <w:r>
        <w:t>戰國(</w:t>
      </w:r>
      <w:proofErr w:type="gramEnd"/>
      <w:r>
        <w:t xml:space="preserve">771-476 BCE). </w:t>
      </w:r>
      <w:proofErr w:type="spellStart"/>
      <w:r>
        <w:rPr>
          <w:i/>
        </w:rPr>
        <w:t>Shiji</w:t>
      </w:r>
      <w:proofErr w:type="spellEnd"/>
      <w:r>
        <w:t xml:space="preserve"> provided a cohesive mythical sky system with astrological association focusing on the Mandate of Heaven. While ordinary people were discouraged from practicing astrology, other versions of the myth presented themselves as symbols and deities in religious and lifestyle practices. Goddess </w:t>
      </w:r>
      <w:proofErr w:type="spellStart"/>
      <w:r>
        <w:t>Doumu</w:t>
      </w:r>
      <w:proofErr w:type="spellEnd"/>
      <w:r>
        <w:t xml:space="preserve"> 斗姆</w:t>
      </w:r>
      <w:r>
        <w:rPr>
          <w:vertAlign w:val="superscript"/>
        </w:rPr>
        <w:footnoteReference w:id="9"/>
      </w:r>
      <w:r>
        <w:t xml:space="preserve"> in Taoism and </w:t>
      </w:r>
      <w:proofErr w:type="spellStart"/>
      <w:r>
        <w:t>Beidou</w:t>
      </w:r>
      <w:proofErr w:type="spellEnd"/>
      <w:r>
        <w:t xml:space="preserve"> in Feng shui and medicine practices were formed after the Warring State Period in parallel with the official myth. </w:t>
      </w:r>
      <w:proofErr w:type="spellStart"/>
      <w:r>
        <w:t>Beidou</w:t>
      </w:r>
      <w:proofErr w:type="spellEnd"/>
      <w:r>
        <w:t xml:space="preserve"> as a symbol of orientation refashioned itself culturally, socially, and religiously into mythical forms of practice instead of directly mirroring the sky. As a sky myth, the </w:t>
      </w:r>
      <w:proofErr w:type="spellStart"/>
      <w:r>
        <w:t>Beidou</w:t>
      </w:r>
      <w:proofErr w:type="spellEnd"/>
      <w:r>
        <w:t xml:space="preserve"> myth officially focused on the narrative of an unmovable kingship. </w:t>
      </w:r>
    </w:p>
    <w:p w14:paraId="38B2C86A" w14:textId="77777777" w:rsidR="00AE0364" w:rsidRDefault="00000000">
      <w:pPr>
        <w:spacing w:after="240" w:line="240" w:lineRule="auto"/>
        <w:ind w:left="144" w:firstLine="720"/>
      </w:pPr>
      <w:r>
        <w:t xml:space="preserve">While the Chinese mythology of the Great Bear is heavily astrological and political, Greek mythology is more colorful and intuitive. There were multiple versions of myths regarding the Great Bear. Aratus’s version was one that demonstrated a model of a clear storyline in building a hero’s journey. </w:t>
      </w:r>
      <w:proofErr w:type="spellStart"/>
      <w:r>
        <w:rPr>
          <w:i/>
        </w:rPr>
        <w:t>Phaenomena</w:t>
      </w:r>
      <w:proofErr w:type="spellEnd"/>
      <w:r>
        <w:t xml:space="preserve"> was a book of imaginative stories structured with the underlying cosmology revolving around the king of gods, Zeus. Aratus began the book with Zeus as the center of the Greek Parthenon, “from Zeus let us begin; him do we mortals never leave unnamed…always we all have need of Zeus. For we are also his offspring.” </w:t>
      </w:r>
      <w:proofErr w:type="spellStart"/>
      <w:r>
        <w:rPr>
          <w:i/>
        </w:rPr>
        <w:t>Phaenomena</w:t>
      </w:r>
      <w:proofErr w:type="spellEnd"/>
      <w:r>
        <w:t xml:space="preserve"> used narrative to express the understanding of the rising and setting of the constellations. On top of the stories, Aratus’s Great Bear myth also introduces the practical use of the constellation. Using the example of having the Great Bear as a guide for navigation at sea, the practicality developed along with the imaginative story of goddess </w:t>
      </w:r>
      <w:proofErr w:type="spellStart"/>
      <w:r>
        <w:t>Adrasteia</w:t>
      </w:r>
      <w:proofErr w:type="spellEnd"/>
      <w:r>
        <w:t xml:space="preserve">. </w:t>
      </w:r>
      <w:proofErr w:type="spellStart"/>
      <w:r>
        <w:t>Adrasteia</w:t>
      </w:r>
      <w:proofErr w:type="spellEnd"/>
      <w:r>
        <w:t xml:space="preserve"> was depicted as an empowered female role that was very different from the commonly known versions. The existence of the various versions of myths showed the interpretations were influenced heavily by social influences. They were multidimensional and multidisciplinary, bringing moral order to the formation of the stories.  </w:t>
      </w:r>
    </w:p>
    <w:p w14:paraId="38B2C86B" w14:textId="77777777" w:rsidR="00AE0364" w:rsidRDefault="00000000">
      <w:pPr>
        <w:spacing w:after="240" w:line="240" w:lineRule="auto"/>
        <w:rPr>
          <w:b/>
        </w:rPr>
      </w:pPr>
      <w:r>
        <w:rPr>
          <w:b/>
        </w:rPr>
        <w:t xml:space="preserve">The Myth of </w:t>
      </w:r>
      <w:proofErr w:type="spellStart"/>
      <w:r>
        <w:rPr>
          <w:b/>
        </w:rPr>
        <w:t>Beidou</w:t>
      </w:r>
      <w:proofErr w:type="spellEnd"/>
    </w:p>
    <w:p w14:paraId="38B2C86C" w14:textId="77777777" w:rsidR="00AE0364" w:rsidRDefault="00000000">
      <w:pPr>
        <w:pBdr>
          <w:top w:val="nil"/>
          <w:left w:val="nil"/>
          <w:bottom w:val="nil"/>
          <w:right w:val="nil"/>
          <w:between w:val="nil"/>
        </w:pBdr>
        <w:spacing w:after="240" w:line="240" w:lineRule="auto"/>
        <w:ind w:left="144" w:firstLine="720"/>
        <w:rPr>
          <w:color w:val="000000"/>
        </w:rPr>
      </w:pPr>
      <w:proofErr w:type="spellStart"/>
      <w:r>
        <w:rPr>
          <w:color w:val="000000"/>
        </w:rPr>
        <w:t>Beidou</w:t>
      </w:r>
      <w:proofErr w:type="spellEnd"/>
      <w:r>
        <w:rPr>
          <w:color w:val="000000"/>
        </w:rPr>
        <w:t xml:space="preserve"> in the context of </w:t>
      </w:r>
      <w:proofErr w:type="spellStart"/>
      <w:r>
        <w:rPr>
          <w:i/>
          <w:color w:val="000000"/>
        </w:rPr>
        <w:t>Shiji</w:t>
      </w:r>
      <w:proofErr w:type="spellEnd"/>
      <w:r>
        <w:rPr>
          <w:color w:val="000000"/>
        </w:rPr>
        <w:t xml:space="preserve"> represents the royal chariot while the Pole star represents the emperor. Positioned at the North celestial pole, </w:t>
      </w:r>
      <w:proofErr w:type="spellStart"/>
      <w:r>
        <w:rPr>
          <w:color w:val="000000"/>
        </w:rPr>
        <w:t>Beidou</w:t>
      </w:r>
      <w:proofErr w:type="spellEnd"/>
      <w:r>
        <w:rPr>
          <w:color w:val="000000"/>
        </w:rPr>
        <w:t xml:space="preserve"> rotates around the circumpolar region with the Pole being the unmovable center. According to </w:t>
      </w:r>
      <w:proofErr w:type="spellStart"/>
      <w:r>
        <w:rPr>
          <w:i/>
          <w:color w:val="000000"/>
        </w:rPr>
        <w:t>Shiji</w:t>
      </w:r>
      <w:proofErr w:type="spellEnd"/>
      <w:r>
        <w:rPr>
          <w:color w:val="000000"/>
        </w:rPr>
        <w:t>, the Pole was divided into the Three Enclosures 三垣 featuring the Purple Forbidden enclosure紫微垣, the Supreme enclosure 太微垣</w:t>
      </w:r>
      <w:r>
        <w:t>,</w:t>
      </w:r>
      <w:r>
        <w:rPr>
          <w:color w:val="000000"/>
        </w:rPr>
        <w:t xml:space="preserve"> and the Heavenly Market enclosure 天市垣. Each enclosure represents an aspect of life on Earth and each constellation represents a group or a government unit. </w:t>
      </w:r>
      <w:proofErr w:type="spellStart"/>
      <w:r>
        <w:rPr>
          <w:color w:val="000000"/>
        </w:rPr>
        <w:t>Beidou</w:t>
      </w:r>
      <w:proofErr w:type="spellEnd"/>
      <w:r>
        <w:rPr>
          <w:color w:val="000000"/>
        </w:rPr>
        <w:t xml:space="preserve"> </w:t>
      </w:r>
      <w:r>
        <w:t>constellation, located</w:t>
      </w:r>
      <w:r>
        <w:rPr>
          <w:color w:val="000000"/>
        </w:rPr>
        <w:t xml:space="preserve"> at the Purple Forbidden enclosure, </w:t>
      </w:r>
      <w:r>
        <w:t>consists</w:t>
      </w:r>
      <w:r>
        <w:rPr>
          <w:color w:val="000000"/>
        </w:rPr>
        <w:t xml:space="preserve"> of a group of 7 stars, each </w:t>
      </w:r>
      <w:r>
        <w:t>representing</w:t>
      </w:r>
      <w:r>
        <w:rPr>
          <w:color w:val="000000"/>
        </w:rPr>
        <w:t xml:space="preserve"> 7 core government </w:t>
      </w:r>
      <w:r>
        <w:t>bodies</w:t>
      </w:r>
      <w:r>
        <w:rPr>
          <w:color w:val="000000"/>
        </w:rPr>
        <w:t xml:space="preserve"> in the Earthly </w:t>
      </w:r>
      <w:r>
        <w:rPr>
          <w:color w:val="000000"/>
        </w:rPr>
        <w:lastRenderedPageBreak/>
        <w:t xml:space="preserve">court. The emperor as the Pole Star harnesses </w:t>
      </w:r>
      <w:proofErr w:type="spellStart"/>
      <w:r>
        <w:rPr>
          <w:color w:val="000000"/>
        </w:rPr>
        <w:t>Beidou</w:t>
      </w:r>
      <w:proofErr w:type="spellEnd"/>
      <w:r>
        <w:rPr>
          <w:color w:val="000000"/>
        </w:rPr>
        <w:t xml:space="preserve"> as the vehicle to rule. </w:t>
      </w:r>
      <w:proofErr w:type="spellStart"/>
      <w:r>
        <w:rPr>
          <w:color w:val="000000"/>
        </w:rPr>
        <w:t>Beidou</w:t>
      </w:r>
      <w:proofErr w:type="spellEnd"/>
      <w:r>
        <w:rPr>
          <w:color w:val="000000"/>
        </w:rPr>
        <w:t xml:space="preserve"> empowers the emperor to defi</w:t>
      </w:r>
      <w:r>
        <w:t>ne time and the change of seasons with its year-round rotation encompassing</w:t>
      </w:r>
      <w:r>
        <w:rPr>
          <w:color w:val="000000"/>
        </w:rPr>
        <w:t xml:space="preserve"> </w:t>
      </w:r>
      <w:r>
        <w:t>the</w:t>
      </w:r>
      <w:r>
        <w:rPr>
          <w:color w:val="000000"/>
        </w:rPr>
        <w:t xml:space="preserve"> four cardinal directions</w:t>
      </w:r>
      <w:r>
        <w:t>, regulating</w:t>
      </w:r>
      <w:r>
        <w:rPr>
          <w:color w:val="000000"/>
        </w:rPr>
        <w:t xml:space="preserve"> Yin Yang</w:t>
      </w:r>
      <w:r>
        <w:t xml:space="preserve"> and</w:t>
      </w:r>
      <w:r>
        <w:rPr>
          <w:color w:val="000000"/>
        </w:rPr>
        <w:t xml:space="preserve"> the five elements (Metal,</w:t>
      </w:r>
      <w:r>
        <w:t xml:space="preserve"> Wood, Water, Fire, and Earth</w:t>
      </w:r>
      <w:r>
        <w:rPr>
          <w:color w:val="000000"/>
        </w:rPr>
        <w:t xml:space="preserve">). </w:t>
      </w:r>
      <w:proofErr w:type="spellStart"/>
      <w:r>
        <w:rPr>
          <w:color w:val="000000"/>
        </w:rPr>
        <w:t>Sima</w:t>
      </w:r>
      <w:proofErr w:type="spellEnd"/>
      <w:r>
        <w:rPr>
          <w:color w:val="000000"/>
        </w:rPr>
        <w:t xml:space="preserve"> Qian sealed the myth of </w:t>
      </w:r>
      <w:proofErr w:type="spellStart"/>
      <w:r>
        <w:rPr>
          <w:color w:val="000000"/>
        </w:rPr>
        <w:t>Beidou</w:t>
      </w:r>
      <w:proofErr w:type="spellEnd"/>
      <w:r>
        <w:rPr>
          <w:color w:val="000000"/>
        </w:rPr>
        <w:t xml:space="preserve"> and the Mandate of Heaven by reorganizing the fragmented myths and historical accounts with astronomical observations from the Gan Shi Star </w:t>
      </w:r>
      <w:r>
        <w:t>Catalogue</w:t>
      </w:r>
      <w:r>
        <w:rPr>
          <w:color w:val="000000"/>
        </w:rPr>
        <w:t xml:space="preserve"> 甘石星經in Warring State Period. Thereafter, the </w:t>
      </w:r>
      <w:proofErr w:type="spellStart"/>
      <w:r>
        <w:rPr>
          <w:color w:val="000000"/>
        </w:rPr>
        <w:t>Beidou</w:t>
      </w:r>
      <w:proofErr w:type="spellEnd"/>
      <w:r>
        <w:rPr>
          <w:color w:val="000000"/>
        </w:rPr>
        <w:t xml:space="preserve"> myth also evolved in religious beliefs into personified deities. While </w:t>
      </w:r>
      <w:proofErr w:type="spellStart"/>
      <w:r>
        <w:rPr>
          <w:color w:val="000000"/>
        </w:rPr>
        <w:t>Sima</w:t>
      </w:r>
      <w:proofErr w:type="spellEnd"/>
      <w:r>
        <w:rPr>
          <w:color w:val="000000"/>
        </w:rPr>
        <w:t xml:space="preserve"> Qian’s </w:t>
      </w:r>
      <w:proofErr w:type="spellStart"/>
      <w:r>
        <w:rPr>
          <w:color w:val="000000"/>
        </w:rPr>
        <w:t>Beidou</w:t>
      </w:r>
      <w:proofErr w:type="spellEnd"/>
      <w:r>
        <w:rPr>
          <w:color w:val="000000"/>
        </w:rPr>
        <w:t xml:space="preserve"> was a non-human chariot, it has transformed into a feminine cosmic force in Taoism and Buddhism, and both </w:t>
      </w:r>
      <w:proofErr w:type="gramStart"/>
      <w:r>
        <w:rPr>
          <w:color w:val="000000"/>
        </w:rPr>
        <w:t>were considered to be</w:t>
      </w:r>
      <w:proofErr w:type="gramEnd"/>
      <w:r>
        <w:rPr>
          <w:color w:val="000000"/>
        </w:rPr>
        <w:t xml:space="preserve"> the mother of the 7 stars of </w:t>
      </w:r>
      <w:proofErr w:type="spellStart"/>
      <w:r>
        <w:rPr>
          <w:color w:val="000000"/>
        </w:rPr>
        <w:t>Beidou</w:t>
      </w:r>
      <w:proofErr w:type="spellEnd"/>
      <w:r>
        <w:rPr>
          <w:color w:val="000000"/>
        </w:rPr>
        <w:t xml:space="preserve"> while </w:t>
      </w:r>
      <w:proofErr w:type="spellStart"/>
      <w:r>
        <w:rPr>
          <w:color w:val="000000"/>
        </w:rPr>
        <w:t>Doumu</w:t>
      </w:r>
      <w:proofErr w:type="spellEnd"/>
      <w:r>
        <w:rPr>
          <w:color w:val="000000"/>
        </w:rPr>
        <w:t xml:space="preserve"> was also the mother of </w:t>
      </w:r>
      <w:r>
        <w:t xml:space="preserve">the </w:t>
      </w:r>
      <w:r>
        <w:rPr>
          <w:color w:val="000000"/>
        </w:rPr>
        <w:t>legendary Laozi.</w:t>
      </w:r>
    </w:p>
    <w:p w14:paraId="38B2C86D" w14:textId="77777777" w:rsidR="00AE0364" w:rsidRDefault="00000000">
      <w:pPr>
        <w:spacing w:after="240" w:line="240" w:lineRule="auto"/>
        <w:rPr>
          <w:b/>
        </w:rPr>
      </w:pPr>
      <w:r>
        <w:rPr>
          <w:b/>
        </w:rPr>
        <w:t>The Greek Myth of the Great Bear</w:t>
      </w:r>
    </w:p>
    <w:p w14:paraId="38B2C86E" w14:textId="77777777" w:rsidR="00AE0364" w:rsidRDefault="00000000">
      <w:pPr>
        <w:spacing w:after="240" w:line="240" w:lineRule="auto"/>
        <w:ind w:left="144" w:firstLine="720"/>
      </w:pPr>
      <w:r>
        <w:t>Aratus named the Great Bear “</w:t>
      </w:r>
      <w:proofErr w:type="spellStart"/>
      <w:r>
        <w:t>Helike</w:t>
      </w:r>
      <w:proofErr w:type="spellEnd"/>
      <w:r>
        <w:t xml:space="preserve">”. </w:t>
      </w:r>
      <w:proofErr w:type="spellStart"/>
      <w:r>
        <w:t>Helike</w:t>
      </w:r>
      <w:proofErr w:type="spellEnd"/>
      <w:r>
        <w:t xml:space="preserve"> meaning “twister” arose from the rotation of the constellation in the circumpolar position. He viewed the Great Bear as the “wain” or the wagon, indicating </w:t>
      </w:r>
      <w:proofErr w:type="spellStart"/>
      <w:r>
        <w:t>Helike</w:t>
      </w:r>
      <w:proofErr w:type="spellEnd"/>
      <w:r>
        <w:t xml:space="preserve"> as a powerful guide for navigation at sea. Aratus said the Great Bear represents </w:t>
      </w:r>
      <w:proofErr w:type="spellStart"/>
      <w:r>
        <w:t>Adrasteia</w:t>
      </w:r>
      <w:proofErr w:type="spellEnd"/>
      <w:r>
        <w:t xml:space="preserve">, who was a nymph who raised baby Zeus in the Cave of </w:t>
      </w:r>
      <w:proofErr w:type="spellStart"/>
      <w:r>
        <w:t>Dicte</w:t>
      </w:r>
      <w:proofErr w:type="spellEnd"/>
      <w:r>
        <w:t xml:space="preserve"> on Crete. In Greek mythology, Zeus was a character who was the ruler, the protector, and the father of all gods and humans. This background story gave </w:t>
      </w:r>
      <w:proofErr w:type="spellStart"/>
      <w:r>
        <w:t>Adrasteia</w:t>
      </w:r>
      <w:proofErr w:type="spellEnd"/>
      <w:r>
        <w:t xml:space="preserve"> a powerful feminine image. Goddess </w:t>
      </w:r>
      <w:proofErr w:type="spellStart"/>
      <w:r>
        <w:t>Adrasteia</w:t>
      </w:r>
      <w:proofErr w:type="spellEnd"/>
      <w:r>
        <w:t xml:space="preserve"> was the nurse who cradled, nurtured, and protected the defenseless baby Zeus. The character is very different from the depiction in the other versions of the myth. In the more commonly known version, the Great Bear was referred to as the goddess Castillo. Castillo embodied a more passive role as a female than </w:t>
      </w:r>
      <w:proofErr w:type="spellStart"/>
      <w:r>
        <w:t>Adrasteia</w:t>
      </w:r>
      <w:proofErr w:type="spellEnd"/>
      <w:r>
        <w:t xml:space="preserve">. She was a beautiful goddess who was shamed for committing adultery with Zeus. Being turned into the Great Bear by Zeus’s wife, she lived the rest of her life in shame wandering around the forest. The juxtaposition of the two separate characters showed Aratus's different perspective on the Great Bear in the context of the sky, and a different interpretation and focus on the role of women at the time. All versions of the Great Bear myth not only imply the order of the universe, but also a societal concern in upholding the moral order of the time. </w:t>
      </w:r>
    </w:p>
    <w:p w14:paraId="38B2C86F" w14:textId="77777777" w:rsidR="00AE0364" w:rsidRDefault="00000000">
      <w:pPr>
        <w:spacing w:after="240" w:line="240" w:lineRule="auto"/>
        <w:rPr>
          <w:b/>
        </w:rPr>
      </w:pPr>
      <w:r>
        <w:rPr>
          <w:b/>
        </w:rPr>
        <w:t>Analyses</w:t>
      </w:r>
    </w:p>
    <w:p w14:paraId="38B2C870" w14:textId="77777777" w:rsidR="00AE0364" w:rsidRDefault="00000000">
      <w:pPr>
        <w:spacing w:after="240" w:line="240" w:lineRule="auto"/>
        <w:ind w:left="144" w:firstLine="720"/>
      </w:pPr>
      <w:r>
        <w:t xml:space="preserve">Both myths are formed in a spectrum of the two modes of understanding as described by Plato in the </w:t>
      </w:r>
      <w:r>
        <w:rPr>
          <w:i/>
        </w:rPr>
        <w:t>Republic</w:t>
      </w:r>
      <w:r>
        <w:t xml:space="preserve">, </w:t>
      </w:r>
      <w:proofErr w:type="gramStart"/>
      <w:r>
        <w:rPr>
          <w:i/>
        </w:rPr>
        <w:t>logos</w:t>
      </w:r>
      <w:proofErr w:type="gramEnd"/>
      <w:r>
        <w:rPr>
          <w:i/>
        </w:rPr>
        <w:t xml:space="preserve"> and mythos</w:t>
      </w:r>
      <w:r>
        <w:t xml:space="preserve">. </w:t>
      </w:r>
      <w:r>
        <w:rPr>
          <w:i/>
        </w:rPr>
        <w:t>Logos</w:t>
      </w:r>
      <w:r>
        <w:t xml:space="preserve"> and </w:t>
      </w:r>
      <w:r>
        <w:rPr>
          <w:i/>
        </w:rPr>
        <w:t>Mythos</w:t>
      </w:r>
      <w:r>
        <w:t xml:space="preserve"> were the modes to understand our inner and outer realities. </w:t>
      </w:r>
      <w:r>
        <w:rPr>
          <w:i/>
        </w:rPr>
        <w:t>Logos</w:t>
      </w:r>
      <w:r>
        <w:t xml:space="preserve"> meaning logic and reason, and </w:t>
      </w:r>
      <w:r>
        <w:rPr>
          <w:i/>
        </w:rPr>
        <w:t>mythos</w:t>
      </w:r>
      <w:r>
        <w:t xml:space="preserve"> meaning intuition and imagination. Both myths explained the interactions of the celestial bodies in narratives that involved multiple disciplines. Underlying their respective cosmological views that were conditioned by history, religion, philosophy, psychology, and politics. The formation of both myths was therefore multidisciplinary. The myths morphed according to the demand of society not only as imaginative poems and literature but also as a combination of reasoning. In the </w:t>
      </w:r>
      <w:proofErr w:type="spellStart"/>
      <w:r>
        <w:t>Beidou</w:t>
      </w:r>
      <w:proofErr w:type="spellEnd"/>
      <w:r>
        <w:t xml:space="preserve"> myth, </w:t>
      </w:r>
      <w:proofErr w:type="spellStart"/>
      <w:r>
        <w:t>Sima</w:t>
      </w:r>
      <w:proofErr w:type="spellEnd"/>
      <w:r>
        <w:t xml:space="preserve"> Qian cross-referenced the origin myth and philosophy with history and astronomical observations. Reorganized fragmented </w:t>
      </w:r>
      <w:r>
        <w:rPr>
          <w:i/>
        </w:rPr>
        <w:t>mythos</w:t>
      </w:r>
      <w:r>
        <w:t xml:space="preserve"> to redirect the focus in building the narrative towards the Mandate of Heaven. Reconstructing the meaning of the celestials into legitimate official </w:t>
      </w:r>
      <w:r>
        <w:rPr>
          <w:i/>
        </w:rPr>
        <w:t>logos</w:t>
      </w:r>
      <w:r>
        <w:t xml:space="preserve"> in service of the throne. The formation of the Greek </w:t>
      </w:r>
      <w:proofErr w:type="spellStart"/>
      <w:r>
        <w:t>Helike</w:t>
      </w:r>
      <w:proofErr w:type="spellEnd"/>
      <w:r>
        <w:t xml:space="preserve"> myth, it was leaning more towards </w:t>
      </w:r>
      <w:r>
        <w:rPr>
          <w:i/>
        </w:rPr>
        <w:t>mythos</w:t>
      </w:r>
      <w:r>
        <w:t xml:space="preserve"> on the spectrum. As a poet, Aratus made use of a pantheon of gods and goddesses to build a sky of narratives. Explaining the </w:t>
      </w:r>
      <w:r>
        <w:rPr>
          <w:i/>
        </w:rPr>
        <w:t>logos</w:t>
      </w:r>
      <w:r>
        <w:t xml:space="preserve"> of rising and setting of the constellations, the cosmos appeared to be relatable, purposeful, and alive with personalities. The </w:t>
      </w:r>
      <w:proofErr w:type="spellStart"/>
      <w:r>
        <w:rPr>
          <w:i/>
        </w:rPr>
        <w:t>Phaenomena</w:t>
      </w:r>
      <w:proofErr w:type="spellEnd"/>
      <w:r>
        <w:t xml:space="preserve"> was a blend of </w:t>
      </w:r>
      <w:r>
        <w:rPr>
          <w:i/>
        </w:rPr>
        <w:t>mythos</w:t>
      </w:r>
      <w:r>
        <w:t xml:space="preserve"> and </w:t>
      </w:r>
      <w:r>
        <w:rPr>
          <w:i/>
        </w:rPr>
        <w:t>logos</w:t>
      </w:r>
      <w:r>
        <w:t>, it was not only a story to uphold moral order but also provided relatable and practical ways for astronomical applications in daily lives.</w:t>
      </w:r>
    </w:p>
    <w:p w14:paraId="38B2C871" w14:textId="77777777" w:rsidR="00AE0364" w:rsidRDefault="00000000">
      <w:pPr>
        <w:spacing w:after="240" w:line="240" w:lineRule="auto"/>
        <w:ind w:left="144" w:firstLine="720"/>
      </w:pPr>
      <w:r>
        <w:lastRenderedPageBreak/>
        <w:t xml:space="preserve">The different functions of myths derive different storylines in support of society’s needs. Both myths appeared to have a clear central theme supported by a narrative. It was a way to revisit the theme time and again for the reenactment of the origin, or as Mircea Eliade described the “return to origin”. </w:t>
      </w:r>
      <w:r>
        <w:rPr>
          <w:vertAlign w:val="superscript"/>
        </w:rPr>
        <w:footnoteReference w:id="10"/>
      </w:r>
      <w:r>
        <w:t xml:space="preserve"> The subject matter in </w:t>
      </w:r>
      <w:proofErr w:type="spellStart"/>
      <w:r>
        <w:t>Beidou</w:t>
      </w:r>
      <w:proofErr w:type="spellEnd"/>
      <w:r>
        <w:t xml:space="preserve"> myth features a human as the chosen one, while the subject matter in the Greek myth was all superhumans. Dynasties after dynasties, Chinese emperors reenact the myth and ritual of the Pole Star as the Supernal Lord on Earth, carrying out duties in the royal chariot all year round. As demonstrated in </w:t>
      </w:r>
      <w:proofErr w:type="spellStart"/>
      <w:r>
        <w:rPr>
          <w:i/>
        </w:rPr>
        <w:t>Shiji</w:t>
      </w:r>
      <w:proofErr w:type="spellEnd"/>
      <w:r>
        <w:t xml:space="preserve">, the application of the Mandate included the design of the capital of the first emperor in the Qin Dynasty, mirroring the celestial pole. While for Greek myth, multiple versions of myths revolving around Zeus were formed. Zeus and </w:t>
      </w:r>
      <w:proofErr w:type="spellStart"/>
      <w:r>
        <w:t>Adrasteia</w:t>
      </w:r>
      <w:proofErr w:type="spellEnd"/>
      <w:r>
        <w:t xml:space="preserve"> were superhumans experiencing human scenarios to explain the interactions of the constellations. The </w:t>
      </w:r>
      <w:proofErr w:type="spellStart"/>
      <w:r>
        <w:t>Helike</w:t>
      </w:r>
      <w:proofErr w:type="spellEnd"/>
      <w:r>
        <w:t xml:space="preserve"> myth centralized Zeus being the center of the Greek universe, his interactions in the context of the sky myth became an orientation to understand astrological influences and the sympathetic cosmos. The focus of the </w:t>
      </w:r>
      <w:proofErr w:type="spellStart"/>
      <w:r>
        <w:t>Beidou</w:t>
      </w:r>
      <w:proofErr w:type="spellEnd"/>
      <w:r>
        <w:t xml:space="preserve"> myth was to establish a concept of hierarchy in the society, with the emperor being the center of the Mandate, “Tian Ming”. The latter focused on expressing individual morality through Zeus in an imaginative way. Threaded together with their own central themes, storylines formed according to their functions. Within the different versions of myths shaped in the respective cultures, all myths in discussion returned to their theme by revolving around their own centers. This also includes the “unofficial” </w:t>
      </w:r>
      <w:proofErr w:type="spellStart"/>
      <w:r>
        <w:t>Beidou</w:t>
      </w:r>
      <w:proofErr w:type="spellEnd"/>
      <w:r>
        <w:t xml:space="preserve"> myths practiced in ordinary settings, such as feng shui, religion, and medicine. Reenactment of myths was practiced throughout history with astronomical observations, applications, rituals, architecture, and other astral magical practices, replaying the stories to give space for reimagination and evolution.</w:t>
      </w:r>
    </w:p>
    <w:p w14:paraId="38B2C872" w14:textId="77777777" w:rsidR="00AE0364" w:rsidRDefault="00000000">
      <w:pPr>
        <w:spacing w:after="240" w:line="240" w:lineRule="auto"/>
        <w:ind w:left="144" w:firstLine="720"/>
      </w:pPr>
      <w:r>
        <w:t xml:space="preserve">Rituals and practical use of astronomy were ways to reenact and strengthen the stories in the myths. </w:t>
      </w:r>
      <w:proofErr w:type="spellStart"/>
      <w:r>
        <w:t>Beidou</w:t>
      </w:r>
      <w:proofErr w:type="spellEnd"/>
      <w:r>
        <w:t xml:space="preserve"> myth in </w:t>
      </w:r>
      <w:proofErr w:type="spellStart"/>
      <w:r>
        <w:rPr>
          <w:i/>
        </w:rPr>
        <w:t>Shiji</w:t>
      </w:r>
      <w:proofErr w:type="spellEnd"/>
      <w:r>
        <w:t xml:space="preserve"> was developed along with existing rituals to fulfill the throne’s needs, while the Greek myths and rituals were developed for the enforcement of moral order for all individuals within the society. </w:t>
      </w:r>
      <w:proofErr w:type="spellStart"/>
      <w:r>
        <w:rPr>
          <w:i/>
        </w:rPr>
        <w:t>Shiji</w:t>
      </w:r>
      <w:proofErr w:type="spellEnd"/>
      <w:r>
        <w:t xml:space="preserve"> strengthened </w:t>
      </w:r>
      <w:proofErr w:type="spellStart"/>
      <w:r>
        <w:t>Beidou</w:t>
      </w:r>
      <w:proofErr w:type="spellEnd"/>
      <w:r>
        <w:t xml:space="preserve"> as the indicator of kingship with myths and rituals, while “unofficial” ones also continued to evolve among ordinary people. While the Greek myth served as a moral guide for people in the civilization, the development of rituals came to a halt gradually in the 16</w:t>
      </w:r>
      <w:r>
        <w:rPr>
          <w:vertAlign w:val="superscript"/>
        </w:rPr>
        <w:t>th</w:t>
      </w:r>
      <w:r>
        <w:t xml:space="preserve"> century. With the development of the myth in China towards a more intuitive direction among ordinary people, the myth in the West developed more towards logic. According to Max Weber,</w:t>
      </w:r>
      <w:r>
        <w:rPr>
          <w:vertAlign w:val="superscript"/>
        </w:rPr>
        <w:footnoteReference w:id="11"/>
      </w:r>
      <w:r>
        <w:t xml:space="preserve"> with the advance of the scientific revolution and the protestant reformation in the 16</w:t>
      </w:r>
      <w:r>
        <w:rPr>
          <w:vertAlign w:val="superscript"/>
        </w:rPr>
        <w:t>th</w:t>
      </w:r>
      <w:r>
        <w:t xml:space="preserve"> century, all forms of enchantment and astrological practices were interrupted. From the introduction of astronomy and mythology from Mesopotamia, Egypt, and Persia to intuitive </w:t>
      </w:r>
      <w:proofErr w:type="gramStart"/>
      <w:r>
        <w:t>myth-making</w:t>
      </w:r>
      <w:proofErr w:type="gramEnd"/>
      <w:r>
        <w:t xml:space="preserve"> in Greece. Some myths and rituals survived in other forms of religions and astral magical practices until the revival of occultism in the late 19</w:t>
      </w:r>
      <w:r>
        <w:rPr>
          <w:vertAlign w:val="superscript"/>
        </w:rPr>
        <w:t>th</w:t>
      </w:r>
      <w:r>
        <w:t xml:space="preserve"> century.</w:t>
      </w:r>
      <w:r>
        <w:rPr>
          <w:vertAlign w:val="superscript"/>
        </w:rPr>
        <w:footnoteReference w:id="12"/>
      </w:r>
      <w:r>
        <w:t xml:space="preserve"> While the creation of myths and rituals has a longer history within Greece than the introduction of the Zodiac, it was hard to identify whether this </w:t>
      </w:r>
      <w:proofErr w:type="gramStart"/>
      <w:r>
        <w:t>particular sky</w:t>
      </w:r>
      <w:proofErr w:type="gramEnd"/>
      <w:r>
        <w:t xml:space="preserve"> myth appeared before the rituals or vice versa. However, as opposed to the intuitive and continuous development of Chinese myths and rituals, Greek myths and rituals were interrupted by the rise of the “Age of Reason” in the West on its journey of evolution. </w:t>
      </w:r>
    </w:p>
    <w:p w14:paraId="38B2C873" w14:textId="77777777" w:rsidR="00AE0364" w:rsidRDefault="00000000">
      <w:pPr>
        <w:spacing w:after="240" w:line="240" w:lineRule="auto"/>
        <w:ind w:left="144" w:firstLine="720"/>
      </w:pPr>
      <w:r>
        <w:t xml:space="preserve">While the Greek myth happens in the godly realm, the Chinese myth involves the participation of both Heaven and Earth. This reflects the Chinese cosmos as participatory, while the Greek cosmos displays a moral and social order to follow. With human participation being a feature of the Chinese </w:t>
      </w:r>
      <w:r>
        <w:lastRenderedPageBreak/>
        <w:t xml:space="preserve">myth, this shows fate is negotiable with human intervention. As much as the Chinese myth stresses the unmovable kingship of the Pole star, the truly unmovable orientation is the Pole indicated by </w:t>
      </w:r>
      <w:proofErr w:type="spellStart"/>
      <w:r>
        <w:t>Beidou</w:t>
      </w:r>
      <w:proofErr w:type="spellEnd"/>
      <w:r>
        <w:t xml:space="preserve">. Each star represents a person or a group. Each constellation carries certain qualities and characteristics that represent a unit. The entire celestial bodies function as a heavenly system that also reflects on life on earth. The myth becomes not only a narrative but also an equation in which all parts could be a variable including the Pole Star. Thus, </w:t>
      </w:r>
      <w:proofErr w:type="gramStart"/>
      <w:r>
        <w:t>each and every</w:t>
      </w:r>
      <w:proofErr w:type="gramEnd"/>
      <w:r>
        <w:t xml:space="preserve"> dynasty would refashion and reinforce the Mandate, justifying their legitimacy by aligning earthly elements with Heaven's will. In contrast, the </w:t>
      </w:r>
      <w:proofErr w:type="gramStart"/>
      <w:r>
        <w:t>narrative</w:t>
      </w:r>
      <w:proofErr w:type="gramEnd"/>
      <w:r>
        <w:t xml:space="preserve"> and relationships of the constellations in Aratus’s myth are comparatively fixed. The storyline was of a hero’s journey as described by Joseph Campbell,</w:t>
      </w:r>
      <w:r>
        <w:rPr>
          <w:vertAlign w:val="superscript"/>
        </w:rPr>
        <w:footnoteReference w:id="13"/>
      </w:r>
      <w:r>
        <w:t xml:space="preserve"> containing the three stages </w:t>
      </w:r>
      <w:proofErr w:type="gramStart"/>
      <w:r>
        <w:t>of;</w:t>
      </w:r>
      <w:proofErr w:type="gramEnd"/>
      <w:r>
        <w:t xml:space="preserve"> separation, initiation, and return. The </w:t>
      </w:r>
      <w:proofErr w:type="spellStart"/>
      <w:r>
        <w:t>Helike</w:t>
      </w:r>
      <w:proofErr w:type="spellEnd"/>
      <w:r>
        <w:t xml:space="preserve"> myth was within the beginning stage of the book, and </w:t>
      </w:r>
      <w:proofErr w:type="spellStart"/>
      <w:r>
        <w:t>Adrasteia’s</w:t>
      </w:r>
      <w:proofErr w:type="spellEnd"/>
      <w:r>
        <w:t xml:space="preserve"> character acts as a part of the story in support of Zeus. Different from the Chinese myth being an equation, the </w:t>
      </w:r>
      <w:proofErr w:type="spellStart"/>
      <w:r>
        <w:t>Helike</w:t>
      </w:r>
      <w:proofErr w:type="spellEnd"/>
      <w:r>
        <w:t xml:space="preserve"> Greek myth has a clear storyline. The Greek myth was a “vital ingredient of human civilization; it is not an idle tale, but a </w:t>
      </w:r>
      <w:proofErr w:type="spellStart"/>
      <w:r>
        <w:t>hardworked</w:t>
      </w:r>
      <w:proofErr w:type="spellEnd"/>
      <w:r>
        <w:t xml:space="preserve"> active force…a pragmatic character of primitive faith and moral wisdom”.</w:t>
      </w:r>
      <w:r>
        <w:rPr>
          <w:vertAlign w:val="superscript"/>
        </w:rPr>
        <w:footnoteReference w:id="14"/>
      </w:r>
      <w:r>
        <w:t xml:space="preserve"> As opposed to the variables that exist in the </w:t>
      </w:r>
      <w:proofErr w:type="spellStart"/>
      <w:r>
        <w:t>Beidou</w:t>
      </w:r>
      <w:proofErr w:type="spellEnd"/>
      <w:r>
        <w:t xml:space="preserve"> myth, the characters in the Greek myth have relatively fixed representations. The distinct qualities and characteristics provide a foundation for understanding the celestials, opening an imaginary space to relate to the sky from a human perspective underlying the society’s moral codes and beliefs.</w:t>
      </w:r>
    </w:p>
    <w:p w14:paraId="38B2C874" w14:textId="77777777" w:rsidR="00AE0364" w:rsidRDefault="00000000">
      <w:pPr>
        <w:spacing w:after="240" w:line="240" w:lineRule="auto"/>
        <w:ind w:left="144" w:firstLine="720"/>
      </w:pPr>
      <w:r>
        <w:t xml:space="preserve">Changes in the equinoxes have moved the set of stars closer to the horizon now in the lower latitudes of Hong Kong than it was in the Han Dynasty sky and below the horizon in Athens. Although the Northern sky is no longer located in the same position, the myths of the Great Bear still resonate in the culture of both skies. The </w:t>
      </w:r>
      <w:proofErr w:type="spellStart"/>
      <w:r>
        <w:t>Beidou</w:t>
      </w:r>
      <w:proofErr w:type="spellEnd"/>
      <w:r>
        <w:t xml:space="preserve"> myth has shown to be ingrained in Chinese culture, the civilization transformed the “sky equations” into symbols and representations that facilitate astral calculation practices. The Chinese myth is preserved not necessarily by astronomical observations and the constellation itself, but through constant reenactment in rituals and ancestral traditions. For the Aratus myth, although the </w:t>
      </w:r>
      <w:proofErr w:type="gramStart"/>
      <w:r>
        <w:t>particular version</w:t>
      </w:r>
      <w:proofErr w:type="gramEnd"/>
      <w:r>
        <w:t xml:space="preserve"> is not preserved as a common Greek myth of the Great Bear, the moral of the story lives on through the development of astrology and the reenactment of the “hero’s journey” through literature. Myths are preserved in time through rituals, stories, traditions, and art forms. As Eagleton mentioned, the concept became what “comes naturally, bred in the bone rather than conceived by the brain.”</w:t>
      </w:r>
      <w:r>
        <w:rPr>
          <w:vertAlign w:val="superscript"/>
        </w:rPr>
        <w:footnoteReference w:id="15"/>
      </w:r>
      <w:r>
        <w:t xml:space="preserve"> The various forms of reenactment are ways to keep the myths alive and evolve with the needs of the people and the society.</w:t>
      </w:r>
    </w:p>
    <w:p w14:paraId="38B2C875" w14:textId="77777777" w:rsidR="00AE0364" w:rsidRDefault="00000000">
      <w:pPr>
        <w:spacing w:after="240" w:line="240" w:lineRule="auto"/>
        <w:rPr>
          <w:b/>
        </w:rPr>
      </w:pPr>
      <w:r>
        <w:rPr>
          <w:b/>
        </w:rPr>
        <w:t>Conclusion</w:t>
      </w:r>
    </w:p>
    <w:p w14:paraId="38B2C876" w14:textId="77777777" w:rsidR="00AE0364" w:rsidRDefault="00000000">
      <w:pPr>
        <w:spacing w:after="240" w:line="240" w:lineRule="auto"/>
        <w:ind w:firstLine="864"/>
      </w:pPr>
      <w:r>
        <w:t>The Great Bear myths in both cultures were stories told and retold through history.</w:t>
      </w:r>
      <w:r>
        <w:rPr>
          <w:vertAlign w:val="superscript"/>
        </w:rPr>
        <w:t xml:space="preserve"> </w:t>
      </w:r>
      <w:r>
        <w:rPr>
          <w:vertAlign w:val="superscript"/>
        </w:rPr>
        <w:footnoteReference w:id="16"/>
      </w:r>
      <w:r>
        <w:t xml:space="preserve"> The cosmos represented in the sky myths of both cultures were alive and purposeful. They developed in a spectrum of </w:t>
      </w:r>
      <w:r>
        <w:rPr>
          <w:i/>
        </w:rPr>
        <w:t>mythos</w:t>
      </w:r>
      <w:r>
        <w:t xml:space="preserve"> and </w:t>
      </w:r>
      <w:r>
        <w:rPr>
          <w:i/>
        </w:rPr>
        <w:t>logos</w:t>
      </w:r>
      <w:r>
        <w:t xml:space="preserve">, containing imaginative representations and practical applications. With the two very different functions of </w:t>
      </w:r>
      <w:proofErr w:type="gramStart"/>
      <w:r>
        <w:t>myth-making</w:t>
      </w:r>
      <w:proofErr w:type="gramEnd"/>
      <w:r>
        <w:t xml:space="preserve">, the same constellation derived unique storylines to fulfill each of their intentions. Aratus’s myth was a myth to understand the order of the cosmos with a moral and social order, embellished with stories of the gods and goddesses. While the </w:t>
      </w:r>
      <w:proofErr w:type="spellStart"/>
      <w:r>
        <w:t>Beidou</w:t>
      </w:r>
      <w:proofErr w:type="spellEnd"/>
      <w:r>
        <w:t xml:space="preserve"> myth in </w:t>
      </w:r>
      <w:proofErr w:type="spellStart"/>
      <w:r>
        <w:rPr>
          <w:i/>
        </w:rPr>
        <w:t>Shiji</w:t>
      </w:r>
      <w:proofErr w:type="spellEnd"/>
      <w:r>
        <w:rPr>
          <w:i/>
        </w:rPr>
        <w:t xml:space="preserve"> </w:t>
      </w:r>
      <w:r>
        <w:t xml:space="preserve">developed to formulate a political ideology that evolved into a form of official astral practice. The study shows that the formation of the myths was not static and non-linear. Other versions of myths </w:t>
      </w:r>
      <w:r>
        <w:lastRenderedPageBreak/>
        <w:t xml:space="preserve">developed parallel with the commonly known versions. They all evolve together in time according to the evolution of their cosmologies, cultures, and the needs of the people. The two sky myths covered multi-disciplines, based on astrological associations; they were also heavily influenced by historical, social, psychological, and political factors. With the reenactment of rituals and art forms, myths were strengthened and relived through history. Myths give space for imagination, and allow new perspectives to arise, transforming celestial bodies into meanings and forms that humans can relate to. Offering a lineage of stories that are of imagination and history of the evolution of culture and the human psyche. </w:t>
      </w:r>
    </w:p>
    <w:p w14:paraId="38B2C877" w14:textId="77777777" w:rsidR="00AE0364" w:rsidRDefault="00AE0364">
      <w:pPr>
        <w:spacing w:after="240" w:line="240" w:lineRule="auto"/>
      </w:pPr>
    </w:p>
    <w:p w14:paraId="71B7463D" w14:textId="0526E025" w:rsidR="00C3277D" w:rsidRPr="00C3277D" w:rsidRDefault="00000000" w:rsidP="00C3277D">
      <w:pPr>
        <w:spacing w:after="240" w:line="240" w:lineRule="auto"/>
        <w:rPr>
          <w:b/>
        </w:rPr>
      </w:pPr>
      <w:r>
        <w:rPr>
          <w:b/>
        </w:rPr>
        <w:t>Bibliography</w:t>
      </w:r>
    </w:p>
    <w:p w14:paraId="594037CF" w14:textId="6005CC85" w:rsidR="00E2100F" w:rsidRDefault="00E2100F" w:rsidP="00BA3FAA">
      <w:pPr>
        <w:pStyle w:val="Bibliography"/>
      </w:pPr>
      <w:r>
        <w:t>Primary Source:</w:t>
      </w:r>
    </w:p>
    <w:p w14:paraId="53E232D9" w14:textId="48BB6C8D" w:rsidR="00BA3FAA" w:rsidRPr="00BA3FAA" w:rsidRDefault="00BA3FAA" w:rsidP="00BA3FAA">
      <w:pPr>
        <w:pStyle w:val="Bibliography"/>
        <w:rPr>
          <w:szCs w:val="24"/>
        </w:rPr>
      </w:pPr>
      <w:r>
        <w:fldChar w:fldCharType="begin"/>
      </w:r>
      <w:r>
        <w:instrText xml:space="preserve"> ADDIN ZOTERO_BIBL {"uncited":[],"omitted":[],"custom":[]} CSL_BIBLIOGRAPHY </w:instrText>
      </w:r>
      <w:r>
        <w:fldChar w:fldCharType="separate"/>
      </w:r>
      <w:r w:rsidRPr="00BA3FAA">
        <w:rPr>
          <w:szCs w:val="24"/>
        </w:rPr>
        <w:t xml:space="preserve">Aratus, </w:t>
      </w:r>
      <w:proofErr w:type="spellStart"/>
      <w:r w:rsidRPr="00BA3FAA">
        <w:rPr>
          <w:i/>
          <w:iCs/>
          <w:szCs w:val="24"/>
        </w:rPr>
        <w:t>Phaenomena</w:t>
      </w:r>
      <w:proofErr w:type="spellEnd"/>
      <w:r w:rsidRPr="00BA3FAA">
        <w:rPr>
          <w:szCs w:val="24"/>
        </w:rPr>
        <w:t xml:space="preserve"> (Loeb Classical Library, Harvard University Press, 1921)</w:t>
      </w:r>
    </w:p>
    <w:p w14:paraId="64F4FEA8" w14:textId="6DCE31A1" w:rsidR="00A113B3" w:rsidRDefault="00BA3FAA" w:rsidP="00A113B3">
      <w:pPr>
        <w:pBdr>
          <w:top w:val="nil"/>
          <w:left w:val="nil"/>
          <w:bottom w:val="nil"/>
          <w:right w:val="nil"/>
          <w:between w:val="nil"/>
        </w:pBdr>
        <w:rPr>
          <w:color w:val="000000"/>
        </w:rPr>
      </w:pPr>
      <w:r>
        <w:fldChar w:fldCharType="end"/>
      </w:r>
      <w:proofErr w:type="spellStart"/>
      <w:r w:rsidR="00A113B3">
        <w:rPr>
          <w:color w:val="000000"/>
        </w:rPr>
        <w:t>Sima</w:t>
      </w:r>
      <w:proofErr w:type="spellEnd"/>
      <w:r w:rsidR="00A113B3">
        <w:rPr>
          <w:color w:val="000000"/>
        </w:rPr>
        <w:t xml:space="preserve">, Qian, </w:t>
      </w:r>
      <w:proofErr w:type="spellStart"/>
      <w:r w:rsidR="00A113B3">
        <w:rPr>
          <w:i/>
          <w:color w:val="000000"/>
        </w:rPr>
        <w:t>Shiji</w:t>
      </w:r>
      <w:proofErr w:type="spellEnd"/>
      <w:r w:rsidR="00A113B3">
        <w:rPr>
          <w:i/>
          <w:color w:val="000000"/>
        </w:rPr>
        <w:t xml:space="preserve"> (The Grand Scribe Records)</w:t>
      </w:r>
      <w:r w:rsidR="00A113B3">
        <w:rPr>
          <w:color w:val="000000"/>
        </w:rPr>
        <w:t xml:space="preserve"> (</w:t>
      </w:r>
      <w:proofErr w:type="spellStart"/>
      <w:r w:rsidR="00A113B3">
        <w:rPr>
          <w:color w:val="000000"/>
        </w:rPr>
        <w:t>Zhonghua</w:t>
      </w:r>
      <w:proofErr w:type="spellEnd"/>
      <w:r w:rsidR="00A113B3">
        <w:rPr>
          <w:color w:val="000000"/>
        </w:rPr>
        <w:t xml:space="preserve"> </w:t>
      </w:r>
      <w:proofErr w:type="spellStart"/>
      <w:r w:rsidR="00A113B3">
        <w:rPr>
          <w:color w:val="000000"/>
        </w:rPr>
        <w:t>Shuju</w:t>
      </w:r>
      <w:proofErr w:type="spellEnd"/>
      <w:r w:rsidR="00A113B3">
        <w:rPr>
          <w:color w:val="000000"/>
        </w:rPr>
        <w:t xml:space="preserve"> Beijing, 1959)</w:t>
      </w:r>
    </w:p>
    <w:p w14:paraId="7A0DF5B3" w14:textId="392E8545" w:rsidR="00A113B3" w:rsidRDefault="00A113B3" w:rsidP="00A113B3">
      <w:pPr>
        <w:pBdr>
          <w:top w:val="nil"/>
          <w:left w:val="nil"/>
          <w:bottom w:val="nil"/>
          <w:right w:val="nil"/>
          <w:between w:val="nil"/>
        </w:pBdr>
        <w:rPr>
          <w:color w:val="000000"/>
        </w:rPr>
      </w:pPr>
      <w:r>
        <w:rPr>
          <w:color w:val="000000"/>
        </w:rPr>
        <w:t>Secondary Source</w:t>
      </w:r>
      <w:r w:rsidR="00E2100F">
        <w:rPr>
          <w:color w:val="000000"/>
        </w:rPr>
        <w:t>:</w:t>
      </w:r>
    </w:p>
    <w:p w14:paraId="38B2C879" w14:textId="25DA6B25" w:rsidR="00AE0364" w:rsidRDefault="00000000" w:rsidP="00BA3FAA">
      <w:pPr>
        <w:pBdr>
          <w:top w:val="nil"/>
          <w:left w:val="nil"/>
          <w:bottom w:val="nil"/>
          <w:right w:val="nil"/>
          <w:between w:val="nil"/>
        </w:pBdr>
        <w:rPr>
          <w:color w:val="000000"/>
        </w:rPr>
      </w:pPr>
      <w:r>
        <w:rPr>
          <w:color w:val="000000"/>
        </w:rPr>
        <w:t xml:space="preserve">Burkert, Walter, </w:t>
      </w:r>
      <w:r>
        <w:rPr>
          <w:i/>
          <w:color w:val="000000"/>
        </w:rPr>
        <w:t xml:space="preserve">Homo </w:t>
      </w:r>
      <w:proofErr w:type="spellStart"/>
      <w:r>
        <w:rPr>
          <w:i/>
          <w:color w:val="000000"/>
        </w:rPr>
        <w:t>Necans</w:t>
      </w:r>
      <w:proofErr w:type="spellEnd"/>
      <w:r>
        <w:rPr>
          <w:i/>
          <w:color w:val="000000"/>
        </w:rPr>
        <w:t xml:space="preserve"> </w:t>
      </w:r>
      <w:proofErr w:type="gramStart"/>
      <w:r>
        <w:rPr>
          <w:i/>
          <w:color w:val="000000"/>
        </w:rPr>
        <w:t>The</w:t>
      </w:r>
      <w:proofErr w:type="gramEnd"/>
      <w:r>
        <w:rPr>
          <w:i/>
          <w:color w:val="000000"/>
        </w:rPr>
        <w:t xml:space="preserve"> Anthropology If Ancient Greek Sacrificial Ritual and Myth</w:t>
      </w:r>
      <w:r>
        <w:rPr>
          <w:color w:val="000000"/>
        </w:rPr>
        <w:t xml:space="preserve"> (University of California Press, 1986)</w:t>
      </w:r>
    </w:p>
    <w:p w14:paraId="38B2C87A" w14:textId="77777777" w:rsidR="00AE0364" w:rsidRDefault="00000000">
      <w:pPr>
        <w:pBdr>
          <w:top w:val="nil"/>
          <w:left w:val="nil"/>
          <w:bottom w:val="nil"/>
          <w:right w:val="nil"/>
          <w:between w:val="nil"/>
        </w:pBdr>
        <w:rPr>
          <w:color w:val="000000"/>
        </w:rPr>
      </w:pPr>
      <w:r>
        <w:rPr>
          <w:color w:val="000000"/>
        </w:rPr>
        <w:t xml:space="preserve">Campbell, Joseph, </w:t>
      </w:r>
      <w:r>
        <w:rPr>
          <w:i/>
          <w:color w:val="000000"/>
        </w:rPr>
        <w:t>Masks of God: Creative Mythology</w:t>
      </w:r>
      <w:r>
        <w:rPr>
          <w:color w:val="000000"/>
        </w:rPr>
        <w:t xml:space="preserve"> (Penguin Books, 1968), </w:t>
      </w:r>
      <w:r>
        <w:rPr>
          <w:i/>
          <w:color w:val="000000"/>
        </w:rPr>
        <w:t>The Hero with a Thousand Faces</w:t>
      </w:r>
      <w:r>
        <w:rPr>
          <w:color w:val="000000"/>
        </w:rPr>
        <w:t>, 1949</w:t>
      </w:r>
    </w:p>
    <w:p w14:paraId="38B2C87B" w14:textId="77777777" w:rsidR="00AE0364" w:rsidRDefault="00000000">
      <w:pPr>
        <w:pBdr>
          <w:top w:val="nil"/>
          <w:left w:val="nil"/>
          <w:bottom w:val="nil"/>
          <w:right w:val="nil"/>
          <w:between w:val="nil"/>
        </w:pBdr>
        <w:rPr>
          <w:color w:val="000000"/>
        </w:rPr>
      </w:pPr>
      <w:r>
        <w:rPr>
          <w:color w:val="000000"/>
        </w:rPr>
        <w:t xml:space="preserve">Campion, Nicholas, </w:t>
      </w:r>
      <w:r>
        <w:rPr>
          <w:i/>
          <w:color w:val="000000"/>
        </w:rPr>
        <w:t>A History of Western Astrology, The Ancient World</w:t>
      </w:r>
      <w:r>
        <w:rPr>
          <w:color w:val="000000"/>
        </w:rPr>
        <w:t xml:space="preserve"> (Bloomsbury, 2008), </w:t>
      </w:r>
      <w:proofErr w:type="spellStart"/>
      <w:r>
        <w:rPr>
          <w:smallCaps/>
          <w:color w:val="000000"/>
        </w:rPr>
        <w:t>i</w:t>
      </w:r>
      <w:proofErr w:type="spellEnd"/>
      <w:r>
        <w:rPr>
          <w:smallCaps/>
          <w:color w:val="000000"/>
        </w:rPr>
        <w:t>, The Ancient and Classical World</w:t>
      </w:r>
    </w:p>
    <w:p w14:paraId="38B2C87C" w14:textId="77777777" w:rsidR="00AE0364" w:rsidRDefault="00000000">
      <w:pPr>
        <w:pBdr>
          <w:top w:val="nil"/>
          <w:left w:val="nil"/>
          <w:bottom w:val="nil"/>
          <w:right w:val="nil"/>
          <w:between w:val="nil"/>
        </w:pBdr>
        <w:rPr>
          <w:color w:val="000000"/>
        </w:rPr>
      </w:pPr>
      <w:r>
        <w:rPr>
          <w:color w:val="000000"/>
        </w:rPr>
        <w:t xml:space="preserve">Eagleton, Terry, </w:t>
      </w:r>
      <w:r>
        <w:rPr>
          <w:i/>
          <w:color w:val="000000"/>
        </w:rPr>
        <w:t>The Idea of Culture</w:t>
      </w:r>
      <w:r>
        <w:rPr>
          <w:color w:val="000000"/>
        </w:rPr>
        <w:t xml:space="preserve"> (Oxford, Blackwell, 2000)</w:t>
      </w:r>
    </w:p>
    <w:p w14:paraId="38B2C87D" w14:textId="77777777" w:rsidR="00AE0364" w:rsidRDefault="00000000">
      <w:pPr>
        <w:pBdr>
          <w:top w:val="nil"/>
          <w:left w:val="nil"/>
          <w:bottom w:val="nil"/>
          <w:right w:val="nil"/>
          <w:between w:val="nil"/>
        </w:pBdr>
        <w:rPr>
          <w:color w:val="000000"/>
        </w:rPr>
      </w:pPr>
      <w:r>
        <w:rPr>
          <w:color w:val="000000"/>
        </w:rPr>
        <w:t xml:space="preserve">Eliade, Mircea, </w:t>
      </w:r>
      <w:r>
        <w:rPr>
          <w:i/>
          <w:color w:val="000000"/>
        </w:rPr>
        <w:t>Myth and Reality</w:t>
      </w:r>
      <w:r>
        <w:rPr>
          <w:color w:val="000000"/>
        </w:rPr>
        <w:t xml:space="preserve"> (Harper &amp; Row, 1975)</w:t>
      </w:r>
    </w:p>
    <w:p w14:paraId="38B2C87E" w14:textId="77777777" w:rsidR="00AE0364" w:rsidRDefault="00000000">
      <w:pPr>
        <w:pBdr>
          <w:top w:val="nil"/>
          <w:left w:val="nil"/>
          <w:bottom w:val="nil"/>
          <w:right w:val="nil"/>
          <w:between w:val="nil"/>
        </w:pBdr>
        <w:rPr>
          <w:color w:val="000000"/>
        </w:rPr>
      </w:pPr>
      <w:r>
        <w:rPr>
          <w:color w:val="000000"/>
        </w:rPr>
        <w:t xml:space="preserve">Hetherington, Norris D, </w:t>
      </w:r>
      <w:r>
        <w:rPr>
          <w:i/>
          <w:color w:val="000000"/>
        </w:rPr>
        <w:t>The Encyclopedia of Cosmology: Historical, Philosophical and Scientific Foundations of Modern Cosmology</w:t>
      </w:r>
      <w:r>
        <w:rPr>
          <w:color w:val="000000"/>
        </w:rPr>
        <w:t xml:space="preserve"> (New York, 1993)</w:t>
      </w:r>
    </w:p>
    <w:p w14:paraId="38B2C87F" w14:textId="77777777" w:rsidR="00AE0364" w:rsidRDefault="00000000">
      <w:pPr>
        <w:pBdr>
          <w:top w:val="nil"/>
          <w:left w:val="nil"/>
          <w:bottom w:val="nil"/>
          <w:right w:val="nil"/>
          <w:between w:val="nil"/>
        </w:pBdr>
        <w:rPr>
          <w:color w:val="000000"/>
        </w:rPr>
      </w:pPr>
      <w:proofErr w:type="spellStart"/>
      <w:r>
        <w:rPr>
          <w:color w:val="000000"/>
        </w:rPr>
        <w:t>Pankenier</w:t>
      </w:r>
      <w:proofErr w:type="spellEnd"/>
      <w:r>
        <w:rPr>
          <w:color w:val="000000"/>
        </w:rPr>
        <w:t xml:space="preserve">, David, ‘The Cosmo-Political Background of Heaven’s Mandate’, </w:t>
      </w:r>
      <w:r>
        <w:rPr>
          <w:i/>
          <w:color w:val="000000"/>
        </w:rPr>
        <w:t>Early China</w:t>
      </w:r>
      <w:r>
        <w:rPr>
          <w:color w:val="000000"/>
        </w:rPr>
        <w:t>, 20 (1995)</w:t>
      </w:r>
    </w:p>
    <w:p w14:paraId="38B2C880" w14:textId="77777777" w:rsidR="00AE0364" w:rsidRDefault="00000000">
      <w:pPr>
        <w:pBdr>
          <w:top w:val="nil"/>
          <w:left w:val="nil"/>
          <w:bottom w:val="nil"/>
          <w:right w:val="nil"/>
          <w:between w:val="nil"/>
        </w:pBdr>
        <w:rPr>
          <w:color w:val="000000"/>
        </w:rPr>
      </w:pPr>
      <w:proofErr w:type="spellStart"/>
      <w:r>
        <w:rPr>
          <w:color w:val="000000"/>
        </w:rPr>
        <w:t>Pankenier</w:t>
      </w:r>
      <w:proofErr w:type="spellEnd"/>
      <w:r>
        <w:rPr>
          <w:color w:val="000000"/>
        </w:rPr>
        <w:t xml:space="preserve">, David, ‘Astronomical Dates in Shang and Western Zhou’, </w:t>
      </w:r>
      <w:r>
        <w:rPr>
          <w:i/>
          <w:color w:val="000000"/>
        </w:rPr>
        <w:t>Early China</w:t>
      </w:r>
      <w:r>
        <w:rPr>
          <w:color w:val="000000"/>
        </w:rPr>
        <w:t>, 7 (1981), 2–37 &lt;https://doi.org/10.1017/S0362502800005599&gt;</w:t>
      </w:r>
    </w:p>
    <w:p w14:paraId="38B2C881" w14:textId="77777777" w:rsidR="00AE0364" w:rsidRDefault="00000000">
      <w:pPr>
        <w:pBdr>
          <w:top w:val="nil"/>
          <w:left w:val="nil"/>
          <w:bottom w:val="nil"/>
          <w:right w:val="nil"/>
          <w:between w:val="nil"/>
        </w:pBdr>
        <w:rPr>
          <w:color w:val="000000"/>
        </w:rPr>
      </w:pPr>
      <w:proofErr w:type="spellStart"/>
      <w:r>
        <w:rPr>
          <w:color w:val="000000"/>
        </w:rPr>
        <w:t>Panjenier</w:t>
      </w:r>
      <w:proofErr w:type="spellEnd"/>
      <w:r>
        <w:rPr>
          <w:color w:val="000000"/>
        </w:rPr>
        <w:t xml:space="preserve">, David, ‘The Cosmic Center in Early China and Its Archaic Resonances’, </w:t>
      </w:r>
      <w:r>
        <w:rPr>
          <w:i/>
          <w:color w:val="000000"/>
        </w:rPr>
        <w:t>Proceedings of the International Astronomical Union</w:t>
      </w:r>
      <w:r>
        <w:rPr>
          <w:color w:val="000000"/>
        </w:rPr>
        <w:t>, 7.S278 (2011), 298–307 &lt;https://doi.org/10.1017/S1743921311012737&gt;</w:t>
      </w:r>
    </w:p>
    <w:p w14:paraId="38B2C882" w14:textId="77777777" w:rsidR="00AE0364" w:rsidRDefault="00000000">
      <w:pPr>
        <w:pBdr>
          <w:top w:val="nil"/>
          <w:left w:val="nil"/>
          <w:bottom w:val="nil"/>
          <w:right w:val="nil"/>
          <w:between w:val="nil"/>
        </w:pBdr>
        <w:rPr>
          <w:color w:val="000000"/>
        </w:rPr>
      </w:pPr>
      <w:proofErr w:type="spellStart"/>
      <w:r>
        <w:rPr>
          <w:color w:val="000000"/>
        </w:rPr>
        <w:t>Pregadio</w:t>
      </w:r>
      <w:proofErr w:type="spellEnd"/>
      <w:r>
        <w:rPr>
          <w:color w:val="000000"/>
        </w:rPr>
        <w:t xml:space="preserve">, Fabrizio, </w:t>
      </w:r>
      <w:r>
        <w:rPr>
          <w:i/>
          <w:color w:val="000000"/>
        </w:rPr>
        <w:t xml:space="preserve">The Encyclopedia of </w:t>
      </w:r>
      <w:r>
        <w:rPr>
          <w:i/>
        </w:rPr>
        <w:t>Taoism</w:t>
      </w:r>
      <w:r>
        <w:rPr>
          <w:color w:val="000000"/>
        </w:rPr>
        <w:t xml:space="preserve"> (Routledge, 2013)</w:t>
      </w:r>
    </w:p>
    <w:p w14:paraId="38B2C884" w14:textId="77777777" w:rsidR="00AE0364" w:rsidRDefault="00000000">
      <w:pPr>
        <w:pBdr>
          <w:top w:val="nil"/>
          <w:left w:val="nil"/>
          <w:bottom w:val="nil"/>
          <w:right w:val="nil"/>
          <w:between w:val="nil"/>
        </w:pBdr>
        <w:rPr>
          <w:color w:val="000000"/>
        </w:rPr>
      </w:pPr>
      <w:r>
        <w:rPr>
          <w:color w:val="000000"/>
        </w:rPr>
        <w:t xml:space="preserve">Weber, Max, ‘From Max Weber: Essay in Sociology’, </w:t>
      </w:r>
      <w:r>
        <w:rPr>
          <w:i/>
          <w:color w:val="000000"/>
        </w:rPr>
        <w:t xml:space="preserve">London: Kegan Paul, Trench, </w:t>
      </w:r>
      <w:proofErr w:type="spellStart"/>
      <w:r>
        <w:rPr>
          <w:i/>
          <w:color w:val="000000"/>
        </w:rPr>
        <w:t>Trubner</w:t>
      </w:r>
      <w:proofErr w:type="spellEnd"/>
      <w:r>
        <w:rPr>
          <w:i/>
          <w:color w:val="000000"/>
        </w:rPr>
        <w:t xml:space="preserve"> &amp; Co.</w:t>
      </w:r>
      <w:r>
        <w:rPr>
          <w:color w:val="000000"/>
        </w:rPr>
        <w:t>, 1947</w:t>
      </w:r>
    </w:p>
    <w:p w14:paraId="38B2C889" w14:textId="02525E5F" w:rsidR="00AE0364" w:rsidRPr="00E2100F" w:rsidRDefault="00000000" w:rsidP="00E2100F">
      <w:pPr>
        <w:pBdr>
          <w:top w:val="nil"/>
          <w:left w:val="nil"/>
          <w:bottom w:val="nil"/>
          <w:right w:val="nil"/>
          <w:between w:val="nil"/>
        </w:pBdr>
        <w:rPr>
          <w:color w:val="000000"/>
        </w:rPr>
      </w:pPr>
      <w:r>
        <w:rPr>
          <w:color w:val="000000"/>
        </w:rPr>
        <w:t xml:space="preserve">Xu, Junjun, ‘Ancient Chinese Constellations’, </w:t>
      </w:r>
      <w:r>
        <w:rPr>
          <w:i/>
          <w:color w:val="000000"/>
        </w:rPr>
        <w:t>The Role of Astronomy in Society and Culture Proceedings IAU Symposium</w:t>
      </w:r>
      <w:r>
        <w:rPr>
          <w:color w:val="000000"/>
        </w:rPr>
        <w:t>, 260 (2009), 107–15</w:t>
      </w:r>
    </w:p>
    <w:sectPr w:rsidR="00AE0364" w:rsidRPr="00E2100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340F5" w14:textId="77777777" w:rsidR="005174A0" w:rsidRDefault="005174A0">
      <w:pPr>
        <w:spacing w:after="0" w:line="240" w:lineRule="auto"/>
      </w:pPr>
      <w:r>
        <w:separator/>
      </w:r>
    </w:p>
  </w:endnote>
  <w:endnote w:type="continuationSeparator" w:id="0">
    <w:p w14:paraId="0B1739A0" w14:textId="77777777" w:rsidR="005174A0" w:rsidRDefault="0051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2C88A" w14:textId="0F420292" w:rsidR="00AE0364"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3277D">
      <w:rPr>
        <w:noProof/>
        <w:color w:val="000000"/>
      </w:rPr>
      <w:t>1</w:t>
    </w:r>
    <w:r>
      <w:rPr>
        <w:color w:val="000000"/>
      </w:rPr>
      <w:fldChar w:fldCharType="end"/>
    </w:r>
  </w:p>
  <w:p w14:paraId="38B2C88B" w14:textId="77777777" w:rsidR="00AE0364" w:rsidRDefault="00AE036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47272" w14:textId="77777777" w:rsidR="005174A0" w:rsidRDefault="005174A0">
      <w:pPr>
        <w:spacing w:after="0" w:line="240" w:lineRule="auto"/>
      </w:pPr>
      <w:r>
        <w:separator/>
      </w:r>
    </w:p>
  </w:footnote>
  <w:footnote w:type="continuationSeparator" w:id="0">
    <w:p w14:paraId="2525599D" w14:textId="77777777" w:rsidR="005174A0" w:rsidRDefault="005174A0">
      <w:pPr>
        <w:spacing w:after="0" w:line="240" w:lineRule="auto"/>
      </w:pPr>
      <w:r>
        <w:continuationSeparator/>
      </w:r>
    </w:p>
  </w:footnote>
  <w:footnote w:id="1">
    <w:p w14:paraId="38B2C88C" w14:textId="77777777" w:rsidR="00AE0364" w:rsidRDefault="00000000">
      <w:pPr>
        <w:spacing w:after="0" w:line="240" w:lineRule="auto"/>
        <w:rPr>
          <w:sz w:val="20"/>
          <w:szCs w:val="20"/>
        </w:rPr>
      </w:pPr>
      <w:r>
        <w:rPr>
          <w:rStyle w:val="FootnoteReference"/>
        </w:rPr>
        <w:footnoteRef/>
      </w:r>
      <w:r>
        <w:rPr>
          <w:sz w:val="20"/>
          <w:szCs w:val="20"/>
        </w:rPr>
        <w:t xml:space="preserve"> Qian </w:t>
      </w:r>
      <w:proofErr w:type="spellStart"/>
      <w:r>
        <w:rPr>
          <w:sz w:val="20"/>
          <w:szCs w:val="20"/>
        </w:rPr>
        <w:t>Sima</w:t>
      </w:r>
      <w:proofErr w:type="spellEnd"/>
      <w:r>
        <w:rPr>
          <w:sz w:val="20"/>
          <w:szCs w:val="20"/>
        </w:rPr>
        <w:t xml:space="preserve">, </w:t>
      </w:r>
      <w:proofErr w:type="spellStart"/>
      <w:r>
        <w:rPr>
          <w:i/>
          <w:sz w:val="20"/>
          <w:szCs w:val="20"/>
        </w:rPr>
        <w:t>Shiji</w:t>
      </w:r>
      <w:proofErr w:type="spellEnd"/>
      <w:r>
        <w:rPr>
          <w:i/>
          <w:sz w:val="20"/>
          <w:szCs w:val="20"/>
        </w:rPr>
        <w:t xml:space="preserve"> (The Grand Scribe Records)</w:t>
      </w:r>
      <w:r>
        <w:rPr>
          <w:sz w:val="20"/>
          <w:szCs w:val="20"/>
        </w:rPr>
        <w:t xml:space="preserve"> (</w:t>
      </w:r>
      <w:proofErr w:type="spellStart"/>
      <w:r>
        <w:rPr>
          <w:sz w:val="20"/>
          <w:szCs w:val="20"/>
        </w:rPr>
        <w:t>Zhonghua</w:t>
      </w:r>
      <w:proofErr w:type="spellEnd"/>
      <w:r>
        <w:rPr>
          <w:sz w:val="20"/>
          <w:szCs w:val="20"/>
        </w:rPr>
        <w:t xml:space="preserve"> </w:t>
      </w:r>
      <w:proofErr w:type="spellStart"/>
      <w:r>
        <w:rPr>
          <w:sz w:val="20"/>
          <w:szCs w:val="20"/>
        </w:rPr>
        <w:t>Shuju</w:t>
      </w:r>
      <w:proofErr w:type="spellEnd"/>
      <w:r>
        <w:rPr>
          <w:sz w:val="20"/>
          <w:szCs w:val="20"/>
        </w:rPr>
        <w:t xml:space="preserve"> Beijing, 1959).</w:t>
      </w:r>
    </w:p>
  </w:footnote>
  <w:footnote w:id="2">
    <w:p w14:paraId="4A38C574" w14:textId="216AA41D" w:rsidR="00BA3FAA" w:rsidRDefault="00BA3FAA">
      <w:pPr>
        <w:pStyle w:val="FootnoteText"/>
      </w:pPr>
      <w:r>
        <w:rPr>
          <w:rStyle w:val="FootnoteReference"/>
        </w:rPr>
        <w:footnoteRef/>
      </w:r>
      <w:r>
        <w:t xml:space="preserve"> </w:t>
      </w:r>
      <w:r>
        <w:fldChar w:fldCharType="begin"/>
      </w:r>
      <w:r>
        <w:instrText xml:space="preserve"> ADDIN ZOTERO_ITEM CSL_CITATION {"citationID":"ydv2n2wD","properties":{"formattedCitation":"Aratus, {\\i{}Phaenomena} (Loeb Classical Library, Harvard University Press, 1921).","plainCitation":"Aratus, Phaenomena (Loeb Classical Library, Harvard University Press, 1921).","noteIndex":2},"citationItems":[{"id":295,"uris":["http://zotero.org/users/9107787/items/NCEIHBD3"],"itemData":{"id":295,"type":"book","publisher":"Loeb Classical Library, Harvard University Press","title":"Phaenomena","author":[{"family":"Aratus","given":""}],"issued":{"date-parts":[["1921"]]}}}],"schema":"https://github.com/citation-style-language/schema/raw/master/csl-citation.json"} </w:instrText>
      </w:r>
      <w:r>
        <w:fldChar w:fldCharType="separate"/>
      </w:r>
      <w:r w:rsidRPr="00BA3FAA">
        <w:rPr>
          <w:szCs w:val="24"/>
        </w:rPr>
        <w:t xml:space="preserve">Aratus, </w:t>
      </w:r>
      <w:proofErr w:type="spellStart"/>
      <w:r w:rsidRPr="00BA3FAA">
        <w:rPr>
          <w:i/>
          <w:iCs/>
          <w:szCs w:val="24"/>
        </w:rPr>
        <w:t>Phaenomena</w:t>
      </w:r>
      <w:proofErr w:type="spellEnd"/>
      <w:r w:rsidRPr="00BA3FAA">
        <w:rPr>
          <w:szCs w:val="24"/>
        </w:rPr>
        <w:t xml:space="preserve"> (Loeb Classical Library, Harvard University Press, 1921).</w:t>
      </w:r>
      <w:r>
        <w:fldChar w:fldCharType="end"/>
      </w:r>
    </w:p>
  </w:footnote>
  <w:footnote w:id="3">
    <w:p w14:paraId="38B2C88D"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David </w:t>
      </w:r>
      <w:proofErr w:type="spellStart"/>
      <w:r>
        <w:rPr>
          <w:color w:val="000000"/>
          <w:sz w:val="20"/>
          <w:szCs w:val="20"/>
        </w:rPr>
        <w:t>Pankenier</w:t>
      </w:r>
      <w:proofErr w:type="spellEnd"/>
      <w:r>
        <w:rPr>
          <w:color w:val="000000"/>
          <w:sz w:val="20"/>
          <w:szCs w:val="20"/>
        </w:rPr>
        <w:t xml:space="preserve">, ‘The Cosmo-Political Background of Heaven’s Mandate’, </w:t>
      </w:r>
      <w:r>
        <w:rPr>
          <w:i/>
          <w:color w:val="000000"/>
          <w:sz w:val="20"/>
          <w:szCs w:val="20"/>
        </w:rPr>
        <w:t>Early China</w:t>
      </w:r>
      <w:r>
        <w:rPr>
          <w:color w:val="000000"/>
          <w:sz w:val="20"/>
          <w:szCs w:val="20"/>
        </w:rPr>
        <w:t>, 20 (1995), p. 172.</w:t>
      </w:r>
    </w:p>
  </w:footnote>
  <w:footnote w:id="4">
    <w:p w14:paraId="38B2C88E"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Norris D Hetherington, </w:t>
      </w:r>
      <w:r>
        <w:rPr>
          <w:i/>
          <w:color w:val="000000"/>
          <w:sz w:val="20"/>
          <w:szCs w:val="20"/>
        </w:rPr>
        <w:t>The Encyclopedia of Cosmology: Historical, Philosophical and Scientific Foundations of Modern Cosmology</w:t>
      </w:r>
      <w:r>
        <w:rPr>
          <w:color w:val="000000"/>
          <w:sz w:val="20"/>
          <w:szCs w:val="20"/>
        </w:rPr>
        <w:t xml:space="preserve"> (New York, 1993), p. 116.</w:t>
      </w:r>
    </w:p>
  </w:footnote>
  <w:footnote w:id="5">
    <w:p w14:paraId="38B2C88F"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David W. </w:t>
      </w:r>
      <w:proofErr w:type="spellStart"/>
      <w:r>
        <w:rPr>
          <w:color w:val="000000"/>
          <w:sz w:val="20"/>
          <w:szCs w:val="20"/>
        </w:rPr>
        <w:t>Pankenier</w:t>
      </w:r>
      <w:proofErr w:type="spellEnd"/>
      <w:r>
        <w:rPr>
          <w:color w:val="000000"/>
          <w:sz w:val="20"/>
          <w:szCs w:val="20"/>
        </w:rPr>
        <w:t xml:space="preserve">, ‘The Cosmic Center in Early China and Its Archaic Resonances’, </w:t>
      </w:r>
      <w:r>
        <w:rPr>
          <w:i/>
          <w:color w:val="000000"/>
          <w:sz w:val="20"/>
          <w:szCs w:val="20"/>
        </w:rPr>
        <w:t>Proceedings of the International Astronomical Union</w:t>
      </w:r>
      <w:r>
        <w:rPr>
          <w:color w:val="000000"/>
          <w:sz w:val="20"/>
          <w:szCs w:val="20"/>
        </w:rPr>
        <w:t>, 7.S278 (2011), 298–307 (p. 305) &lt;https://doi.org/10.1017/S1743921311012737&gt;.</w:t>
      </w:r>
    </w:p>
  </w:footnote>
  <w:footnote w:id="6">
    <w:p w14:paraId="38B2C890"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Junjun Xu, ‘Ancient Chinese Constellations’, </w:t>
      </w:r>
      <w:r>
        <w:rPr>
          <w:i/>
          <w:color w:val="000000"/>
          <w:sz w:val="20"/>
          <w:szCs w:val="20"/>
        </w:rPr>
        <w:t>The Role of Astronomy in Society and Culture Proceedings IAU Symposium</w:t>
      </w:r>
      <w:r>
        <w:rPr>
          <w:color w:val="000000"/>
          <w:sz w:val="20"/>
          <w:szCs w:val="20"/>
        </w:rPr>
        <w:t>, 260 (2009), 107–15 (p. 107).</w:t>
      </w:r>
    </w:p>
  </w:footnote>
  <w:footnote w:id="7">
    <w:p w14:paraId="38B2C891"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David W. </w:t>
      </w:r>
      <w:proofErr w:type="spellStart"/>
      <w:r>
        <w:rPr>
          <w:color w:val="000000"/>
          <w:sz w:val="20"/>
          <w:szCs w:val="20"/>
        </w:rPr>
        <w:t>Pankenier</w:t>
      </w:r>
      <w:proofErr w:type="spellEnd"/>
      <w:r>
        <w:rPr>
          <w:color w:val="000000"/>
          <w:sz w:val="20"/>
          <w:szCs w:val="20"/>
        </w:rPr>
        <w:t>, ‘The Cosmic Center in Early China and Its Archaic Resonances’, p. 305.</w:t>
      </w:r>
    </w:p>
  </w:footnote>
  <w:footnote w:id="8">
    <w:p w14:paraId="38B2C892"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David W. </w:t>
      </w:r>
      <w:proofErr w:type="spellStart"/>
      <w:r>
        <w:rPr>
          <w:color w:val="000000"/>
          <w:sz w:val="20"/>
          <w:szCs w:val="20"/>
        </w:rPr>
        <w:t>Pankenier</w:t>
      </w:r>
      <w:proofErr w:type="spellEnd"/>
      <w:r>
        <w:rPr>
          <w:color w:val="000000"/>
          <w:sz w:val="20"/>
          <w:szCs w:val="20"/>
        </w:rPr>
        <w:t xml:space="preserve">, ‘Astronomical Dates in Shang and Western Zhou’, </w:t>
      </w:r>
      <w:r>
        <w:rPr>
          <w:i/>
          <w:color w:val="000000"/>
          <w:sz w:val="20"/>
          <w:szCs w:val="20"/>
        </w:rPr>
        <w:t>Early China</w:t>
      </w:r>
      <w:r>
        <w:rPr>
          <w:color w:val="000000"/>
          <w:sz w:val="20"/>
          <w:szCs w:val="20"/>
        </w:rPr>
        <w:t>, 7 (1981), 2–37 (pp. 13–14) &lt;https://doi.org/10.1017/S0362502800005599&gt;.</w:t>
      </w:r>
    </w:p>
  </w:footnote>
  <w:footnote w:id="9">
    <w:p w14:paraId="38B2C893"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Fabrizio </w:t>
      </w:r>
      <w:proofErr w:type="spellStart"/>
      <w:r>
        <w:rPr>
          <w:color w:val="000000"/>
          <w:sz w:val="20"/>
          <w:szCs w:val="20"/>
        </w:rPr>
        <w:t>Pregadio</w:t>
      </w:r>
      <w:proofErr w:type="spellEnd"/>
      <w:r>
        <w:rPr>
          <w:color w:val="000000"/>
          <w:sz w:val="20"/>
          <w:szCs w:val="20"/>
        </w:rPr>
        <w:t xml:space="preserve">, </w:t>
      </w:r>
      <w:r>
        <w:rPr>
          <w:i/>
          <w:color w:val="000000"/>
          <w:sz w:val="20"/>
          <w:szCs w:val="20"/>
        </w:rPr>
        <w:t xml:space="preserve">The Encyclopedia of </w:t>
      </w:r>
      <w:r>
        <w:rPr>
          <w:i/>
          <w:sz w:val="20"/>
          <w:szCs w:val="20"/>
        </w:rPr>
        <w:t>Taoism</w:t>
      </w:r>
      <w:r>
        <w:rPr>
          <w:color w:val="000000"/>
          <w:sz w:val="20"/>
          <w:szCs w:val="20"/>
        </w:rPr>
        <w:t xml:space="preserve"> (Routledge, 2013), p. 1207.</w:t>
      </w:r>
    </w:p>
  </w:footnote>
  <w:footnote w:id="10">
    <w:p w14:paraId="38B2C894"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Mircea Eliade, </w:t>
      </w:r>
      <w:r>
        <w:rPr>
          <w:i/>
          <w:color w:val="000000"/>
          <w:sz w:val="20"/>
          <w:szCs w:val="20"/>
        </w:rPr>
        <w:t>Myth and Reality</w:t>
      </w:r>
      <w:r>
        <w:rPr>
          <w:color w:val="000000"/>
          <w:sz w:val="20"/>
          <w:szCs w:val="20"/>
        </w:rPr>
        <w:t xml:space="preserve"> (Harper &amp; Row, 1975), pp. 37–38.</w:t>
      </w:r>
    </w:p>
  </w:footnote>
  <w:footnote w:id="11">
    <w:p w14:paraId="38B2C895" w14:textId="77777777" w:rsidR="00AE0364" w:rsidRDefault="00000000">
      <w:pPr>
        <w:spacing w:after="0" w:line="240" w:lineRule="auto"/>
        <w:rPr>
          <w:sz w:val="20"/>
          <w:szCs w:val="20"/>
        </w:rPr>
      </w:pPr>
      <w:r>
        <w:rPr>
          <w:rStyle w:val="FootnoteReference"/>
        </w:rPr>
        <w:footnoteRef/>
      </w:r>
      <w:r>
        <w:rPr>
          <w:sz w:val="20"/>
          <w:szCs w:val="20"/>
        </w:rPr>
        <w:t xml:space="preserve"> Max Weber, ‘From Max Weber: Essay in Sociology’, </w:t>
      </w:r>
      <w:r>
        <w:rPr>
          <w:i/>
          <w:sz w:val="20"/>
          <w:szCs w:val="20"/>
        </w:rPr>
        <w:t xml:space="preserve">London: Kegan Paul, Trench, </w:t>
      </w:r>
      <w:proofErr w:type="spellStart"/>
      <w:r>
        <w:rPr>
          <w:i/>
          <w:sz w:val="20"/>
          <w:szCs w:val="20"/>
        </w:rPr>
        <w:t>Trubner</w:t>
      </w:r>
      <w:proofErr w:type="spellEnd"/>
      <w:r>
        <w:rPr>
          <w:i/>
          <w:sz w:val="20"/>
          <w:szCs w:val="20"/>
        </w:rPr>
        <w:t xml:space="preserve"> &amp; Co.</w:t>
      </w:r>
      <w:r>
        <w:rPr>
          <w:sz w:val="20"/>
          <w:szCs w:val="20"/>
        </w:rPr>
        <w:t>, 1947, p. 139.</w:t>
      </w:r>
    </w:p>
  </w:footnote>
  <w:footnote w:id="12">
    <w:p w14:paraId="38B2C896"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Nicholas Campion, </w:t>
      </w:r>
      <w:r>
        <w:rPr>
          <w:i/>
          <w:color w:val="000000"/>
          <w:sz w:val="20"/>
          <w:szCs w:val="20"/>
        </w:rPr>
        <w:t>A History of Western Astrology, The Ancient World</w:t>
      </w:r>
      <w:r>
        <w:rPr>
          <w:color w:val="000000"/>
          <w:sz w:val="20"/>
          <w:szCs w:val="20"/>
        </w:rPr>
        <w:t xml:space="preserve"> (Bloomsbury, 2008), </w:t>
      </w:r>
      <w:proofErr w:type="spellStart"/>
      <w:r>
        <w:rPr>
          <w:smallCaps/>
          <w:color w:val="000000"/>
          <w:sz w:val="20"/>
          <w:szCs w:val="20"/>
        </w:rPr>
        <w:t>i</w:t>
      </w:r>
      <w:proofErr w:type="spellEnd"/>
      <w:r>
        <w:rPr>
          <w:smallCaps/>
          <w:color w:val="000000"/>
          <w:sz w:val="20"/>
          <w:szCs w:val="20"/>
        </w:rPr>
        <w:t>, The Ancient and Classical World</w:t>
      </w:r>
      <w:r>
        <w:rPr>
          <w:color w:val="000000"/>
          <w:sz w:val="20"/>
          <w:szCs w:val="20"/>
        </w:rPr>
        <w:t>, pp. 148–60.</w:t>
      </w:r>
    </w:p>
  </w:footnote>
  <w:footnote w:id="13">
    <w:p w14:paraId="38B2C897"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Joseph Campbell, </w:t>
      </w:r>
      <w:r>
        <w:rPr>
          <w:i/>
          <w:color w:val="000000"/>
          <w:sz w:val="20"/>
          <w:szCs w:val="20"/>
        </w:rPr>
        <w:t>The Hero with a Thousand Faces</w:t>
      </w:r>
      <w:r>
        <w:rPr>
          <w:color w:val="000000"/>
          <w:sz w:val="20"/>
          <w:szCs w:val="20"/>
        </w:rPr>
        <w:t>, 1949.</w:t>
      </w:r>
    </w:p>
  </w:footnote>
  <w:footnote w:id="14">
    <w:p w14:paraId="38B2C898" w14:textId="77777777" w:rsidR="00AE0364" w:rsidRDefault="00000000">
      <w:pPr>
        <w:spacing w:after="0" w:line="240" w:lineRule="auto"/>
        <w:rPr>
          <w:sz w:val="20"/>
          <w:szCs w:val="20"/>
        </w:rPr>
      </w:pPr>
      <w:r>
        <w:rPr>
          <w:rStyle w:val="FootnoteReference"/>
        </w:rPr>
        <w:footnoteRef/>
      </w:r>
      <w:r>
        <w:rPr>
          <w:sz w:val="20"/>
          <w:szCs w:val="20"/>
        </w:rPr>
        <w:t xml:space="preserve"> Joseph Campbell, </w:t>
      </w:r>
      <w:r>
        <w:rPr>
          <w:i/>
          <w:sz w:val="20"/>
          <w:szCs w:val="20"/>
        </w:rPr>
        <w:t>Masks of God: Creative Mythology</w:t>
      </w:r>
      <w:r>
        <w:rPr>
          <w:sz w:val="20"/>
          <w:szCs w:val="20"/>
        </w:rPr>
        <w:t xml:space="preserve"> (Penguin Books, 1968), pp. 4–6.</w:t>
      </w:r>
    </w:p>
  </w:footnote>
  <w:footnote w:id="15">
    <w:p w14:paraId="38B2C899"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Terry Eagleton, </w:t>
      </w:r>
      <w:r>
        <w:rPr>
          <w:i/>
          <w:color w:val="000000"/>
          <w:sz w:val="20"/>
          <w:szCs w:val="20"/>
        </w:rPr>
        <w:t>The Idea of Culture</w:t>
      </w:r>
      <w:r>
        <w:rPr>
          <w:color w:val="000000"/>
          <w:sz w:val="20"/>
          <w:szCs w:val="20"/>
        </w:rPr>
        <w:t xml:space="preserve"> (Oxford, Blackwell, 2000), p. 28.</w:t>
      </w:r>
    </w:p>
  </w:footnote>
  <w:footnote w:id="16">
    <w:p w14:paraId="38B2C89A" w14:textId="77777777" w:rsidR="00AE0364"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Walter Burkert, </w:t>
      </w:r>
      <w:r>
        <w:rPr>
          <w:i/>
          <w:color w:val="000000"/>
          <w:sz w:val="20"/>
          <w:szCs w:val="20"/>
        </w:rPr>
        <w:t xml:space="preserve">Homo </w:t>
      </w:r>
      <w:proofErr w:type="spellStart"/>
      <w:r>
        <w:rPr>
          <w:i/>
          <w:color w:val="000000"/>
          <w:sz w:val="20"/>
          <w:szCs w:val="20"/>
        </w:rPr>
        <w:t>Necans</w:t>
      </w:r>
      <w:proofErr w:type="spellEnd"/>
      <w:r>
        <w:rPr>
          <w:i/>
          <w:color w:val="000000"/>
          <w:sz w:val="20"/>
          <w:szCs w:val="20"/>
        </w:rPr>
        <w:t xml:space="preserve"> </w:t>
      </w:r>
      <w:proofErr w:type="gramStart"/>
      <w:r>
        <w:rPr>
          <w:i/>
          <w:color w:val="000000"/>
          <w:sz w:val="20"/>
          <w:szCs w:val="20"/>
        </w:rPr>
        <w:t>The</w:t>
      </w:r>
      <w:proofErr w:type="gramEnd"/>
      <w:r>
        <w:rPr>
          <w:i/>
          <w:color w:val="000000"/>
          <w:sz w:val="20"/>
          <w:szCs w:val="20"/>
        </w:rPr>
        <w:t xml:space="preserve"> Anthropology If Ancient Greek Sacrificial Ritual and Myth</w:t>
      </w:r>
      <w:r>
        <w:rPr>
          <w:color w:val="000000"/>
          <w:sz w:val="20"/>
          <w:szCs w:val="20"/>
        </w:rPr>
        <w:t xml:space="preserve"> (University of California Press, 1986), pp. 31–32.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364"/>
    <w:rsid w:val="005174A0"/>
    <w:rsid w:val="007A7A7C"/>
    <w:rsid w:val="00A113B3"/>
    <w:rsid w:val="00AE0364"/>
    <w:rsid w:val="00BA3FAA"/>
    <w:rsid w:val="00C3277D"/>
    <w:rsid w:val="00E210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2C7FE"/>
  <w15:docId w15:val="{A5042163-5566-4828-B42D-6B1963706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C04"/>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B23C04"/>
    <w:pPr>
      <w:ind w:left="720"/>
      <w:contextualSpacing/>
    </w:pPr>
  </w:style>
  <w:style w:type="paragraph" w:styleId="FootnoteText">
    <w:name w:val="footnote text"/>
    <w:basedOn w:val="Normal"/>
    <w:link w:val="FootnoteTextChar"/>
    <w:uiPriority w:val="99"/>
    <w:semiHidden/>
    <w:unhideWhenUsed/>
    <w:rsid w:val="00E230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3093"/>
    <w:rPr>
      <w:sz w:val="20"/>
      <w:szCs w:val="20"/>
    </w:rPr>
  </w:style>
  <w:style w:type="character" w:styleId="FootnoteReference">
    <w:name w:val="footnote reference"/>
    <w:basedOn w:val="DefaultParagraphFont"/>
    <w:uiPriority w:val="99"/>
    <w:semiHidden/>
    <w:unhideWhenUsed/>
    <w:rsid w:val="00E23093"/>
    <w:rPr>
      <w:vertAlign w:val="superscript"/>
    </w:rPr>
  </w:style>
  <w:style w:type="paragraph" w:styleId="Header">
    <w:name w:val="header"/>
    <w:basedOn w:val="Normal"/>
    <w:link w:val="HeaderChar"/>
    <w:uiPriority w:val="99"/>
    <w:unhideWhenUsed/>
    <w:rsid w:val="00A114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14E9"/>
  </w:style>
  <w:style w:type="paragraph" w:styleId="Footer">
    <w:name w:val="footer"/>
    <w:basedOn w:val="Normal"/>
    <w:link w:val="FooterChar"/>
    <w:uiPriority w:val="99"/>
    <w:unhideWhenUsed/>
    <w:rsid w:val="00A114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14E9"/>
  </w:style>
  <w:style w:type="paragraph" w:styleId="Revision">
    <w:name w:val="Revision"/>
    <w:hidden/>
    <w:uiPriority w:val="99"/>
    <w:semiHidden/>
    <w:rsid w:val="00655B50"/>
    <w:pPr>
      <w:spacing w:after="0" w:line="240" w:lineRule="auto"/>
    </w:pPr>
  </w:style>
  <w:style w:type="paragraph" w:styleId="Bibliography">
    <w:name w:val="Bibliography"/>
    <w:basedOn w:val="Normal"/>
    <w:next w:val="Normal"/>
    <w:uiPriority w:val="37"/>
    <w:unhideWhenUsed/>
    <w:rsid w:val="009D74B8"/>
    <w:pPr>
      <w:spacing w:after="240" w:line="240" w:lineRule="auto"/>
      <w:ind w:left="720" w:hanging="7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bRBw7TA+KhnSL+ahIxkOOjzZFGA==">AMUW2mXPNlJhPFTXC/U8fghGTDO4QdDadb+RTsjjc5kxjkHglzg75Psj0F5rhsq1M1agNvPTwnEQDvaBT/ZRlRRRwcrHVKQHspuulw7bzAXCIbLGnSLaeu/0i3q1Z0AxscQz7NjHWq89y398K7lVG3mwWMaqS25kIvTLGuETnkZ48VfKbcPfme0b3gvz/g84/XIu65D1piGt2V6DW5IaLOo1HZ8hbt2EQf6hLk0Qm+4TnpUt7EXUEm8UI5KKCHgBvJqu4SM995KezMgvN1bnCwAkYVPM7wl3oDC1Dmh4hgx5O7GMJqjnoWXqkcYQdYB46AhF+c7MEy4B9g2mDe5RZ5RASnXPL/LHCsa5Tp27uDM7djt2jmqE8x62UbPbFd1nS5GgwXYaCHnq6/riKrPX8OlhAod5QfuOOYbs/Vh/6RvHbiJBVfJkOER7NGtiy/ee3FmaTQtnvsisn/81+VHnj+2VE6KXxxvjI+N2BG3PelafDiqOX2gCGvkl1PGp6yzcrI6D5ZwVIebIy4XFSkrLX1cYCLuKj/Qjq+G1ih/c4XDQ400f/9Bz+oN9qWNuJYXiQy7ytHzHYKP7EMeHMBzSV/dpuR+/tFg/HNMMphg1OxbcLmIVvABE/unDK28FrmpfDo/iJ9O8jwEWahDfw/GVNL/1e2i9YHYwqwv36spv3DBTkS1cp8NM+T/Tg1id590ms1M6o+9I/mEbijoa9uXQfOTjx1Rj5DPtCALtDu2wiWh85e6AyO2ehAIcdhALuFkI14XZj5sMYGkQw7GSTBe7Manr7OpL8NoV6iT6ZBoijJyXXEucYXNjhO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3515</Words>
  <Characters>18704</Characters>
  <Application>Microsoft Office Word</Application>
  <DocSecurity>0</DocSecurity>
  <Lines>322</Lines>
  <Paragraphs>81</Paragraphs>
  <ScaleCrop>false</ScaleCrop>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Ying Ching Lee</dc:creator>
  <cp:lastModifiedBy>Ying Ching Lee</cp:lastModifiedBy>
  <cp:revision>6</cp:revision>
  <dcterms:created xsi:type="dcterms:W3CDTF">2022-12-24T04:30:00Z</dcterms:created>
  <dcterms:modified xsi:type="dcterms:W3CDTF">2023-01-04T00:45:00Z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zotero-version="6.0.19"&gt;&lt;session id="b9V8RF8F"/&gt;&lt;style id="http://www.zotero.org/styles/modern-humanities-research-association" hasBibliography="1" bibliographyStyleHasBeenSet="1"/&gt;&lt;prefs&gt;&lt;pref name="noteType" value="1"/&gt;&lt;pref name=</vt:lpwstr>
  </property>
  <property fmtid="{D5CDD505-2E9C-101B-9397-08002B2CF9AE}" pid="3" name="ZOTERO_PREF_2">
    <vt:lpwstr>"fieldType" value="Field"/&gt;&lt;/prefs&gt;&lt;/data&gt;</vt:lpwstr>
  </property>
  <property fmtid="{D5CDD505-2E9C-101B-9397-08002B2CF9AE}" pid="4" name="GrammarlyDocumentId">
    <vt:lpwstr>d680239859af79fd21e0a0c2e5fb6ad8db9dc752aec0dc0a88312c53ea6d068d</vt:lpwstr>
  </property>
</Properties>
</file>