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9734" w:type="dxa"/>
        <w:jc w:val="center"/>
        <w:tblBorders>
          <w:top w:val="single" w:sz="4" w:space="0" w:color="auto"/>
          <w:left w:val="none" w:sz="0" w:space="0" w:color="auto"/>
          <w:bottom w:val="single" w:sz="24" w:space="0" w:color="auto"/>
          <w:right w:val="none" w:sz="0" w:space="0" w:color="auto"/>
          <w:insideH w:val="single" w:sz="4" w:space="0" w:color="auto"/>
          <w:insideV w:val="single" w:sz="4" w:space="0" w:color="auto"/>
        </w:tblBorders>
        <w:tblLook w:val="04A0" w:firstRow="1" w:lastRow="0" w:firstColumn="1" w:lastColumn="0" w:noHBand="0" w:noVBand="1"/>
      </w:tblPr>
      <w:tblGrid>
        <w:gridCol w:w="494"/>
        <w:gridCol w:w="2277"/>
        <w:gridCol w:w="845"/>
        <w:gridCol w:w="3862"/>
        <w:gridCol w:w="2224"/>
        <w:gridCol w:w="32"/>
      </w:tblGrid>
      <w:tr w:rsidR="00D2374F" w14:paraId="1923A992" w14:textId="77777777" w:rsidTr="008A5AAE">
        <w:trPr>
          <w:trHeight w:val="1008"/>
          <w:jc w:val="center"/>
        </w:trPr>
        <w:tc>
          <w:tcPr>
            <w:tcW w:w="2771" w:type="dxa"/>
            <w:gridSpan w:val="2"/>
            <w:vMerge w:val="restart"/>
            <w:tcBorders>
              <w:top w:val="single" w:sz="18" w:space="0" w:color="auto"/>
              <w:right w:val="nil"/>
            </w:tcBorders>
            <w:vAlign w:val="center"/>
          </w:tcPr>
          <w:p w14:paraId="45DB330F" w14:textId="77777777" w:rsidR="006C7481" w:rsidRDefault="008A5AAE" w:rsidP="001534CF">
            <w:pPr>
              <w:ind w:left="-115"/>
            </w:pPr>
            <w:r>
              <w:rPr>
                <w:noProof/>
                <w:lang w:bidi="bn-BD"/>
              </w:rPr>
              <w:drawing>
                <wp:inline distT="0" distB="0" distL="0" distR="0" wp14:anchorId="13837AA2" wp14:editId="360454CC">
                  <wp:extent cx="1695050" cy="1191290"/>
                  <wp:effectExtent l="0" t="0" r="0" b="0"/>
                  <wp:docPr id="13" name="image2.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company name&#10;&#10;Description automatically generated"/>
                          <pic:cNvPicPr preferRelativeResize="0"/>
                        </pic:nvPicPr>
                        <pic:blipFill>
                          <a:blip r:embed="rId8"/>
                          <a:srcRect/>
                          <a:stretch>
                            <a:fillRect/>
                          </a:stretch>
                        </pic:blipFill>
                        <pic:spPr>
                          <a:xfrm>
                            <a:off x="0" y="0"/>
                            <a:ext cx="1695050" cy="1191290"/>
                          </a:xfrm>
                          <a:prstGeom prst="rect">
                            <a:avLst/>
                          </a:prstGeom>
                          <a:ln/>
                        </pic:spPr>
                      </pic:pic>
                    </a:graphicData>
                  </a:graphic>
                </wp:inline>
              </w:drawing>
            </w:r>
          </w:p>
        </w:tc>
        <w:tc>
          <w:tcPr>
            <w:tcW w:w="4707" w:type="dxa"/>
            <w:gridSpan w:val="2"/>
            <w:tcBorders>
              <w:top w:val="single" w:sz="18" w:space="0" w:color="auto"/>
              <w:left w:val="nil"/>
              <w:bottom w:val="nil"/>
              <w:right w:val="nil"/>
            </w:tcBorders>
            <w:vAlign w:val="center"/>
          </w:tcPr>
          <w:p w14:paraId="05429D25" w14:textId="77777777" w:rsidR="006C7481" w:rsidRPr="008A5AAE" w:rsidRDefault="008A5AAE" w:rsidP="001534CF">
            <w:pPr>
              <w:spacing w:before="280"/>
              <w:jc w:val="center"/>
              <w:rPr>
                <w:rFonts w:asciiTheme="majorBidi" w:hAnsiTheme="majorBidi" w:cstheme="majorBidi"/>
                <w:color w:val="000080"/>
              </w:rPr>
            </w:pPr>
            <w:r w:rsidRPr="008A5AAE">
              <w:rPr>
                <w:rFonts w:asciiTheme="majorBidi" w:hAnsiTheme="majorBidi" w:cstheme="majorBidi"/>
                <w:color w:val="000080"/>
                <w:sz w:val="28"/>
                <w:szCs w:val="24"/>
              </w:rPr>
              <w:t>Decision</w:t>
            </w:r>
            <w:r w:rsidR="00144CCD">
              <w:rPr>
                <w:rFonts w:asciiTheme="majorBidi" w:hAnsiTheme="majorBidi" w:cstheme="majorBidi"/>
                <w:color w:val="000080"/>
                <w:sz w:val="28"/>
                <w:szCs w:val="24"/>
              </w:rPr>
              <w:t xml:space="preserve"> </w:t>
            </w:r>
            <w:r w:rsidRPr="008A5AAE">
              <w:rPr>
                <w:rFonts w:asciiTheme="majorBidi" w:hAnsiTheme="majorBidi" w:cstheme="majorBidi"/>
                <w:color w:val="000080"/>
                <w:sz w:val="28"/>
                <w:szCs w:val="24"/>
              </w:rPr>
              <w:t>Making Advances</w:t>
            </w:r>
          </w:p>
        </w:tc>
        <w:tc>
          <w:tcPr>
            <w:tcW w:w="2256" w:type="dxa"/>
            <w:gridSpan w:val="2"/>
            <w:vMerge w:val="restart"/>
            <w:tcBorders>
              <w:top w:val="single" w:sz="18" w:space="0" w:color="auto"/>
              <w:left w:val="nil"/>
            </w:tcBorders>
            <w:vAlign w:val="center"/>
          </w:tcPr>
          <w:p w14:paraId="67934DFC" w14:textId="77777777" w:rsidR="006C7481" w:rsidRPr="006F672B" w:rsidRDefault="00D2374F" w:rsidP="001534CF">
            <w:pPr>
              <w:ind w:right="-115"/>
              <w:jc w:val="right"/>
            </w:pPr>
            <w:r>
              <w:rPr>
                <w:noProof/>
                <w:lang w:bidi="bn-BD"/>
              </w:rPr>
              <w:drawing>
                <wp:inline distT="0" distB="0" distL="0" distR="0" wp14:anchorId="1CAFC97E" wp14:editId="0A5D8910">
                  <wp:extent cx="837261" cy="1190171"/>
                  <wp:effectExtent l="0" t="0" r="1270" b="0"/>
                  <wp:docPr id="1426881468" name="Picture 1" descr="A blue cov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81468" name="Picture 1" descr="A blue cover with white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1757" cy="1210777"/>
                          </a:xfrm>
                          <a:prstGeom prst="rect">
                            <a:avLst/>
                          </a:prstGeom>
                        </pic:spPr>
                      </pic:pic>
                    </a:graphicData>
                  </a:graphic>
                </wp:inline>
              </w:drawing>
            </w:r>
          </w:p>
        </w:tc>
      </w:tr>
      <w:tr w:rsidR="00D2374F" w14:paraId="064BCAB6" w14:textId="77777777" w:rsidTr="008A5AAE">
        <w:trPr>
          <w:trHeight w:val="20"/>
          <w:jc w:val="center"/>
        </w:trPr>
        <w:tc>
          <w:tcPr>
            <w:tcW w:w="2771" w:type="dxa"/>
            <w:gridSpan w:val="2"/>
            <w:vMerge/>
            <w:tcBorders>
              <w:bottom w:val="single" w:sz="18" w:space="0" w:color="auto"/>
              <w:right w:val="nil"/>
            </w:tcBorders>
          </w:tcPr>
          <w:p w14:paraId="082D0488" w14:textId="77777777" w:rsidR="006C7481" w:rsidRDefault="006C7481" w:rsidP="001534CF"/>
        </w:tc>
        <w:tc>
          <w:tcPr>
            <w:tcW w:w="4707" w:type="dxa"/>
            <w:gridSpan w:val="2"/>
            <w:tcBorders>
              <w:top w:val="nil"/>
              <w:left w:val="nil"/>
              <w:bottom w:val="single" w:sz="18" w:space="0" w:color="auto"/>
              <w:right w:val="nil"/>
            </w:tcBorders>
            <w:vAlign w:val="center"/>
          </w:tcPr>
          <w:p w14:paraId="42139B9D" w14:textId="77777777" w:rsidR="006C7481" w:rsidRPr="008A5AAE" w:rsidRDefault="006C7481" w:rsidP="001534CF">
            <w:pPr>
              <w:spacing w:before="120"/>
              <w:jc w:val="center"/>
              <w:rPr>
                <w:color w:val="000080"/>
                <w:sz w:val="16"/>
                <w:szCs w:val="14"/>
              </w:rPr>
            </w:pPr>
            <w:r w:rsidRPr="008A5AAE">
              <w:rPr>
                <w:color w:val="000080"/>
                <w:sz w:val="16"/>
                <w:szCs w:val="14"/>
              </w:rPr>
              <w:t xml:space="preserve">Journal homepage: </w:t>
            </w:r>
            <w:hyperlink r:id="rId10" w:history="1">
              <w:r w:rsidR="00E4338C" w:rsidRPr="00C60246">
                <w:rPr>
                  <w:rStyle w:val="Hyperlink"/>
                  <w:sz w:val="16"/>
                  <w:szCs w:val="16"/>
                </w:rPr>
                <w:t>www.dma-journal.org</w:t>
              </w:r>
            </w:hyperlink>
          </w:p>
          <w:p w14:paraId="0545B772" w14:textId="77777777" w:rsidR="006C7481" w:rsidRPr="008A5AAE" w:rsidRDefault="006C7481" w:rsidP="001534CF">
            <w:pPr>
              <w:jc w:val="center"/>
              <w:rPr>
                <w:color w:val="000080"/>
              </w:rPr>
            </w:pPr>
            <w:r w:rsidRPr="008A5AAE">
              <w:rPr>
                <w:color w:val="000080"/>
                <w:sz w:val="16"/>
                <w:szCs w:val="14"/>
              </w:rPr>
              <w:t xml:space="preserve">ISSN: </w:t>
            </w:r>
            <w:r w:rsidR="00E4338C">
              <w:rPr>
                <w:color w:val="000080"/>
                <w:sz w:val="16"/>
                <w:szCs w:val="16"/>
              </w:rPr>
              <w:t>2956-2384</w:t>
            </w:r>
          </w:p>
        </w:tc>
        <w:tc>
          <w:tcPr>
            <w:tcW w:w="2256" w:type="dxa"/>
            <w:gridSpan w:val="2"/>
            <w:vMerge/>
            <w:tcBorders>
              <w:left w:val="nil"/>
              <w:bottom w:val="single" w:sz="18" w:space="0" w:color="auto"/>
            </w:tcBorders>
          </w:tcPr>
          <w:p w14:paraId="5E9B48FC" w14:textId="77777777" w:rsidR="006C7481" w:rsidRPr="006F672B" w:rsidRDefault="006C7481" w:rsidP="001534CF"/>
        </w:tc>
      </w:tr>
      <w:tr w:rsidR="006C7481" w14:paraId="0170FCD8" w14:textId="77777777" w:rsidTr="001534CF">
        <w:trPr>
          <w:trHeight w:val="20"/>
          <w:jc w:val="center"/>
        </w:trPr>
        <w:tc>
          <w:tcPr>
            <w:tcW w:w="9734" w:type="dxa"/>
            <w:gridSpan w:val="6"/>
            <w:tcBorders>
              <w:top w:val="nil"/>
              <w:bottom w:val="nil"/>
            </w:tcBorders>
            <w:vAlign w:val="center"/>
          </w:tcPr>
          <w:p w14:paraId="24AC4F75" w14:textId="77777777" w:rsidR="006C7481" w:rsidRPr="00C604C0" w:rsidRDefault="006C7481" w:rsidP="001534CF">
            <w:pPr>
              <w:rPr>
                <w:szCs w:val="24"/>
              </w:rPr>
            </w:pPr>
          </w:p>
        </w:tc>
      </w:tr>
      <w:tr w:rsidR="006C7481" w14:paraId="3D1704B9" w14:textId="77777777" w:rsidTr="001534CF">
        <w:trPr>
          <w:trHeight w:val="20"/>
          <w:jc w:val="center"/>
        </w:trPr>
        <w:tc>
          <w:tcPr>
            <w:tcW w:w="9734" w:type="dxa"/>
            <w:gridSpan w:val="6"/>
            <w:tcBorders>
              <w:top w:val="nil"/>
              <w:bottom w:val="nil"/>
            </w:tcBorders>
            <w:vAlign w:val="center"/>
          </w:tcPr>
          <w:p w14:paraId="66A0ACEE" w14:textId="77777777" w:rsidR="006C7481" w:rsidRPr="00652342" w:rsidRDefault="00652342" w:rsidP="00652342">
            <w:pPr>
              <w:jc w:val="left"/>
              <w:rPr>
                <w:rStyle w:val="DMAtitleChar"/>
                <w:rFonts w:ascii="Times New Roman" w:hAnsi="Times New Roman" w:cs="Times New Roman"/>
                <w:b/>
                <w:bCs/>
                <w:color w:val="auto"/>
                <w:sz w:val="28"/>
                <w:szCs w:val="28"/>
                <w:lang w:val="en-US"/>
              </w:rPr>
            </w:pPr>
            <w:r w:rsidRPr="00652342">
              <w:rPr>
                <w:rStyle w:val="DMAtitleChar"/>
                <w:rFonts w:asciiTheme="majorHAnsi" w:hAnsiTheme="majorHAnsi"/>
                <w:sz w:val="28"/>
                <w:szCs w:val="28"/>
              </w:rPr>
              <w:t>Corporate Governance and ESG Performance under Sustainability Regulation in Asia</w:t>
            </w:r>
          </w:p>
        </w:tc>
      </w:tr>
      <w:tr w:rsidR="00652342" w14:paraId="05FF2A58" w14:textId="77777777" w:rsidTr="00546F39">
        <w:trPr>
          <w:gridAfter w:val="1"/>
          <w:wAfter w:w="32" w:type="dxa"/>
          <w:trHeight w:val="20"/>
          <w:jc w:val="center"/>
        </w:trPr>
        <w:tc>
          <w:tcPr>
            <w:tcW w:w="494" w:type="dxa"/>
            <w:tcBorders>
              <w:top w:val="nil"/>
              <w:bottom w:val="nil"/>
              <w:right w:val="nil"/>
            </w:tcBorders>
          </w:tcPr>
          <w:p w14:paraId="371CFF7B" w14:textId="77777777" w:rsidR="00652342" w:rsidRDefault="00652342" w:rsidP="00652342">
            <w:pPr>
              <w:ind w:left="-86"/>
              <w:rPr>
                <w:rFonts w:eastAsia="Times New Roman" w:cs="Times New Roman"/>
                <w:iCs/>
                <w:sz w:val="16"/>
                <w:szCs w:val="16"/>
                <w:vertAlign w:val="superscript"/>
              </w:rPr>
            </w:pPr>
          </w:p>
        </w:tc>
        <w:tc>
          <w:tcPr>
            <w:tcW w:w="9208" w:type="dxa"/>
            <w:gridSpan w:val="4"/>
            <w:tcBorders>
              <w:top w:val="nil"/>
              <w:left w:val="nil"/>
              <w:bottom w:val="nil"/>
            </w:tcBorders>
          </w:tcPr>
          <w:p w14:paraId="6E81D617" w14:textId="77777777" w:rsidR="00652342" w:rsidRPr="00546F39" w:rsidRDefault="00652342" w:rsidP="00652342">
            <w:pPr>
              <w:ind w:left="-115"/>
              <w:rPr>
                <w:rFonts w:eastAsia="Times New Roman" w:cs="Calibri"/>
                <w:sz w:val="16"/>
                <w:szCs w:val="16"/>
                <w:lang w:val="en-GB"/>
              </w:rPr>
            </w:pPr>
          </w:p>
        </w:tc>
      </w:tr>
      <w:tr w:rsidR="00652342" w:rsidRPr="007862A5" w14:paraId="7A37E58F" w14:textId="77777777" w:rsidTr="008A5AAE">
        <w:tblPrEx>
          <w:tblBorders>
            <w:bottom w:val="single" w:sz="4" w:space="0" w:color="auto"/>
            <w:insideV w:val="none" w:sz="0" w:space="0" w:color="auto"/>
          </w:tblBorders>
        </w:tblPrEx>
        <w:trPr>
          <w:jc w:val="center"/>
        </w:trPr>
        <w:tc>
          <w:tcPr>
            <w:tcW w:w="3616" w:type="dxa"/>
            <w:gridSpan w:val="3"/>
            <w:tcBorders>
              <w:top w:val="single" w:sz="12" w:space="0" w:color="auto"/>
              <w:bottom w:val="single" w:sz="12" w:space="0" w:color="auto"/>
            </w:tcBorders>
            <w:vAlign w:val="center"/>
          </w:tcPr>
          <w:p w14:paraId="29081A5B" w14:textId="77777777" w:rsidR="00652342" w:rsidRPr="007862A5" w:rsidRDefault="00652342" w:rsidP="00652342">
            <w:pPr>
              <w:spacing w:before="240" w:after="120"/>
              <w:rPr>
                <w:b/>
                <w:bCs/>
                <w:sz w:val="18"/>
                <w:szCs w:val="18"/>
              </w:rPr>
            </w:pPr>
            <w:r w:rsidRPr="007862A5">
              <w:rPr>
                <w:b/>
                <w:bCs/>
                <w:sz w:val="18"/>
                <w:szCs w:val="18"/>
              </w:rPr>
              <w:t>ARTICLE INFO</w:t>
            </w:r>
          </w:p>
        </w:tc>
        <w:tc>
          <w:tcPr>
            <w:tcW w:w="6118" w:type="dxa"/>
            <w:gridSpan w:val="3"/>
            <w:tcBorders>
              <w:top w:val="single" w:sz="12" w:space="0" w:color="auto"/>
              <w:bottom w:val="single" w:sz="12" w:space="0" w:color="auto"/>
            </w:tcBorders>
            <w:vAlign w:val="center"/>
          </w:tcPr>
          <w:p w14:paraId="36E7EB3A" w14:textId="77777777" w:rsidR="00652342" w:rsidRPr="007862A5" w:rsidRDefault="00652342" w:rsidP="00652342">
            <w:pPr>
              <w:spacing w:before="240" w:after="120"/>
              <w:rPr>
                <w:b/>
                <w:bCs/>
                <w:sz w:val="18"/>
                <w:szCs w:val="18"/>
              </w:rPr>
            </w:pPr>
            <w:r w:rsidRPr="007862A5">
              <w:rPr>
                <w:b/>
                <w:bCs/>
                <w:sz w:val="18"/>
                <w:szCs w:val="18"/>
              </w:rPr>
              <w:t>ABSTRACT</w:t>
            </w:r>
          </w:p>
        </w:tc>
      </w:tr>
      <w:tr w:rsidR="00652342" w:rsidRPr="007862A5" w14:paraId="65A816FA" w14:textId="77777777" w:rsidTr="008A5AAE">
        <w:tblPrEx>
          <w:tblBorders>
            <w:bottom w:val="single" w:sz="4" w:space="0" w:color="auto"/>
            <w:insideV w:val="none" w:sz="0" w:space="0" w:color="auto"/>
          </w:tblBorders>
        </w:tblPrEx>
        <w:trPr>
          <w:jc w:val="center"/>
        </w:trPr>
        <w:tc>
          <w:tcPr>
            <w:tcW w:w="3616" w:type="dxa"/>
            <w:gridSpan w:val="3"/>
            <w:tcBorders>
              <w:top w:val="single" w:sz="12" w:space="0" w:color="auto"/>
              <w:bottom w:val="nil"/>
            </w:tcBorders>
          </w:tcPr>
          <w:p w14:paraId="4D6EA8D1" w14:textId="77777777" w:rsidR="00652342" w:rsidRPr="00EE0FAA" w:rsidRDefault="00652342" w:rsidP="00652342">
            <w:pPr>
              <w:spacing w:before="120"/>
              <w:rPr>
                <w:b/>
                <w:bCs/>
                <w:i/>
                <w:iCs/>
                <w:sz w:val="18"/>
                <w:szCs w:val="18"/>
              </w:rPr>
            </w:pPr>
            <w:r w:rsidRPr="00EE0FAA">
              <w:rPr>
                <w:b/>
                <w:bCs/>
                <w:i/>
                <w:iCs/>
                <w:sz w:val="18"/>
                <w:szCs w:val="18"/>
              </w:rPr>
              <w:t>Article history:</w:t>
            </w:r>
          </w:p>
          <w:p w14:paraId="294F3C29" w14:textId="77777777" w:rsidR="00652342" w:rsidRPr="00D41580" w:rsidRDefault="00652342" w:rsidP="00652342">
            <w:pPr>
              <w:pStyle w:val="DMAarticlehistory"/>
            </w:pPr>
            <w:r w:rsidRPr="00D41580">
              <w:t>Received 29 October XXXX</w:t>
            </w:r>
          </w:p>
          <w:p w14:paraId="5FC3A964" w14:textId="77777777" w:rsidR="00652342" w:rsidRPr="00D41580" w:rsidRDefault="00652342" w:rsidP="00652342">
            <w:pPr>
              <w:pStyle w:val="DMAarticlehistory"/>
            </w:pPr>
            <w:r w:rsidRPr="00D41580">
              <w:t>Received in revised form 1 December XXXX</w:t>
            </w:r>
          </w:p>
          <w:p w14:paraId="70463984" w14:textId="77777777" w:rsidR="00652342" w:rsidRPr="00D41580" w:rsidRDefault="00652342" w:rsidP="00652342">
            <w:pPr>
              <w:pStyle w:val="DMAarticlehistory"/>
            </w:pPr>
            <w:r w:rsidRPr="00D41580">
              <w:t>Accepted 9 December XXXX</w:t>
            </w:r>
          </w:p>
          <w:p w14:paraId="51197523" w14:textId="77777777" w:rsidR="00652342" w:rsidRPr="007862A5" w:rsidRDefault="00652342" w:rsidP="00652342">
            <w:pPr>
              <w:pStyle w:val="DMAarticlehistory"/>
              <w:rPr>
                <w:sz w:val="18"/>
                <w:szCs w:val="18"/>
              </w:rPr>
            </w:pPr>
            <w:r w:rsidRPr="00D41580">
              <w:t>Available online 10 December XXXX</w:t>
            </w:r>
          </w:p>
        </w:tc>
        <w:tc>
          <w:tcPr>
            <w:tcW w:w="6118" w:type="dxa"/>
            <w:gridSpan w:val="3"/>
            <w:vMerge w:val="restart"/>
            <w:tcBorders>
              <w:top w:val="single" w:sz="12" w:space="0" w:color="auto"/>
            </w:tcBorders>
          </w:tcPr>
          <w:p w14:paraId="58AFA70A" w14:textId="77777777" w:rsidR="00C018B1" w:rsidRDefault="00000000">
            <w:r>
              <w:t>This study examines the association between corporate governance structures and environmental, social, and governance (ESG) performance among Asian-listed firms during a period of progressively formalised sustainability reporting. Drawing on agency and stakeholder theories, the analysis considers board size, board independence, CEO duality, board gender diversity, and board-level sustainability committees. The panel comprises 884 firms observed from 2015 to 2024 (7,201 firm-year observations). Industry- and year-fixed-effects models show that board size and CEO duality are negatively associated with ESG performance, whereas board independence, board gender diversity, and sustainability committees are positively associated with overall ESG performance and, with some heterogeneity, its environmental, social, and governance pillars. The interaction between board gender diversity and a sustainability committee is also positive, indicating that dedicated ESG oversight is associated with a stronger diversity-ESG relationship. These findings should be interpreted as associations rather than causal effects. Because the study does not directly measure cross-country regulatory intensity, the results do not test whether regulation substitutes for internal governance; instead, they show that governance characteristics continue to differentiate ESG outcomes within an Asian sample observed amid increasingly formalised sustainability-reporting requirements.</w:t>
            </w:r>
          </w:p>
        </w:tc>
      </w:tr>
      <w:tr w:rsidR="00652342" w:rsidRPr="007862A5" w14:paraId="1CC02E37" w14:textId="77777777" w:rsidTr="008A5AAE">
        <w:tblPrEx>
          <w:tblBorders>
            <w:bottom w:val="single" w:sz="4" w:space="0" w:color="auto"/>
            <w:insideV w:val="none" w:sz="0" w:space="0" w:color="auto"/>
          </w:tblBorders>
        </w:tblPrEx>
        <w:trPr>
          <w:jc w:val="center"/>
        </w:trPr>
        <w:tc>
          <w:tcPr>
            <w:tcW w:w="3616" w:type="dxa"/>
            <w:gridSpan w:val="3"/>
            <w:tcBorders>
              <w:top w:val="nil"/>
              <w:bottom w:val="nil"/>
            </w:tcBorders>
            <w:vAlign w:val="center"/>
          </w:tcPr>
          <w:p w14:paraId="7C8667AF" w14:textId="77777777" w:rsidR="00652342" w:rsidRDefault="00652342" w:rsidP="00652342">
            <w:pPr>
              <w:rPr>
                <w:b/>
                <w:bCs/>
                <w:i/>
                <w:iCs/>
                <w:sz w:val="18"/>
                <w:szCs w:val="18"/>
              </w:rPr>
            </w:pPr>
          </w:p>
          <w:p w14:paraId="4B448FDF" w14:textId="77777777" w:rsidR="00652342" w:rsidRDefault="00652342" w:rsidP="00652342">
            <w:pPr>
              <w:rPr>
                <w:b/>
                <w:bCs/>
                <w:i/>
                <w:iCs/>
                <w:sz w:val="18"/>
                <w:szCs w:val="18"/>
              </w:rPr>
            </w:pPr>
            <w:r w:rsidRPr="00EE0FAA">
              <w:rPr>
                <w:b/>
                <w:bCs/>
                <w:i/>
                <w:iCs/>
                <w:sz w:val="18"/>
                <w:szCs w:val="18"/>
              </w:rPr>
              <w:t>Keywords:</w:t>
            </w:r>
          </w:p>
          <w:p w14:paraId="20503C0D" w14:textId="77777777" w:rsidR="00A81E70" w:rsidRPr="00EE0FAA" w:rsidRDefault="00A81E70" w:rsidP="00A81E70">
            <w:pPr>
              <w:jc w:val="left"/>
              <w:rPr>
                <w:b/>
                <w:bCs/>
                <w:i/>
                <w:iCs/>
                <w:sz w:val="18"/>
                <w:szCs w:val="18"/>
              </w:rPr>
            </w:pPr>
            <w:r w:rsidRPr="00A81E70">
              <w:rPr>
                <w:rStyle w:val="DMAabstractChar"/>
              </w:rPr>
              <w:t>Corporate governance; ESG performance; Sustainability committees; Board gender diversity; Asian regulation; Sustainability reporting</w:t>
            </w:r>
          </w:p>
          <w:p w14:paraId="411C70A0" w14:textId="77777777" w:rsidR="00652342" w:rsidRPr="00EE0FAA" w:rsidRDefault="00652342" w:rsidP="00652342">
            <w:pPr>
              <w:jc w:val="left"/>
              <w:rPr>
                <w:b/>
                <w:bCs/>
                <w:i/>
                <w:iCs/>
                <w:sz w:val="18"/>
                <w:szCs w:val="18"/>
              </w:rPr>
            </w:pPr>
          </w:p>
        </w:tc>
        <w:tc>
          <w:tcPr>
            <w:tcW w:w="6118" w:type="dxa"/>
            <w:gridSpan w:val="3"/>
            <w:vMerge/>
            <w:vAlign w:val="center"/>
          </w:tcPr>
          <w:p w14:paraId="7B1982E9" w14:textId="77777777" w:rsidR="00652342" w:rsidRPr="007862A5" w:rsidRDefault="00652342" w:rsidP="00652342">
            <w:pPr>
              <w:rPr>
                <w:b/>
                <w:bCs/>
                <w:sz w:val="18"/>
                <w:szCs w:val="18"/>
              </w:rPr>
            </w:pPr>
          </w:p>
        </w:tc>
      </w:tr>
      <w:tr w:rsidR="00652342" w:rsidRPr="007862A5" w14:paraId="29D5A530" w14:textId="77777777" w:rsidTr="001534CF">
        <w:tblPrEx>
          <w:tblBorders>
            <w:bottom w:val="single" w:sz="4" w:space="0" w:color="auto"/>
            <w:insideV w:val="none" w:sz="0" w:space="0" w:color="auto"/>
          </w:tblBorders>
        </w:tblPrEx>
        <w:trPr>
          <w:trHeight w:val="935"/>
          <w:jc w:val="center"/>
        </w:trPr>
        <w:tc>
          <w:tcPr>
            <w:tcW w:w="3616" w:type="dxa"/>
            <w:gridSpan w:val="3"/>
            <w:tcBorders>
              <w:top w:val="nil"/>
              <w:bottom w:val="single" w:sz="12" w:space="0" w:color="auto"/>
            </w:tcBorders>
            <w:vAlign w:val="center"/>
          </w:tcPr>
          <w:p w14:paraId="13B9BA57" w14:textId="77777777" w:rsidR="00652342" w:rsidRPr="007862A5" w:rsidRDefault="00652342" w:rsidP="00652342">
            <w:pPr>
              <w:pStyle w:val="DMAkeywords"/>
            </w:pPr>
          </w:p>
        </w:tc>
        <w:tc>
          <w:tcPr>
            <w:tcW w:w="6118" w:type="dxa"/>
            <w:gridSpan w:val="3"/>
            <w:vMerge/>
            <w:tcBorders>
              <w:bottom w:val="single" w:sz="12" w:space="0" w:color="auto"/>
            </w:tcBorders>
            <w:vAlign w:val="bottom"/>
          </w:tcPr>
          <w:p w14:paraId="572E6496" w14:textId="77777777" w:rsidR="00652342" w:rsidRPr="007862A5" w:rsidRDefault="00652342" w:rsidP="00652342">
            <w:pPr>
              <w:spacing w:after="120"/>
              <w:jc w:val="right"/>
              <w:rPr>
                <w:b/>
                <w:bCs/>
                <w:sz w:val="18"/>
                <w:szCs w:val="18"/>
              </w:rPr>
            </w:pPr>
          </w:p>
        </w:tc>
      </w:tr>
    </w:tbl>
    <w:p w14:paraId="042EDBFD" w14:textId="77777777" w:rsidR="006C7481" w:rsidRDefault="006C7481">
      <w:pPr>
        <w:rPr>
          <w:szCs w:val="24"/>
        </w:rPr>
      </w:pPr>
    </w:p>
    <w:p w14:paraId="14BA1935" w14:textId="77777777" w:rsidR="004704D8" w:rsidRDefault="00AD6294">
      <w:pPr>
        <w:rPr>
          <w:b/>
          <w:szCs w:val="24"/>
        </w:rPr>
      </w:pPr>
      <w:r>
        <w:rPr>
          <w:b/>
          <w:szCs w:val="24"/>
        </w:rPr>
        <w:t xml:space="preserve">1. </w:t>
      </w:r>
      <w:r w:rsidRPr="00285E45">
        <w:rPr>
          <w:rStyle w:val="DMAheading1Char"/>
        </w:rPr>
        <w:t>Introduction</w:t>
      </w:r>
    </w:p>
    <w:p w14:paraId="4265C4BF" w14:textId="77777777" w:rsidR="00424F42" w:rsidRDefault="00A81E70" w:rsidP="00424F42">
      <w:pPr>
        <w:ind w:firstLine="288"/>
        <w:rPr>
          <w:rFonts w:asciiTheme="majorHAnsi" w:hAnsiTheme="majorHAnsi" w:cstheme="majorHAnsi"/>
        </w:rPr>
      </w:pPr>
      <w:bookmarkStart w:id="0" w:name="_Hlk233593989"/>
      <w:r>
        <w:t xml:space="preserve">Environmental, social, and governance (ESG) performance has become an important concern for boards, investors, regulators, and other stakeholders because it captures dimensions of corporate conduct that are not fully reflected in conventional financial measures. Earlier ESG research largely developed in settings where sustainability initiatives and disclosure were voluntary, but the institutional setting has changed markedly. Recent governance research increasingly examines how </w:t>
      </w:r>
      <w:r>
        <w:lastRenderedPageBreak/>
        <w:t>board structures operate when sustainability expectations are embedded in listing rules, disclosure standards, and formal oversight arrangements (Abdullah et al., 2024; Huang et al., 2024; Orazalin et al., 2024; Velte, 2024). This change makes the institutional context of governance-ESG research particularly important.</w:t>
      </w:r>
    </w:p>
    <w:p w14:paraId="55399998" w14:textId="77777777" w:rsidR="00D6068B" w:rsidRDefault="00D6068B" w:rsidP="00A81E70">
      <w:pPr>
        <w:ind w:firstLine="288"/>
      </w:pPr>
      <w:r>
        <w:rPr>
          <w:noProof/>
          <w:vertAlign w:val="superscript"/>
          <w:lang w:bidi="bn-BD"/>
        </w:rPr>
        <mc:AlternateContent>
          <mc:Choice Requires="wps">
            <w:drawing>
              <wp:anchor distT="0" distB="0" distL="114300" distR="114300" simplePos="0" relativeHeight="251660288" behindDoc="0" locked="0" layoutInCell="1" allowOverlap="1" wp14:anchorId="09BFFB03" wp14:editId="796A1EDE">
                <wp:simplePos x="0" y="0"/>
                <wp:positionH relativeFrom="column">
                  <wp:posOffset>-635</wp:posOffset>
                </wp:positionH>
                <wp:positionV relativeFrom="paragraph">
                  <wp:posOffset>132080</wp:posOffset>
                </wp:positionV>
                <wp:extent cx="169545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1695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EFE79F" id="Straight Connector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0.4pt" to="133.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" strokecolor="black [3040]"/>
            </w:pict>
          </mc:Fallback>
        </mc:AlternateContent>
      </w:r>
    </w:p>
    <w:p w14:paraId="1DC63DA1" w14:textId="77777777" w:rsidR="001534CF" w:rsidRPr="00CA466E" w:rsidRDefault="001534CF" w:rsidP="001534CF">
      <w:pPr>
        <w:pStyle w:val="FootnoteText"/>
        <w:rPr>
          <w:rFonts w:asciiTheme="minorHAnsi" w:hAnsiTheme="minorHAnsi"/>
          <w:i/>
          <w:iCs/>
        </w:rPr>
      </w:pPr>
      <w:r>
        <w:rPr>
          <w:rStyle w:val="FootnoteReference"/>
        </w:rPr>
        <w:t>*</w:t>
      </w:r>
      <w:r>
        <w:t xml:space="preserve"> </w:t>
      </w:r>
      <w:r>
        <w:rPr>
          <w:rFonts w:asciiTheme="minorHAnsi" w:hAnsiTheme="minorHAnsi"/>
          <w:i/>
          <w:iCs/>
        </w:rPr>
        <w:t>Corresponding author.</w:t>
      </w:r>
    </w:p>
    <w:p w14:paraId="5937020F" w14:textId="77777777" w:rsidR="001534CF" w:rsidRDefault="001534CF" w:rsidP="001534CF">
      <w:pPr>
        <w:pStyle w:val="FootnoteText"/>
        <w:rPr>
          <w:rFonts w:asciiTheme="minorHAnsi" w:hAnsiTheme="minorHAnsi"/>
          <w:i/>
          <w:iCs/>
        </w:rPr>
      </w:pPr>
      <w:r w:rsidRPr="00CA466E">
        <w:rPr>
          <w:rFonts w:asciiTheme="minorHAnsi" w:hAnsiTheme="minorHAnsi"/>
          <w:i/>
          <w:iCs/>
        </w:rPr>
        <w:t xml:space="preserve">E-mail address: </w:t>
      </w:r>
    </w:p>
    <w:p w14:paraId="2E56D89C" w14:textId="77777777" w:rsidR="00D6068B" w:rsidRDefault="00D6068B" w:rsidP="001534CF">
      <w:pPr>
        <w:pStyle w:val="FootnoteText"/>
        <w:rPr>
          <w:rFonts w:asciiTheme="minorHAnsi" w:hAnsiTheme="minorHAnsi"/>
        </w:rPr>
      </w:pPr>
    </w:p>
    <w:p w14:paraId="54C0A65F" w14:textId="77777777" w:rsidR="001534CF" w:rsidRDefault="001534CF" w:rsidP="001534CF">
      <w:pPr>
        <w:pStyle w:val="FootnoteText"/>
        <w:rPr>
          <w:rFonts w:cs="Times New Roman"/>
          <w:lang w:val="en-SG"/>
        </w:rPr>
      </w:pPr>
      <w:hyperlink r:id="rId11" w:history="1">
        <w:r w:rsidRPr="008F42DD">
          <w:rPr>
            <w:rStyle w:val="Hyperlink"/>
            <w:rFonts w:cs="Times New Roman"/>
            <w:highlight w:val="yellow"/>
            <w:lang w:val="en-SG"/>
          </w:rPr>
          <w:t>https://doi.org/10.31181/dma0101xxxxx</w:t>
        </w:r>
      </w:hyperlink>
    </w:p>
    <w:p w14:paraId="7DBB7236" w14:textId="77777777" w:rsidR="001534CF" w:rsidRPr="00257BD7" w:rsidRDefault="001534CF" w:rsidP="001534CF">
      <w:pPr>
        <w:pStyle w:val="Default"/>
        <w:rPr>
          <w:sz w:val="14"/>
          <w:szCs w:val="14"/>
        </w:rPr>
      </w:pPr>
      <w:bookmarkStart w:id="1" w:name="_Hlk190513110"/>
    </w:p>
    <w:p w14:paraId="1B196A72" w14:textId="77777777" w:rsidR="00072288" w:rsidRPr="001534CF" w:rsidRDefault="001534CF" w:rsidP="001534CF">
      <w:pPr>
        <w:pStyle w:val="FootnoteText"/>
        <w:rPr>
          <w:rFonts w:cs="Times New Roman"/>
          <w:sz w:val="16"/>
          <w:szCs w:val="16"/>
          <w:lang w:val="en-SG"/>
        </w:rPr>
      </w:pPr>
      <w:bookmarkStart w:id="2" w:name="_Hlk186229368"/>
      <w:bookmarkStart w:id="3" w:name="_Hlk186229369"/>
      <w:r w:rsidRPr="005C386B">
        <w:rPr>
          <w:sz w:val="16"/>
          <w:szCs w:val="16"/>
        </w:rPr>
        <w:t>© The Author(s) 2025</w:t>
      </w:r>
      <w:r>
        <w:rPr>
          <w:sz w:val="16"/>
          <w:szCs w:val="16"/>
        </w:rPr>
        <w:t xml:space="preserve"> </w:t>
      </w:r>
      <w:r w:rsidRPr="005C386B">
        <w:rPr>
          <w:sz w:val="16"/>
          <w:szCs w:val="16"/>
        </w:rPr>
        <w:t xml:space="preserve">| </w:t>
      </w:r>
      <w:bookmarkEnd w:id="2"/>
      <w:bookmarkEnd w:id="3"/>
      <w:r w:rsidRPr="005C386B">
        <w:rPr>
          <w:sz w:val="16"/>
          <w:szCs w:val="16"/>
        </w:rPr>
        <w:fldChar w:fldCharType="begin"/>
      </w:r>
      <w:r w:rsidRPr="005C386B">
        <w:rPr>
          <w:sz w:val="16"/>
          <w:szCs w:val="16"/>
        </w:rPr>
        <w:instrText>HYPERLINK "https://creativecommons.org/licenses/by/4.0/"</w:instrText>
      </w:r>
      <w:r w:rsidRPr="005C386B">
        <w:rPr>
          <w:sz w:val="16"/>
          <w:szCs w:val="16"/>
        </w:rPr>
      </w:r>
      <w:r w:rsidRPr="005C386B">
        <w:rPr>
          <w:sz w:val="16"/>
          <w:szCs w:val="16"/>
        </w:rPr>
        <w:fldChar w:fldCharType="separate"/>
      </w:r>
      <w:r w:rsidRPr="005C386B">
        <w:rPr>
          <w:rStyle w:val="Hyperlink"/>
          <w:sz w:val="16"/>
          <w:szCs w:val="16"/>
        </w:rPr>
        <w:t>Creative Commons Attribution 4.0 International License</w:t>
      </w:r>
      <w:r w:rsidRPr="005C386B">
        <w:rPr>
          <w:sz w:val="16"/>
          <w:szCs w:val="16"/>
        </w:rPr>
        <w:fldChar w:fldCharType="end"/>
      </w:r>
      <w:bookmarkEnd w:id="0"/>
      <w:bookmarkEnd w:id="1"/>
    </w:p>
    <w:p w14:paraId="39154F63" w14:textId="77777777" w:rsidR="002F09E5" w:rsidRDefault="002F09E5" w:rsidP="002F09E5">
      <w:pPr>
        <w:rPr>
          <w:szCs w:val="24"/>
        </w:rPr>
      </w:pPr>
      <w:r>
        <w:t>The Asian setting is especially useful for examining this question because sustainability-reporting requirements have become more formalised while remaining heterogeneous across jurisdictions. Recent OECD evidence documents mandatory sustainability-disclosure frameworks in most of the Asian jurisdictions it reviews and emphasises the continuing responsibility of boards for the integrity and oversight of sustainability-related disclosure (OECD, 2025). The coexistence of stronger external reporting requirements and firm-level differences in board design creates a setting in which to ask a narrower empirical question: do internal governance characteristics remain associated with variation in ESG performance as sustainability reporting becomes more institutionalised? This study does not treat Asian regulation as uniform and does not estimate a causal regulatory effect; rather, the regulatory evolution provides the institutional background for the firm-level analysis.</w:t>
      </w:r>
    </w:p>
    <w:p w14:paraId="019356BF" w14:textId="77777777" w:rsidR="000D3816" w:rsidRPr="002F09E5" w:rsidRDefault="000D3816" w:rsidP="002F09E5">
      <w:pPr>
        <w:rPr>
          <w:szCs w:val="24"/>
        </w:rPr>
      </w:pPr>
    </w:p>
    <w:p w14:paraId="0C737F55" w14:textId="77777777" w:rsidR="002F09E5" w:rsidRPr="002F09E5" w:rsidRDefault="002F09E5" w:rsidP="002F09E5">
      <w:pPr>
        <w:rPr>
          <w:szCs w:val="24"/>
        </w:rPr>
      </w:pPr>
      <w:r>
        <w:t>Corporate governance can be linked to ESG performance through at least two complementary channels. Agency theory emphasises monitoring, accountability, and constraints on managerial discretion, implying a role for board independence and separation of the CEO and chair functions (Jensen and Meckling, 1976; Fama and Jensen, 1983). Stakeholder theory emphasises representation and responsiveness to constituencies beyond shareholders, providing a rationale for board diversity and specialised sustainability oversight (Freeman, 1984; Donaldson and Preston, 1995). Empirical studies report meaningful associations between these governance characteristics and ESG outcomes, although the direction, strength, and institutional sensitivity of those associations vary across samples and measures (Walls et al., 2012; Hussain et al., 2018; Abdullah et al., 2024; Kamarudin et al., 2025).</w:t>
      </w:r>
    </w:p>
    <w:p w14:paraId="45E89E38" w14:textId="77777777" w:rsidR="002F09E5" w:rsidRPr="002F09E5" w:rsidRDefault="002F09E5" w:rsidP="002F09E5">
      <w:pPr>
        <w:rPr>
          <w:szCs w:val="24"/>
        </w:rPr>
      </w:pPr>
    </w:p>
    <w:p w14:paraId="080AB47C" w14:textId="77777777" w:rsidR="002F09E5" w:rsidRPr="002F09E5" w:rsidRDefault="002F09E5" w:rsidP="002F09E5">
      <w:pPr>
        <w:rPr>
          <w:szCs w:val="24"/>
        </w:rPr>
      </w:pPr>
      <w:r>
        <w:t>The recent literature also shows why a further test is warranted. Studies published in 2024-2026 increasingly examine nonlinear board effects, specialised ESG committees, gender diversity, leadership structure, and interactions among governance mechanisms (Agnese et al., 2024; Orazalin et al., 2024; Kamarudin et al., 2025; Rashid and Kabir, 2025; Ismail et al., 2026). Yet much of this evidence remains country-specific, focused on one governance mechanism, or centred on disclosure rather than a common ESG performance measure. Moreover, emerging evidence that mandatory reporting regimes can alter the strength of board-diversity relationships reinforces the need to avoid assuming that governance operates identically across regulatory settings (Ismail et al., 2026).</w:t>
      </w:r>
    </w:p>
    <w:p w14:paraId="1DBAA4A8" w14:textId="77777777" w:rsidR="002F09E5" w:rsidRPr="002F09E5" w:rsidRDefault="002F09E5" w:rsidP="002F09E5">
      <w:pPr>
        <w:rPr>
          <w:szCs w:val="24"/>
        </w:rPr>
      </w:pPr>
    </w:p>
    <w:p w14:paraId="1C4B8FEF" w14:textId="77777777" w:rsidR="002F09E5" w:rsidRPr="002F09E5" w:rsidRDefault="002F09E5" w:rsidP="002F09E5">
      <w:pPr>
        <w:rPr>
          <w:szCs w:val="24"/>
        </w:rPr>
      </w:pPr>
      <w:r>
        <w:t>Accordingly, the research gap addressed here is not whether Asian regulation itself causes stronger or weaker ESG performance. The study instead asks whether several governance mechanisms retain explanatory relevance within a multi-country Asian panel observed during a period of increasing regulatory formalisation. This distinction is important because the empirical models include firm characteristics plus industry and year effects, but no direct index of country-level ESG regulatory intensity. Claims about regulatory substitution are therefore outside the identification scope of the design.</w:t>
      </w:r>
    </w:p>
    <w:p w14:paraId="19DD8191" w14:textId="77777777" w:rsidR="002F09E5" w:rsidRPr="002F09E5" w:rsidRDefault="002F09E5" w:rsidP="002F09E5">
      <w:pPr>
        <w:rPr>
          <w:szCs w:val="24"/>
        </w:rPr>
      </w:pPr>
      <w:r>
        <w:lastRenderedPageBreak/>
        <w:t>A second gap concerns governance complementarity. Board characteristics are often analysed as independent attributes even though their effectiveness may depend on the structures through which information is processed and ESG issues are placed on the board agenda. A sustainability committee can provide such a structure by assigning responsibility, coordinating ESG information, and creating a formal channel through which diverse board perspectives may affect oversight. This possibility motivates the interaction between board gender diversity and the presence of a sustainability committee examined later in the study.</w:t>
      </w:r>
    </w:p>
    <w:p w14:paraId="61C064ED" w14:textId="77777777" w:rsidR="002F09E5" w:rsidRPr="002F09E5" w:rsidRDefault="002F09E5" w:rsidP="002F09E5">
      <w:pPr>
        <w:rPr>
          <w:szCs w:val="24"/>
        </w:rPr>
      </w:pPr>
    </w:p>
    <w:p w14:paraId="2CECBC5A" w14:textId="77777777" w:rsidR="002F09E5" w:rsidRPr="002F09E5" w:rsidRDefault="002F09E5" w:rsidP="002F09E5">
      <w:pPr>
        <w:rPr>
          <w:szCs w:val="24"/>
        </w:rPr>
      </w:pPr>
      <w:r>
        <w:t>To address these gaps, this study analyses 884 Asian-listed firms over 2015-2024 using Bloomberg ESG scores and governance data. The empirical design evaluates board size, board independence, CEO duality, board gender diversity, and sustainability committees jointly, and it reports results for the composite ESG score and the environmental, social, and governance pillars. The baseline specifications include industry and year fixed effects with firm-clustered robust standard errors; a firm fixed-effects model and lagged-outcome specifications are used as robustness checks. In addition, the study tests whether the association between board gender diversity and ESG performance is stronger when a board-level sustainability committee is present.</w:t>
      </w:r>
    </w:p>
    <w:p w14:paraId="1102A3E3" w14:textId="77777777" w:rsidR="002F09E5" w:rsidRPr="002F09E5" w:rsidRDefault="002F09E5" w:rsidP="002F09E5">
      <w:pPr>
        <w:rPr>
          <w:szCs w:val="24"/>
        </w:rPr>
      </w:pPr>
    </w:p>
    <w:p w14:paraId="2D55F11D" w14:textId="77777777" w:rsidR="002F09E5" w:rsidRPr="002F09E5" w:rsidRDefault="002F09E5" w:rsidP="002F09E5">
      <w:pPr>
        <w:rPr>
          <w:szCs w:val="24"/>
        </w:rPr>
      </w:pPr>
      <w:r>
        <w:t>The study contributes in three respects. First, it provides multi-mechanism evidence from a large Asian panel at a time when sustainability-related disclosure has become more formalised. Second, it separates overall ESG performance into environmental, social, and governance pillars, allowing the associations with board characteristics to differ across sustainability dimensions. Third, it treats the sustainability committee not only as a direct governance mechanism but also as a potential complement to board gender diversity. These contributions are deliberately framed as evidence about governance-ESG associations; the design does not identify the causal effect of sustainability regulation itself.</w:t>
      </w:r>
    </w:p>
    <w:p w14:paraId="550FC179" w14:textId="77777777" w:rsidR="0029605A" w:rsidRDefault="002F09E5" w:rsidP="002F09E5">
      <w:pPr>
        <w:rPr>
          <w:szCs w:val="24"/>
        </w:rPr>
      </w:pPr>
      <w:r w:rsidRPr="002F09E5">
        <w:rPr>
          <w:szCs w:val="24"/>
        </w:rPr>
        <w:t xml:space="preserve">The remainder of the paper is </w:t>
      </w:r>
      <w:r w:rsidR="000D3816" w:rsidRPr="002F09E5">
        <w:rPr>
          <w:szCs w:val="24"/>
        </w:rPr>
        <w:t>organized</w:t>
      </w:r>
      <w:r w:rsidRPr="002F09E5">
        <w:rPr>
          <w:szCs w:val="24"/>
        </w:rPr>
        <w:t xml:space="preserve"> as follows. Section 2 reviews the theoretical foundations and develops the research hypotheses. Section 3 describes the data, variables, and empirical methodology. Section 4 presents the empirical results. Section 5 discusses the theoretical, managerial, and policy implications of the findings. Finally, Section 6 concludes and outlines directions for future research.</w:t>
      </w:r>
    </w:p>
    <w:p w14:paraId="587E13ED" w14:textId="77777777" w:rsidR="000D3816" w:rsidRPr="002F09E5" w:rsidRDefault="000D3816" w:rsidP="002F09E5">
      <w:pPr>
        <w:rPr>
          <w:szCs w:val="24"/>
        </w:rPr>
      </w:pPr>
    </w:p>
    <w:p w14:paraId="77CF442F" w14:textId="77777777" w:rsidR="001534CF" w:rsidRPr="001534CF" w:rsidRDefault="001534CF" w:rsidP="001534CF">
      <w:pPr>
        <w:rPr>
          <w:b/>
          <w:szCs w:val="24"/>
        </w:rPr>
      </w:pPr>
      <w:r w:rsidRPr="001534CF">
        <w:rPr>
          <w:b/>
          <w:szCs w:val="24"/>
        </w:rPr>
        <w:t xml:space="preserve">2. Literature review </w:t>
      </w:r>
      <w:r w:rsidR="002F09E5">
        <w:rPr>
          <w:b/>
          <w:szCs w:val="24"/>
        </w:rPr>
        <w:t>&amp; Hypothesis Development</w:t>
      </w:r>
    </w:p>
    <w:p w14:paraId="6577BE27" w14:textId="77777777" w:rsidR="001534CF" w:rsidRPr="001534CF" w:rsidRDefault="001534CF" w:rsidP="001534CF">
      <w:pPr>
        <w:rPr>
          <w:b/>
          <w:szCs w:val="24"/>
        </w:rPr>
      </w:pPr>
      <w:r w:rsidRPr="001534CF">
        <w:rPr>
          <w:b/>
          <w:szCs w:val="24"/>
        </w:rPr>
        <w:t xml:space="preserve">2.1. Theoretical grounding </w:t>
      </w:r>
      <w:r w:rsidR="002F09E5">
        <w:rPr>
          <w:b/>
          <w:szCs w:val="24"/>
        </w:rPr>
        <w:t>&amp; Literature Review</w:t>
      </w:r>
    </w:p>
    <w:p w14:paraId="3DC6BA68" w14:textId="77777777" w:rsidR="002F09E5" w:rsidRPr="002F09E5" w:rsidRDefault="002F09E5" w:rsidP="002F09E5">
      <w:pPr>
        <w:rPr>
          <w:szCs w:val="24"/>
        </w:rPr>
      </w:pPr>
      <w:r>
        <w:t>Research on governance and sustainability has expanded rapidly, but recent evidence does not support a single universal board-ESG relationship. Agency theory predicts that effective monitoring should reduce managerial discretion and improve accountability for long-horizon ESG decisions, whereas stakeholder theory predicts that broader representation and specialised oversight should increase attention to environmental and social claims. These mechanisms are complementary: the first concerns the board's capacity to monitor, and the second concerns whose interests and information enter board deliberation. Recent studies from 2024-2026 increasingly test these mechanisms in different institutional settings and show that board size, independence, leadership structure, gender diversity, and sustainability committees can have heterogeneous or nonlinear associations with sustainability outcomes (Agnese et al., 2024; Mahran and Elamer, 2024; Kamarudin et al., 2025; Rashid and Kabir, 2025; Ismail et al., 2026).</w:t>
      </w:r>
    </w:p>
    <w:p w14:paraId="0BE9F243" w14:textId="77777777" w:rsidR="002F09E5" w:rsidRPr="002F09E5" w:rsidRDefault="002F09E5" w:rsidP="002F09E5">
      <w:pPr>
        <w:rPr>
          <w:szCs w:val="24"/>
        </w:rPr>
      </w:pPr>
    </w:p>
    <w:p w14:paraId="28FFBCF2" w14:textId="77777777" w:rsidR="002F09E5" w:rsidRPr="002F09E5" w:rsidRDefault="002F09E5" w:rsidP="002F09E5">
      <w:pPr>
        <w:rPr>
          <w:szCs w:val="24"/>
        </w:rPr>
      </w:pPr>
      <w:r>
        <w:t xml:space="preserve">Evidence consistent with the monitoring channel includes positive associations between board independence and ESG outcomes and negative associations between concentrated leadership and </w:t>
      </w:r>
      <w:r>
        <w:lastRenderedPageBreak/>
        <w:t>sustainability performance. However, newer work cautions against treating structural board variables as mechanically beneficial. Kamarudin et al. (2025), for example, report nonlinear effects of board size and independence in international evidence, while recent reviews of CEO-related environmental governance emphasise that leadership effects depend on surrounding board structures and institutional conditions (Mahran and Elamer, 2024). These findings support an empirical specification that estimates several governance mechanisms jointly rather than interpreting any one characteristic in isolation.</w:t>
      </w:r>
    </w:p>
    <w:p w14:paraId="76006A20" w14:textId="77777777" w:rsidR="002F09E5" w:rsidRPr="002F09E5" w:rsidRDefault="002F09E5" w:rsidP="002F09E5">
      <w:pPr>
        <w:rPr>
          <w:szCs w:val="24"/>
        </w:rPr>
      </w:pPr>
    </w:p>
    <w:p w14:paraId="08F44224" w14:textId="77777777" w:rsidR="002F09E5" w:rsidRPr="002F09E5" w:rsidRDefault="002F09E5" w:rsidP="002F09E5">
      <w:pPr>
        <w:rPr>
          <w:szCs w:val="24"/>
        </w:rPr>
      </w:pPr>
      <w:r>
        <w:t>Recent research also strengthens the stakeholder-oriented case for diversity and specialised ESG oversight. Abdullah et al. (2024) show that sustainability committees are associated with firms' ability to achieve ESG targets, Orazalin et al. (2024) connect board sustainability committees with climate initiatives and carbon performance, and Zampone et al. (2024) show that committee structures can transmit or condition diversity-related sustainability effects. Studies published in 2025-2026 continue this line of inquiry by examining sustainability committees, gender-diverse boards, and mandatory reporting environments, including evidence that the influence of board gender diversity may depend on the surrounding reporting regime (Abdullah, 2025; Ismail et al., 2026). The implication is that governance attributes may be complementary rather than merely additive.</w:t>
      </w:r>
    </w:p>
    <w:p w14:paraId="1D9A23F1" w14:textId="77777777" w:rsidR="002F09E5" w:rsidRPr="002F09E5" w:rsidRDefault="002F09E5" w:rsidP="002F09E5">
      <w:pPr>
        <w:rPr>
          <w:szCs w:val="24"/>
        </w:rPr>
      </w:pPr>
    </w:p>
    <w:p w14:paraId="3D618541" w14:textId="77777777" w:rsidR="002F09E5" w:rsidRPr="002F09E5" w:rsidRDefault="002F09E5" w:rsidP="002F09E5">
      <w:pPr>
        <w:rPr>
          <w:szCs w:val="24"/>
        </w:rPr>
      </w:pPr>
      <w:r>
        <w:t>Asia is an appropriate setting because sustainability disclosure has developed rapidly but unevenly across jurisdictions. OECD (2025) documents substantial movement toward mandatory sustainability-related disclosure and explicit board oversight responsibilities in several major Asian economies, while also noting differences in legal frameworks, enforcement, and assurance requirements. This heterogeneity makes it inappropriate to describe the region as a single uniform regulatory regime. It does, however, provide a useful context for examining whether firm-level governance characteristics continue to be associated with ESG outcomes while external reporting expectations are becoming more formalised.</w:t>
      </w:r>
    </w:p>
    <w:p w14:paraId="6141EB00" w14:textId="77777777" w:rsidR="002F09E5" w:rsidRPr="002F09E5" w:rsidRDefault="002F09E5" w:rsidP="002F09E5">
      <w:pPr>
        <w:rPr>
          <w:szCs w:val="24"/>
        </w:rPr>
      </w:pPr>
    </w:p>
    <w:p w14:paraId="38E1376B" w14:textId="77777777" w:rsidR="002F09E5" w:rsidRPr="002F09E5" w:rsidRDefault="002F09E5" w:rsidP="002F09E5">
      <w:pPr>
        <w:rPr>
          <w:szCs w:val="24"/>
        </w:rPr>
      </w:pPr>
      <w:r>
        <w:t>Against this background, the study tests a focused set of governance hypotheses using a 2015-2024 panel of Asian-listed firms. The contribution lies in estimating multiple governance mechanisms together, disaggregating the Bloomberg ESG score into its three pillars, and formally testing whether a sustainability committee moderates the board-gender-diversity relationship. The analysis therefore extends recent governance-ESG research without claiming to estimate the causal effect of regulation.</w:t>
      </w:r>
    </w:p>
    <w:p w14:paraId="3317C43C" w14:textId="77777777" w:rsidR="002F09E5" w:rsidRPr="00437BBA" w:rsidRDefault="002F09E5" w:rsidP="002F09E5">
      <w:pPr>
        <w:rPr>
          <w:rFonts w:ascii="Times New Roman" w:hAnsi="Times New Roman" w:cs="Times New Roman"/>
        </w:rPr>
      </w:pPr>
    </w:p>
    <w:p w14:paraId="31D00CC3" w14:textId="77777777" w:rsidR="00C018B1" w:rsidRDefault="00000000">
      <w:r>
        <w:t>The broader reporting and institutional literature provides an important foundation for this analysis. Sustainability research links ESG practices to organisational processes and long-term value creation, while institutional and accounting studies show that disclosure choices are shaped by national institutions, legal regimes, culture, stakeholder scrutiny, and reporting architectures (Eccles et al., 2014; Friede et al., 2015; Ioannou and Serafeim, 2012; Baldini et al., 2018; Filip et al., 2015; Halme and Huse, 1997; Haniffa and Cooke, 2002; Deegan, 2000). Research on sustainability reporting further highlights the roles of accountability, reporting design, stakeholder orientation, and the risk that formal disclosure can become symbolic rather than substantive (Kolk, 2008; Arena et al., 2014; Hahn and Lülfs, 2014; Vigneau et al., 2014; de Villiers and Dimes, 2021; Lozano and Huisingh, 2011; Trumpp et al., 2015).</w:t>
      </w:r>
    </w:p>
    <w:p w14:paraId="15865BF3" w14:textId="77777777" w:rsidR="00C018B1" w:rsidRDefault="00000000">
      <w:r>
        <w:t xml:space="preserve">A parallel stream of governance research emphasises monitoring capacity and leadership structure. Evidence on board size, director expertise, independence, monitoring intensity, CEO power, and leadership concentration shows that governance attributes can affect disclosure, sustainability strategy, and firm outcomes through both monitoring benefits and coordination costs (Guest, 2009; </w:t>
      </w:r>
      <w:r>
        <w:lastRenderedPageBreak/>
        <w:t>Gul and Leung, 2004; Jo and Harjoto, 2011; Michelon and Parbonetti, 2012; Lim et al., 2007; Mallin et al., 2013; Rechner and Dalton, 1991; Haque, 2017; Walls et al., 2012; Hussain et al., 2018). Recent studies extend these arguments to sustainable innovation, carbon emissions, ESG scores, executive compensation, state-owned enterprises, and nonlinear board effects (Dixit et al., 2024; Mahran and Elamer, 2024; Akhtar and Abdullah, 2025; Arici et al., 2025; Shabbir et al., 2024; Lin and Guan, 2024; Kamarudin et al., 2025; Agnese et al., 2024; Velte, 2024).</w:t>
      </w:r>
    </w:p>
    <w:p w14:paraId="5E823B36" w14:textId="77777777" w:rsidR="00C018B1" w:rsidRDefault="00000000">
      <w:r>
        <w:t>Research on board diversity and specialised sustainability oversight is especially relevant to the present hypotheses. Prior studies link gender diversity to ESG disclosure, environmental performance, renewable-energy decisions, and sustainability outcomes, while also showing that these associations vary with industry and institutional conditions (Liao et al., 2015; Cucari et al., 2018; Manita et al., 2018; Lu and Herremans, 2019; Atif et al., 2021; Dutordoir et al., 2024; Almaqtari et al., 2024; Trireksani et al., 2024; Saggar et al., 2022). The governance literature likewise documents the growing role of CSR/ESG committees and their characteristics in structuring board-level sustainability oversight (Abdullah, 2022; Baraibar-Díez and Odriozola, 2019; Burke et al., 2019; Velte and Stawinoga, 2020; Soana, 2024; Huang et al., 2024; Orazalin et al., 2024; Zampone et al., 2024; Alodat and Hao, 2025; Chandrasena et al., 2025; Abdullah et al., 2024).</w:t>
      </w:r>
    </w:p>
    <w:p w14:paraId="452680D3" w14:textId="77777777" w:rsidR="00C018B1" w:rsidRDefault="00000000">
      <w:r>
        <w:t>The most recent evidence further strengthens the case for examining governance mechanisms jointly. Gender diversity appears more consequential when supported by dedicated sustainability oversight (Abdullah, 2026a), while newer studies examine ESG-financial performance in GCC markets, board governance and ESG performance in GCC listed firms, and governance configurations in sustainability disclosure (Abdullah, Talha, and Hadi, 2026; Abdullah, Islam, Abdel-Razzaq, Mamun, and Islam, 2026; Abdullah, Omhand, and Islam, 2026). Related work extends sustainability governance to ESG-linked executive incentives, formal sustainability compensation arrangements, and climate-transition governance, highlighting the importance of accountability structures beyond disclosure alone (Abdullah, 2026b; Abdullah, Oriade, and Omhand, 2026; Abdullah, Yassen, and Talha, 2026). Evidence from energy and textile settings and from Central European firms similarly illustrates the contextual nature of governance-sustainability relationships (Hussien et al., 2025; Zhu et al., 2025; Błach et al., 2025; Rashid and Kabir, 2025). In the Asian regulatory context, OECD (2025) and Ismail et al. (2026) reinforce the need to distinguish firm-level governance associations from the effects of reporting mandates themselves.</w:t>
      </w:r>
    </w:p>
    <w:p w14:paraId="7129024E" w14:textId="77777777" w:rsidR="00C018B1" w:rsidRDefault="00000000">
      <w:r>
        <w:t>Conceptually, these findings are consistent with combining agency, stakeholder-agency, stakeholder, and resource-dependence perspectives: boards monitor managerial discretion, represent stakeholder claims, and provide access to information and capabilities needed to respond to complex sustainability demands (Jensen and Meckling, 1976; Fama and Jensen, 1983; Freeman, 1984; Donaldson and Preston, 1995; Hill and Jones, 1992; Hillman and Dalziel, 2003; Spitzeck, 2009). This capability perspective is also compatible with recent work on organisational ambidexterity and capability reconfiguration, which emphasises that strategic outcomes depend on the structures through which organisations reconfigure routines and resources (Hadi et al., 2026).</w:t>
      </w:r>
    </w:p>
    <w:p w14:paraId="4D4A5A81" w14:textId="77777777" w:rsidR="001534CF" w:rsidRPr="001534CF" w:rsidRDefault="001534CF" w:rsidP="001534CF">
      <w:pPr>
        <w:rPr>
          <w:b/>
          <w:szCs w:val="24"/>
        </w:rPr>
      </w:pPr>
      <w:r w:rsidRPr="001534CF">
        <w:rPr>
          <w:b/>
          <w:szCs w:val="24"/>
        </w:rPr>
        <w:t xml:space="preserve">2.2. </w:t>
      </w:r>
      <w:r w:rsidR="002F09E5" w:rsidRPr="002F09E5">
        <w:rPr>
          <w:b/>
          <w:szCs w:val="24"/>
        </w:rPr>
        <w:t>Corporate Governance Structures and Sustainability Performance</w:t>
      </w:r>
    </w:p>
    <w:p w14:paraId="387EDD8E" w14:textId="77777777" w:rsidR="001534CF" w:rsidRPr="002F09E5" w:rsidRDefault="001534CF" w:rsidP="001534CF">
      <w:pPr>
        <w:rPr>
          <w:rFonts w:ascii="Times New Roman" w:hAnsi="Times New Roman" w:cs="Times New Roman"/>
          <w:b/>
          <w:bCs/>
        </w:rPr>
      </w:pPr>
      <w:r w:rsidRPr="001534CF">
        <w:rPr>
          <w:b/>
          <w:szCs w:val="24"/>
        </w:rPr>
        <w:t xml:space="preserve">2.2.1. </w:t>
      </w:r>
      <w:r w:rsidR="002F09E5" w:rsidRPr="002F09E5">
        <w:rPr>
          <w:b/>
          <w:szCs w:val="24"/>
        </w:rPr>
        <w:t>Board Size and Sustainability Performance</w:t>
      </w:r>
    </w:p>
    <w:p w14:paraId="7606707E" w14:textId="77777777" w:rsidR="002F09E5" w:rsidRPr="002F09E5" w:rsidRDefault="002F09E5" w:rsidP="002F09E5">
      <w:pPr>
        <w:rPr>
          <w:szCs w:val="24"/>
        </w:rPr>
      </w:pPr>
      <w:r w:rsidRPr="002F09E5">
        <w:rPr>
          <w:szCs w:val="24"/>
        </w:rPr>
        <w:t xml:space="preserve">Board size represents one of the most widely studied governance attributes in the corporate governance literature, yet its implications for sustainability performance remain theoretically contested. Agency theory suggests that larger boards may suffer from coordination problems, reduced accountability, and slower decision-making processes, which may weaken the board’s ability to effectively monitor managerial </w:t>
      </w:r>
      <w:proofErr w:type="spellStart"/>
      <w:r w:rsidRPr="002F09E5">
        <w:rPr>
          <w:szCs w:val="24"/>
        </w:rPr>
        <w:t>behaviour</w:t>
      </w:r>
      <w:proofErr w:type="spellEnd"/>
      <w:r w:rsidRPr="002F09E5">
        <w:rPr>
          <w:szCs w:val="24"/>
        </w:rPr>
        <w:t xml:space="preserve"> (Jensen and Meckling, 1976; De Andres et al., 2005). In sustainability contexts, where decisions often involve complex trade-offs between economic, environmental, and social objectives, such coordination challenges may reduce the board’s </w:t>
      </w:r>
      <w:r w:rsidRPr="002F09E5">
        <w:rPr>
          <w:szCs w:val="24"/>
        </w:rPr>
        <w:lastRenderedPageBreak/>
        <w:t>effectiveness in overseeing ESG initiatives.</w:t>
      </w:r>
      <w:r w:rsidR="009A220E">
        <w:rPr>
          <w:szCs w:val="24"/>
        </w:rPr>
        <w:t xml:space="preserve"> </w:t>
      </w:r>
      <w:r w:rsidRPr="002F09E5">
        <w:rPr>
          <w:szCs w:val="24"/>
        </w:rPr>
        <w:t>Conversely, stakeholder theory suggests that larger boards may enhance sustainability performance by increasing diversity of expertise, perspectives, and stakeholder representation (Freeman, 1984). A broader range of knowledge and experience may improve the board’s ability to address complex sustainability challenges and respond to stakeholder demands for responsible business practices.</w:t>
      </w:r>
    </w:p>
    <w:p w14:paraId="70167ECB" w14:textId="77777777" w:rsidR="002F09E5" w:rsidRPr="002F09E5" w:rsidRDefault="002F09E5" w:rsidP="002F09E5">
      <w:pPr>
        <w:rPr>
          <w:szCs w:val="24"/>
        </w:rPr>
      </w:pPr>
      <w:r w:rsidRPr="002F09E5">
        <w:rPr>
          <w:szCs w:val="24"/>
        </w:rPr>
        <w:t xml:space="preserve">Empirical evidence provides mixed results. Some studies find that larger boards are associated with improved sustainability outcomes due to greater expertise and stakeholder representation, while others report negative effects resulting from coordination difficulties and diluted oversight. Hussain et al. (2018), for example, show that board structure influences sustainability performance through governance mechanisms that shape strategic oversight of sustainability initiatives. In Asia, where sustainability reporting requirements are increasingly </w:t>
      </w:r>
      <w:r w:rsidR="000D3816" w:rsidRPr="002F09E5">
        <w:rPr>
          <w:szCs w:val="24"/>
        </w:rPr>
        <w:t>formalized</w:t>
      </w:r>
      <w:r w:rsidRPr="002F09E5">
        <w:rPr>
          <w:szCs w:val="24"/>
        </w:rPr>
        <w:t xml:space="preserve"> through regulation and stock-exchange rules, the benefits of larger boards may be limited if additional directors increase procedural complexity without significantly improving oversight. Accordingly, consistent with agency theory, the following hypothesis is proposed:</w:t>
      </w:r>
    </w:p>
    <w:p w14:paraId="2A0B16AD" w14:textId="77777777" w:rsidR="002F09E5" w:rsidRPr="00437BBA" w:rsidRDefault="002F09E5" w:rsidP="002F09E5">
      <w:pPr>
        <w:rPr>
          <w:rFonts w:ascii="Times New Roman" w:hAnsi="Times New Roman" w:cs="Times New Roman"/>
        </w:rPr>
      </w:pPr>
    </w:p>
    <w:p w14:paraId="0671B81A" w14:textId="77777777" w:rsidR="009936B6" w:rsidRDefault="002F09E5" w:rsidP="0029605A">
      <w:pPr>
        <w:rPr>
          <w:rFonts w:ascii="Times New Roman" w:hAnsi="Times New Roman" w:cs="Times New Roman"/>
        </w:rPr>
      </w:pPr>
      <w:r w:rsidRPr="002F09E5">
        <w:rPr>
          <w:b/>
          <w:szCs w:val="24"/>
        </w:rPr>
        <w:t>H1</w:t>
      </w:r>
      <w:r w:rsidRPr="002F09E5">
        <w:rPr>
          <w:szCs w:val="24"/>
        </w:rPr>
        <w:t>:</w:t>
      </w:r>
      <w:r w:rsidRPr="00437BBA">
        <w:rPr>
          <w:rFonts w:ascii="Times New Roman" w:hAnsi="Times New Roman" w:cs="Times New Roman"/>
          <w:b/>
          <w:bCs/>
        </w:rPr>
        <w:t xml:space="preserve"> </w:t>
      </w:r>
      <w:r w:rsidRPr="002F09E5">
        <w:rPr>
          <w:szCs w:val="24"/>
        </w:rPr>
        <w:t>Board size is negatively associated with sustainability performance.</w:t>
      </w:r>
    </w:p>
    <w:p w14:paraId="53B07B56" w14:textId="77777777" w:rsidR="00A22029" w:rsidRPr="00A22029" w:rsidRDefault="00A22029" w:rsidP="0029605A">
      <w:pPr>
        <w:rPr>
          <w:rFonts w:ascii="Times New Roman" w:hAnsi="Times New Roman" w:cs="Times New Roman"/>
        </w:rPr>
      </w:pPr>
    </w:p>
    <w:p w14:paraId="34786D6E" w14:textId="77777777" w:rsidR="002F09E5" w:rsidRPr="002F09E5" w:rsidRDefault="001534CF" w:rsidP="002F09E5">
      <w:pPr>
        <w:rPr>
          <w:b/>
          <w:szCs w:val="24"/>
        </w:rPr>
      </w:pPr>
      <w:r w:rsidRPr="009936B6">
        <w:rPr>
          <w:b/>
          <w:szCs w:val="24"/>
        </w:rPr>
        <w:t xml:space="preserve">2.2.2. </w:t>
      </w:r>
      <w:r w:rsidR="002F09E5" w:rsidRPr="002F09E5">
        <w:rPr>
          <w:b/>
          <w:szCs w:val="24"/>
        </w:rPr>
        <w:t>Board Independence and Sustainability Performance</w:t>
      </w:r>
    </w:p>
    <w:p w14:paraId="0B0AF0FA" w14:textId="77777777" w:rsidR="002F09E5" w:rsidRPr="002F09E5" w:rsidRDefault="002F09E5" w:rsidP="002F09E5">
      <w:pPr>
        <w:rPr>
          <w:szCs w:val="24"/>
        </w:rPr>
      </w:pPr>
      <w:r w:rsidRPr="002F09E5">
        <w:rPr>
          <w:szCs w:val="24"/>
        </w:rPr>
        <w:t>Board independence is widely regarded as a central mechanism for enhancing board monitoring and governance effectiveness. Independent directors are expected to provide objective oversight, reduce managerial opportunism, and improve accountability, particularly in strategic areas involving long-term risks and stakeholder concerns (Fama and Jensen, 1983).</w:t>
      </w:r>
      <w:r w:rsidR="009A220E">
        <w:rPr>
          <w:szCs w:val="24"/>
        </w:rPr>
        <w:t xml:space="preserve"> </w:t>
      </w:r>
      <w:r w:rsidRPr="002F09E5">
        <w:rPr>
          <w:szCs w:val="24"/>
        </w:rPr>
        <w:t xml:space="preserve">Empirical research provides considerable support for this view. Independent boards have been shown to improve sustainability disclosure, enhance transparency, and strengthen firms’ environmental and social performance. Abdullah et al. (2024) find that governance mechanisms such as independent boards contribute to improved ESG outcomes by strengthening oversight of sustainability strategies. From a stakeholder perspective, independent directors may also be more responsive to societal expectations and regulatory pressure, thereby promoting more responsible corporate </w:t>
      </w:r>
      <w:proofErr w:type="spellStart"/>
      <w:r w:rsidRPr="002F09E5">
        <w:rPr>
          <w:szCs w:val="24"/>
        </w:rPr>
        <w:t>behaviour</w:t>
      </w:r>
      <w:proofErr w:type="spellEnd"/>
      <w:r w:rsidRPr="002F09E5">
        <w:rPr>
          <w:szCs w:val="24"/>
        </w:rPr>
        <w:t>.</w:t>
      </w:r>
      <w:r w:rsidR="009A220E">
        <w:rPr>
          <w:szCs w:val="24"/>
        </w:rPr>
        <w:t xml:space="preserve"> </w:t>
      </w:r>
      <w:r w:rsidRPr="002F09E5">
        <w:rPr>
          <w:szCs w:val="24"/>
        </w:rPr>
        <w:t>However, the effectiveness of board independence may vary depending on the institutional context. In increasingly regulated environments such as Asia, mandatory and quasi-mandatory ESG disclosure may reduce information asymmetry, potentially moderating the incremental monitoring role of independent directors. Nevertheless, consistent with the dominant theoretical expectation that independence strengthens governance oversight, the following hypothesis is proposed:</w:t>
      </w:r>
    </w:p>
    <w:p w14:paraId="3DCB5C65" w14:textId="77777777" w:rsidR="002F09E5" w:rsidRPr="002F09E5" w:rsidRDefault="002F09E5" w:rsidP="002F09E5">
      <w:pPr>
        <w:rPr>
          <w:szCs w:val="24"/>
        </w:rPr>
      </w:pPr>
    </w:p>
    <w:p w14:paraId="3DA463A9" w14:textId="77777777" w:rsidR="009936B6" w:rsidRPr="001534CF" w:rsidRDefault="002F09E5" w:rsidP="0029605A">
      <w:pPr>
        <w:rPr>
          <w:szCs w:val="24"/>
        </w:rPr>
      </w:pPr>
      <w:r w:rsidRPr="002F09E5">
        <w:rPr>
          <w:b/>
          <w:szCs w:val="24"/>
        </w:rPr>
        <w:t>H2</w:t>
      </w:r>
      <w:r w:rsidRPr="002F09E5">
        <w:rPr>
          <w:szCs w:val="24"/>
        </w:rPr>
        <w:t>: Board independence is positively associated with sustainability performance.</w:t>
      </w:r>
    </w:p>
    <w:p w14:paraId="6690237B" w14:textId="77777777" w:rsidR="009A220E" w:rsidRDefault="009A220E" w:rsidP="00290B3E">
      <w:pPr>
        <w:rPr>
          <w:b/>
          <w:szCs w:val="24"/>
        </w:rPr>
      </w:pPr>
    </w:p>
    <w:p w14:paraId="42AE24C3" w14:textId="77777777" w:rsidR="009A220E" w:rsidRDefault="009A220E" w:rsidP="00290B3E">
      <w:pPr>
        <w:rPr>
          <w:b/>
          <w:szCs w:val="24"/>
        </w:rPr>
      </w:pPr>
    </w:p>
    <w:p w14:paraId="2DC52914" w14:textId="77777777" w:rsidR="00290B3E" w:rsidRPr="00290B3E" w:rsidRDefault="001534CF" w:rsidP="00290B3E">
      <w:pPr>
        <w:rPr>
          <w:b/>
          <w:szCs w:val="24"/>
        </w:rPr>
      </w:pPr>
      <w:r w:rsidRPr="009936B6">
        <w:rPr>
          <w:b/>
          <w:szCs w:val="24"/>
        </w:rPr>
        <w:t xml:space="preserve">2.2.3. </w:t>
      </w:r>
      <w:r w:rsidR="00290B3E" w:rsidRPr="000D3816">
        <w:rPr>
          <w:b/>
          <w:szCs w:val="24"/>
        </w:rPr>
        <w:t>CEO Duality and Sustainability Performance</w:t>
      </w:r>
    </w:p>
    <w:p w14:paraId="7FC5AEBE" w14:textId="77777777" w:rsidR="00290B3E" w:rsidRPr="000D3816" w:rsidRDefault="00290B3E" w:rsidP="00290B3E">
      <w:pPr>
        <w:rPr>
          <w:szCs w:val="24"/>
        </w:rPr>
      </w:pPr>
      <w:r w:rsidRPr="000D3816">
        <w:rPr>
          <w:szCs w:val="24"/>
        </w:rPr>
        <w:t>CEO duality occurs when the same individual simultaneously holds the positions of CEO and board chair. Agency theory argues that this concentration of authority weakens board independence and reduces the board’s ability to monitor managerial actions effectively (Fama and Jensen, 1983). In sustainability contexts, CEO duality may be particularly problematic because ESG initiatives often require long-term investments and strategic commitments that may conflict with short-term managerial incentives. Empirical evidence generally supports the agency-based critique of CEO duality. Studies have shown that firms with CEO duality tend to exhibit weaker governance oversight and lower sustainability performance due to reduced board independence. Accordingly, consistent with agency theory, the following hypothesis is proposed:</w:t>
      </w:r>
    </w:p>
    <w:p w14:paraId="5DCD9DFE" w14:textId="77777777" w:rsidR="000D3816" w:rsidRPr="000D3816" w:rsidRDefault="000D3816" w:rsidP="00290B3E">
      <w:pPr>
        <w:rPr>
          <w:szCs w:val="24"/>
        </w:rPr>
      </w:pPr>
    </w:p>
    <w:p w14:paraId="3432F390" w14:textId="77777777" w:rsidR="00290B3E" w:rsidRPr="000D3816" w:rsidRDefault="00290B3E" w:rsidP="00290B3E">
      <w:pPr>
        <w:rPr>
          <w:szCs w:val="24"/>
        </w:rPr>
      </w:pPr>
      <w:r w:rsidRPr="000D3816">
        <w:rPr>
          <w:b/>
          <w:szCs w:val="24"/>
        </w:rPr>
        <w:t>H3</w:t>
      </w:r>
      <w:r w:rsidRPr="000D3816">
        <w:rPr>
          <w:szCs w:val="24"/>
        </w:rPr>
        <w:t>: CEO duality is negatively associated with sustainability performance.</w:t>
      </w:r>
    </w:p>
    <w:p w14:paraId="21B6B06F" w14:textId="77777777" w:rsidR="00290B3E" w:rsidRDefault="00290B3E" w:rsidP="00290B3E">
      <w:pPr>
        <w:rPr>
          <w:szCs w:val="24"/>
        </w:rPr>
      </w:pPr>
    </w:p>
    <w:p w14:paraId="789B52FC" w14:textId="77777777" w:rsidR="000D3816" w:rsidRPr="002E0C7F" w:rsidRDefault="000D3816" w:rsidP="000D3816">
      <w:pPr>
        <w:rPr>
          <w:b/>
          <w:szCs w:val="24"/>
        </w:rPr>
      </w:pPr>
      <w:r w:rsidRPr="009936B6">
        <w:rPr>
          <w:b/>
          <w:szCs w:val="24"/>
        </w:rPr>
        <w:t>2.2.</w:t>
      </w:r>
      <w:r>
        <w:rPr>
          <w:b/>
          <w:szCs w:val="24"/>
        </w:rPr>
        <w:t>4</w:t>
      </w:r>
      <w:r w:rsidRPr="009936B6">
        <w:rPr>
          <w:b/>
          <w:szCs w:val="24"/>
        </w:rPr>
        <w:t xml:space="preserve">. </w:t>
      </w:r>
      <w:r w:rsidRPr="002E0C7F">
        <w:rPr>
          <w:b/>
          <w:szCs w:val="24"/>
        </w:rPr>
        <w:t>Board Gender Diversity and Sustainability Performance</w:t>
      </w:r>
    </w:p>
    <w:p w14:paraId="79CB8461" w14:textId="77777777" w:rsidR="000D3816" w:rsidRPr="000D3816" w:rsidRDefault="000D3816" w:rsidP="000D3816">
      <w:pPr>
        <w:rPr>
          <w:szCs w:val="24"/>
        </w:rPr>
      </w:pPr>
      <w:r w:rsidRPr="000D3816">
        <w:rPr>
          <w:szCs w:val="24"/>
        </w:rPr>
        <w:t xml:space="preserve">Board gender diversity has attracted increasing attention in governance and sustainability research. Stakeholder theory suggests that gender-diverse boards enhance sustainability performance by broadening stakeholder representation and strengthening ethical awareness in corporate decision-making. Empirical studies support this view. Liao et al. (2015) find that gender-diverse boards improve environmental disclosure, while </w:t>
      </w:r>
      <w:proofErr w:type="spellStart"/>
      <w:r w:rsidRPr="000D3816">
        <w:rPr>
          <w:szCs w:val="24"/>
        </w:rPr>
        <w:t>Cucari</w:t>
      </w:r>
      <w:proofErr w:type="spellEnd"/>
      <w:r w:rsidRPr="000D3816">
        <w:rPr>
          <w:szCs w:val="24"/>
        </w:rPr>
        <w:t xml:space="preserve"> et al. (2018) report that board diversity enhances ESG performance among listed firms. Similarly, Abdullah (2025) shows that gender diversity improves ESG performance, particularly when supported by effective sustainability governance structures. Gender-diverse boards may also enhance transparency, reduce opportunistic </w:t>
      </w:r>
      <w:proofErr w:type="spellStart"/>
      <w:r w:rsidRPr="000D3816">
        <w:rPr>
          <w:szCs w:val="24"/>
        </w:rPr>
        <w:t>behaviour</w:t>
      </w:r>
      <w:proofErr w:type="spellEnd"/>
      <w:r w:rsidRPr="000D3816">
        <w:rPr>
          <w:szCs w:val="24"/>
        </w:rPr>
        <w:t>, and promote long-term strategic thinking, all of which are important for effective sustainability governance. Accordingly, the following hypothesis is proposed:</w:t>
      </w:r>
    </w:p>
    <w:p w14:paraId="0FA280BE" w14:textId="77777777" w:rsidR="000D3816" w:rsidRPr="000D3816" w:rsidRDefault="000D3816" w:rsidP="000D3816">
      <w:pPr>
        <w:rPr>
          <w:szCs w:val="24"/>
        </w:rPr>
      </w:pPr>
    </w:p>
    <w:p w14:paraId="6831A41B" w14:textId="77777777" w:rsidR="000D3816" w:rsidRPr="000D3816" w:rsidRDefault="000D3816" w:rsidP="000D3816">
      <w:pPr>
        <w:rPr>
          <w:szCs w:val="24"/>
        </w:rPr>
      </w:pPr>
      <w:r w:rsidRPr="000D3816">
        <w:rPr>
          <w:b/>
          <w:szCs w:val="24"/>
        </w:rPr>
        <w:t>H4</w:t>
      </w:r>
      <w:r w:rsidRPr="000D3816">
        <w:rPr>
          <w:szCs w:val="24"/>
        </w:rPr>
        <w:t>: Board gender diversity is positively associated with sustainability performance.</w:t>
      </w:r>
    </w:p>
    <w:p w14:paraId="53718AA8" w14:textId="77777777" w:rsidR="000D3816" w:rsidRDefault="000D3816" w:rsidP="00290B3E">
      <w:pPr>
        <w:rPr>
          <w:szCs w:val="24"/>
        </w:rPr>
      </w:pPr>
    </w:p>
    <w:p w14:paraId="45E1299F" w14:textId="77777777" w:rsidR="000D3816" w:rsidRPr="00437BBA" w:rsidRDefault="000D3816" w:rsidP="000D3816">
      <w:pPr>
        <w:rPr>
          <w:rFonts w:ascii="Times New Roman" w:hAnsi="Times New Roman" w:cs="Times New Roman"/>
          <w:b/>
          <w:bCs/>
        </w:rPr>
      </w:pPr>
      <w:r w:rsidRPr="009936B6">
        <w:rPr>
          <w:b/>
          <w:szCs w:val="24"/>
        </w:rPr>
        <w:t>2.2</w:t>
      </w:r>
      <w:r w:rsidRPr="000D3816">
        <w:rPr>
          <w:rFonts w:ascii="Times New Roman" w:hAnsi="Times New Roman" w:cs="Times New Roman"/>
          <w:b/>
          <w:bCs/>
        </w:rPr>
        <w:t xml:space="preserve">.5. </w:t>
      </w:r>
      <w:r w:rsidRPr="00437BBA">
        <w:rPr>
          <w:rFonts w:ascii="Times New Roman" w:hAnsi="Times New Roman" w:cs="Times New Roman"/>
          <w:b/>
          <w:bCs/>
        </w:rPr>
        <w:t>Sustainability Committees and Sustainability Performance</w:t>
      </w:r>
    </w:p>
    <w:p w14:paraId="6A068363" w14:textId="77777777" w:rsidR="000D3816" w:rsidRPr="000D3816" w:rsidRDefault="000D3816" w:rsidP="000D3816">
      <w:pPr>
        <w:rPr>
          <w:szCs w:val="24"/>
        </w:rPr>
      </w:pPr>
      <w:r>
        <w:t>The establishment of board-level sustainability committees represents an increasingly common governance mechanism designed to oversee firms’ environmental and social activities. These committees institutionalize sustainability oversight within corporate governance structures and signal firms’ commitment to responsible business practices. Empirical research demonstrates that sustainability committees play an important role in enhancing corporate sustainability performance. Abdullah et al. (2024) show that sustainability committees contribute to improved ESG performance by embedding sustainability within corporate strategy and strengthening board-level oversight. Burke et al. (2019) further demonstrate that sustainability committees enhance corporate social performance, particularly when they focus on specific stakeholder issues. However, the effectiveness of sustainability committees may depend on how they interact with other governance mechanisms and the broader institutional environment. Accordingly, the following hypothesis is proposed: Evidence on committee design also suggests that committee characteristics can matter for the quality of sustainability oversight, rather than committee presence functioning as a purely symbolic indicator (Abdullah, 2022; Abdullah, Omhand, and Islam, 2026).</w:t>
      </w:r>
    </w:p>
    <w:p w14:paraId="16EB69E0" w14:textId="77777777" w:rsidR="000D3816" w:rsidRPr="000D3816" w:rsidRDefault="000D3816" w:rsidP="000D3816">
      <w:pPr>
        <w:rPr>
          <w:szCs w:val="24"/>
        </w:rPr>
      </w:pPr>
    </w:p>
    <w:p w14:paraId="604961FB" w14:textId="77777777" w:rsidR="000D3816" w:rsidRPr="000D3816" w:rsidRDefault="000D3816" w:rsidP="000D3816">
      <w:pPr>
        <w:rPr>
          <w:szCs w:val="24"/>
        </w:rPr>
      </w:pPr>
      <w:r w:rsidRPr="000D3816">
        <w:rPr>
          <w:b/>
          <w:szCs w:val="24"/>
        </w:rPr>
        <w:t>H5:</w:t>
      </w:r>
      <w:r w:rsidRPr="000D3816">
        <w:rPr>
          <w:szCs w:val="24"/>
        </w:rPr>
        <w:t xml:space="preserve"> The presence of a sustainability committee is positively associated with sustainability performance.</w:t>
      </w:r>
    </w:p>
    <w:p w14:paraId="7A40CF71" w14:textId="77777777" w:rsidR="00C018B1" w:rsidRDefault="00000000">
      <w:r>
        <w:t>2.2.6. Sustainability Committees as a Moderator of Board Gender Diversity</w:t>
      </w:r>
    </w:p>
    <w:p w14:paraId="23632C85" w14:textId="77777777" w:rsidR="00C018B1" w:rsidRDefault="00000000">
      <w:r>
        <w:t xml:space="preserve">Board gender diversity can broaden the information, experience, and stakeholder perspectives available to the board, but representation alone may not ensure that those perspectives influence ESG priorities. A board-level sustainability committee can provide an organisational channel through which sustainability issues are placed on the agenda, responsibilities are assigned, and ESG information is reviewed systematically. Stakeholder theory therefore suggests complementarity between diversity and specialised sustainability oversight: gender-diverse boards may be more strongly associated with ESG performance when a sustainability committee enables diverse perspectives to be translated into structured monitoring and decision processes. Recent studies similarly indicate that specialised committees can condition or transmit diversity-related sustainability effects (Zampone et al., 2024; Abdullah, 2025). Accordingly, the study tests the following moderating hypothesis: Recent evidence from Business Strategy and the Environment </w:t>
      </w:r>
      <w:r>
        <w:lastRenderedPageBreak/>
        <w:t>likewise reports that sustainability committees strengthen the positive association between board gender diversity and ESG performance (Abdullah, 2026a).</w:t>
      </w:r>
    </w:p>
    <w:p w14:paraId="2EAFB792" w14:textId="77777777" w:rsidR="00C018B1" w:rsidRDefault="00000000">
      <w:r>
        <w:rPr>
          <w:b/>
        </w:rPr>
        <w:t>H6: The positive association between board gender diversity and sustainability performance is stronger when a board-level sustainability committee is present.</w:t>
      </w:r>
    </w:p>
    <w:p w14:paraId="262219EF" w14:textId="77777777" w:rsidR="00072288" w:rsidRPr="001534CF" w:rsidRDefault="00072288" w:rsidP="00072288">
      <w:pPr>
        <w:rPr>
          <w:szCs w:val="24"/>
        </w:rPr>
      </w:pPr>
    </w:p>
    <w:p w14:paraId="05499AA7" w14:textId="77777777" w:rsidR="001534CF" w:rsidRPr="001534CF" w:rsidRDefault="001534CF" w:rsidP="001534CF">
      <w:pPr>
        <w:rPr>
          <w:b/>
          <w:szCs w:val="24"/>
        </w:rPr>
      </w:pPr>
      <w:r w:rsidRPr="001534CF">
        <w:rPr>
          <w:b/>
          <w:szCs w:val="24"/>
        </w:rPr>
        <w:t xml:space="preserve">3. Research methodology </w:t>
      </w:r>
    </w:p>
    <w:p w14:paraId="73BEAE50" w14:textId="77777777" w:rsidR="000D3816" w:rsidRDefault="000D3816" w:rsidP="000D3816">
      <w:pPr>
        <w:rPr>
          <w:szCs w:val="24"/>
        </w:rPr>
      </w:pPr>
      <w:r>
        <w:t>This study investigates associations between corporate governance structures and ESG performance among publicly listed Asian firms over 2015-2024. The period coincides with greater formalisation of sustainability reporting across several Asian jurisdictions, but the empirical design does not include a direct measure of regulatory intensity. Regulation is therefore treated as institutional context rather than an explanatory variable. The initial Bloomberg sample was screened for the availability of ESG, governance, and financial information and for continuity of firm observations. The final unbalanced panel contains 884 firms and 7,201 firm-year observations. Baseline regressions include firm-level controls, ICB-based industry effects and year effects, with robust standard errors clustered by firm. A separate firm fixed-effects specification and lagged-outcome models are reported as robustness checks. All estimations were conducted in Stata 19.5.</w:t>
      </w:r>
    </w:p>
    <w:p w14:paraId="7532355C" w14:textId="77777777" w:rsidR="000D3816" w:rsidRDefault="000D3816" w:rsidP="000D3816">
      <w:pPr>
        <w:rPr>
          <w:szCs w:val="24"/>
        </w:rPr>
      </w:pPr>
    </w:p>
    <w:p w14:paraId="223605D5" w14:textId="77777777" w:rsidR="000D3816" w:rsidRPr="000D3816" w:rsidRDefault="000D3816" w:rsidP="000D3816">
      <w:pPr>
        <w:rPr>
          <w:b/>
          <w:szCs w:val="24"/>
        </w:rPr>
      </w:pPr>
      <w:r w:rsidRPr="000D3816">
        <w:rPr>
          <w:b/>
          <w:szCs w:val="24"/>
        </w:rPr>
        <w:t>3.1</w:t>
      </w:r>
      <w:r w:rsidR="002E0C7F">
        <w:rPr>
          <w:b/>
          <w:szCs w:val="24"/>
        </w:rPr>
        <w:t xml:space="preserve">. </w:t>
      </w:r>
      <w:r w:rsidRPr="000D3816">
        <w:rPr>
          <w:b/>
          <w:szCs w:val="24"/>
        </w:rPr>
        <w:t>Variable Measurement</w:t>
      </w:r>
    </w:p>
    <w:p w14:paraId="0D8A7627" w14:textId="77777777" w:rsidR="000D3816" w:rsidRPr="000D3816" w:rsidRDefault="000D3816" w:rsidP="000D3816">
      <w:pPr>
        <w:rPr>
          <w:b/>
          <w:szCs w:val="24"/>
        </w:rPr>
      </w:pPr>
      <w:r w:rsidRPr="000D3816">
        <w:rPr>
          <w:b/>
          <w:szCs w:val="24"/>
        </w:rPr>
        <w:t>3.1.1</w:t>
      </w:r>
      <w:r w:rsidR="002E0C7F">
        <w:rPr>
          <w:b/>
          <w:szCs w:val="24"/>
        </w:rPr>
        <w:t xml:space="preserve">. </w:t>
      </w:r>
      <w:r w:rsidRPr="000D3816">
        <w:rPr>
          <w:b/>
          <w:szCs w:val="24"/>
        </w:rPr>
        <w:t>Dependent Variable: Sustainability Performance</w:t>
      </w:r>
    </w:p>
    <w:p w14:paraId="13E36B5F" w14:textId="77777777" w:rsidR="000D3816" w:rsidRPr="000D3816" w:rsidRDefault="000D3816" w:rsidP="000D3816">
      <w:pPr>
        <w:rPr>
          <w:szCs w:val="24"/>
        </w:rPr>
      </w:pPr>
      <w:r>
        <w:t>The dependent variables are Bloomberg's composite ESG score and its environmental (ENV), social (SOC), and governance (GOV) pillar scores. These Bloomberg measures are the operational measures used in every empirical model. They should not be interpreted as GRI scores and are not constructed from the GRI framework. GRI is relevant only as part of the broader sustainability-reporting literature and as a conceptual reference for multidimensional reporting. To avoid conflating frameworks, the revised manuscript refers to the Bloomberg ESG methodology when describing measurement and removes statements implying that the empirical score is 'aligned with' or equivalent to GRI.</w:t>
      </w:r>
    </w:p>
    <w:p w14:paraId="169ACDA4" w14:textId="77777777" w:rsidR="000D3816" w:rsidRPr="00437BBA" w:rsidRDefault="000D3816" w:rsidP="000D3816">
      <w:pPr>
        <w:rPr>
          <w:rFonts w:ascii="Times New Roman" w:hAnsi="Times New Roman" w:cs="Times New Roman"/>
        </w:rPr>
      </w:pPr>
    </w:p>
    <w:p w14:paraId="4BCFD3E9" w14:textId="77777777" w:rsidR="000D3816" w:rsidRPr="000D3816" w:rsidRDefault="000D3816" w:rsidP="000D3816">
      <w:pPr>
        <w:rPr>
          <w:b/>
          <w:szCs w:val="24"/>
        </w:rPr>
      </w:pPr>
      <w:r w:rsidRPr="000D3816">
        <w:rPr>
          <w:b/>
          <w:szCs w:val="24"/>
        </w:rPr>
        <w:t>3.1.2</w:t>
      </w:r>
      <w:r w:rsidR="002E0C7F">
        <w:rPr>
          <w:b/>
          <w:szCs w:val="24"/>
        </w:rPr>
        <w:t xml:space="preserve">. </w:t>
      </w:r>
      <w:r w:rsidRPr="000D3816">
        <w:rPr>
          <w:b/>
          <w:szCs w:val="24"/>
        </w:rPr>
        <w:t>Independent Variables: Corporate Governance Structures</w:t>
      </w:r>
    </w:p>
    <w:p w14:paraId="7F01687C" w14:textId="77777777" w:rsidR="000D3816" w:rsidRPr="000D3816" w:rsidRDefault="000D3816" w:rsidP="000D3816">
      <w:pPr>
        <w:rPr>
          <w:szCs w:val="24"/>
        </w:rPr>
      </w:pPr>
      <w:r w:rsidRPr="000D3816">
        <w:rPr>
          <w:szCs w:val="24"/>
        </w:rPr>
        <w:t xml:space="preserve">Corporate governance research increasingly recognizes that board structures influence sustainability performance through their effects on monitoring effectiveness, strategic oversight, and stakeholder engagement. Drawing on the theoretical framework developed in Section 2, this study considers both traditional monitoring mechanisms and sustainability-oriented governance structures. Traditional governance mechanisms reflect board monitoring and control functions commonly </w:t>
      </w:r>
      <w:proofErr w:type="spellStart"/>
      <w:r w:rsidRPr="000D3816">
        <w:rPr>
          <w:szCs w:val="24"/>
        </w:rPr>
        <w:t>emphasised</w:t>
      </w:r>
      <w:proofErr w:type="spellEnd"/>
      <w:r w:rsidRPr="000D3816">
        <w:rPr>
          <w:szCs w:val="24"/>
        </w:rPr>
        <w:t xml:space="preserve"> in agency theory, including board structure and leadership arrangements that may influence managerial accountability in sustainability decision-making (Jensen and Meckling, 1976; Fama and Jensen, 1983). At the same time, stakeholder-oriented governance mechanisms capture board composition and </w:t>
      </w:r>
      <w:r w:rsidR="00322E43" w:rsidRPr="000D3816">
        <w:rPr>
          <w:szCs w:val="24"/>
        </w:rPr>
        <w:t>specialized</w:t>
      </w:r>
      <w:r w:rsidRPr="000D3816">
        <w:rPr>
          <w:szCs w:val="24"/>
        </w:rPr>
        <w:t xml:space="preserve"> oversight structures that enhance stakeholder representation and attention to ESG issues. Prior studies show that governance attributes such as gender diversity and sustainability committees can strengthen firms’ responsiveness to environmental and social challenges and improve sustainability outcomes (Liao et al., 2015; </w:t>
      </w:r>
      <w:proofErr w:type="spellStart"/>
      <w:r w:rsidRPr="000D3816">
        <w:rPr>
          <w:szCs w:val="24"/>
        </w:rPr>
        <w:t>Cucari</w:t>
      </w:r>
      <w:proofErr w:type="spellEnd"/>
      <w:r w:rsidRPr="000D3816">
        <w:rPr>
          <w:szCs w:val="24"/>
        </w:rPr>
        <w:t xml:space="preserve"> et al., 2018; Abdullah et al., 2024). By examining these governance attributes jointly, the study adopts a multi-mechanism governance perspective, enabling a more comprehensive assessment of how governance structures shape sustainability performance within Asia’s increasingly regulated sustainability environment. All governance variables are formally defined in Table 1.</w:t>
      </w:r>
    </w:p>
    <w:p w14:paraId="74124AE4" w14:textId="77777777" w:rsidR="000D3816" w:rsidRPr="00437BBA" w:rsidRDefault="000D3816" w:rsidP="000D3816">
      <w:pPr>
        <w:rPr>
          <w:rFonts w:ascii="Times New Roman" w:hAnsi="Times New Roman" w:cs="Times New Roman"/>
        </w:rPr>
      </w:pPr>
    </w:p>
    <w:p w14:paraId="7CCFF1C1" w14:textId="77777777" w:rsidR="000D3816" w:rsidRPr="000D3816" w:rsidRDefault="000D3816" w:rsidP="000D3816">
      <w:pPr>
        <w:rPr>
          <w:b/>
          <w:szCs w:val="24"/>
        </w:rPr>
      </w:pPr>
      <w:r w:rsidRPr="000D3816">
        <w:rPr>
          <w:b/>
          <w:szCs w:val="24"/>
        </w:rPr>
        <w:t>3.1.3</w:t>
      </w:r>
      <w:r w:rsidR="002E0C7F">
        <w:rPr>
          <w:b/>
          <w:szCs w:val="24"/>
        </w:rPr>
        <w:t xml:space="preserve">. </w:t>
      </w:r>
      <w:r w:rsidRPr="000D3816">
        <w:rPr>
          <w:b/>
          <w:szCs w:val="24"/>
        </w:rPr>
        <w:t>Control Variables</w:t>
      </w:r>
    </w:p>
    <w:p w14:paraId="507A6CBA" w14:textId="77777777" w:rsidR="000D3816" w:rsidRPr="000D3816" w:rsidRDefault="000D3816" w:rsidP="002E0C7F">
      <w:pPr>
        <w:rPr>
          <w:szCs w:val="24"/>
        </w:rPr>
      </w:pPr>
      <w:r w:rsidRPr="000D3816">
        <w:rPr>
          <w:szCs w:val="24"/>
        </w:rPr>
        <w:lastRenderedPageBreak/>
        <w:t>Following established ESG and corporate governance research, the analysis includes firm-level control variables that may influence sustainability performance. These controls account for differences in firms’ financial capacity, organisational characteristics, and stakeholder exposure that may affect ESG outcomes (</w:t>
      </w:r>
      <w:proofErr w:type="spellStart"/>
      <w:r w:rsidRPr="000D3816">
        <w:rPr>
          <w:szCs w:val="24"/>
        </w:rPr>
        <w:t>Naciti</w:t>
      </w:r>
      <w:proofErr w:type="spellEnd"/>
      <w:r w:rsidRPr="000D3816">
        <w:rPr>
          <w:szCs w:val="24"/>
        </w:rPr>
        <w:t>, 2019; Abdullah et al., 2024; Atif et al., 2021).</w:t>
      </w:r>
      <w:r>
        <w:t xml:space="preserve"> Firm age (FAGE) is measured as the number of years since incorporation and controls for differences in organisational maturity and accumulated firm experience.</w:t>
      </w:r>
    </w:p>
    <w:p w14:paraId="03A9FFE7" w14:textId="77777777" w:rsidR="0029605A" w:rsidRDefault="000D3816" w:rsidP="002E0C7F">
      <w:pPr>
        <w:rPr>
          <w:szCs w:val="24"/>
        </w:rPr>
      </w:pPr>
      <w:r w:rsidRPr="000D3816">
        <w:rPr>
          <w:szCs w:val="24"/>
        </w:rPr>
        <w:t>In addition, industry and year fixed effects are included to control for sector-specific sustainability expectations and time-specific macroeconomic and regulatory developments. This approach reduces the risk that the estimated governance effects are driven by unobserved industry characteristics or changes in the Asian sustainability regulatory environment. All variables included in the analysis are defined in Ta</w:t>
      </w:r>
      <w:r w:rsidR="002E0C7F">
        <w:rPr>
          <w:szCs w:val="24"/>
        </w:rPr>
        <w:t>b</w:t>
      </w:r>
      <w:r w:rsidRPr="000D3816">
        <w:rPr>
          <w:szCs w:val="24"/>
        </w:rPr>
        <w:t>le 1.</w:t>
      </w:r>
    </w:p>
    <w:p w14:paraId="2BCAFCB6" w14:textId="77777777" w:rsidR="002E0C7F" w:rsidRDefault="002E0C7F" w:rsidP="002E0C7F">
      <w:pPr>
        <w:rPr>
          <w:szCs w:val="24"/>
        </w:rPr>
      </w:pPr>
    </w:p>
    <w:p w14:paraId="254DAA03" w14:textId="77777777" w:rsidR="002E0C7F" w:rsidRPr="002E0C7F" w:rsidRDefault="002E0C7F" w:rsidP="002E0C7F">
      <w:pPr>
        <w:rPr>
          <w:szCs w:val="24"/>
        </w:rPr>
      </w:pPr>
      <w:r w:rsidRPr="002E0C7F">
        <w:rPr>
          <w:b/>
          <w:szCs w:val="24"/>
        </w:rPr>
        <w:t>Table 1</w:t>
      </w:r>
      <w:r w:rsidRPr="002E0C7F">
        <w:rPr>
          <w:szCs w:val="24"/>
        </w:rPr>
        <w:t>. Variable definition</w:t>
      </w:r>
    </w:p>
    <w:tbl>
      <w:tblPr>
        <w:tblpPr w:leftFromText="180" w:rightFromText="180" w:vertAnchor="text" w:horzAnchor="margin" w:tblpXSpec="center" w:tblpY="771"/>
        <w:tblW w:w="11380" w:type="dxa"/>
        <w:tblLook w:val="04A0" w:firstRow="1" w:lastRow="0" w:firstColumn="1" w:lastColumn="0" w:noHBand="0" w:noVBand="1"/>
      </w:tblPr>
      <w:tblGrid>
        <w:gridCol w:w="2340"/>
        <w:gridCol w:w="1040"/>
        <w:gridCol w:w="8180"/>
      </w:tblGrid>
      <w:tr w:rsidR="002E0C7F" w:rsidRPr="002E0C7F" w14:paraId="19B76520" w14:textId="77777777" w:rsidTr="00322E43">
        <w:trPr>
          <w:trHeight w:val="281"/>
        </w:trPr>
        <w:tc>
          <w:tcPr>
            <w:tcW w:w="2340" w:type="dxa"/>
            <w:tcBorders>
              <w:top w:val="single" w:sz="4" w:space="0" w:color="auto"/>
              <w:bottom w:val="single" w:sz="4" w:space="0" w:color="auto"/>
            </w:tcBorders>
            <w:noWrap/>
            <w:hideMark/>
          </w:tcPr>
          <w:p w14:paraId="2F7FEB0A" w14:textId="77777777" w:rsidR="002E0C7F" w:rsidRPr="002E0C7F" w:rsidRDefault="002E0C7F" w:rsidP="0003282E">
            <w:pPr>
              <w:rPr>
                <w:rFonts w:asciiTheme="majorHAnsi" w:eastAsia="Times New Roman" w:hAnsiTheme="majorHAnsi" w:cstheme="majorHAnsi"/>
                <w:b/>
                <w:bCs/>
                <w:color w:val="000000"/>
                <w:sz w:val="22"/>
                <w:lang w:eastAsia="en-GB"/>
              </w:rPr>
            </w:pPr>
            <w:r w:rsidRPr="002E0C7F">
              <w:rPr>
                <w:rFonts w:asciiTheme="majorHAnsi" w:eastAsia="Times New Roman" w:hAnsiTheme="majorHAnsi" w:cstheme="majorHAnsi"/>
                <w:b/>
                <w:bCs/>
                <w:color w:val="000000"/>
                <w:sz w:val="22"/>
                <w:lang w:eastAsia="en-GB"/>
              </w:rPr>
              <w:t>Variable</w:t>
            </w:r>
          </w:p>
        </w:tc>
        <w:tc>
          <w:tcPr>
            <w:tcW w:w="860" w:type="dxa"/>
            <w:tcBorders>
              <w:top w:val="single" w:sz="4" w:space="0" w:color="auto"/>
              <w:bottom w:val="single" w:sz="4" w:space="0" w:color="auto"/>
            </w:tcBorders>
            <w:noWrap/>
            <w:hideMark/>
          </w:tcPr>
          <w:p w14:paraId="5968B014" w14:textId="77777777" w:rsidR="002E0C7F" w:rsidRPr="002E0C7F" w:rsidRDefault="002E0C7F" w:rsidP="0003282E">
            <w:pPr>
              <w:rPr>
                <w:rFonts w:asciiTheme="majorHAnsi" w:eastAsia="Times New Roman" w:hAnsiTheme="majorHAnsi" w:cstheme="majorHAnsi"/>
                <w:b/>
                <w:bCs/>
                <w:color w:val="000000"/>
                <w:sz w:val="22"/>
                <w:lang w:eastAsia="en-GB"/>
              </w:rPr>
            </w:pPr>
            <w:r w:rsidRPr="002E0C7F">
              <w:rPr>
                <w:rFonts w:asciiTheme="majorHAnsi" w:eastAsia="Times New Roman" w:hAnsiTheme="majorHAnsi" w:cstheme="majorHAnsi"/>
                <w:b/>
                <w:bCs/>
                <w:color w:val="000000"/>
                <w:sz w:val="22"/>
                <w:lang w:eastAsia="en-GB"/>
              </w:rPr>
              <w:t>Acronym</w:t>
            </w:r>
          </w:p>
        </w:tc>
        <w:tc>
          <w:tcPr>
            <w:tcW w:w="8180" w:type="dxa"/>
            <w:tcBorders>
              <w:top w:val="single" w:sz="4" w:space="0" w:color="auto"/>
              <w:bottom w:val="single" w:sz="4" w:space="0" w:color="auto"/>
            </w:tcBorders>
            <w:noWrap/>
            <w:hideMark/>
          </w:tcPr>
          <w:p w14:paraId="2037DA1E" w14:textId="77777777" w:rsidR="002E0C7F" w:rsidRPr="002E0C7F" w:rsidRDefault="002E0C7F" w:rsidP="0003282E">
            <w:pPr>
              <w:rPr>
                <w:rFonts w:asciiTheme="majorHAnsi" w:eastAsia="Times New Roman" w:hAnsiTheme="majorHAnsi" w:cstheme="majorHAnsi"/>
                <w:b/>
                <w:bCs/>
                <w:color w:val="000000"/>
                <w:sz w:val="22"/>
                <w:lang w:eastAsia="en-GB"/>
              </w:rPr>
            </w:pPr>
            <w:r w:rsidRPr="002E0C7F">
              <w:rPr>
                <w:rFonts w:asciiTheme="majorHAnsi" w:eastAsia="Times New Roman" w:hAnsiTheme="majorHAnsi" w:cstheme="majorHAnsi"/>
                <w:b/>
                <w:bCs/>
                <w:color w:val="000000"/>
                <w:sz w:val="22"/>
                <w:lang w:eastAsia="en-GB"/>
              </w:rPr>
              <w:t>Measurement / Definition</w:t>
            </w:r>
          </w:p>
        </w:tc>
      </w:tr>
      <w:tr w:rsidR="002E0C7F" w:rsidRPr="002E0C7F" w14:paraId="66B84AE9" w14:textId="77777777" w:rsidTr="00322E43">
        <w:trPr>
          <w:trHeight w:val="281"/>
        </w:trPr>
        <w:tc>
          <w:tcPr>
            <w:tcW w:w="2340" w:type="dxa"/>
            <w:tcBorders>
              <w:top w:val="single" w:sz="4" w:space="0" w:color="auto"/>
            </w:tcBorders>
            <w:noWrap/>
            <w:hideMark/>
          </w:tcPr>
          <w:p w14:paraId="2BAF4741" w14:textId="77777777" w:rsidR="002E0C7F" w:rsidRPr="002E0C7F" w:rsidRDefault="002E0C7F" w:rsidP="0003282E">
            <w:pPr>
              <w:rPr>
                <w:rFonts w:asciiTheme="majorHAnsi" w:eastAsia="Times New Roman" w:hAnsiTheme="majorHAnsi" w:cstheme="majorHAnsi"/>
                <w:b/>
                <w:bCs/>
                <w:color w:val="000000"/>
                <w:sz w:val="22"/>
                <w:lang w:eastAsia="en-GB"/>
              </w:rPr>
            </w:pPr>
            <w:r w:rsidRPr="002E0C7F">
              <w:rPr>
                <w:rFonts w:asciiTheme="majorHAnsi" w:eastAsia="Times New Roman" w:hAnsiTheme="majorHAnsi" w:cstheme="majorHAnsi"/>
                <w:b/>
                <w:bCs/>
                <w:color w:val="000000"/>
                <w:sz w:val="22"/>
                <w:lang w:eastAsia="en-GB"/>
              </w:rPr>
              <w:t>Dependent</w:t>
            </w:r>
            <w:r w:rsidR="00322E43">
              <w:rPr>
                <w:rFonts w:asciiTheme="majorHAnsi" w:eastAsia="Times New Roman" w:hAnsiTheme="majorHAnsi" w:cstheme="majorHAnsi"/>
                <w:b/>
                <w:bCs/>
                <w:color w:val="000000"/>
                <w:sz w:val="22"/>
                <w:lang w:eastAsia="en-GB"/>
              </w:rPr>
              <w:t xml:space="preserve"> </w:t>
            </w:r>
            <w:r w:rsidRPr="002E0C7F">
              <w:rPr>
                <w:rFonts w:asciiTheme="majorHAnsi" w:eastAsia="Times New Roman" w:hAnsiTheme="majorHAnsi" w:cstheme="majorHAnsi"/>
                <w:b/>
                <w:bCs/>
                <w:color w:val="000000"/>
                <w:sz w:val="22"/>
                <w:lang w:eastAsia="en-GB"/>
              </w:rPr>
              <w:t>Variable</w:t>
            </w:r>
          </w:p>
        </w:tc>
        <w:tc>
          <w:tcPr>
            <w:tcW w:w="860" w:type="dxa"/>
            <w:tcBorders>
              <w:top w:val="single" w:sz="4" w:space="0" w:color="auto"/>
            </w:tcBorders>
            <w:noWrap/>
            <w:hideMark/>
          </w:tcPr>
          <w:p w14:paraId="7E4D5F27" w14:textId="77777777" w:rsidR="002E0C7F" w:rsidRPr="002E0C7F" w:rsidRDefault="002E0C7F" w:rsidP="0003282E">
            <w:pPr>
              <w:rPr>
                <w:rFonts w:asciiTheme="majorHAnsi" w:eastAsia="Times New Roman" w:hAnsiTheme="majorHAnsi" w:cstheme="majorHAnsi"/>
                <w:b/>
                <w:bCs/>
                <w:color w:val="000000"/>
                <w:sz w:val="22"/>
                <w:lang w:eastAsia="en-GB"/>
              </w:rPr>
            </w:pPr>
          </w:p>
        </w:tc>
        <w:tc>
          <w:tcPr>
            <w:tcW w:w="8180" w:type="dxa"/>
            <w:tcBorders>
              <w:top w:val="single" w:sz="4" w:space="0" w:color="auto"/>
            </w:tcBorders>
            <w:noWrap/>
            <w:hideMark/>
          </w:tcPr>
          <w:p w14:paraId="79485380" w14:textId="77777777" w:rsidR="002E0C7F" w:rsidRPr="002E0C7F" w:rsidRDefault="002E0C7F" w:rsidP="0003282E">
            <w:pPr>
              <w:rPr>
                <w:rFonts w:asciiTheme="majorHAnsi" w:eastAsia="Times New Roman" w:hAnsiTheme="majorHAnsi" w:cstheme="majorHAnsi"/>
                <w:sz w:val="22"/>
                <w:lang w:eastAsia="en-GB"/>
              </w:rPr>
            </w:pPr>
          </w:p>
        </w:tc>
      </w:tr>
      <w:tr w:rsidR="002E0C7F" w:rsidRPr="002E0C7F" w14:paraId="60A0DDB8" w14:textId="77777777" w:rsidTr="00322E43">
        <w:trPr>
          <w:trHeight w:val="272"/>
        </w:trPr>
        <w:tc>
          <w:tcPr>
            <w:tcW w:w="2340" w:type="dxa"/>
            <w:noWrap/>
            <w:hideMark/>
          </w:tcPr>
          <w:p w14:paraId="471EBEC3"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ESG Performance</w:t>
            </w:r>
          </w:p>
        </w:tc>
        <w:tc>
          <w:tcPr>
            <w:tcW w:w="860" w:type="dxa"/>
            <w:noWrap/>
            <w:hideMark/>
          </w:tcPr>
          <w:p w14:paraId="01890AD2"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ESG</w:t>
            </w:r>
          </w:p>
        </w:tc>
        <w:tc>
          <w:tcPr>
            <w:tcW w:w="8180" w:type="dxa"/>
            <w:vAlign w:val="bottom"/>
            <w:hideMark/>
          </w:tcPr>
          <w:p w14:paraId="0170D4D0"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Bloomberg composite ESG score measuring firms’ overall environmental, social, and governance performance.</w:t>
            </w:r>
          </w:p>
        </w:tc>
      </w:tr>
      <w:tr w:rsidR="002E0C7F" w:rsidRPr="002E0C7F" w14:paraId="719F4472" w14:textId="77777777" w:rsidTr="00322E43">
        <w:trPr>
          <w:trHeight w:val="599"/>
        </w:trPr>
        <w:tc>
          <w:tcPr>
            <w:tcW w:w="2340" w:type="dxa"/>
            <w:noWrap/>
            <w:hideMark/>
          </w:tcPr>
          <w:p w14:paraId="1666BCFD"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Environmental Performance</w:t>
            </w:r>
          </w:p>
        </w:tc>
        <w:tc>
          <w:tcPr>
            <w:tcW w:w="860" w:type="dxa"/>
            <w:noWrap/>
            <w:hideMark/>
          </w:tcPr>
          <w:p w14:paraId="7E6CF8AB"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ENV</w:t>
            </w:r>
          </w:p>
        </w:tc>
        <w:tc>
          <w:tcPr>
            <w:tcW w:w="8180" w:type="dxa"/>
            <w:vAlign w:val="bottom"/>
            <w:hideMark/>
          </w:tcPr>
          <w:p w14:paraId="358CB241"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Bloomberg environmental pillar score reflecting firms’ environmental performance in areas such as emissions, resource use, and environmental innovation.</w:t>
            </w:r>
          </w:p>
        </w:tc>
      </w:tr>
      <w:tr w:rsidR="002E0C7F" w:rsidRPr="002E0C7F" w14:paraId="24DCE518" w14:textId="77777777" w:rsidTr="00322E43">
        <w:trPr>
          <w:trHeight w:val="336"/>
        </w:trPr>
        <w:tc>
          <w:tcPr>
            <w:tcW w:w="2340" w:type="dxa"/>
            <w:noWrap/>
            <w:hideMark/>
          </w:tcPr>
          <w:p w14:paraId="0611CBA5"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Social Performance</w:t>
            </w:r>
          </w:p>
        </w:tc>
        <w:tc>
          <w:tcPr>
            <w:tcW w:w="860" w:type="dxa"/>
            <w:noWrap/>
            <w:hideMark/>
          </w:tcPr>
          <w:p w14:paraId="73BE20BA"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SOC</w:t>
            </w:r>
          </w:p>
        </w:tc>
        <w:tc>
          <w:tcPr>
            <w:tcW w:w="8180" w:type="dxa"/>
            <w:vAlign w:val="bottom"/>
            <w:hideMark/>
          </w:tcPr>
          <w:p w14:paraId="5FFA6AB7"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Bloomberg social pillar score capturing workforce practices, human rights, community engagement, and product responsibility.</w:t>
            </w:r>
          </w:p>
        </w:tc>
      </w:tr>
      <w:tr w:rsidR="002E0C7F" w:rsidRPr="002E0C7F" w14:paraId="61AFE556" w14:textId="77777777" w:rsidTr="00322E43">
        <w:trPr>
          <w:trHeight w:val="315"/>
        </w:trPr>
        <w:tc>
          <w:tcPr>
            <w:tcW w:w="2340" w:type="dxa"/>
            <w:noWrap/>
            <w:hideMark/>
          </w:tcPr>
          <w:p w14:paraId="494D91CD"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Governance Performance</w:t>
            </w:r>
          </w:p>
        </w:tc>
        <w:tc>
          <w:tcPr>
            <w:tcW w:w="860" w:type="dxa"/>
            <w:noWrap/>
            <w:hideMark/>
          </w:tcPr>
          <w:p w14:paraId="3FDF3546"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GOV</w:t>
            </w:r>
          </w:p>
        </w:tc>
        <w:tc>
          <w:tcPr>
            <w:tcW w:w="8180" w:type="dxa"/>
            <w:vAlign w:val="bottom"/>
            <w:hideMark/>
          </w:tcPr>
          <w:p w14:paraId="710B8310"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Bloomberg governance pillar score reflecting board structure, shareholder rights, and corporate governance practices.</w:t>
            </w:r>
          </w:p>
        </w:tc>
      </w:tr>
      <w:tr w:rsidR="002E0C7F" w:rsidRPr="002E0C7F" w14:paraId="0710F291" w14:textId="77777777" w:rsidTr="00322E43">
        <w:trPr>
          <w:trHeight w:val="281"/>
        </w:trPr>
        <w:tc>
          <w:tcPr>
            <w:tcW w:w="2340" w:type="dxa"/>
            <w:noWrap/>
            <w:hideMark/>
          </w:tcPr>
          <w:p w14:paraId="33FDFD11" w14:textId="77777777" w:rsidR="002E0C7F" w:rsidRPr="002E0C7F" w:rsidRDefault="002E0C7F" w:rsidP="0003282E">
            <w:pPr>
              <w:rPr>
                <w:rFonts w:asciiTheme="majorHAnsi" w:eastAsia="Times New Roman" w:hAnsiTheme="majorHAnsi" w:cstheme="majorHAnsi"/>
                <w:b/>
                <w:bCs/>
                <w:color w:val="000000"/>
                <w:sz w:val="22"/>
                <w:lang w:eastAsia="en-GB"/>
              </w:rPr>
            </w:pPr>
            <w:r w:rsidRPr="002E0C7F">
              <w:rPr>
                <w:rFonts w:asciiTheme="majorHAnsi" w:eastAsia="Times New Roman" w:hAnsiTheme="majorHAnsi" w:cstheme="majorHAnsi"/>
                <w:b/>
                <w:bCs/>
                <w:color w:val="000000"/>
                <w:sz w:val="22"/>
                <w:lang w:eastAsia="en-GB"/>
              </w:rPr>
              <w:t>Independent</w:t>
            </w:r>
            <w:r w:rsidR="00322E43">
              <w:rPr>
                <w:rFonts w:asciiTheme="majorHAnsi" w:eastAsia="Times New Roman" w:hAnsiTheme="majorHAnsi" w:cstheme="majorHAnsi"/>
                <w:b/>
                <w:bCs/>
                <w:color w:val="000000"/>
                <w:sz w:val="22"/>
                <w:lang w:eastAsia="en-GB"/>
              </w:rPr>
              <w:t xml:space="preserve"> </w:t>
            </w:r>
            <w:r w:rsidRPr="002E0C7F">
              <w:rPr>
                <w:rFonts w:asciiTheme="majorHAnsi" w:eastAsia="Times New Roman" w:hAnsiTheme="majorHAnsi" w:cstheme="majorHAnsi"/>
                <w:b/>
                <w:bCs/>
                <w:color w:val="000000"/>
                <w:sz w:val="22"/>
                <w:lang w:eastAsia="en-GB"/>
              </w:rPr>
              <w:t>Variables</w:t>
            </w:r>
          </w:p>
        </w:tc>
        <w:tc>
          <w:tcPr>
            <w:tcW w:w="860" w:type="dxa"/>
            <w:noWrap/>
            <w:hideMark/>
          </w:tcPr>
          <w:p w14:paraId="31E25370" w14:textId="77777777" w:rsidR="002E0C7F" w:rsidRPr="002E0C7F" w:rsidRDefault="002E0C7F" w:rsidP="0003282E">
            <w:pPr>
              <w:rPr>
                <w:rFonts w:asciiTheme="majorHAnsi" w:eastAsia="Times New Roman" w:hAnsiTheme="majorHAnsi" w:cstheme="majorHAnsi"/>
                <w:b/>
                <w:bCs/>
                <w:color w:val="000000"/>
                <w:sz w:val="22"/>
                <w:lang w:eastAsia="en-GB"/>
              </w:rPr>
            </w:pPr>
          </w:p>
        </w:tc>
        <w:tc>
          <w:tcPr>
            <w:tcW w:w="8180" w:type="dxa"/>
            <w:noWrap/>
            <w:hideMark/>
          </w:tcPr>
          <w:p w14:paraId="52A7B67E" w14:textId="77777777" w:rsidR="002E0C7F" w:rsidRPr="002E0C7F" w:rsidRDefault="002E0C7F" w:rsidP="0003282E">
            <w:pPr>
              <w:rPr>
                <w:rFonts w:asciiTheme="majorHAnsi" w:eastAsia="Times New Roman" w:hAnsiTheme="majorHAnsi" w:cstheme="majorHAnsi"/>
                <w:sz w:val="22"/>
                <w:lang w:eastAsia="en-GB"/>
              </w:rPr>
            </w:pPr>
          </w:p>
        </w:tc>
      </w:tr>
      <w:tr w:rsidR="002E0C7F" w:rsidRPr="002E0C7F" w14:paraId="05FC48C1" w14:textId="77777777" w:rsidTr="00322E43">
        <w:trPr>
          <w:trHeight w:val="315"/>
        </w:trPr>
        <w:tc>
          <w:tcPr>
            <w:tcW w:w="2340" w:type="dxa"/>
            <w:noWrap/>
            <w:hideMark/>
          </w:tcPr>
          <w:p w14:paraId="303662A5"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Board Size</w:t>
            </w:r>
          </w:p>
        </w:tc>
        <w:tc>
          <w:tcPr>
            <w:tcW w:w="860" w:type="dxa"/>
            <w:noWrap/>
            <w:hideMark/>
          </w:tcPr>
          <w:p w14:paraId="31730FBC"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BSIZE</w:t>
            </w:r>
          </w:p>
        </w:tc>
        <w:tc>
          <w:tcPr>
            <w:tcW w:w="8180" w:type="dxa"/>
            <w:vAlign w:val="bottom"/>
            <w:hideMark/>
          </w:tcPr>
          <w:p w14:paraId="262F7731"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Total number of directors on the board.</w:t>
            </w:r>
          </w:p>
        </w:tc>
      </w:tr>
      <w:tr w:rsidR="002E0C7F" w:rsidRPr="002E0C7F" w14:paraId="72AC02D6" w14:textId="77777777" w:rsidTr="00322E43">
        <w:trPr>
          <w:trHeight w:val="336"/>
        </w:trPr>
        <w:tc>
          <w:tcPr>
            <w:tcW w:w="2340" w:type="dxa"/>
            <w:noWrap/>
            <w:hideMark/>
          </w:tcPr>
          <w:p w14:paraId="3A7FBF33"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Board Independence</w:t>
            </w:r>
          </w:p>
        </w:tc>
        <w:tc>
          <w:tcPr>
            <w:tcW w:w="860" w:type="dxa"/>
            <w:noWrap/>
            <w:hideMark/>
          </w:tcPr>
          <w:p w14:paraId="51D6CC03"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BIND</w:t>
            </w:r>
          </w:p>
        </w:tc>
        <w:tc>
          <w:tcPr>
            <w:tcW w:w="8180" w:type="dxa"/>
            <w:vAlign w:val="bottom"/>
            <w:hideMark/>
          </w:tcPr>
          <w:p w14:paraId="385D69AE"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Proportion of independent non-executive directors on the board.</w:t>
            </w:r>
          </w:p>
        </w:tc>
      </w:tr>
      <w:tr w:rsidR="002E0C7F" w:rsidRPr="002E0C7F" w14:paraId="26EDE84C" w14:textId="77777777" w:rsidTr="00322E43">
        <w:trPr>
          <w:trHeight w:val="299"/>
        </w:trPr>
        <w:tc>
          <w:tcPr>
            <w:tcW w:w="2340" w:type="dxa"/>
            <w:noWrap/>
            <w:hideMark/>
          </w:tcPr>
          <w:p w14:paraId="4BF5C8A6"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CEO Duality</w:t>
            </w:r>
          </w:p>
        </w:tc>
        <w:tc>
          <w:tcPr>
            <w:tcW w:w="860" w:type="dxa"/>
            <w:noWrap/>
            <w:hideMark/>
          </w:tcPr>
          <w:p w14:paraId="2F1F5A5A"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CEOD</w:t>
            </w:r>
          </w:p>
        </w:tc>
        <w:tc>
          <w:tcPr>
            <w:tcW w:w="8180" w:type="dxa"/>
            <w:vAlign w:val="bottom"/>
            <w:hideMark/>
          </w:tcPr>
          <w:p w14:paraId="60DA0490"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Dummy variable equal to 1 if the CEO also serves as board chair, and 0 otherwise.</w:t>
            </w:r>
          </w:p>
        </w:tc>
      </w:tr>
      <w:tr w:rsidR="002E0C7F" w:rsidRPr="002E0C7F" w14:paraId="3E6C9DCC" w14:textId="77777777" w:rsidTr="00322E43">
        <w:trPr>
          <w:trHeight w:val="599"/>
        </w:trPr>
        <w:tc>
          <w:tcPr>
            <w:tcW w:w="2340" w:type="dxa"/>
            <w:noWrap/>
            <w:hideMark/>
          </w:tcPr>
          <w:p w14:paraId="0FF5793D"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Board Gender Diversity</w:t>
            </w:r>
          </w:p>
        </w:tc>
        <w:tc>
          <w:tcPr>
            <w:tcW w:w="860" w:type="dxa"/>
            <w:noWrap/>
            <w:hideMark/>
          </w:tcPr>
          <w:p w14:paraId="5738D387"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BGD</w:t>
            </w:r>
          </w:p>
        </w:tc>
        <w:tc>
          <w:tcPr>
            <w:tcW w:w="8180" w:type="dxa"/>
            <w:hideMark/>
          </w:tcPr>
          <w:p w14:paraId="3A17CEFD"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sz w:val="22"/>
              </w:rPr>
              <w:t xml:space="preserve">The Blau index measures the diversity within a population </w:t>
            </w:r>
            <m:oMath>
              <m:r>
                <w:rPr>
                  <w:rFonts w:ascii="Cambria Math" w:eastAsia="Arial" w:hAnsi="Cambria Math" w:cstheme="majorHAnsi"/>
                  <w:color w:val="000000"/>
                  <w:sz w:val="22"/>
                </w:rPr>
                <m:t>Blau</m:t>
              </m:r>
              <m:r>
                <m:rPr>
                  <m:sty m:val="p"/>
                </m:rPr>
                <w:rPr>
                  <w:rFonts w:ascii="Cambria Math" w:eastAsia="Arial" w:hAnsi="Cambria Math" w:cstheme="majorHAnsi"/>
                  <w:color w:val="000000"/>
                  <w:sz w:val="22"/>
                </w:rPr>
                <m:t xml:space="preserve"> </m:t>
              </m:r>
              <m:r>
                <w:rPr>
                  <w:rFonts w:ascii="Cambria Math" w:eastAsia="Arial" w:hAnsi="Cambria Math" w:cstheme="majorHAnsi"/>
                  <w:color w:val="000000"/>
                  <w:sz w:val="22"/>
                </w:rPr>
                <m:t>Index</m:t>
              </m:r>
              <m:r>
                <m:rPr>
                  <m:sty m:val="p"/>
                </m:rPr>
                <w:rPr>
                  <w:rFonts w:ascii="Cambria Math" w:eastAsia="Arial" w:hAnsi="Cambria Math" w:cstheme="majorHAnsi"/>
                  <w:color w:val="000000"/>
                  <w:sz w:val="22"/>
                </w:rPr>
                <m:t xml:space="preserve"> = </m:t>
              </m:r>
              <m:r>
                <m:rPr>
                  <m:sty m:val="p"/>
                </m:rPr>
                <w:rPr>
                  <w:rFonts w:ascii="Cambria Math" w:eastAsia="Cambria Math" w:hAnsi="Cambria Math" w:cstheme="majorHAnsi"/>
                  <w:color w:val="000000"/>
                  <w:sz w:val="22"/>
                </w:rPr>
                <m:t>1-</m:t>
              </m:r>
              <m:nary>
                <m:naryPr>
                  <m:chr m:val="∑"/>
                  <m:limLoc m:val="subSup"/>
                  <m:ctrlPr>
                    <w:rPr>
                      <w:rFonts w:ascii="Cambria Math" w:eastAsia="Cambria Math" w:hAnsi="Cambria Math" w:cstheme="majorHAnsi"/>
                      <w:color w:val="000000"/>
                      <w:sz w:val="22"/>
                    </w:rPr>
                  </m:ctrlPr>
                </m:naryPr>
                <m:sub>
                  <m:r>
                    <w:rPr>
                      <w:rFonts w:ascii="Cambria Math" w:eastAsia="Cambria Math" w:hAnsi="Cambria Math" w:cstheme="majorHAnsi"/>
                      <w:color w:val="000000"/>
                      <w:sz w:val="22"/>
                    </w:rPr>
                    <m:t>i</m:t>
                  </m:r>
                  <m:r>
                    <m:rPr>
                      <m:sty m:val="p"/>
                    </m:rPr>
                    <w:rPr>
                      <w:rFonts w:ascii="Cambria Math" w:eastAsia="Cambria Math" w:hAnsi="Cambria Math" w:cstheme="majorHAnsi"/>
                      <w:color w:val="000000"/>
                      <w:sz w:val="22"/>
                    </w:rPr>
                    <m:t>=1</m:t>
                  </m:r>
                </m:sub>
                <m:sup>
                  <m:r>
                    <w:rPr>
                      <w:rFonts w:ascii="Cambria Math" w:eastAsia="Cambria Math" w:hAnsi="Cambria Math" w:cstheme="majorHAnsi"/>
                      <w:color w:val="000000"/>
                      <w:sz w:val="22"/>
                    </w:rPr>
                    <m:t>n</m:t>
                  </m:r>
                </m:sup>
                <m:e>
                  <m:sSubSup>
                    <m:sSubSupPr>
                      <m:ctrlPr>
                        <w:rPr>
                          <w:rFonts w:ascii="Cambria Math" w:hAnsi="Cambria Math" w:cstheme="majorHAnsi"/>
                          <w:sz w:val="22"/>
                        </w:rPr>
                      </m:ctrlPr>
                    </m:sSubSupPr>
                    <m:e>
                      <m:r>
                        <w:rPr>
                          <w:rFonts w:ascii="Cambria Math" w:hAnsi="Cambria Math" w:cstheme="majorHAnsi"/>
                          <w:sz w:val="22"/>
                        </w:rPr>
                        <m:t>p</m:t>
                      </m:r>
                    </m:e>
                    <m:sub>
                      <m:r>
                        <w:rPr>
                          <w:rFonts w:ascii="Cambria Math" w:hAnsi="Cambria Math" w:cstheme="majorHAnsi"/>
                          <w:sz w:val="22"/>
                        </w:rPr>
                        <m:t>i</m:t>
                      </m:r>
                    </m:sub>
                    <m:sup>
                      <m:r>
                        <m:rPr>
                          <m:sty m:val="p"/>
                        </m:rPr>
                        <w:rPr>
                          <w:rFonts w:ascii="Cambria Math" w:hAnsi="Cambria Math" w:cstheme="majorHAnsi"/>
                          <w:sz w:val="22"/>
                        </w:rPr>
                        <m:t>2</m:t>
                      </m:r>
                    </m:sup>
                  </m:sSubSup>
                </m:e>
              </m:nary>
            </m:oMath>
            <w:r w:rsidRPr="002E0C7F">
              <w:rPr>
                <w:rFonts w:asciiTheme="majorHAnsi" w:hAnsiTheme="majorHAnsi" w:cstheme="majorHAnsi"/>
                <w:color w:val="000000"/>
                <w:sz w:val="22"/>
              </w:rPr>
              <w:t xml:space="preserve"> where Pi is the percentage of board members in each category (two: male/female) and n is the total number of board members</w:t>
            </w:r>
          </w:p>
        </w:tc>
      </w:tr>
      <w:tr w:rsidR="002E0C7F" w:rsidRPr="002E0C7F" w14:paraId="46C78260" w14:textId="77777777" w:rsidTr="00322E43">
        <w:trPr>
          <w:trHeight w:val="351"/>
        </w:trPr>
        <w:tc>
          <w:tcPr>
            <w:tcW w:w="2340" w:type="dxa"/>
            <w:noWrap/>
            <w:hideMark/>
          </w:tcPr>
          <w:p w14:paraId="67EE6570"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Sustainability Committee</w:t>
            </w:r>
          </w:p>
        </w:tc>
        <w:tc>
          <w:tcPr>
            <w:tcW w:w="860" w:type="dxa"/>
            <w:noWrap/>
            <w:hideMark/>
          </w:tcPr>
          <w:p w14:paraId="3FB65AB8"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SC</w:t>
            </w:r>
          </w:p>
        </w:tc>
        <w:tc>
          <w:tcPr>
            <w:tcW w:w="8180" w:type="dxa"/>
            <w:hideMark/>
          </w:tcPr>
          <w:p w14:paraId="51C3274C"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Dummy variable equal to 1 if the firm has a dedicated sustainability (or CSR/ESG) committee at board level; 0 otherwise.</w:t>
            </w:r>
          </w:p>
        </w:tc>
      </w:tr>
      <w:tr w:rsidR="002E0C7F" w:rsidRPr="002E0C7F" w14:paraId="296CCF21" w14:textId="77777777" w:rsidTr="00322E43">
        <w:trPr>
          <w:trHeight w:val="281"/>
        </w:trPr>
        <w:tc>
          <w:tcPr>
            <w:tcW w:w="2340" w:type="dxa"/>
            <w:noWrap/>
            <w:hideMark/>
          </w:tcPr>
          <w:p w14:paraId="6EE168B3" w14:textId="77777777" w:rsidR="002E0C7F" w:rsidRPr="002E0C7F" w:rsidRDefault="002E0C7F" w:rsidP="0003282E">
            <w:pPr>
              <w:rPr>
                <w:rFonts w:asciiTheme="majorHAnsi" w:eastAsia="Times New Roman" w:hAnsiTheme="majorHAnsi" w:cstheme="majorHAnsi"/>
                <w:b/>
                <w:bCs/>
                <w:color w:val="000000"/>
                <w:sz w:val="22"/>
                <w:lang w:eastAsia="en-GB"/>
              </w:rPr>
            </w:pPr>
            <w:r w:rsidRPr="002E0C7F">
              <w:rPr>
                <w:rFonts w:asciiTheme="majorHAnsi" w:eastAsia="Times New Roman" w:hAnsiTheme="majorHAnsi" w:cstheme="majorHAnsi"/>
                <w:b/>
                <w:bCs/>
                <w:color w:val="000000"/>
                <w:sz w:val="22"/>
                <w:lang w:eastAsia="en-GB"/>
              </w:rPr>
              <w:t>Control Variables</w:t>
            </w:r>
          </w:p>
        </w:tc>
        <w:tc>
          <w:tcPr>
            <w:tcW w:w="860" w:type="dxa"/>
            <w:noWrap/>
            <w:hideMark/>
          </w:tcPr>
          <w:p w14:paraId="587A9456" w14:textId="77777777" w:rsidR="002E0C7F" w:rsidRPr="002E0C7F" w:rsidRDefault="002E0C7F" w:rsidP="0003282E">
            <w:pPr>
              <w:rPr>
                <w:rFonts w:asciiTheme="majorHAnsi" w:eastAsia="Times New Roman" w:hAnsiTheme="majorHAnsi" w:cstheme="majorHAnsi"/>
                <w:b/>
                <w:bCs/>
                <w:color w:val="000000"/>
                <w:sz w:val="22"/>
                <w:lang w:eastAsia="en-GB"/>
              </w:rPr>
            </w:pPr>
          </w:p>
        </w:tc>
        <w:tc>
          <w:tcPr>
            <w:tcW w:w="8180" w:type="dxa"/>
            <w:noWrap/>
            <w:hideMark/>
          </w:tcPr>
          <w:p w14:paraId="71998413" w14:textId="77777777" w:rsidR="002E0C7F" w:rsidRPr="002E0C7F" w:rsidRDefault="002E0C7F" w:rsidP="0003282E">
            <w:pPr>
              <w:rPr>
                <w:rFonts w:asciiTheme="majorHAnsi" w:eastAsia="Times New Roman" w:hAnsiTheme="majorHAnsi" w:cstheme="majorHAnsi"/>
                <w:sz w:val="22"/>
                <w:lang w:eastAsia="en-GB"/>
              </w:rPr>
            </w:pPr>
          </w:p>
        </w:tc>
      </w:tr>
      <w:tr w:rsidR="002E0C7F" w:rsidRPr="002E0C7F" w14:paraId="2B1CF61C" w14:textId="77777777" w:rsidTr="00322E43">
        <w:trPr>
          <w:trHeight w:val="299"/>
        </w:trPr>
        <w:tc>
          <w:tcPr>
            <w:tcW w:w="2340" w:type="dxa"/>
            <w:noWrap/>
            <w:hideMark/>
          </w:tcPr>
          <w:p w14:paraId="4E52F323"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Profitability</w:t>
            </w:r>
          </w:p>
        </w:tc>
        <w:tc>
          <w:tcPr>
            <w:tcW w:w="860" w:type="dxa"/>
            <w:noWrap/>
            <w:hideMark/>
          </w:tcPr>
          <w:p w14:paraId="5F4670DC"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ROA</w:t>
            </w:r>
          </w:p>
        </w:tc>
        <w:tc>
          <w:tcPr>
            <w:tcW w:w="8180" w:type="dxa"/>
            <w:vAlign w:val="bottom"/>
            <w:hideMark/>
          </w:tcPr>
          <w:p w14:paraId="2C649E63"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Return on assets, calculated as earnings before interest and taxes divided by total assets.</w:t>
            </w:r>
          </w:p>
        </w:tc>
      </w:tr>
      <w:tr w:rsidR="002E0C7F" w:rsidRPr="002E0C7F" w14:paraId="03D520CC" w14:textId="77777777" w:rsidTr="00322E43">
        <w:trPr>
          <w:trHeight w:val="299"/>
        </w:trPr>
        <w:tc>
          <w:tcPr>
            <w:tcW w:w="2340" w:type="dxa"/>
            <w:noWrap/>
            <w:hideMark/>
          </w:tcPr>
          <w:p w14:paraId="111A6837"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Firm Size</w:t>
            </w:r>
          </w:p>
        </w:tc>
        <w:tc>
          <w:tcPr>
            <w:tcW w:w="860" w:type="dxa"/>
            <w:noWrap/>
            <w:hideMark/>
          </w:tcPr>
          <w:p w14:paraId="3D1CC9DE"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FSIZE</w:t>
            </w:r>
          </w:p>
        </w:tc>
        <w:tc>
          <w:tcPr>
            <w:tcW w:w="8180" w:type="dxa"/>
            <w:vAlign w:val="bottom"/>
            <w:hideMark/>
          </w:tcPr>
          <w:p w14:paraId="147912DB"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Natural logarithm of total assets.</w:t>
            </w:r>
          </w:p>
        </w:tc>
      </w:tr>
      <w:tr w:rsidR="002E0C7F" w:rsidRPr="002E0C7F" w14:paraId="5AD9967F" w14:textId="77777777" w:rsidTr="00322E43">
        <w:trPr>
          <w:trHeight w:val="299"/>
        </w:trPr>
        <w:tc>
          <w:tcPr>
            <w:tcW w:w="2340" w:type="dxa"/>
            <w:noWrap/>
            <w:hideMark/>
          </w:tcPr>
          <w:p w14:paraId="2257DF4B"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Firm Age</w:t>
            </w:r>
          </w:p>
        </w:tc>
        <w:tc>
          <w:tcPr>
            <w:tcW w:w="860" w:type="dxa"/>
            <w:noWrap/>
            <w:hideMark/>
          </w:tcPr>
          <w:p w14:paraId="201E0808"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FAGE</w:t>
            </w:r>
          </w:p>
        </w:tc>
        <w:tc>
          <w:tcPr>
            <w:tcW w:w="8180" w:type="dxa"/>
            <w:vAlign w:val="bottom"/>
            <w:hideMark/>
          </w:tcPr>
          <w:p w14:paraId="3B26CED5" w14:textId="77777777" w:rsidR="00C018B1" w:rsidRDefault="00000000">
            <w:r>
              <w:t>Number of years since firm incorporation.</w:t>
            </w:r>
          </w:p>
        </w:tc>
      </w:tr>
      <w:tr w:rsidR="002E0C7F" w:rsidRPr="002E0C7F" w14:paraId="7ADA8F2B" w14:textId="77777777" w:rsidTr="00322E43">
        <w:trPr>
          <w:trHeight w:val="299"/>
        </w:trPr>
        <w:tc>
          <w:tcPr>
            <w:tcW w:w="2340" w:type="dxa"/>
            <w:noWrap/>
            <w:hideMark/>
          </w:tcPr>
          <w:p w14:paraId="686F6D29"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Leverage</w:t>
            </w:r>
          </w:p>
        </w:tc>
        <w:tc>
          <w:tcPr>
            <w:tcW w:w="860" w:type="dxa"/>
            <w:noWrap/>
            <w:hideMark/>
          </w:tcPr>
          <w:p w14:paraId="15BBB4BC"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LEV</w:t>
            </w:r>
          </w:p>
        </w:tc>
        <w:tc>
          <w:tcPr>
            <w:tcW w:w="8180" w:type="dxa"/>
            <w:vAlign w:val="bottom"/>
            <w:hideMark/>
          </w:tcPr>
          <w:p w14:paraId="5D1146EB"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Total debt divided by total assets.</w:t>
            </w:r>
          </w:p>
        </w:tc>
      </w:tr>
      <w:tr w:rsidR="002E0C7F" w:rsidRPr="002E0C7F" w14:paraId="59BE7F45" w14:textId="77777777" w:rsidTr="00322E43">
        <w:trPr>
          <w:trHeight w:val="299"/>
        </w:trPr>
        <w:tc>
          <w:tcPr>
            <w:tcW w:w="2340" w:type="dxa"/>
            <w:noWrap/>
            <w:hideMark/>
          </w:tcPr>
          <w:p w14:paraId="2DB350BE"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Industry Effects</w:t>
            </w:r>
          </w:p>
        </w:tc>
        <w:tc>
          <w:tcPr>
            <w:tcW w:w="860" w:type="dxa"/>
            <w:noWrap/>
            <w:hideMark/>
          </w:tcPr>
          <w:p w14:paraId="532D670F"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ICB</w:t>
            </w:r>
          </w:p>
        </w:tc>
        <w:tc>
          <w:tcPr>
            <w:tcW w:w="8180" w:type="dxa"/>
            <w:vAlign w:val="bottom"/>
            <w:hideMark/>
          </w:tcPr>
          <w:p w14:paraId="0FD782B8"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Industry dummy variables based on Industry Classification Benchmark (ICB) sectors.</w:t>
            </w:r>
          </w:p>
        </w:tc>
      </w:tr>
      <w:tr w:rsidR="002E0C7F" w:rsidRPr="002E0C7F" w14:paraId="10F3285A" w14:textId="77777777" w:rsidTr="00322E43">
        <w:trPr>
          <w:trHeight w:val="296"/>
        </w:trPr>
        <w:tc>
          <w:tcPr>
            <w:tcW w:w="2340" w:type="dxa"/>
            <w:tcBorders>
              <w:bottom w:val="single" w:sz="4" w:space="0" w:color="auto"/>
            </w:tcBorders>
            <w:noWrap/>
            <w:hideMark/>
          </w:tcPr>
          <w:p w14:paraId="7C255D45"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Year Effects</w:t>
            </w:r>
          </w:p>
        </w:tc>
        <w:tc>
          <w:tcPr>
            <w:tcW w:w="860" w:type="dxa"/>
            <w:tcBorders>
              <w:bottom w:val="single" w:sz="4" w:space="0" w:color="auto"/>
            </w:tcBorders>
            <w:noWrap/>
            <w:hideMark/>
          </w:tcPr>
          <w:p w14:paraId="40780CCA"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eastAsia="Times New Roman" w:hAnsiTheme="majorHAnsi" w:cstheme="majorHAnsi"/>
                <w:color w:val="000000"/>
                <w:sz w:val="22"/>
                <w:lang w:eastAsia="en-GB"/>
              </w:rPr>
              <w:t>YEAR</w:t>
            </w:r>
          </w:p>
        </w:tc>
        <w:tc>
          <w:tcPr>
            <w:tcW w:w="8180" w:type="dxa"/>
            <w:tcBorders>
              <w:bottom w:val="single" w:sz="4" w:space="0" w:color="auto"/>
            </w:tcBorders>
            <w:vAlign w:val="bottom"/>
            <w:hideMark/>
          </w:tcPr>
          <w:p w14:paraId="588F6A70" w14:textId="77777777" w:rsidR="002E0C7F" w:rsidRPr="002E0C7F" w:rsidRDefault="002E0C7F" w:rsidP="0003282E">
            <w:pPr>
              <w:rPr>
                <w:rFonts w:asciiTheme="majorHAnsi" w:eastAsia="Times New Roman" w:hAnsiTheme="majorHAnsi" w:cstheme="majorHAnsi"/>
                <w:color w:val="000000"/>
                <w:sz w:val="22"/>
                <w:lang w:eastAsia="en-GB"/>
              </w:rPr>
            </w:pPr>
            <w:r w:rsidRPr="002E0C7F">
              <w:rPr>
                <w:rFonts w:asciiTheme="majorHAnsi" w:hAnsiTheme="majorHAnsi" w:cstheme="majorHAnsi"/>
                <w:color w:val="000000"/>
                <w:sz w:val="22"/>
              </w:rPr>
              <w:t>Year dummy variables controlling for time-specific macroeconomic and regulatory effects.</w:t>
            </w:r>
          </w:p>
        </w:tc>
      </w:tr>
    </w:tbl>
    <w:p w14:paraId="5B5FBA1E" w14:textId="77777777" w:rsidR="002E0C7F" w:rsidRPr="00D30B9C" w:rsidRDefault="002E0C7F" w:rsidP="001534CF">
      <w:pPr>
        <w:rPr>
          <w:rFonts w:ascii="Times New Roman" w:hAnsi="Times New Roman" w:cs="Times New Roman"/>
          <w:b/>
        </w:rPr>
      </w:pPr>
    </w:p>
    <w:p w14:paraId="0273FE4C" w14:textId="77777777" w:rsidR="009A220E" w:rsidRDefault="009A220E" w:rsidP="00322E43">
      <w:pPr>
        <w:spacing w:line="360" w:lineRule="auto"/>
        <w:rPr>
          <w:b/>
          <w:szCs w:val="24"/>
        </w:rPr>
      </w:pPr>
    </w:p>
    <w:p w14:paraId="36EF6494" w14:textId="77777777" w:rsidR="009A220E" w:rsidRDefault="009A220E" w:rsidP="00322E43">
      <w:pPr>
        <w:spacing w:line="360" w:lineRule="auto"/>
        <w:rPr>
          <w:b/>
          <w:szCs w:val="24"/>
        </w:rPr>
      </w:pPr>
    </w:p>
    <w:p w14:paraId="18F259BD" w14:textId="77777777" w:rsidR="009A220E" w:rsidRDefault="009A220E" w:rsidP="00322E43">
      <w:pPr>
        <w:spacing w:line="360" w:lineRule="auto"/>
        <w:rPr>
          <w:b/>
          <w:szCs w:val="24"/>
        </w:rPr>
      </w:pPr>
    </w:p>
    <w:p w14:paraId="24695538" w14:textId="77777777" w:rsidR="00424F42" w:rsidRDefault="00424F42" w:rsidP="00322E43">
      <w:pPr>
        <w:spacing w:line="360" w:lineRule="auto"/>
        <w:rPr>
          <w:b/>
          <w:szCs w:val="24"/>
        </w:rPr>
      </w:pPr>
    </w:p>
    <w:p w14:paraId="77F7099A" w14:textId="77777777" w:rsidR="00322E43" w:rsidRPr="00322E43" w:rsidRDefault="00322E43" w:rsidP="00322E43">
      <w:pPr>
        <w:spacing w:line="360" w:lineRule="auto"/>
        <w:rPr>
          <w:b/>
          <w:szCs w:val="24"/>
        </w:rPr>
      </w:pPr>
      <w:r w:rsidRPr="00322E43">
        <w:rPr>
          <w:b/>
          <w:szCs w:val="24"/>
        </w:rPr>
        <w:t>3.2. Sample Selection</w:t>
      </w:r>
    </w:p>
    <w:p w14:paraId="5B3844FE" w14:textId="77777777" w:rsidR="00322E43" w:rsidRPr="00322E43" w:rsidRDefault="00322E43" w:rsidP="00322E43">
      <w:pPr>
        <w:rPr>
          <w:rFonts w:asciiTheme="majorHAnsi" w:hAnsiTheme="majorHAnsi" w:cstheme="majorHAnsi"/>
        </w:rPr>
      </w:pPr>
      <w:r>
        <w:lastRenderedPageBreak/>
        <w:t>The final sample comprises 884 publicly listed firms observed from 2015 to 2024, yielding 7,201 firm-year observations in an unbalanced panel. Firms entered the initial Bloomberg sample when the required ESG, governance, and financial fields were available during the study window. Observations were excluded for missing Bloomberg ESG scores, incomplete governance or financial variables, or delisting, merger, or acquisition during the observation window, as summarised in Table 2. Table 2A reports the distribution of the 884 sample firms across the 15 Asian economies represented in the final sample. Country inclusion reflects the availability of sufficiently complete Bloomberg ESG, governance, and financial information during 2015-2024 rather than an attempt to cover every Asian equity market. Table 3 reports the seven aggregated industry groups used to describe the sector composition of the sample.</w:t>
      </w:r>
    </w:p>
    <w:p w14:paraId="18BB9B6B" w14:textId="77777777" w:rsidR="00322E43" w:rsidRPr="00437BBA" w:rsidRDefault="00322E43" w:rsidP="00322E43">
      <w:pPr>
        <w:rPr>
          <w:rFonts w:ascii="Times New Roman" w:hAnsi="Times New Roman" w:cs="Times New Roman"/>
        </w:rPr>
      </w:pPr>
    </w:p>
    <w:p w14:paraId="704614DC" w14:textId="77777777" w:rsidR="00322E43" w:rsidRPr="00322E43" w:rsidRDefault="00322E43" w:rsidP="00322E43">
      <w:pPr>
        <w:spacing w:line="360" w:lineRule="auto"/>
        <w:rPr>
          <w:rFonts w:asciiTheme="majorHAnsi" w:hAnsiTheme="majorHAnsi" w:cstheme="majorHAnsi"/>
        </w:rPr>
      </w:pPr>
      <w:r w:rsidRPr="00322E43">
        <w:rPr>
          <w:rFonts w:asciiTheme="majorHAnsi" w:hAnsiTheme="majorHAnsi" w:cstheme="majorHAnsi"/>
          <w:b/>
          <w:bCs/>
        </w:rPr>
        <w:t>Table 2.</w:t>
      </w:r>
      <w:r w:rsidRPr="00322E43">
        <w:rPr>
          <w:rFonts w:asciiTheme="majorHAnsi" w:hAnsiTheme="majorHAnsi" w:cstheme="majorHAnsi"/>
        </w:rPr>
        <w:t xml:space="preserve"> Sample selection</w:t>
      </w:r>
    </w:p>
    <w:tbl>
      <w:tblPr>
        <w:tblW w:w="9864" w:type="dxa"/>
        <w:tblInd w:w="-580" w:type="dxa"/>
        <w:tblLook w:val="04A0" w:firstRow="1" w:lastRow="0" w:firstColumn="1" w:lastColumn="0" w:noHBand="0" w:noVBand="1"/>
      </w:tblPr>
      <w:tblGrid>
        <w:gridCol w:w="1480"/>
        <w:gridCol w:w="6001"/>
        <w:gridCol w:w="845"/>
        <w:gridCol w:w="1538"/>
      </w:tblGrid>
      <w:tr w:rsidR="00322E43" w:rsidRPr="00322E43" w14:paraId="7C0F53B7" w14:textId="77777777" w:rsidTr="00322E43">
        <w:trPr>
          <w:trHeight w:val="659"/>
        </w:trPr>
        <w:tc>
          <w:tcPr>
            <w:tcW w:w="1480" w:type="dxa"/>
            <w:tcBorders>
              <w:top w:val="single" w:sz="4" w:space="0" w:color="auto"/>
              <w:left w:val="nil"/>
              <w:bottom w:val="single" w:sz="4" w:space="0" w:color="auto"/>
              <w:right w:val="nil"/>
            </w:tcBorders>
            <w:noWrap/>
            <w:vAlign w:val="bottom"/>
            <w:hideMark/>
          </w:tcPr>
          <w:p w14:paraId="4B9B3694" w14:textId="77777777" w:rsidR="00322E43" w:rsidRPr="00322E43" w:rsidRDefault="00322E43" w:rsidP="0003282E">
            <w:pPr>
              <w:rPr>
                <w:rFonts w:asciiTheme="majorHAnsi" w:eastAsia="Times New Roman" w:hAnsiTheme="majorHAnsi" w:cstheme="majorHAnsi"/>
                <w:b/>
                <w:bCs/>
                <w:color w:val="000000"/>
                <w:lang w:eastAsia="en-GB"/>
              </w:rPr>
            </w:pPr>
            <w:r w:rsidRPr="00322E43">
              <w:rPr>
                <w:rFonts w:asciiTheme="majorHAnsi" w:eastAsia="Times New Roman" w:hAnsiTheme="majorHAnsi" w:cstheme="majorHAnsi"/>
                <w:b/>
                <w:bCs/>
                <w:color w:val="000000"/>
                <w:lang w:eastAsia="en-GB"/>
              </w:rPr>
              <w:t>Step</w:t>
            </w:r>
          </w:p>
        </w:tc>
        <w:tc>
          <w:tcPr>
            <w:tcW w:w="6001" w:type="dxa"/>
            <w:tcBorders>
              <w:top w:val="single" w:sz="4" w:space="0" w:color="auto"/>
              <w:left w:val="nil"/>
              <w:bottom w:val="single" w:sz="4" w:space="0" w:color="auto"/>
              <w:right w:val="nil"/>
            </w:tcBorders>
            <w:noWrap/>
            <w:vAlign w:val="bottom"/>
            <w:hideMark/>
          </w:tcPr>
          <w:p w14:paraId="1C89B2F2" w14:textId="77777777" w:rsidR="00322E43" w:rsidRPr="00322E43" w:rsidRDefault="00322E43" w:rsidP="0003282E">
            <w:pPr>
              <w:rPr>
                <w:rFonts w:asciiTheme="majorHAnsi" w:eastAsia="Times New Roman" w:hAnsiTheme="majorHAnsi" w:cstheme="majorHAnsi"/>
                <w:b/>
                <w:bCs/>
                <w:color w:val="000000"/>
                <w:lang w:eastAsia="en-GB"/>
              </w:rPr>
            </w:pPr>
            <w:r w:rsidRPr="00322E43">
              <w:rPr>
                <w:rFonts w:asciiTheme="majorHAnsi" w:eastAsia="Times New Roman" w:hAnsiTheme="majorHAnsi" w:cstheme="majorHAnsi"/>
                <w:b/>
                <w:bCs/>
                <w:color w:val="000000"/>
                <w:lang w:eastAsia="en-GB"/>
              </w:rPr>
              <w:t>Description</w:t>
            </w:r>
          </w:p>
        </w:tc>
        <w:tc>
          <w:tcPr>
            <w:tcW w:w="845" w:type="dxa"/>
            <w:tcBorders>
              <w:top w:val="single" w:sz="4" w:space="0" w:color="auto"/>
              <w:left w:val="nil"/>
              <w:bottom w:val="single" w:sz="4" w:space="0" w:color="auto"/>
              <w:right w:val="nil"/>
            </w:tcBorders>
            <w:noWrap/>
            <w:vAlign w:val="bottom"/>
            <w:hideMark/>
          </w:tcPr>
          <w:p w14:paraId="69A2A5F5" w14:textId="77777777" w:rsidR="00322E43" w:rsidRPr="00322E43" w:rsidRDefault="00322E43" w:rsidP="00322E43">
            <w:pPr>
              <w:jc w:val="center"/>
              <w:rPr>
                <w:rFonts w:asciiTheme="majorHAnsi" w:eastAsia="Times New Roman" w:hAnsiTheme="majorHAnsi" w:cstheme="majorHAnsi"/>
                <w:b/>
                <w:bCs/>
                <w:color w:val="000000"/>
                <w:lang w:eastAsia="en-GB"/>
              </w:rPr>
            </w:pPr>
            <w:r w:rsidRPr="00322E43">
              <w:rPr>
                <w:rFonts w:asciiTheme="majorHAnsi" w:eastAsia="Times New Roman" w:hAnsiTheme="majorHAnsi" w:cstheme="majorHAnsi"/>
                <w:b/>
                <w:bCs/>
                <w:color w:val="000000"/>
                <w:lang w:eastAsia="en-GB"/>
              </w:rPr>
              <w:t>Firms</w:t>
            </w:r>
          </w:p>
        </w:tc>
        <w:tc>
          <w:tcPr>
            <w:tcW w:w="1538" w:type="dxa"/>
            <w:tcBorders>
              <w:top w:val="single" w:sz="4" w:space="0" w:color="auto"/>
              <w:left w:val="nil"/>
              <w:bottom w:val="single" w:sz="4" w:space="0" w:color="auto"/>
              <w:right w:val="nil"/>
            </w:tcBorders>
            <w:vAlign w:val="bottom"/>
            <w:hideMark/>
          </w:tcPr>
          <w:p w14:paraId="1FC5A31D" w14:textId="77777777" w:rsidR="00322E43" w:rsidRPr="00322E43" w:rsidRDefault="00322E43" w:rsidP="00322E43">
            <w:pPr>
              <w:jc w:val="center"/>
              <w:rPr>
                <w:rFonts w:asciiTheme="majorHAnsi" w:eastAsia="Times New Roman" w:hAnsiTheme="majorHAnsi" w:cstheme="majorHAnsi"/>
                <w:b/>
                <w:bCs/>
                <w:color w:val="000000"/>
                <w:lang w:eastAsia="en-GB"/>
              </w:rPr>
            </w:pPr>
            <w:r w:rsidRPr="00322E43">
              <w:rPr>
                <w:rFonts w:asciiTheme="majorHAnsi" w:eastAsia="Times New Roman" w:hAnsiTheme="majorHAnsi" w:cstheme="majorHAnsi"/>
                <w:b/>
                <w:bCs/>
                <w:color w:val="000000"/>
                <w:lang w:eastAsia="en-GB"/>
              </w:rPr>
              <w:t>Firm-year observations</w:t>
            </w:r>
          </w:p>
        </w:tc>
      </w:tr>
      <w:tr w:rsidR="00322E43" w:rsidRPr="00322E43" w14:paraId="3E643503" w14:textId="77777777" w:rsidTr="00322E43">
        <w:trPr>
          <w:trHeight w:val="659"/>
        </w:trPr>
        <w:tc>
          <w:tcPr>
            <w:tcW w:w="1480" w:type="dxa"/>
            <w:tcBorders>
              <w:top w:val="nil"/>
              <w:left w:val="nil"/>
              <w:bottom w:val="nil"/>
              <w:right w:val="nil"/>
            </w:tcBorders>
            <w:noWrap/>
            <w:vAlign w:val="bottom"/>
            <w:hideMark/>
          </w:tcPr>
          <w:p w14:paraId="730B9EEB"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1</w:t>
            </w:r>
          </w:p>
        </w:tc>
        <w:tc>
          <w:tcPr>
            <w:tcW w:w="6001" w:type="dxa"/>
            <w:tcBorders>
              <w:top w:val="nil"/>
              <w:left w:val="nil"/>
              <w:bottom w:val="nil"/>
              <w:right w:val="nil"/>
            </w:tcBorders>
            <w:vAlign w:val="bottom"/>
            <w:hideMark/>
          </w:tcPr>
          <w:p w14:paraId="1FDC9EED"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hAnsiTheme="majorHAnsi" w:cstheme="majorHAnsi"/>
              </w:rPr>
              <w:t>Initial sample: Top listed firms across major Asian economies available in Bloomberg (2015–2024)</w:t>
            </w:r>
          </w:p>
        </w:tc>
        <w:tc>
          <w:tcPr>
            <w:tcW w:w="845" w:type="dxa"/>
            <w:tcBorders>
              <w:top w:val="nil"/>
              <w:left w:val="nil"/>
              <w:bottom w:val="nil"/>
              <w:right w:val="nil"/>
            </w:tcBorders>
            <w:noWrap/>
            <w:vAlign w:val="bottom"/>
            <w:hideMark/>
          </w:tcPr>
          <w:p w14:paraId="6DC99FD2"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1,062</w:t>
            </w:r>
          </w:p>
        </w:tc>
        <w:tc>
          <w:tcPr>
            <w:tcW w:w="1538" w:type="dxa"/>
            <w:tcBorders>
              <w:top w:val="nil"/>
              <w:left w:val="nil"/>
              <w:bottom w:val="nil"/>
              <w:right w:val="nil"/>
            </w:tcBorders>
            <w:noWrap/>
            <w:vAlign w:val="bottom"/>
            <w:hideMark/>
          </w:tcPr>
          <w:p w14:paraId="6B051E31"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9,184</w:t>
            </w:r>
          </w:p>
        </w:tc>
      </w:tr>
      <w:tr w:rsidR="00322E43" w:rsidRPr="00322E43" w14:paraId="3A147266" w14:textId="77777777" w:rsidTr="00322E43">
        <w:trPr>
          <w:trHeight w:val="310"/>
        </w:trPr>
        <w:tc>
          <w:tcPr>
            <w:tcW w:w="1480" w:type="dxa"/>
            <w:tcBorders>
              <w:top w:val="nil"/>
              <w:left w:val="nil"/>
              <w:bottom w:val="nil"/>
              <w:right w:val="nil"/>
            </w:tcBorders>
            <w:noWrap/>
            <w:vAlign w:val="bottom"/>
            <w:hideMark/>
          </w:tcPr>
          <w:p w14:paraId="25528DA2"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2</w:t>
            </w:r>
          </w:p>
        </w:tc>
        <w:tc>
          <w:tcPr>
            <w:tcW w:w="6001" w:type="dxa"/>
            <w:tcBorders>
              <w:top w:val="nil"/>
              <w:left w:val="nil"/>
              <w:bottom w:val="nil"/>
              <w:right w:val="nil"/>
            </w:tcBorders>
            <w:noWrap/>
            <w:vAlign w:val="bottom"/>
            <w:hideMark/>
          </w:tcPr>
          <w:p w14:paraId="6B1035A6"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Excluded firms with missing ESG data (Bloomberg ESG scores)</w:t>
            </w:r>
          </w:p>
        </w:tc>
        <w:tc>
          <w:tcPr>
            <w:tcW w:w="845" w:type="dxa"/>
            <w:tcBorders>
              <w:top w:val="nil"/>
              <w:left w:val="nil"/>
              <w:bottom w:val="nil"/>
              <w:right w:val="nil"/>
            </w:tcBorders>
            <w:noWrap/>
            <w:vAlign w:val="bottom"/>
            <w:hideMark/>
          </w:tcPr>
          <w:p w14:paraId="67E70B2D"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−112</w:t>
            </w:r>
          </w:p>
        </w:tc>
        <w:tc>
          <w:tcPr>
            <w:tcW w:w="1538" w:type="dxa"/>
            <w:tcBorders>
              <w:top w:val="nil"/>
              <w:left w:val="nil"/>
              <w:bottom w:val="nil"/>
              <w:right w:val="nil"/>
            </w:tcBorders>
            <w:noWrap/>
            <w:vAlign w:val="bottom"/>
            <w:hideMark/>
          </w:tcPr>
          <w:p w14:paraId="25A4B084"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−1,031</w:t>
            </w:r>
          </w:p>
        </w:tc>
      </w:tr>
      <w:tr w:rsidR="00322E43" w:rsidRPr="00322E43" w14:paraId="61128023" w14:textId="77777777" w:rsidTr="00322E43">
        <w:trPr>
          <w:trHeight w:val="310"/>
        </w:trPr>
        <w:tc>
          <w:tcPr>
            <w:tcW w:w="1480" w:type="dxa"/>
            <w:tcBorders>
              <w:top w:val="nil"/>
              <w:left w:val="nil"/>
              <w:bottom w:val="nil"/>
              <w:right w:val="nil"/>
            </w:tcBorders>
            <w:noWrap/>
            <w:vAlign w:val="bottom"/>
            <w:hideMark/>
          </w:tcPr>
          <w:p w14:paraId="3D75809B"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3</w:t>
            </w:r>
          </w:p>
        </w:tc>
        <w:tc>
          <w:tcPr>
            <w:tcW w:w="6001" w:type="dxa"/>
            <w:tcBorders>
              <w:top w:val="nil"/>
              <w:left w:val="nil"/>
              <w:bottom w:val="nil"/>
              <w:right w:val="nil"/>
            </w:tcBorders>
            <w:noWrap/>
            <w:vAlign w:val="bottom"/>
            <w:hideMark/>
          </w:tcPr>
          <w:p w14:paraId="5FD39412"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Excluded firms with incomplete financial or governance data</w:t>
            </w:r>
          </w:p>
        </w:tc>
        <w:tc>
          <w:tcPr>
            <w:tcW w:w="845" w:type="dxa"/>
            <w:tcBorders>
              <w:top w:val="nil"/>
              <w:left w:val="nil"/>
              <w:bottom w:val="nil"/>
              <w:right w:val="nil"/>
            </w:tcBorders>
            <w:noWrap/>
            <w:vAlign w:val="bottom"/>
            <w:hideMark/>
          </w:tcPr>
          <w:p w14:paraId="52E4679B"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−46</w:t>
            </w:r>
          </w:p>
        </w:tc>
        <w:tc>
          <w:tcPr>
            <w:tcW w:w="1538" w:type="dxa"/>
            <w:tcBorders>
              <w:top w:val="nil"/>
              <w:left w:val="nil"/>
              <w:bottom w:val="nil"/>
              <w:right w:val="nil"/>
            </w:tcBorders>
            <w:noWrap/>
            <w:vAlign w:val="bottom"/>
            <w:hideMark/>
          </w:tcPr>
          <w:p w14:paraId="1F6782D2"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−502</w:t>
            </w:r>
          </w:p>
        </w:tc>
      </w:tr>
      <w:tr w:rsidR="00322E43" w:rsidRPr="00322E43" w14:paraId="39F41A87" w14:textId="77777777" w:rsidTr="00322E43">
        <w:trPr>
          <w:trHeight w:val="310"/>
        </w:trPr>
        <w:tc>
          <w:tcPr>
            <w:tcW w:w="1480" w:type="dxa"/>
            <w:tcBorders>
              <w:top w:val="nil"/>
              <w:left w:val="nil"/>
              <w:bottom w:val="nil"/>
              <w:right w:val="nil"/>
            </w:tcBorders>
            <w:noWrap/>
            <w:vAlign w:val="bottom"/>
            <w:hideMark/>
          </w:tcPr>
          <w:p w14:paraId="1DCAB45B"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4</w:t>
            </w:r>
          </w:p>
        </w:tc>
        <w:tc>
          <w:tcPr>
            <w:tcW w:w="6001" w:type="dxa"/>
            <w:tcBorders>
              <w:top w:val="nil"/>
              <w:left w:val="nil"/>
              <w:bottom w:val="nil"/>
              <w:right w:val="nil"/>
            </w:tcBorders>
            <w:noWrap/>
            <w:vAlign w:val="bottom"/>
            <w:hideMark/>
          </w:tcPr>
          <w:p w14:paraId="0475C148"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Excluded firms that were delisted, merged, or acquired during the study period</w:t>
            </w:r>
          </w:p>
        </w:tc>
        <w:tc>
          <w:tcPr>
            <w:tcW w:w="845" w:type="dxa"/>
            <w:tcBorders>
              <w:top w:val="nil"/>
              <w:left w:val="nil"/>
              <w:bottom w:val="nil"/>
              <w:right w:val="nil"/>
            </w:tcBorders>
            <w:noWrap/>
            <w:vAlign w:val="bottom"/>
            <w:hideMark/>
          </w:tcPr>
          <w:p w14:paraId="34849FCE"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−20</w:t>
            </w:r>
          </w:p>
        </w:tc>
        <w:tc>
          <w:tcPr>
            <w:tcW w:w="1538" w:type="dxa"/>
            <w:tcBorders>
              <w:top w:val="nil"/>
              <w:left w:val="nil"/>
              <w:bottom w:val="nil"/>
              <w:right w:val="nil"/>
            </w:tcBorders>
            <w:noWrap/>
            <w:vAlign w:val="bottom"/>
            <w:hideMark/>
          </w:tcPr>
          <w:p w14:paraId="5EF36199" w14:textId="77777777" w:rsidR="00322E43" w:rsidRPr="00322E43" w:rsidRDefault="00322E43" w:rsidP="00322E43">
            <w:pPr>
              <w:jc w:val="cente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−450</w:t>
            </w:r>
          </w:p>
        </w:tc>
      </w:tr>
      <w:tr w:rsidR="00322E43" w:rsidRPr="00322E43" w14:paraId="12C55643" w14:textId="77777777" w:rsidTr="00322E43">
        <w:trPr>
          <w:trHeight w:val="310"/>
        </w:trPr>
        <w:tc>
          <w:tcPr>
            <w:tcW w:w="1480" w:type="dxa"/>
            <w:tcBorders>
              <w:top w:val="nil"/>
              <w:left w:val="nil"/>
              <w:bottom w:val="single" w:sz="4" w:space="0" w:color="auto"/>
              <w:right w:val="nil"/>
            </w:tcBorders>
            <w:noWrap/>
            <w:vAlign w:val="bottom"/>
            <w:hideMark/>
          </w:tcPr>
          <w:p w14:paraId="64AA6EC1" w14:textId="77777777" w:rsidR="00322E43" w:rsidRPr="00322E43" w:rsidRDefault="00322E43" w:rsidP="0003282E">
            <w:pPr>
              <w:rPr>
                <w:rFonts w:asciiTheme="majorHAnsi" w:eastAsia="Times New Roman" w:hAnsiTheme="majorHAnsi" w:cstheme="majorHAnsi"/>
                <w:bCs/>
                <w:color w:val="000000"/>
                <w:lang w:eastAsia="en-GB"/>
              </w:rPr>
            </w:pPr>
            <w:r w:rsidRPr="00322E43">
              <w:rPr>
                <w:rFonts w:asciiTheme="majorHAnsi" w:eastAsia="Times New Roman" w:hAnsiTheme="majorHAnsi" w:cstheme="majorHAnsi"/>
                <w:bCs/>
                <w:color w:val="000000"/>
                <w:lang w:eastAsia="en-GB"/>
              </w:rPr>
              <w:t>Final sample</w:t>
            </w:r>
          </w:p>
        </w:tc>
        <w:tc>
          <w:tcPr>
            <w:tcW w:w="6001" w:type="dxa"/>
            <w:tcBorders>
              <w:top w:val="nil"/>
              <w:left w:val="nil"/>
              <w:bottom w:val="single" w:sz="4" w:space="0" w:color="auto"/>
              <w:right w:val="nil"/>
            </w:tcBorders>
            <w:noWrap/>
            <w:vAlign w:val="bottom"/>
            <w:hideMark/>
          </w:tcPr>
          <w:p w14:paraId="7967C76A" w14:textId="77777777" w:rsidR="00322E43" w:rsidRPr="00322E43" w:rsidRDefault="00322E43" w:rsidP="0003282E">
            <w:pPr>
              <w:rPr>
                <w:rFonts w:asciiTheme="majorHAnsi" w:eastAsia="Times New Roman" w:hAnsiTheme="majorHAnsi" w:cstheme="majorHAnsi"/>
                <w:color w:val="000000"/>
                <w:lang w:eastAsia="en-GB"/>
              </w:rPr>
            </w:pPr>
            <w:r w:rsidRPr="00322E43">
              <w:rPr>
                <w:rFonts w:asciiTheme="majorHAnsi" w:eastAsia="Times New Roman" w:hAnsiTheme="majorHAnsi" w:cstheme="majorHAnsi"/>
                <w:color w:val="000000"/>
                <w:lang w:eastAsia="en-GB"/>
              </w:rPr>
              <w:t>Firms with complete ESG, governance, and financial data</w:t>
            </w:r>
          </w:p>
        </w:tc>
        <w:tc>
          <w:tcPr>
            <w:tcW w:w="845" w:type="dxa"/>
            <w:tcBorders>
              <w:top w:val="nil"/>
              <w:left w:val="nil"/>
              <w:bottom w:val="single" w:sz="4" w:space="0" w:color="auto"/>
              <w:right w:val="nil"/>
            </w:tcBorders>
            <w:noWrap/>
            <w:vAlign w:val="bottom"/>
            <w:hideMark/>
          </w:tcPr>
          <w:p w14:paraId="1D5A1D87" w14:textId="77777777" w:rsidR="00322E43" w:rsidRPr="00322E43" w:rsidRDefault="00322E43" w:rsidP="00322E43">
            <w:pPr>
              <w:jc w:val="center"/>
              <w:rPr>
                <w:rFonts w:asciiTheme="majorHAnsi" w:eastAsia="Times New Roman" w:hAnsiTheme="majorHAnsi" w:cstheme="majorHAnsi"/>
                <w:b/>
                <w:bCs/>
                <w:color w:val="000000"/>
                <w:lang w:eastAsia="en-GB"/>
              </w:rPr>
            </w:pPr>
            <w:r w:rsidRPr="00322E43">
              <w:rPr>
                <w:rFonts w:asciiTheme="majorHAnsi" w:eastAsia="Times New Roman" w:hAnsiTheme="majorHAnsi" w:cstheme="majorHAnsi"/>
                <w:b/>
                <w:bCs/>
                <w:color w:val="000000"/>
                <w:lang w:eastAsia="en-GB"/>
              </w:rPr>
              <w:t>884</w:t>
            </w:r>
          </w:p>
        </w:tc>
        <w:tc>
          <w:tcPr>
            <w:tcW w:w="1538" w:type="dxa"/>
            <w:tcBorders>
              <w:top w:val="nil"/>
              <w:left w:val="nil"/>
              <w:bottom w:val="single" w:sz="4" w:space="0" w:color="auto"/>
              <w:right w:val="nil"/>
            </w:tcBorders>
            <w:noWrap/>
            <w:vAlign w:val="bottom"/>
            <w:hideMark/>
          </w:tcPr>
          <w:p w14:paraId="252B8CCD" w14:textId="77777777" w:rsidR="00322E43" w:rsidRPr="00322E43" w:rsidRDefault="00322E43" w:rsidP="00322E43">
            <w:pPr>
              <w:jc w:val="center"/>
              <w:rPr>
                <w:rFonts w:asciiTheme="majorHAnsi" w:eastAsia="Times New Roman" w:hAnsiTheme="majorHAnsi" w:cstheme="majorHAnsi"/>
                <w:b/>
                <w:bCs/>
                <w:color w:val="000000"/>
                <w:lang w:eastAsia="en-GB"/>
              </w:rPr>
            </w:pPr>
            <w:r w:rsidRPr="00322E43">
              <w:rPr>
                <w:rFonts w:asciiTheme="majorHAnsi" w:eastAsia="Times New Roman" w:hAnsiTheme="majorHAnsi" w:cstheme="majorHAnsi"/>
                <w:b/>
                <w:bCs/>
                <w:color w:val="000000"/>
                <w:lang w:eastAsia="en-GB"/>
              </w:rPr>
              <w:t>7,201</w:t>
            </w:r>
          </w:p>
        </w:tc>
      </w:tr>
    </w:tbl>
    <w:p w14:paraId="378B0E40" w14:textId="77777777" w:rsidR="00C018B1" w:rsidRDefault="00000000">
      <w:r>
        <w:t>Table 2A. Country Distribution of Sample Firms</w:t>
      </w:r>
    </w:p>
    <w:tbl>
      <w:tblPr>
        <w:tblStyle w:val="TableGrid"/>
        <w:tblW w:w="0" w:type="auto"/>
        <w:jc w:val="center"/>
        <w:tblLook w:val="04A0" w:firstRow="1" w:lastRow="0" w:firstColumn="1" w:lastColumn="0" w:noHBand="0" w:noVBand="1"/>
      </w:tblPr>
      <w:tblGrid>
        <w:gridCol w:w="3247"/>
        <w:gridCol w:w="3244"/>
        <w:gridCol w:w="3245"/>
      </w:tblGrid>
      <w:tr w:rsidR="00C018B1" w14:paraId="3D4ED00C" w14:textId="77777777">
        <w:trPr>
          <w:tblHeader/>
          <w:jc w:val="center"/>
        </w:trPr>
        <w:tc>
          <w:tcPr>
            <w:tcW w:w="3249" w:type="dxa"/>
            <w:shd w:val="clear" w:color="auto" w:fill="D9EAF7"/>
            <w:vAlign w:val="center"/>
          </w:tcPr>
          <w:p w14:paraId="6CAE72C8" w14:textId="77777777" w:rsidR="00C018B1" w:rsidRDefault="00000000">
            <w:r>
              <w:rPr>
                <w:b/>
              </w:rPr>
              <w:t>Country/economy</w:t>
            </w:r>
          </w:p>
        </w:tc>
        <w:tc>
          <w:tcPr>
            <w:tcW w:w="3249" w:type="dxa"/>
            <w:shd w:val="clear" w:color="auto" w:fill="D9EAF7"/>
            <w:vAlign w:val="center"/>
          </w:tcPr>
          <w:p w14:paraId="7B765212" w14:textId="77777777" w:rsidR="00C018B1" w:rsidRDefault="00000000">
            <w:r>
              <w:rPr>
                <w:b/>
              </w:rPr>
              <w:t>Number of firms</w:t>
            </w:r>
          </w:p>
        </w:tc>
        <w:tc>
          <w:tcPr>
            <w:tcW w:w="3249" w:type="dxa"/>
            <w:shd w:val="clear" w:color="auto" w:fill="D9EAF7"/>
            <w:vAlign w:val="center"/>
          </w:tcPr>
          <w:p w14:paraId="053780A4" w14:textId="77777777" w:rsidR="00C018B1" w:rsidRDefault="00000000">
            <w:r>
              <w:rPr>
                <w:b/>
              </w:rPr>
              <w:t>Percentage</w:t>
            </w:r>
          </w:p>
        </w:tc>
      </w:tr>
      <w:tr w:rsidR="00C018B1" w14:paraId="33E06768" w14:textId="77777777">
        <w:trPr>
          <w:jc w:val="center"/>
        </w:trPr>
        <w:tc>
          <w:tcPr>
            <w:tcW w:w="3249" w:type="dxa"/>
            <w:vAlign w:val="center"/>
          </w:tcPr>
          <w:p w14:paraId="1390263E" w14:textId="77777777" w:rsidR="00C018B1" w:rsidRDefault="00000000">
            <w:r>
              <w:t>China</w:t>
            </w:r>
          </w:p>
        </w:tc>
        <w:tc>
          <w:tcPr>
            <w:tcW w:w="3249" w:type="dxa"/>
            <w:vAlign w:val="center"/>
          </w:tcPr>
          <w:p w14:paraId="1C17CFC0" w14:textId="77777777" w:rsidR="00C018B1" w:rsidRDefault="00000000">
            <w:r>
              <w:t>178</w:t>
            </w:r>
          </w:p>
        </w:tc>
        <w:tc>
          <w:tcPr>
            <w:tcW w:w="3249" w:type="dxa"/>
            <w:vAlign w:val="center"/>
          </w:tcPr>
          <w:p w14:paraId="5889A734" w14:textId="77777777" w:rsidR="00C018B1" w:rsidRDefault="00000000">
            <w:r>
              <w:t>20.1%</w:t>
            </w:r>
          </w:p>
        </w:tc>
      </w:tr>
      <w:tr w:rsidR="00C018B1" w14:paraId="45F37BF8" w14:textId="77777777">
        <w:trPr>
          <w:jc w:val="center"/>
        </w:trPr>
        <w:tc>
          <w:tcPr>
            <w:tcW w:w="3249" w:type="dxa"/>
            <w:vAlign w:val="center"/>
          </w:tcPr>
          <w:p w14:paraId="42EBE1BD" w14:textId="77777777" w:rsidR="00C018B1" w:rsidRDefault="00000000">
            <w:r>
              <w:t>Japan</w:t>
            </w:r>
          </w:p>
        </w:tc>
        <w:tc>
          <w:tcPr>
            <w:tcW w:w="3249" w:type="dxa"/>
            <w:vAlign w:val="center"/>
          </w:tcPr>
          <w:p w14:paraId="6E3FEB25" w14:textId="77777777" w:rsidR="00C018B1" w:rsidRDefault="00000000">
            <w:r>
              <w:t>130</w:t>
            </w:r>
          </w:p>
        </w:tc>
        <w:tc>
          <w:tcPr>
            <w:tcW w:w="3249" w:type="dxa"/>
            <w:vAlign w:val="center"/>
          </w:tcPr>
          <w:p w14:paraId="252CE254" w14:textId="77777777" w:rsidR="00C018B1" w:rsidRDefault="00000000">
            <w:r>
              <w:t>14.7%</w:t>
            </w:r>
          </w:p>
        </w:tc>
      </w:tr>
      <w:tr w:rsidR="00C018B1" w14:paraId="41115925" w14:textId="77777777">
        <w:trPr>
          <w:jc w:val="center"/>
        </w:trPr>
        <w:tc>
          <w:tcPr>
            <w:tcW w:w="3249" w:type="dxa"/>
            <w:vAlign w:val="center"/>
          </w:tcPr>
          <w:p w14:paraId="28E7AF90" w14:textId="77777777" w:rsidR="00C018B1" w:rsidRDefault="00000000">
            <w:r>
              <w:t>India</w:t>
            </w:r>
          </w:p>
        </w:tc>
        <w:tc>
          <w:tcPr>
            <w:tcW w:w="3249" w:type="dxa"/>
            <w:vAlign w:val="center"/>
          </w:tcPr>
          <w:p w14:paraId="5B46F250" w14:textId="77777777" w:rsidR="00C018B1" w:rsidRDefault="00000000">
            <w:r>
              <w:t>115</w:t>
            </w:r>
          </w:p>
        </w:tc>
        <w:tc>
          <w:tcPr>
            <w:tcW w:w="3249" w:type="dxa"/>
            <w:vAlign w:val="center"/>
          </w:tcPr>
          <w:p w14:paraId="4BCAE072" w14:textId="77777777" w:rsidR="00C018B1" w:rsidRDefault="00000000">
            <w:r>
              <w:t>13.0%</w:t>
            </w:r>
          </w:p>
        </w:tc>
      </w:tr>
      <w:tr w:rsidR="00C018B1" w14:paraId="41E83679" w14:textId="77777777">
        <w:trPr>
          <w:jc w:val="center"/>
        </w:trPr>
        <w:tc>
          <w:tcPr>
            <w:tcW w:w="3249" w:type="dxa"/>
            <w:vAlign w:val="center"/>
          </w:tcPr>
          <w:p w14:paraId="5195B137" w14:textId="77777777" w:rsidR="00C018B1" w:rsidRDefault="00000000">
            <w:r>
              <w:t>South Korea</w:t>
            </w:r>
          </w:p>
        </w:tc>
        <w:tc>
          <w:tcPr>
            <w:tcW w:w="3249" w:type="dxa"/>
            <w:vAlign w:val="center"/>
          </w:tcPr>
          <w:p w14:paraId="76BC5D79" w14:textId="77777777" w:rsidR="00C018B1" w:rsidRDefault="00000000">
            <w:r>
              <w:t>88</w:t>
            </w:r>
          </w:p>
        </w:tc>
        <w:tc>
          <w:tcPr>
            <w:tcW w:w="3249" w:type="dxa"/>
            <w:vAlign w:val="center"/>
          </w:tcPr>
          <w:p w14:paraId="335AEAA3" w14:textId="77777777" w:rsidR="00C018B1" w:rsidRDefault="00000000">
            <w:r>
              <w:t>10.0%</w:t>
            </w:r>
          </w:p>
        </w:tc>
      </w:tr>
      <w:tr w:rsidR="00C018B1" w14:paraId="714BF19D" w14:textId="77777777">
        <w:trPr>
          <w:jc w:val="center"/>
        </w:trPr>
        <w:tc>
          <w:tcPr>
            <w:tcW w:w="3249" w:type="dxa"/>
            <w:vAlign w:val="center"/>
          </w:tcPr>
          <w:p w14:paraId="047E8FD6" w14:textId="77777777" w:rsidR="00C018B1" w:rsidRDefault="00000000">
            <w:r>
              <w:t>Taiwan</w:t>
            </w:r>
          </w:p>
        </w:tc>
        <w:tc>
          <w:tcPr>
            <w:tcW w:w="3249" w:type="dxa"/>
            <w:vAlign w:val="center"/>
          </w:tcPr>
          <w:p w14:paraId="0660A9FC" w14:textId="77777777" w:rsidR="00C018B1" w:rsidRDefault="00000000">
            <w:r>
              <w:t>62</w:t>
            </w:r>
          </w:p>
        </w:tc>
        <w:tc>
          <w:tcPr>
            <w:tcW w:w="3249" w:type="dxa"/>
            <w:vAlign w:val="center"/>
          </w:tcPr>
          <w:p w14:paraId="4565E696" w14:textId="77777777" w:rsidR="00C018B1" w:rsidRDefault="00000000">
            <w:r>
              <w:t>7.0%</w:t>
            </w:r>
          </w:p>
        </w:tc>
      </w:tr>
      <w:tr w:rsidR="00C018B1" w14:paraId="3930BC26" w14:textId="77777777">
        <w:trPr>
          <w:jc w:val="center"/>
        </w:trPr>
        <w:tc>
          <w:tcPr>
            <w:tcW w:w="3249" w:type="dxa"/>
            <w:vAlign w:val="center"/>
          </w:tcPr>
          <w:p w14:paraId="09810E2C" w14:textId="77777777" w:rsidR="00C018B1" w:rsidRDefault="00000000">
            <w:r>
              <w:t>Hong Kong</w:t>
            </w:r>
          </w:p>
        </w:tc>
        <w:tc>
          <w:tcPr>
            <w:tcW w:w="3249" w:type="dxa"/>
            <w:vAlign w:val="center"/>
          </w:tcPr>
          <w:p w14:paraId="37096475" w14:textId="77777777" w:rsidR="00C018B1" w:rsidRDefault="00000000">
            <w:r>
              <w:t>52</w:t>
            </w:r>
          </w:p>
        </w:tc>
        <w:tc>
          <w:tcPr>
            <w:tcW w:w="3249" w:type="dxa"/>
            <w:vAlign w:val="center"/>
          </w:tcPr>
          <w:p w14:paraId="7E5FB85D" w14:textId="77777777" w:rsidR="00C018B1" w:rsidRDefault="00000000">
            <w:r>
              <w:t>5.9%</w:t>
            </w:r>
          </w:p>
        </w:tc>
      </w:tr>
      <w:tr w:rsidR="00C018B1" w14:paraId="13C5C327" w14:textId="77777777">
        <w:trPr>
          <w:jc w:val="center"/>
        </w:trPr>
        <w:tc>
          <w:tcPr>
            <w:tcW w:w="3249" w:type="dxa"/>
            <w:vAlign w:val="center"/>
          </w:tcPr>
          <w:p w14:paraId="1DAEDB18" w14:textId="77777777" w:rsidR="00C018B1" w:rsidRDefault="00000000">
            <w:r>
              <w:t>Saudi Arabia</w:t>
            </w:r>
          </w:p>
        </w:tc>
        <w:tc>
          <w:tcPr>
            <w:tcW w:w="3249" w:type="dxa"/>
            <w:vAlign w:val="center"/>
          </w:tcPr>
          <w:p w14:paraId="5817E0AA" w14:textId="77777777" w:rsidR="00C018B1" w:rsidRDefault="00000000">
            <w:r>
              <w:t>48</w:t>
            </w:r>
          </w:p>
        </w:tc>
        <w:tc>
          <w:tcPr>
            <w:tcW w:w="3249" w:type="dxa"/>
            <w:vAlign w:val="center"/>
          </w:tcPr>
          <w:p w14:paraId="2712B566" w14:textId="77777777" w:rsidR="00C018B1" w:rsidRDefault="00000000">
            <w:r>
              <w:t>5.4%</w:t>
            </w:r>
          </w:p>
        </w:tc>
      </w:tr>
      <w:tr w:rsidR="00C018B1" w14:paraId="7A24DB67" w14:textId="77777777">
        <w:trPr>
          <w:jc w:val="center"/>
        </w:trPr>
        <w:tc>
          <w:tcPr>
            <w:tcW w:w="3249" w:type="dxa"/>
            <w:vAlign w:val="center"/>
          </w:tcPr>
          <w:p w14:paraId="24DC7261" w14:textId="77777777" w:rsidR="00C018B1" w:rsidRDefault="00000000">
            <w:r>
              <w:t>United Arab Emirates</w:t>
            </w:r>
          </w:p>
        </w:tc>
        <w:tc>
          <w:tcPr>
            <w:tcW w:w="3249" w:type="dxa"/>
            <w:vAlign w:val="center"/>
          </w:tcPr>
          <w:p w14:paraId="381CCA75" w14:textId="77777777" w:rsidR="00C018B1" w:rsidRDefault="00000000">
            <w:r>
              <w:t>37</w:t>
            </w:r>
          </w:p>
        </w:tc>
        <w:tc>
          <w:tcPr>
            <w:tcW w:w="3249" w:type="dxa"/>
            <w:vAlign w:val="center"/>
          </w:tcPr>
          <w:p w14:paraId="438FAE77" w14:textId="77777777" w:rsidR="00C018B1" w:rsidRDefault="00000000">
            <w:r>
              <w:t>4.2%</w:t>
            </w:r>
          </w:p>
        </w:tc>
      </w:tr>
      <w:tr w:rsidR="00C018B1" w14:paraId="231A538E" w14:textId="77777777">
        <w:trPr>
          <w:jc w:val="center"/>
        </w:trPr>
        <w:tc>
          <w:tcPr>
            <w:tcW w:w="3249" w:type="dxa"/>
            <w:vAlign w:val="center"/>
          </w:tcPr>
          <w:p w14:paraId="7301E5E4" w14:textId="77777777" w:rsidR="00C018B1" w:rsidRDefault="00000000">
            <w:r>
              <w:t>Singapore</w:t>
            </w:r>
          </w:p>
        </w:tc>
        <w:tc>
          <w:tcPr>
            <w:tcW w:w="3249" w:type="dxa"/>
            <w:vAlign w:val="center"/>
          </w:tcPr>
          <w:p w14:paraId="2ADD5630" w14:textId="77777777" w:rsidR="00C018B1" w:rsidRDefault="00000000">
            <w:r>
              <w:t>36</w:t>
            </w:r>
          </w:p>
        </w:tc>
        <w:tc>
          <w:tcPr>
            <w:tcW w:w="3249" w:type="dxa"/>
            <w:vAlign w:val="center"/>
          </w:tcPr>
          <w:p w14:paraId="08403ABF" w14:textId="77777777" w:rsidR="00C018B1" w:rsidRDefault="00000000">
            <w:r>
              <w:t>4.1%</w:t>
            </w:r>
          </w:p>
        </w:tc>
      </w:tr>
      <w:tr w:rsidR="00C018B1" w14:paraId="2E733BF6" w14:textId="77777777">
        <w:trPr>
          <w:jc w:val="center"/>
        </w:trPr>
        <w:tc>
          <w:tcPr>
            <w:tcW w:w="3249" w:type="dxa"/>
            <w:vAlign w:val="center"/>
          </w:tcPr>
          <w:p w14:paraId="440441D5" w14:textId="77777777" w:rsidR="00C018B1" w:rsidRDefault="00000000">
            <w:r>
              <w:t>Malaysia</w:t>
            </w:r>
          </w:p>
        </w:tc>
        <w:tc>
          <w:tcPr>
            <w:tcW w:w="3249" w:type="dxa"/>
            <w:vAlign w:val="center"/>
          </w:tcPr>
          <w:p w14:paraId="725E5AA6" w14:textId="77777777" w:rsidR="00C018B1" w:rsidRDefault="00000000">
            <w:r>
              <w:t>33</w:t>
            </w:r>
          </w:p>
        </w:tc>
        <w:tc>
          <w:tcPr>
            <w:tcW w:w="3249" w:type="dxa"/>
            <w:vAlign w:val="center"/>
          </w:tcPr>
          <w:p w14:paraId="28C87D14" w14:textId="77777777" w:rsidR="00C018B1" w:rsidRDefault="00000000">
            <w:r>
              <w:t>3.7%</w:t>
            </w:r>
          </w:p>
        </w:tc>
      </w:tr>
      <w:tr w:rsidR="00C018B1" w14:paraId="256127A3" w14:textId="77777777">
        <w:trPr>
          <w:jc w:val="center"/>
        </w:trPr>
        <w:tc>
          <w:tcPr>
            <w:tcW w:w="3249" w:type="dxa"/>
            <w:vAlign w:val="center"/>
          </w:tcPr>
          <w:p w14:paraId="15D02217" w14:textId="77777777" w:rsidR="00C018B1" w:rsidRDefault="00000000">
            <w:r>
              <w:t>Thailand</w:t>
            </w:r>
          </w:p>
        </w:tc>
        <w:tc>
          <w:tcPr>
            <w:tcW w:w="3249" w:type="dxa"/>
            <w:vAlign w:val="center"/>
          </w:tcPr>
          <w:p w14:paraId="6CB87809" w14:textId="77777777" w:rsidR="00C018B1" w:rsidRDefault="00000000">
            <w:r>
              <w:t>30</w:t>
            </w:r>
          </w:p>
        </w:tc>
        <w:tc>
          <w:tcPr>
            <w:tcW w:w="3249" w:type="dxa"/>
            <w:vAlign w:val="center"/>
          </w:tcPr>
          <w:p w14:paraId="7BE1ED7F" w14:textId="77777777" w:rsidR="00C018B1" w:rsidRDefault="00000000">
            <w:r>
              <w:t>3.4%</w:t>
            </w:r>
          </w:p>
        </w:tc>
      </w:tr>
      <w:tr w:rsidR="00C018B1" w14:paraId="677D82EC" w14:textId="77777777">
        <w:trPr>
          <w:jc w:val="center"/>
        </w:trPr>
        <w:tc>
          <w:tcPr>
            <w:tcW w:w="3249" w:type="dxa"/>
            <w:vAlign w:val="center"/>
          </w:tcPr>
          <w:p w14:paraId="1B3A4D7E" w14:textId="77777777" w:rsidR="00C018B1" w:rsidRDefault="00000000">
            <w:r>
              <w:t>Indonesia</w:t>
            </w:r>
          </w:p>
        </w:tc>
        <w:tc>
          <w:tcPr>
            <w:tcW w:w="3249" w:type="dxa"/>
            <w:vAlign w:val="center"/>
          </w:tcPr>
          <w:p w14:paraId="26BB93DF" w14:textId="77777777" w:rsidR="00C018B1" w:rsidRDefault="00000000">
            <w:r>
              <w:t>28</w:t>
            </w:r>
          </w:p>
        </w:tc>
        <w:tc>
          <w:tcPr>
            <w:tcW w:w="3249" w:type="dxa"/>
            <w:vAlign w:val="center"/>
          </w:tcPr>
          <w:p w14:paraId="0524953A" w14:textId="77777777" w:rsidR="00C018B1" w:rsidRDefault="00000000">
            <w:r>
              <w:t>3.2%</w:t>
            </w:r>
          </w:p>
        </w:tc>
      </w:tr>
      <w:tr w:rsidR="00C018B1" w14:paraId="4E0C3814" w14:textId="77777777">
        <w:trPr>
          <w:jc w:val="center"/>
        </w:trPr>
        <w:tc>
          <w:tcPr>
            <w:tcW w:w="3249" w:type="dxa"/>
            <w:vAlign w:val="center"/>
          </w:tcPr>
          <w:p w14:paraId="5514820F" w14:textId="77777777" w:rsidR="00C018B1" w:rsidRDefault="00000000">
            <w:r>
              <w:t>Pakistan</w:t>
            </w:r>
          </w:p>
        </w:tc>
        <w:tc>
          <w:tcPr>
            <w:tcW w:w="3249" w:type="dxa"/>
            <w:vAlign w:val="center"/>
          </w:tcPr>
          <w:p w14:paraId="0ECE49A0" w14:textId="77777777" w:rsidR="00C018B1" w:rsidRDefault="00000000">
            <w:r>
              <w:t>18</w:t>
            </w:r>
          </w:p>
        </w:tc>
        <w:tc>
          <w:tcPr>
            <w:tcW w:w="3249" w:type="dxa"/>
            <w:vAlign w:val="center"/>
          </w:tcPr>
          <w:p w14:paraId="1AEB403E" w14:textId="77777777" w:rsidR="00C018B1" w:rsidRDefault="00000000">
            <w:r>
              <w:t>2.0%</w:t>
            </w:r>
          </w:p>
        </w:tc>
      </w:tr>
      <w:tr w:rsidR="00C018B1" w14:paraId="79A2768B" w14:textId="77777777">
        <w:trPr>
          <w:jc w:val="center"/>
        </w:trPr>
        <w:tc>
          <w:tcPr>
            <w:tcW w:w="3249" w:type="dxa"/>
            <w:vAlign w:val="center"/>
          </w:tcPr>
          <w:p w14:paraId="45D041E3" w14:textId="77777777" w:rsidR="00C018B1" w:rsidRDefault="00000000">
            <w:r>
              <w:t>Philippines</w:t>
            </w:r>
          </w:p>
        </w:tc>
        <w:tc>
          <w:tcPr>
            <w:tcW w:w="3249" w:type="dxa"/>
            <w:vAlign w:val="center"/>
          </w:tcPr>
          <w:p w14:paraId="617C8D82" w14:textId="77777777" w:rsidR="00C018B1" w:rsidRDefault="00000000">
            <w:r>
              <w:t>16</w:t>
            </w:r>
          </w:p>
        </w:tc>
        <w:tc>
          <w:tcPr>
            <w:tcW w:w="3249" w:type="dxa"/>
            <w:vAlign w:val="center"/>
          </w:tcPr>
          <w:p w14:paraId="024DB196" w14:textId="77777777" w:rsidR="00C018B1" w:rsidRDefault="00000000">
            <w:r>
              <w:t>1.8%</w:t>
            </w:r>
          </w:p>
        </w:tc>
      </w:tr>
      <w:tr w:rsidR="00C018B1" w14:paraId="1FD3D4D5" w14:textId="77777777">
        <w:trPr>
          <w:jc w:val="center"/>
        </w:trPr>
        <w:tc>
          <w:tcPr>
            <w:tcW w:w="3249" w:type="dxa"/>
            <w:vAlign w:val="center"/>
          </w:tcPr>
          <w:p w14:paraId="68AAB565" w14:textId="77777777" w:rsidR="00C018B1" w:rsidRDefault="00000000">
            <w:r>
              <w:t>Vietnam</w:t>
            </w:r>
          </w:p>
        </w:tc>
        <w:tc>
          <w:tcPr>
            <w:tcW w:w="3249" w:type="dxa"/>
            <w:vAlign w:val="center"/>
          </w:tcPr>
          <w:p w14:paraId="77FDE10B" w14:textId="77777777" w:rsidR="00C018B1" w:rsidRDefault="00000000">
            <w:r>
              <w:t>13</w:t>
            </w:r>
          </w:p>
        </w:tc>
        <w:tc>
          <w:tcPr>
            <w:tcW w:w="3249" w:type="dxa"/>
            <w:vAlign w:val="center"/>
          </w:tcPr>
          <w:p w14:paraId="61AF5EC7" w14:textId="77777777" w:rsidR="00C018B1" w:rsidRDefault="00000000">
            <w:r>
              <w:t>1.5%</w:t>
            </w:r>
          </w:p>
        </w:tc>
      </w:tr>
      <w:tr w:rsidR="00C018B1" w14:paraId="49ACD3BD" w14:textId="77777777">
        <w:trPr>
          <w:jc w:val="center"/>
        </w:trPr>
        <w:tc>
          <w:tcPr>
            <w:tcW w:w="3249" w:type="dxa"/>
            <w:shd w:val="clear" w:color="auto" w:fill="EAF2F8"/>
            <w:vAlign w:val="center"/>
          </w:tcPr>
          <w:p w14:paraId="1C98AF5F" w14:textId="77777777" w:rsidR="00C018B1" w:rsidRDefault="00000000">
            <w:r>
              <w:t>Total</w:t>
            </w:r>
          </w:p>
        </w:tc>
        <w:tc>
          <w:tcPr>
            <w:tcW w:w="3249" w:type="dxa"/>
            <w:shd w:val="clear" w:color="auto" w:fill="EAF2F8"/>
            <w:vAlign w:val="center"/>
          </w:tcPr>
          <w:p w14:paraId="288C87A3" w14:textId="77777777" w:rsidR="00C018B1" w:rsidRDefault="00000000">
            <w:r>
              <w:t>884</w:t>
            </w:r>
          </w:p>
        </w:tc>
        <w:tc>
          <w:tcPr>
            <w:tcW w:w="3249" w:type="dxa"/>
            <w:shd w:val="clear" w:color="auto" w:fill="EAF2F8"/>
            <w:vAlign w:val="center"/>
          </w:tcPr>
          <w:p w14:paraId="323C2D91" w14:textId="77777777" w:rsidR="00C018B1" w:rsidRDefault="00000000">
            <w:r>
              <w:t>100%</w:t>
            </w:r>
          </w:p>
        </w:tc>
      </w:tr>
    </w:tbl>
    <w:p w14:paraId="0643DF1E" w14:textId="77777777" w:rsidR="00C018B1" w:rsidRDefault="00000000">
      <w:r>
        <w:t>Note: The table reports the distribution of the 884 unique firms across the 15 Asian economies represented in the final sample. The full panel contains 7,201 firm-year observations and is unbalanced because listing histories and ESG-data availability differ across firms and years.</w:t>
      </w:r>
    </w:p>
    <w:p w14:paraId="74D33320" w14:textId="77777777" w:rsidR="00322E43" w:rsidRPr="00322E43" w:rsidRDefault="00322E43" w:rsidP="00322E43">
      <w:pPr>
        <w:pStyle w:val="NormalWeb"/>
        <w:spacing w:after="0"/>
        <w:rPr>
          <w:rFonts w:asciiTheme="majorHAnsi" w:hAnsiTheme="majorHAnsi" w:cstheme="majorHAnsi"/>
        </w:rPr>
      </w:pPr>
      <w:r w:rsidRPr="00322E43">
        <w:rPr>
          <w:rFonts w:asciiTheme="majorHAnsi" w:hAnsiTheme="majorHAnsi" w:cstheme="majorHAnsi"/>
        </w:rPr>
        <w:lastRenderedPageBreak/>
        <w:t>Note: The final sample consists of an unbalanced panel of 884 firms from major Asian economies over the period 2015–2024. The unbalanced structure reflects differences in listing histories, merger and acquisition activity, and data availability across countries and years. ESG, governance, and financial data were obtained from Bloomberg.</w:t>
      </w:r>
    </w:p>
    <w:p w14:paraId="655D396D" w14:textId="77777777" w:rsidR="00322E43" w:rsidRPr="00322E43" w:rsidRDefault="00322E43" w:rsidP="00322E43">
      <w:pPr>
        <w:pStyle w:val="Heading3"/>
        <w:spacing w:before="0"/>
        <w:rPr>
          <w:rFonts w:asciiTheme="majorHAnsi" w:eastAsiaTheme="minorHAnsi" w:hAnsiTheme="majorHAnsi" w:cstheme="majorHAnsi"/>
          <w:bCs/>
          <w:color w:val="auto"/>
        </w:rPr>
      </w:pPr>
      <w:r>
        <w:t>Table 3. Industry Distribution of Sample Firms</w:t>
      </w:r>
    </w:p>
    <w:tbl>
      <w:tblPr>
        <w:tblW w:w="7499" w:type="dxa"/>
        <w:tblLook w:val="04A0" w:firstRow="1" w:lastRow="0" w:firstColumn="1" w:lastColumn="0" w:noHBand="0" w:noVBand="1"/>
      </w:tblPr>
      <w:tblGrid>
        <w:gridCol w:w="3854"/>
        <w:gridCol w:w="2067"/>
        <w:gridCol w:w="1578"/>
      </w:tblGrid>
      <w:tr w:rsidR="00322E43" w:rsidRPr="00322E43" w14:paraId="4B5B07B0" w14:textId="77777777" w:rsidTr="0003282E">
        <w:trPr>
          <w:trHeight w:val="289"/>
          <w:tblHeader/>
        </w:trPr>
        <w:tc>
          <w:tcPr>
            <w:tcW w:w="3854" w:type="dxa"/>
            <w:tcBorders>
              <w:top w:val="single" w:sz="4" w:space="0" w:color="auto"/>
              <w:left w:val="nil"/>
              <w:bottom w:val="single" w:sz="4" w:space="0" w:color="auto"/>
              <w:right w:val="nil"/>
            </w:tcBorders>
            <w:noWrap/>
            <w:vAlign w:val="bottom"/>
            <w:hideMark/>
          </w:tcPr>
          <w:p w14:paraId="4470EC87" w14:textId="77777777" w:rsidR="00C018B1" w:rsidRDefault="00000000">
            <w:r>
              <w:rPr>
                <w:b/>
              </w:rPr>
              <w:t>Aggregated industry category</w:t>
            </w:r>
          </w:p>
        </w:tc>
        <w:tc>
          <w:tcPr>
            <w:tcW w:w="2067" w:type="dxa"/>
            <w:tcBorders>
              <w:top w:val="single" w:sz="4" w:space="0" w:color="auto"/>
              <w:left w:val="nil"/>
              <w:bottom w:val="single" w:sz="4" w:space="0" w:color="auto"/>
              <w:right w:val="nil"/>
            </w:tcBorders>
            <w:noWrap/>
            <w:vAlign w:val="bottom"/>
            <w:hideMark/>
          </w:tcPr>
          <w:p w14:paraId="3B2EE065" w14:textId="77777777" w:rsidR="00C018B1" w:rsidRDefault="00000000">
            <w:r>
              <w:rPr>
                <w:b/>
              </w:rPr>
              <w:t>Number of firms</w:t>
            </w:r>
          </w:p>
        </w:tc>
        <w:tc>
          <w:tcPr>
            <w:tcW w:w="1578" w:type="dxa"/>
            <w:tcBorders>
              <w:top w:val="single" w:sz="4" w:space="0" w:color="auto"/>
              <w:left w:val="nil"/>
              <w:bottom w:val="single" w:sz="4" w:space="0" w:color="auto"/>
              <w:right w:val="nil"/>
            </w:tcBorders>
            <w:noWrap/>
            <w:vAlign w:val="bottom"/>
            <w:hideMark/>
          </w:tcPr>
          <w:p w14:paraId="10634502" w14:textId="77777777" w:rsidR="00C018B1" w:rsidRDefault="00000000">
            <w:r>
              <w:rPr>
                <w:b/>
              </w:rPr>
              <w:t>Percentage</w:t>
            </w:r>
          </w:p>
        </w:tc>
      </w:tr>
      <w:tr w:rsidR="00322E43" w:rsidRPr="00322E43" w14:paraId="20542E08" w14:textId="77777777" w:rsidTr="0003282E">
        <w:trPr>
          <w:trHeight w:val="289"/>
        </w:trPr>
        <w:tc>
          <w:tcPr>
            <w:tcW w:w="3854" w:type="dxa"/>
            <w:tcBorders>
              <w:top w:val="nil"/>
              <w:left w:val="nil"/>
              <w:bottom w:val="nil"/>
              <w:right w:val="nil"/>
            </w:tcBorders>
            <w:noWrap/>
            <w:vAlign w:val="bottom"/>
            <w:hideMark/>
          </w:tcPr>
          <w:p w14:paraId="7E42B9FC" w14:textId="77777777" w:rsidR="00C018B1" w:rsidRDefault="00000000">
            <w:r>
              <w:t>Energy and fossil-fuel industries</w:t>
            </w:r>
          </w:p>
        </w:tc>
        <w:tc>
          <w:tcPr>
            <w:tcW w:w="2067" w:type="dxa"/>
            <w:tcBorders>
              <w:top w:val="nil"/>
              <w:left w:val="nil"/>
              <w:bottom w:val="nil"/>
              <w:right w:val="nil"/>
            </w:tcBorders>
            <w:noWrap/>
            <w:vAlign w:val="bottom"/>
            <w:hideMark/>
          </w:tcPr>
          <w:p w14:paraId="60E5EA96" w14:textId="77777777" w:rsidR="00C018B1" w:rsidRDefault="00000000">
            <w:r>
              <w:t>274</w:t>
            </w:r>
          </w:p>
        </w:tc>
        <w:tc>
          <w:tcPr>
            <w:tcW w:w="1578" w:type="dxa"/>
            <w:tcBorders>
              <w:top w:val="nil"/>
              <w:left w:val="nil"/>
              <w:bottom w:val="nil"/>
              <w:right w:val="nil"/>
            </w:tcBorders>
            <w:noWrap/>
            <w:vAlign w:val="bottom"/>
            <w:hideMark/>
          </w:tcPr>
          <w:p w14:paraId="6F656803" w14:textId="77777777" w:rsidR="00C018B1" w:rsidRDefault="00000000">
            <w:r>
              <w:t>31.00%</w:t>
            </w:r>
          </w:p>
        </w:tc>
      </w:tr>
      <w:tr w:rsidR="00322E43" w:rsidRPr="00322E43" w14:paraId="71379C05" w14:textId="77777777" w:rsidTr="0003282E">
        <w:trPr>
          <w:trHeight w:val="289"/>
        </w:trPr>
        <w:tc>
          <w:tcPr>
            <w:tcW w:w="3854" w:type="dxa"/>
            <w:tcBorders>
              <w:top w:val="nil"/>
              <w:left w:val="nil"/>
              <w:bottom w:val="nil"/>
              <w:right w:val="nil"/>
            </w:tcBorders>
            <w:noWrap/>
            <w:vAlign w:val="bottom"/>
            <w:hideMark/>
          </w:tcPr>
          <w:p w14:paraId="5876B4F5" w14:textId="77777777" w:rsidR="00C018B1" w:rsidRDefault="00000000">
            <w:r>
              <w:t>Manufacturing and construction</w:t>
            </w:r>
          </w:p>
        </w:tc>
        <w:tc>
          <w:tcPr>
            <w:tcW w:w="2067" w:type="dxa"/>
            <w:tcBorders>
              <w:top w:val="nil"/>
              <w:left w:val="nil"/>
              <w:bottom w:val="nil"/>
              <w:right w:val="nil"/>
            </w:tcBorders>
            <w:noWrap/>
            <w:vAlign w:val="bottom"/>
            <w:hideMark/>
          </w:tcPr>
          <w:p w14:paraId="5D0902DA" w14:textId="77777777" w:rsidR="00C018B1" w:rsidRDefault="00000000">
            <w:r>
              <w:t>168</w:t>
            </w:r>
          </w:p>
        </w:tc>
        <w:tc>
          <w:tcPr>
            <w:tcW w:w="1578" w:type="dxa"/>
            <w:tcBorders>
              <w:top w:val="nil"/>
              <w:left w:val="nil"/>
              <w:bottom w:val="nil"/>
              <w:right w:val="nil"/>
            </w:tcBorders>
            <w:noWrap/>
            <w:vAlign w:val="bottom"/>
            <w:hideMark/>
          </w:tcPr>
          <w:p w14:paraId="3DBF5BF5" w14:textId="77777777" w:rsidR="00C018B1" w:rsidRDefault="00000000">
            <w:r>
              <w:t>19.00%</w:t>
            </w:r>
          </w:p>
        </w:tc>
      </w:tr>
      <w:tr w:rsidR="00322E43" w:rsidRPr="00322E43" w14:paraId="334C17FC" w14:textId="77777777" w:rsidTr="0003282E">
        <w:trPr>
          <w:trHeight w:val="289"/>
        </w:trPr>
        <w:tc>
          <w:tcPr>
            <w:tcW w:w="3854" w:type="dxa"/>
            <w:tcBorders>
              <w:top w:val="nil"/>
              <w:left w:val="nil"/>
              <w:bottom w:val="nil"/>
              <w:right w:val="nil"/>
            </w:tcBorders>
            <w:noWrap/>
            <w:vAlign w:val="bottom"/>
            <w:hideMark/>
          </w:tcPr>
          <w:p w14:paraId="7D6959BC" w14:textId="77777777" w:rsidR="00C018B1" w:rsidRDefault="00000000">
            <w:r>
              <w:t>Transportation and logistics</w:t>
            </w:r>
          </w:p>
        </w:tc>
        <w:tc>
          <w:tcPr>
            <w:tcW w:w="2067" w:type="dxa"/>
            <w:tcBorders>
              <w:top w:val="nil"/>
              <w:left w:val="nil"/>
              <w:bottom w:val="nil"/>
              <w:right w:val="nil"/>
            </w:tcBorders>
            <w:noWrap/>
            <w:vAlign w:val="bottom"/>
            <w:hideMark/>
          </w:tcPr>
          <w:p w14:paraId="4DA46D1E" w14:textId="77777777" w:rsidR="00C018B1" w:rsidRDefault="00000000">
            <w:r>
              <w:t>133</w:t>
            </w:r>
          </w:p>
        </w:tc>
        <w:tc>
          <w:tcPr>
            <w:tcW w:w="1578" w:type="dxa"/>
            <w:tcBorders>
              <w:top w:val="nil"/>
              <w:left w:val="nil"/>
              <w:bottom w:val="nil"/>
              <w:right w:val="nil"/>
            </w:tcBorders>
            <w:noWrap/>
            <w:vAlign w:val="bottom"/>
            <w:hideMark/>
          </w:tcPr>
          <w:p w14:paraId="37FB006D" w14:textId="77777777" w:rsidR="00C018B1" w:rsidRDefault="00000000">
            <w:r>
              <w:t>15.00%</w:t>
            </w:r>
          </w:p>
        </w:tc>
      </w:tr>
      <w:tr w:rsidR="00322E43" w:rsidRPr="00322E43" w14:paraId="33F5C6A4" w14:textId="77777777" w:rsidTr="0003282E">
        <w:trPr>
          <w:trHeight w:val="289"/>
        </w:trPr>
        <w:tc>
          <w:tcPr>
            <w:tcW w:w="3854" w:type="dxa"/>
            <w:tcBorders>
              <w:top w:val="nil"/>
              <w:left w:val="nil"/>
              <w:bottom w:val="nil"/>
              <w:right w:val="nil"/>
            </w:tcBorders>
            <w:noWrap/>
            <w:vAlign w:val="bottom"/>
            <w:hideMark/>
          </w:tcPr>
          <w:p w14:paraId="0940F5D8" w14:textId="77777777" w:rsidR="00C018B1" w:rsidRDefault="00000000">
            <w:r>
              <w:t>Agriculture and primary production</w:t>
            </w:r>
          </w:p>
        </w:tc>
        <w:tc>
          <w:tcPr>
            <w:tcW w:w="2067" w:type="dxa"/>
            <w:tcBorders>
              <w:top w:val="nil"/>
              <w:left w:val="nil"/>
              <w:bottom w:val="nil"/>
              <w:right w:val="nil"/>
            </w:tcBorders>
            <w:noWrap/>
            <w:vAlign w:val="bottom"/>
            <w:hideMark/>
          </w:tcPr>
          <w:p w14:paraId="1C240409" w14:textId="77777777" w:rsidR="00C018B1" w:rsidRDefault="00000000">
            <w:r>
              <w:t>88</w:t>
            </w:r>
          </w:p>
        </w:tc>
        <w:tc>
          <w:tcPr>
            <w:tcW w:w="1578" w:type="dxa"/>
            <w:tcBorders>
              <w:top w:val="nil"/>
              <w:left w:val="nil"/>
              <w:bottom w:val="nil"/>
              <w:right w:val="nil"/>
            </w:tcBorders>
            <w:noWrap/>
            <w:vAlign w:val="bottom"/>
            <w:hideMark/>
          </w:tcPr>
          <w:p w14:paraId="2CBB9953" w14:textId="77777777" w:rsidR="00C018B1" w:rsidRDefault="00000000">
            <w:r>
              <w:t>10.00%</w:t>
            </w:r>
          </w:p>
        </w:tc>
      </w:tr>
      <w:tr w:rsidR="00322E43" w:rsidRPr="00322E43" w14:paraId="3D562338" w14:textId="77777777" w:rsidTr="0003282E">
        <w:trPr>
          <w:trHeight w:val="289"/>
        </w:trPr>
        <w:tc>
          <w:tcPr>
            <w:tcW w:w="3854" w:type="dxa"/>
            <w:tcBorders>
              <w:top w:val="nil"/>
              <w:left w:val="nil"/>
              <w:bottom w:val="nil"/>
              <w:right w:val="nil"/>
            </w:tcBorders>
            <w:noWrap/>
            <w:vAlign w:val="bottom"/>
            <w:hideMark/>
          </w:tcPr>
          <w:p w14:paraId="76D251F9" w14:textId="77777777" w:rsidR="00C018B1" w:rsidRDefault="00000000">
            <w:r>
              <w:t>Technology and related industries</w:t>
            </w:r>
          </w:p>
        </w:tc>
        <w:tc>
          <w:tcPr>
            <w:tcW w:w="2067" w:type="dxa"/>
            <w:tcBorders>
              <w:top w:val="nil"/>
              <w:left w:val="nil"/>
              <w:bottom w:val="nil"/>
              <w:right w:val="nil"/>
            </w:tcBorders>
            <w:noWrap/>
            <w:vAlign w:val="bottom"/>
            <w:hideMark/>
          </w:tcPr>
          <w:p w14:paraId="7D9FB9D6" w14:textId="77777777" w:rsidR="00C018B1" w:rsidRDefault="00000000">
            <w:r>
              <w:t>88</w:t>
            </w:r>
          </w:p>
        </w:tc>
        <w:tc>
          <w:tcPr>
            <w:tcW w:w="1578" w:type="dxa"/>
            <w:tcBorders>
              <w:top w:val="nil"/>
              <w:left w:val="nil"/>
              <w:bottom w:val="nil"/>
              <w:right w:val="nil"/>
            </w:tcBorders>
            <w:noWrap/>
            <w:vAlign w:val="bottom"/>
            <w:hideMark/>
          </w:tcPr>
          <w:p w14:paraId="73A934A9" w14:textId="77777777" w:rsidR="00C018B1" w:rsidRDefault="00000000">
            <w:r>
              <w:t>10.00%</w:t>
            </w:r>
          </w:p>
        </w:tc>
      </w:tr>
      <w:tr w:rsidR="00322E43" w:rsidRPr="00322E43" w14:paraId="741DBD84" w14:textId="77777777" w:rsidTr="0003282E">
        <w:trPr>
          <w:trHeight w:val="289"/>
        </w:trPr>
        <w:tc>
          <w:tcPr>
            <w:tcW w:w="3854" w:type="dxa"/>
            <w:tcBorders>
              <w:top w:val="nil"/>
              <w:left w:val="nil"/>
              <w:bottom w:val="nil"/>
              <w:right w:val="nil"/>
            </w:tcBorders>
            <w:noWrap/>
            <w:vAlign w:val="bottom"/>
            <w:hideMark/>
          </w:tcPr>
          <w:p w14:paraId="2C91DD82" w14:textId="77777777" w:rsidR="00C018B1" w:rsidRDefault="00000000">
            <w:r>
              <w:t>Food production, retail and supply chains</w:t>
            </w:r>
          </w:p>
        </w:tc>
        <w:tc>
          <w:tcPr>
            <w:tcW w:w="2067" w:type="dxa"/>
            <w:tcBorders>
              <w:top w:val="nil"/>
              <w:left w:val="nil"/>
              <w:bottom w:val="nil"/>
              <w:right w:val="nil"/>
            </w:tcBorders>
            <w:noWrap/>
            <w:vAlign w:val="bottom"/>
            <w:hideMark/>
          </w:tcPr>
          <w:p w14:paraId="72EB869C" w14:textId="77777777" w:rsidR="00C018B1" w:rsidRDefault="00000000">
            <w:r>
              <w:t>71</w:t>
            </w:r>
          </w:p>
        </w:tc>
        <w:tc>
          <w:tcPr>
            <w:tcW w:w="1578" w:type="dxa"/>
            <w:tcBorders>
              <w:top w:val="nil"/>
              <w:left w:val="nil"/>
              <w:bottom w:val="nil"/>
              <w:right w:val="nil"/>
            </w:tcBorders>
            <w:noWrap/>
            <w:vAlign w:val="bottom"/>
            <w:hideMark/>
          </w:tcPr>
          <w:p w14:paraId="50980C53" w14:textId="77777777" w:rsidR="00C018B1" w:rsidRDefault="00000000">
            <w:r>
              <w:t>8.00%</w:t>
            </w:r>
          </w:p>
        </w:tc>
      </w:tr>
      <w:tr w:rsidR="00322E43" w:rsidRPr="00322E43" w14:paraId="0A5A2F15" w14:textId="77777777" w:rsidTr="0003282E">
        <w:trPr>
          <w:trHeight w:val="289"/>
        </w:trPr>
        <w:tc>
          <w:tcPr>
            <w:tcW w:w="3854" w:type="dxa"/>
            <w:tcBorders>
              <w:top w:val="nil"/>
              <w:left w:val="nil"/>
              <w:bottom w:val="nil"/>
              <w:right w:val="nil"/>
            </w:tcBorders>
            <w:noWrap/>
            <w:vAlign w:val="bottom"/>
            <w:hideMark/>
          </w:tcPr>
          <w:p w14:paraId="33FC6A57" w14:textId="77777777" w:rsidR="00C018B1" w:rsidRDefault="00000000">
            <w:r>
              <w:t>Textiles, apparel and related industries</w:t>
            </w:r>
          </w:p>
        </w:tc>
        <w:tc>
          <w:tcPr>
            <w:tcW w:w="2067" w:type="dxa"/>
            <w:tcBorders>
              <w:top w:val="nil"/>
              <w:left w:val="nil"/>
              <w:bottom w:val="nil"/>
              <w:right w:val="nil"/>
            </w:tcBorders>
            <w:noWrap/>
            <w:vAlign w:val="bottom"/>
            <w:hideMark/>
          </w:tcPr>
          <w:p w14:paraId="758848F8" w14:textId="77777777" w:rsidR="00C018B1" w:rsidRDefault="00000000">
            <w:r>
              <w:t>62</w:t>
            </w:r>
          </w:p>
        </w:tc>
        <w:tc>
          <w:tcPr>
            <w:tcW w:w="1578" w:type="dxa"/>
            <w:tcBorders>
              <w:top w:val="nil"/>
              <w:left w:val="nil"/>
              <w:bottom w:val="nil"/>
              <w:right w:val="nil"/>
            </w:tcBorders>
            <w:noWrap/>
            <w:vAlign w:val="bottom"/>
            <w:hideMark/>
          </w:tcPr>
          <w:p w14:paraId="0864493C" w14:textId="77777777" w:rsidR="00C018B1" w:rsidRDefault="00000000">
            <w:r>
              <w:t>7.00%</w:t>
            </w:r>
          </w:p>
        </w:tc>
      </w:tr>
      <w:tr w:rsidR="00322E43" w:rsidRPr="00322E43" w14:paraId="5F40046C" w14:textId="77777777" w:rsidTr="0003282E">
        <w:trPr>
          <w:trHeight w:val="289"/>
        </w:trPr>
        <w:tc>
          <w:tcPr>
            <w:tcW w:w="3854" w:type="dxa"/>
            <w:tcBorders>
              <w:top w:val="nil"/>
              <w:left w:val="nil"/>
              <w:bottom w:val="single" w:sz="4" w:space="0" w:color="auto"/>
              <w:right w:val="nil"/>
            </w:tcBorders>
            <w:noWrap/>
            <w:vAlign w:val="bottom"/>
            <w:hideMark/>
          </w:tcPr>
          <w:p w14:paraId="40CCF984" w14:textId="77777777" w:rsidR="00C018B1" w:rsidRDefault="00000000">
            <w:r>
              <w:t>Total</w:t>
            </w:r>
          </w:p>
        </w:tc>
        <w:tc>
          <w:tcPr>
            <w:tcW w:w="2067" w:type="dxa"/>
            <w:tcBorders>
              <w:top w:val="nil"/>
              <w:left w:val="nil"/>
              <w:bottom w:val="single" w:sz="4" w:space="0" w:color="auto"/>
              <w:right w:val="nil"/>
            </w:tcBorders>
            <w:noWrap/>
            <w:vAlign w:val="bottom"/>
            <w:hideMark/>
          </w:tcPr>
          <w:p w14:paraId="128D2256" w14:textId="77777777" w:rsidR="00C018B1" w:rsidRDefault="00000000">
            <w:r>
              <w:t>884</w:t>
            </w:r>
          </w:p>
        </w:tc>
        <w:tc>
          <w:tcPr>
            <w:tcW w:w="1578" w:type="dxa"/>
            <w:tcBorders>
              <w:top w:val="nil"/>
              <w:left w:val="nil"/>
              <w:bottom w:val="single" w:sz="4" w:space="0" w:color="auto"/>
              <w:right w:val="nil"/>
            </w:tcBorders>
            <w:noWrap/>
            <w:vAlign w:val="bottom"/>
            <w:hideMark/>
          </w:tcPr>
          <w:p w14:paraId="4B6AE780" w14:textId="77777777" w:rsidR="00C018B1" w:rsidRDefault="00000000">
            <w:r>
              <w:t>100%</w:t>
            </w:r>
          </w:p>
        </w:tc>
      </w:tr>
    </w:tbl>
    <w:p w14:paraId="35F684CB" w14:textId="77777777" w:rsidR="00322E43" w:rsidRPr="00322E43" w:rsidRDefault="00322E43" w:rsidP="00322E43">
      <w:pPr>
        <w:rPr>
          <w:rFonts w:asciiTheme="majorHAnsi" w:hAnsiTheme="majorHAnsi" w:cstheme="majorHAnsi"/>
        </w:rPr>
      </w:pPr>
      <w:r>
        <w:t>Notes: Industry information was obtained from Bloomberg/ICB classifications and consolidated into seven broader analytical groups for presentation. Accordingly, the labels in Table 3 are study-specific aggregated categories rather than official ICB sector titles. The aggregation preserves the underlying industry identification while providing economically interpretable high-impact sector groups for the sample description.</w:t>
      </w:r>
    </w:p>
    <w:p w14:paraId="4D512641" w14:textId="77777777" w:rsidR="00322E43" w:rsidRPr="00437BBA" w:rsidRDefault="00322E43" w:rsidP="00322E43">
      <w:pPr>
        <w:rPr>
          <w:rFonts w:ascii="Times New Roman" w:hAnsi="Times New Roman" w:cs="Times New Roman"/>
        </w:rPr>
      </w:pPr>
    </w:p>
    <w:p w14:paraId="3D356288" w14:textId="77777777" w:rsidR="00322E43" w:rsidRPr="00E13193" w:rsidRDefault="00322E43" w:rsidP="00322E43">
      <w:pPr>
        <w:pStyle w:val="Heading3"/>
        <w:rPr>
          <w:rFonts w:ascii="Times New Roman" w:eastAsiaTheme="minorHAnsi" w:hAnsi="Times New Roman" w:cs="Times New Roman"/>
          <w:b/>
          <w:color w:val="auto"/>
        </w:rPr>
      </w:pPr>
      <w:r w:rsidRPr="00437BBA">
        <w:rPr>
          <w:rFonts w:ascii="Times New Roman" w:eastAsiaTheme="minorHAnsi" w:hAnsi="Times New Roman" w:cs="Times New Roman"/>
          <w:b/>
          <w:color w:val="auto"/>
        </w:rPr>
        <w:t xml:space="preserve">3.3 | Model </w:t>
      </w:r>
    </w:p>
    <w:p w14:paraId="4411C9DB" w14:textId="77777777" w:rsidR="00322E43" w:rsidRPr="00322E43" w:rsidRDefault="00322E43" w:rsidP="00322E43">
      <w:pPr>
        <w:rPr>
          <w:rFonts w:asciiTheme="majorHAnsi" w:hAnsiTheme="majorHAnsi" w:cstheme="majorHAnsi"/>
        </w:rPr>
      </w:pPr>
      <w:r w:rsidRPr="00322E43">
        <w:rPr>
          <w:rFonts w:asciiTheme="majorHAnsi" w:hAnsiTheme="majorHAnsi" w:cstheme="majorHAnsi"/>
        </w:rPr>
        <w:t xml:space="preserve">We employed the following regression models to test the hypotheses of the study: </w:t>
      </w:r>
    </w:p>
    <w:p w14:paraId="7979B737" w14:textId="77777777" w:rsidR="00322E43" w:rsidRPr="00437BBA" w:rsidRDefault="00000000" w:rsidP="00322E43">
      <w:pPr>
        <w:tabs>
          <w:tab w:val="left" w:pos="7760"/>
        </w:tabs>
        <w:rPr>
          <w:rFonts w:ascii="Times New Roman" w:hAnsi="Times New Roman" w:cs="Times New Roman"/>
          <w:shd w:val="clear" w:color="auto" w:fill="FFFFFF"/>
        </w:rPr>
      </w:pPr>
      <m:oMath>
        <m:sSub>
          <m:sSubPr>
            <m:ctrlPr>
              <w:rPr>
                <w:rFonts w:ascii="Cambria Math" w:hAnsi="Cambria Math" w:cs="Times New Roman"/>
                <w:shd w:val="clear" w:color="auto" w:fill="FFFFFF"/>
              </w:rPr>
            </m:ctrlPr>
          </m:sSubPr>
          <m:e>
            <m:r>
              <w:rPr>
                <w:rFonts w:ascii="Cambria Math" w:hAnsi="Cambria Math" w:cs="Times New Roman"/>
              </w:rPr>
              <m:t>ESG</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0 </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1 </m:t>
            </m:r>
          </m:sub>
        </m:sSub>
        <m:sSub>
          <m:sSubPr>
            <m:ctrlPr>
              <w:rPr>
                <w:rFonts w:ascii="Cambria Math" w:hAnsi="Cambria Math" w:cs="Times New Roman"/>
                <w:shd w:val="clear" w:color="auto" w:fill="FFFFFF"/>
              </w:rPr>
            </m:ctrlPr>
          </m:sSubPr>
          <m:e>
            <m:r>
              <w:rPr>
                <w:rFonts w:ascii="Cambria Math" w:hAnsi="Cambria Math" w:cs="Times New Roman"/>
              </w:rPr>
              <m:t>BSIZE</m:t>
            </m:r>
          </m:e>
          <m:sub>
            <m:r>
              <w:rPr>
                <w:rFonts w:ascii="Cambria Math" w:hAnsi="Cambria Math" w:cs="Times New Roman"/>
                <w:shd w:val="clear" w:color="auto" w:fill="FFFFFF"/>
              </w:rPr>
              <m:t>it</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2 </m:t>
                </m:r>
              </m:sub>
            </m:sSub>
            <m:sSub>
              <m:sSubPr>
                <m:ctrlPr>
                  <w:rPr>
                    <w:rFonts w:ascii="Cambria Math" w:hAnsi="Cambria Math" w:cs="Times New Roman"/>
                    <w:shd w:val="clear" w:color="auto" w:fill="FFFFFF"/>
                  </w:rPr>
                </m:ctrlPr>
              </m:sSubPr>
              <m:e>
                <m:r>
                  <w:rPr>
                    <w:rFonts w:ascii="Cambria Math" w:hAnsi="Cambria Math" w:cs="Times New Roman"/>
                  </w:rPr>
                  <m:t>BIND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3 </m:t>
                </m:r>
              </m:sub>
            </m:sSub>
            <m:sSub>
              <m:sSubPr>
                <m:ctrlPr>
                  <w:rPr>
                    <w:rFonts w:ascii="Cambria Math" w:hAnsi="Cambria Math" w:cs="Times New Roman"/>
                    <w:shd w:val="clear" w:color="auto" w:fill="FFFFFF"/>
                  </w:rPr>
                </m:ctrlPr>
              </m:sSubPr>
              <m:e>
                <m:r>
                  <w:rPr>
                    <w:rFonts w:ascii="Cambria Math" w:hAnsi="Cambria Math" w:cs="Times New Roman"/>
                  </w:rPr>
                  <m:t>CEOD</m:t>
                </m:r>
              </m:e>
              <m:sub>
                <m:r>
                  <w:rPr>
                    <w:rFonts w:ascii="Cambria Math" w:hAnsi="Cambria Math" w:cs="Times New Roman"/>
                    <w:shd w:val="clear" w:color="auto" w:fill="FFFFFF"/>
                  </w:rPr>
                  <m:t>it</m:t>
                </m:r>
              </m:sub>
            </m:sSub>
            <m:r>
              <w:rPr>
                <w:rFonts w:ascii="Cambria Math" w:hAnsi="Cambria Math" w:cs="Times New Roman"/>
                <w:shd w:val="clear" w:color="auto" w:fill="FFFFFF"/>
              </w:rPr>
              <m:t xml:space="preserve">+ </m:t>
            </m:r>
            <m:r>
              <w:rPr>
                <w:rFonts w:ascii="Cambria Math" w:hAnsi="Cambria Math" w:cs="Times New Roman"/>
              </w:rPr>
              <m:t>β</m:t>
            </m:r>
          </m:e>
          <m:sub>
            <m:r>
              <m:rPr>
                <m:sty m:val="p"/>
              </m:rPr>
              <w:rPr>
                <w:rFonts w:ascii="Cambria Math" w:hAnsi="Cambria Math" w:cs="Times New Roman"/>
                <w:shd w:val="clear" w:color="auto" w:fill="FFFFFF"/>
              </w:rPr>
              <m:t>4</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BGD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5 </m:t>
            </m:r>
          </m:sub>
        </m:sSub>
        <m:sSub>
          <m:sSubPr>
            <m:ctrlPr>
              <w:rPr>
                <w:rFonts w:ascii="Cambria Math" w:hAnsi="Cambria Math" w:cs="Times New Roman"/>
                <w:shd w:val="clear" w:color="auto" w:fill="FFFFFF"/>
              </w:rPr>
            </m:ctrlPr>
          </m:sSubPr>
          <m:e>
            <m:r>
              <w:rPr>
                <w:rFonts w:ascii="Cambria Math" w:hAnsi="Cambria Math" w:cs="Times New Roman"/>
              </w:rPr>
              <m:t>SC</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γControls</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r>
          <w:rPr>
            <w:rFonts w:ascii="Cambria Math" w:hAnsi="Cambria Math" w:cs="Times New Roman"/>
          </w:rPr>
          <m:t>δIndustry</m:t>
        </m:r>
        <m:r>
          <m:rPr>
            <m:sty m:val="p"/>
          </m:rPr>
          <w:rPr>
            <w:rFonts w:ascii="Cambria Math" w:hAnsi="Cambria Math" w:cs="Times New Roman"/>
            <w:shd w:val="clear" w:color="auto" w:fill="FFFFFF"/>
          </w:rPr>
          <m:t>+</m:t>
        </m:r>
        <m:r>
          <w:rPr>
            <w:rFonts w:ascii="Cambria Math" w:hAnsi="Cambria Math" w:cs="Times New Roman"/>
          </w:rPr>
          <m:t>λYear</m:t>
        </m:r>
        <m: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ε</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 xml:space="preserve"> </m:t>
        </m:r>
      </m:oMath>
      <w:r w:rsidR="00322E43" w:rsidRPr="00437BBA">
        <w:rPr>
          <w:rFonts w:ascii="Times New Roman" w:hAnsi="Times New Roman" w:cs="Times New Roman"/>
          <w:shd w:val="clear" w:color="auto" w:fill="FFFFFF"/>
        </w:rPr>
        <w:t xml:space="preserve"> </w:t>
      </w:r>
      <w:r w:rsidR="00322E43" w:rsidRPr="00437BBA">
        <w:rPr>
          <w:rFonts w:ascii="Times New Roman" w:hAnsi="Times New Roman" w:cs="Times New Roman"/>
          <w:shd w:val="clear" w:color="auto" w:fill="FFFFFF"/>
        </w:rPr>
        <w:tab/>
        <w:t xml:space="preserve">              (1)</w:t>
      </w:r>
    </w:p>
    <w:p w14:paraId="4D769EF5" w14:textId="77777777" w:rsidR="00322E43" w:rsidRPr="00437BBA" w:rsidRDefault="00322E43" w:rsidP="00322E43">
      <w:pPr>
        <w:tabs>
          <w:tab w:val="left" w:pos="7760"/>
        </w:tabs>
        <w:rPr>
          <w:rFonts w:ascii="Times New Roman" w:hAnsi="Times New Roman" w:cs="Times New Roman"/>
          <w:shd w:val="clear" w:color="auto" w:fill="FFFFFF"/>
        </w:rPr>
      </w:pPr>
    </w:p>
    <w:p w14:paraId="5ABCFF15" w14:textId="77777777" w:rsidR="00322E43" w:rsidRPr="00437BBA" w:rsidRDefault="00000000" w:rsidP="00322E43">
      <w:pPr>
        <w:tabs>
          <w:tab w:val="left" w:pos="7760"/>
        </w:tabs>
        <w:rPr>
          <w:rFonts w:ascii="Times New Roman" w:hAnsi="Times New Roman" w:cs="Times New Roman"/>
          <w:shd w:val="clear" w:color="auto" w:fill="FFFFFF"/>
        </w:rPr>
      </w:pPr>
      <m:oMath>
        <m:sSub>
          <m:sSubPr>
            <m:ctrlPr>
              <w:rPr>
                <w:rFonts w:ascii="Cambria Math" w:hAnsi="Cambria Math" w:cs="Times New Roman"/>
                <w:shd w:val="clear" w:color="auto" w:fill="FFFFFF"/>
              </w:rPr>
            </m:ctrlPr>
          </m:sSubPr>
          <m:e>
            <m:r>
              <w:rPr>
                <w:rFonts w:ascii="Cambria Math" w:hAnsi="Cambria Math" w:cs="Times New Roman"/>
              </w:rPr>
              <m:t>ENV</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0 </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1 </m:t>
            </m:r>
          </m:sub>
        </m:sSub>
        <m:sSub>
          <m:sSubPr>
            <m:ctrlPr>
              <w:rPr>
                <w:rFonts w:ascii="Cambria Math" w:hAnsi="Cambria Math" w:cs="Times New Roman"/>
                <w:shd w:val="clear" w:color="auto" w:fill="FFFFFF"/>
              </w:rPr>
            </m:ctrlPr>
          </m:sSubPr>
          <m:e>
            <m:r>
              <w:rPr>
                <w:rFonts w:ascii="Cambria Math" w:hAnsi="Cambria Math" w:cs="Times New Roman"/>
              </w:rPr>
              <m:t>BSIZE</m:t>
            </m:r>
          </m:e>
          <m:sub>
            <m:r>
              <w:rPr>
                <w:rFonts w:ascii="Cambria Math" w:hAnsi="Cambria Math" w:cs="Times New Roman"/>
                <w:shd w:val="clear" w:color="auto" w:fill="FFFFFF"/>
              </w:rPr>
              <m:t>it</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2 </m:t>
                </m:r>
              </m:sub>
            </m:sSub>
            <m:sSub>
              <m:sSubPr>
                <m:ctrlPr>
                  <w:rPr>
                    <w:rFonts w:ascii="Cambria Math" w:hAnsi="Cambria Math" w:cs="Times New Roman"/>
                    <w:shd w:val="clear" w:color="auto" w:fill="FFFFFF"/>
                  </w:rPr>
                </m:ctrlPr>
              </m:sSubPr>
              <m:e>
                <m:r>
                  <w:rPr>
                    <w:rFonts w:ascii="Cambria Math" w:hAnsi="Cambria Math" w:cs="Times New Roman"/>
                  </w:rPr>
                  <m:t>BIND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3 </m:t>
                </m:r>
              </m:sub>
            </m:sSub>
            <m:sSub>
              <m:sSubPr>
                <m:ctrlPr>
                  <w:rPr>
                    <w:rFonts w:ascii="Cambria Math" w:hAnsi="Cambria Math" w:cs="Times New Roman"/>
                    <w:shd w:val="clear" w:color="auto" w:fill="FFFFFF"/>
                  </w:rPr>
                </m:ctrlPr>
              </m:sSubPr>
              <m:e>
                <m:r>
                  <w:rPr>
                    <w:rFonts w:ascii="Cambria Math" w:hAnsi="Cambria Math" w:cs="Times New Roman"/>
                  </w:rPr>
                  <m:t>CEOD</m:t>
                </m:r>
              </m:e>
              <m:sub>
                <m:r>
                  <w:rPr>
                    <w:rFonts w:ascii="Cambria Math" w:hAnsi="Cambria Math" w:cs="Times New Roman"/>
                    <w:shd w:val="clear" w:color="auto" w:fill="FFFFFF"/>
                  </w:rPr>
                  <m:t>it</m:t>
                </m:r>
              </m:sub>
            </m:sSub>
            <m:r>
              <w:rPr>
                <w:rFonts w:ascii="Cambria Math" w:hAnsi="Cambria Math" w:cs="Times New Roman"/>
                <w:shd w:val="clear" w:color="auto" w:fill="FFFFFF"/>
              </w:rPr>
              <m:t xml:space="preserve">+ </m:t>
            </m:r>
            <m:r>
              <w:rPr>
                <w:rFonts w:ascii="Cambria Math" w:hAnsi="Cambria Math" w:cs="Times New Roman"/>
              </w:rPr>
              <m:t>β</m:t>
            </m:r>
          </m:e>
          <m:sub>
            <m:r>
              <m:rPr>
                <m:sty m:val="p"/>
              </m:rPr>
              <w:rPr>
                <w:rFonts w:ascii="Cambria Math" w:hAnsi="Cambria Math" w:cs="Times New Roman"/>
                <w:shd w:val="clear" w:color="auto" w:fill="FFFFFF"/>
              </w:rPr>
              <m:t>4</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BGD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5 </m:t>
            </m:r>
          </m:sub>
        </m:sSub>
        <m:sSub>
          <m:sSubPr>
            <m:ctrlPr>
              <w:rPr>
                <w:rFonts w:ascii="Cambria Math" w:hAnsi="Cambria Math" w:cs="Times New Roman"/>
                <w:shd w:val="clear" w:color="auto" w:fill="FFFFFF"/>
              </w:rPr>
            </m:ctrlPr>
          </m:sSubPr>
          <m:e>
            <m:r>
              <w:rPr>
                <w:rFonts w:ascii="Cambria Math" w:hAnsi="Cambria Math" w:cs="Times New Roman"/>
              </w:rPr>
              <m:t>SC</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γControls</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r>
          <w:rPr>
            <w:rFonts w:ascii="Cambria Math" w:hAnsi="Cambria Math" w:cs="Times New Roman"/>
          </w:rPr>
          <m:t>δIndustry</m:t>
        </m:r>
        <m:r>
          <m:rPr>
            <m:sty m:val="p"/>
          </m:rPr>
          <w:rPr>
            <w:rFonts w:ascii="Cambria Math" w:hAnsi="Cambria Math" w:cs="Times New Roman"/>
            <w:shd w:val="clear" w:color="auto" w:fill="FFFFFF"/>
          </w:rPr>
          <m:t>+</m:t>
        </m:r>
        <m:r>
          <w:rPr>
            <w:rFonts w:ascii="Cambria Math" w:hAnsi="Cambria Math" w:cs="Times New Roman"/>
          </w:rPr>
          <m:t>λYear</m:t>
        </m:r>
        <m: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ε</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 xml:space="preserve"> </m:t>
        </m:r>
      </m:oMath>
      <w:r w:rsidR="00322E43" w:rsidRPr="00437BBA">
        <w:rPr>
          <w:rFonts w:ascii="Times New Roman" w:hAnsi="Times New Roman" w:cs="Times New Roman"/>
          <w:shd w:val="clear" w:color="auto" w:fill="FFFFFF"/>
        </w:rPr>
        <w:t xml:space="preserve"> </w:t>
      </w:r>
      <w:r w:rsidR="00322E43" w:rsidRPr="00437BBA">
        <w:rPr>
          <w:rFonts w:ascii="Times New Roman" w:hAnsi="Times New Roman" w:cs="Times New Roman"/>
          <w:shd w:val="clear" w:color="auto" w:fill="FFFFFF"/>
        </w:rPr>
        <w:tab/>
        <w:t xml:space="preserve">              (2)</w:t>
      </w:r>
    </w:p>
    <w:p w14:paraId="1F92BFEB" w14:textId="77777777" w:rsidR="00322E43" w:rsidRPr="00437BBA" w:rsidRDefault="00322E43" w:rsidP="00322E43">
      <w:pPr>
        <w:tabs>
          <w:tab w:val="left" w:pos="7760"/>
        </w:tabs>
        <w:rPr>
          <w:rFonts w:ascii="Times New Roman" w:hAnsi="Times New Roman" w:cs="Times New Roman"/>
          <w:shd w:val="clear" w:color="auto" w:fill="FFFFFF"/>
        </w:rPr>
      </w:pPr>
    </w:p>
    <w:p w14:paraId="5BD95470" w14:textId="77777777" w:rsidR="00322E43" w:rsidRPr="00437BBA" w:rsidRDefault="00000000" w:rsidP="00322E43">
      <w:pPr>
        <w:tabs>
          <w:tab w:val="left" w:pos="7760"/>
        </w:tabs>
        <w:rPr>
          <w:rFonts w:ascii="Times New Roman" w:hAnsi="Times New Roman" w:cs="Times New Roman"/>
          <w:shd w:val="clear" w:color="auto" w:fill="FFFFFF"/>
        </w:rPr>
      </w:pPr>
      <m:oMath>
        <m:sSub>
          <m:sSubPr>
            <m:ctrlPr>
              <w:rPr>
                <w:rFonts w:ascii="Cambria Math" w:hAnsi="Cambria Math" w:cs="Times New Roman"/>
                <w:shd w:val="clear" w:color="auto" w:fill="FFFFFF"/>
              </w:rPr>
            </m:ctrlPr>
          </m:sSubPr>
          <m:e>
            <m:r>
              <w:rPr>
                <w:rFonts w:ascii="Cambria Math" w:hAnsi="Cambria Math" w:cs="Times New Roman"/>
              </w:rPr>
              <m:t>SOC</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0 </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1 </m:t>
            </m:r>
          </m:sub>
        </m:sSub>
        <m:sSub>
          <m:sSubPr>
            <m:ctrlPr>
              <w:rPr>
                <w:rFonts w:ascii="Cambria Math" w:hAnsi="Cambria Math" w:cs="Times New Roman"/>
                <w:shd w:val="clear" w:color="auto" w:fill="FFFFFF"/>
              </w:rPr>
            </m:ctrlPr>
          </m:sSubPr>
          <m:e>
            <m:r>
              <w:rPr>
                <w:rFonts w:ascii="Cambria Math" w:hAnsi="Cambria Math" w:cs="Times New Roman"/>
              </w:rPr>
              <m:t>BSIZE</m:t>
            </m:r>
          </m:e>
          <m:sub>
            <m:r>
              <w:rPr>
                <w:rFonts w:ascii="Cambria Math" w:hAnsi="Cambria Math" w:cs="Times New Roman"/>
                <w:shd w:val="clear" w:color="auto" w:fill="FFFFFF"/>
              </w:rPr>
              <m:t>it</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2 </m:t>
                </m:r>
              </m:sub>
            </m:sSub>
            <m:sSub>
              <m:sSubPr>
                <m:ctrlPr>
                  <w:rPr>
                    <w:rFonts w:ascii="Cambria Math" w:hAnsi="Cambria Math" w:cs="Times New Roman"/>
                    <w:shd w:val="clear" w:color="auto" w:fill="FFFFFF"/>
                  </w:rPr>
                </m:ctrlPr>
              </m:sSubPr>
              <m:e>
                <m:r>
                  <w:rPr>
                    <w:rFonts w:ascii="Cambria Math" w:hAnsi="Cambria Math" w:cs="Times New Roman"/>
                  </w:rPr>
                  <m:t>BIND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3 </m:t>
                </m:r>
              </m:sub>
            </m:sSub>
            <m:sSub>
              <m:sSubPr>
                <m:ctrlPr>
                  <w:rPr>
                    <w:rFonts w:ascii="Cambria Math" w:hAnsi="Cambria Math" w:cs="Times New Roman"/>
                    <w:shd w:val="clear" w:color="auto" w:fill="FFFFFF"/>
                  </w:rPr>
                </m:ctrlPr>
              </m:sSubPr>
              <m:e>
                <m:r>
                  <w:rPr>
                    <w:rFonts w:ascii="Cambria Math" w:hAnsi="Cambria Math" w:cs="Times New Roman"/>
                  </w:rPr>
                  <m:t>CEOD</m:t>
                </m:r>
              </m:e>
              <m:sub>
                <m:r>
                  <w:rPr>
                    <w:rFonts w:ascii="Cambria Math" w:hAnsi="Cambria Math" w:cs="Times New Roman"/>
                    <w:shd w:val="clear" w:color="auto" w:fill="FFFFFF"/>
                  </w:rPr>
                  <m:t>it</m:t>
                </m:r>
              </m:sub>
            </m:sSub>
            <m:r>
              <w:rPr>
                <w:rFonts w:ascii="Cambria Math" w:hAnsi="Cambria Math" w:cs="Times New Roman"/>
                <w:shd w:val="clear" w:color="auto" w:fill="FFFFFF"/>
              </w:rPr>
              <m:t xml:space="preserve">+ </m:t>
            </m:r>
            <m:r>
              <w:rPr>
                <w:rFonts w:ascii="Cambria Math" w:hAnsi="Cambria Math" w:cs="Times New Roman"/>
              </w:rPr>
              <m:t>β</m:t>
            </m:r>
          </m:e>
          <m:sub>
            <m:r>
              <m:rPr>
                <m:sty m:val="p"/>
              </m:rPr>
              <w:rPr>
                <w:rFonts w:ascii="Cambria Math" w:hAnsi="Cambria Math" w:cs="Times New Roman"/>
                <w:shd w:val="clear" w:color="auto" w:fill="FFFFFF"/>
              </w:rPr>
              <m:t>4</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BGD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5 </m:t>
            </m:r>
          </m:sub>
        </m:sSub>
        <m:sSub>
          <m:sSubPr>
            <m:ctrlPr>
              <w:rPr>
                <w:rFonts w:ascii="Cambria Math" w:hAnsi="Cambria Math" w:cs="Times New Roman"/>
                <w:shd w:val="clear" w:color="auto" w:fill="FFFFFF"/>
              </w:rPr>
            </m:ctrlPr>
          </m:sSubPr>
          <m:e>
            <m:r>
              <w:rPr>
                <w:rFonts w:ascii="Cambria Math" w:hAnsi="Cambria Math" w:cs="Times New Roman"/>
              </w:rPr>
              <m:t>SC</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γControls</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r>
          <w:rPr>
            <w:rFonts w:ascii="Cambria Math" w:hAnsi="Cambria Math" w:cs="Times New Roman"/>
          </w:rPr>
          <m:t>δIndustry</m:t>
        </m:r>
        <m:r>
          <m:rPr>
            <m:sty m:val="p"/>
          </m:rPr>
          <w:rPr>
            <w:rFonts w:ascii="Cambria Math" w:hAnsi="Cambria Math" w:cs="Times New Roman"/>
            <w:shd w:val="clear" w:color="auto" w:fill="FFFFFF"/>
          </w:rPr>
          <m:t>+</m:t>
        </m:r>
        <m:r>
          <w:rPr>
            <w:rFonts w:ascii="Cambria Math" w:hAnsi="Cambria Math" w:cs="Times New Roman"/>
          </w:rPr>
          <m:t>λYear</m:t>
        </m:r>
        <m: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ε</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 xml:space="preserve"> </m:t>
        </m:r>
      </m:oMath>
      <w:r w:rsidR="00322E43" w:rsidRPr="00437BBA">
        <w:rPr>
          <w:rFonts w:ascii="Times New Roman" w:hAnsi="Times New Roman" w:cs="Times New Roman"/>
          <w:shd w:val="clear" w:color="auto" w:fill="FFFFFF"/>
        </w:rPr>
        <w:t xml:space="preserve"> </w:t>
      </w:r>
      <w:r w:rsidR="00322E43" w:rsidRPr="00437BBA">
        <w:rPr>
          <w:rFonts w:ascii="Times New Roman" w:hAnsi="Times New Roman" w:cs="Times New Roman"/>
          <w:shd w:val="clear" w:color="auto" w:fill="FFFFFF"/>
        </w:rPr>
        <w:tab/>
        <w:t xml:space="preserve">              (3)</w:t>
      </w:r>
    </w:p>
    <w:p w14:paraId="3B894420" w14:textId="77777777" w:rsidR="00322E43" w:rsidRPr="00437BBA" w:rsidRDefault="00322E43" w:rsidP="00322E43">
      <w:pPr>
        <w:tabs>
          <w:tab w:val="left" w:pos="7760"/>
        </w:tabs>
        <w:rPr>
          <w:rFonts w:ascii="Times New Roman" w:hAnsi="Times New Roman" w:cs="Times New Roman"/>
          <w:shd w:val="clear" w:color="auto" w:fill="FFFFFF"/>
        </w:rPr>
      </w:pPr>
    </w:p>
    <w:p w14:paraId="1C0747A2" w14:textId="77777777" w:rsidR="00322E43" w:rsidRDefault="00000000" w:rsidP="00322E43">
      <w:pPr>
        <w:tabs>
          <w:tab w:val="left" w:pos="7760"/>
        </w:tabs>
        <w:rPr>
          <w:rFonts w:ascii="Times New Roman" w:hAnsi="Times New Roman" w:cs="Times New Roman"/>
          <w:shd w:val="clear" w:color="auto" w:fill="FFFFFF"/>
        </w:rPr>
      </w:pPr>
      <m:oMath>
        <m:sSub>
          <m:sSubPr>
            <m:ctrlPr>
              <w:rPr>
                <w:rFonts w:ascii="Cambria Math" w:hAnsi="Cambria Math" w:cs="Times New Roman"/>
                <w:shd w:val="clear" w:color="auto" w:fill="FFFFFF"/>
              </w:rPr>
            </m:ctrlPr>
          </m:sSubPr>
          <m:e>
            <m:r>
              <w:rPr>
                <w:rFonts w:ascii="Cambria Math" w:hAnsi="Cambria Math" w:cs="Times New Roman"/>
              </w:rPr>
              <m:t>GOV</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0 </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1 </m:t>
            </m:r>
          </m:sub>
        </m:sSub>
        <m:sSub>
          <m:sSubPr>
            <m:ctrlPr>
              <w:rPr>
                <w:rFonts w:ascii="Cambria Math" w:hAnsi="Cambria Math" w:cs="Times New Roman"/>
                <w:shd w:val="clear" w:color="auto" w:fill="FFFFFF"/>
              </w:rPr>
            </m:ctrlPr>
          </m:sSubPr>
          <m:e>
            <m:r>
              <w:rPr>
                <w:rFonts w:ascii="Cambria Math" w:hAnsi="Cambria Math" w:cs="Times New Roman"/>
              </w:rPr>
              <m:t>BSIZE</m:t>
            </m:r>
          </m:e>
          <m:sub>
            <m:r>
              <w:rPr>
                <w:rFonts w:ascii="Cambria Math" w:hAnsi="Cambria Math" w:cs="Times New Roman"/>
                <w:shd w:val="clear" w:color="auto" w:fill="FFFFFF"/>
              </w:rPr>
              <m:t>it</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2 </m:t>
                </m:r>
              </m:sub>
            </m:sSub>
            <m:sSub>
              <m:sSubPr>
                <m:ctrlPr>
                  <w:rPr>
                    <w:rFonts w:ascii="Cambria Math" w:hAnsi="Cambria Math" w:cs="Times New Roman"/>
                    <w:shd w:val="clear" w:color="auto" w:fill="FFFFFF"/>
                  </w:rPr>
                </m:ctrlPr>
              </m:sSubPr>
              <m:e>
                <m:r>
                  <w:rPr>
                    <w:rFonts w:ascii="Cambria Math" w:hAnsi="Cambria Math" w:cs="Times New Roman"/>
                  </w:rPr>
                  <m:t>BIND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3 </m:t>
                </m:r>
              </m:sub>
            </m:sSub>
            <m:sSub>
              <m:sSubPr>
                <m:ctrlPr>
                  <w:rPr>
                    <w:rFonts w:ascii="Cambria Math" w:hAnsi="Cambria Math" w:cs="Times New Roman"/>
                    <w:shd w:val="clear" w:color="auto" w:fill="FFFFFF"/>
                  </w:rPr>
                </m:ctrlPr>
              </m:sSubPr>
              <m:e>
                <m:r>
                  <w:rPr>
                    <w:rFonts w:ascii="Cambria Math" w:hAnsi="Cambria Math" w:cs="Times New Roman"/>
                  </w:rPr>
                  <m:t>CEOD</m:t>
                </m:r>
              </m:e>
              <m:sub>
                <m:r>
                  <w:rPr>
                    <w:rFonts w:ascii="Cambria Math" w:hAnsi="Cambria Math" w:cs="Times New Roman"/>
                    <w:shd w:val="clear" w:color="auto" w:fill="FFFFFF"/>
                  </w:rPr>
                  <m:t>it</m:t>
                </m:r>
              </m:sub>
            </m:sSub>
            <m:r>
              <w:rPr>
                <w:rFonts w:ascii="Cambria Math" w:hAnsi="Cambria Math" w:cs="Times New Roman"/>
                <w:shd w:val="clear" w:color="auto" w:fill="FFFFFF"/>
              </w:rPr>
              <m:t xml:space="preserve">+ </m:t>
            </m:r>
            <m:r>
              <w:rPr>
                <w:rFonts w:ascii="Cambria Math" w:hAnsi="Cambria Math" w:cs="Times New Roman"/>
              </w:rPr>
              <m:t>β</m:t>
            </m:r>
          </m:e>
          <m:sub>
            <m:r>
              <m:rPr>
                <m:sty m:val="p"/>
              </m:rPr>
              <w:rPr>
                <w:rFonts w:ascii="Cambria Math" w:hAnsi="Cambria Math" w:cs="Times New Roman"/>
                <w:shd w:val="clear" w:color="auto" w:fill="FFFFFF"/>
              </w:rPr>
              <m:t>4</m:t>
            </m:r>
          </m:sub>
        </m:sSub>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BGD</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β</m:t>
            </m:r>
          </m:e>
          <m:sub>
            <m:r>
              <m:rPr>
                <m:sty m:val="p"/>
              </m:rPr>
              <w:rPr>
                <w:rFonts w:ascii="Cambria Math" w:hAnsi="Cambria Math" w:cs="Times New Roman"/>
                <w:shd w:val="clear" w:color="auto" w:fill="FFFFFF"/>
              </w:rPr>
              <m:t xml:space="preserve">5 </m:t>
            </m:r>
          </m:sub>
        </m:sSub>
        <m:sSub>
          <m:sSubPr>
            <m:ctrlPr>
              <w:rPr>
                <w:rFonts w:ascii="Cambria Math" w:hAnsi="Cambria Math" w:cs="Times New Roman"/>
                <w:shd w:val="clear" w:color="auto" w:fill="FFFFFF"/>
              </w:rPr>
            </m:ctrlPr>
          </m:sSubPr>
          <m:e>
            <m:r>
              <w:rPr>
                <w:rFonts w:ascii="Cambria Math" w:hAnsi="Cambria Math" w:cs="Times New Roman"/>
              </w:rPr>
              <m:t>SC</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w:rPr>
                <w:rFonts w:ascii="Cambria Math" w:hAnsi="Cambria Math" w:cs="Times New Roman"/>
              </w:rPr>
              <m:t>γControls</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m:t>
        </m:r>
        <m:r>
          <w:rPr>
            <w:rFonts w:ascii="Cambria Math" w:hAnsi="Cambria Math" w:cs="Times New Roman"/>
          </w:rPr>
          <m:t>δIndustry</m:t>
        </m:r>
        <m:r>
          <m:rPr>
            <m:sty m:val="p"/>
          </m:rPr>
          <w:rPr>
            <w:rFonts w:ascii="Cambria Math" w:hAnsi="Cambria Math" w:cs="Times New Roman"/>
            <w:shd w:val="clear" w:color="auto" w:fill="FFFFFF"/>
          </w:rPr>
          <m:t>+</m:t>
        </m:r>
        <m:r>
          <w:rPr>
            <w:rFonts w:ascii="Cambria Math" w:hAnsi="Cambria Math" w:cs="Times New Roman"/>
          </w:rPr>
          <m:t>λYear</m:t>
        </m:r>
        <m:r>
          <w:rPr>
            <w:rFonts w:ascii="Cambria Math" w:hAnsi="Cambria Math" w:cs="Times New Roman"/>
            <w:shd w:val="clear" w:color="auto" w:fill="FFFFFF"/>
          </w:rPr>
          <m:t>+</m:t>
        </m:r>
        <m:sSub>
          <m:sSubPr>
            <m:ctrlPr>
              <w:rPr>
                <w:rFonts w:ascii="Cambria Math" w:hAnsi="Cambria Math" w:cs="Times New Roman"/>
                <w:shd w:val="clear" w:color="auto" w:fill="FFFFFF"/>
              </w:rPr>
            </m:ctrlPr>
          </m:sSubPr>
          <m:e>
            <m:r>
              <m:rPr>
                <m:sty m:val="p"/>
              </m:rPr>
              <w:rPr>
                <w:rFonts w:ascii="Cambria Math" w:hAnsi="Cambria Math" w:cs="Times New Roman"/>
                <w:shd w:val="clear" w:color="auto" w:fill="FFFFFF"/>
              </w:rPr>
              <m:t>ε</m:t>
            </m:r>
          </m:e>
          <m:sub>
            <m:r>
              <w:rPr>
                <w:rFonts w:ascii="Cambria Math" w:hAnsi="Cambria Math" w:cs="Times New Roman"/>
                <w:shd w:val="clear" w:color="auto" w:fill="FFFFFF"/>
              </w:rPr>
              <m:t>it</m:t>
            </m:r>
          </m:sub>
        </m:sSub>
        <m:r>
          <m:rPr>
            <m:sty m:val="p"/>
          </m:rPr>
          <w:rPr>
            <w:rFonts w:ascii="Cambria Math" w:hAnsi="Cambria Math" w:cs="Times New Roman"/>
            <w:shd w:val="clear" w:color="auto" w:fill="FFFFFF"/>
          </w:rPr>
          <m:t xml:space="preserve"> </m:t>
        </m:r>
      </m:oMath>
      <w:r w:rsidR="00322E43" w:rsidRPr="00437BBA">
        <w:rPr>
          <w:rFonts w:ascii="Times New Roman" w:hAnsi="Times New Roman" w:cs="Times New Roman"/>
          <w:shd w:val="clear" w:color="auto" w:fill="FFFFFF"/>
        </w:rPr>
        <w:t xml:space="preserve"> </w:t>
      </w:r>
      <w:r w:rsidR="00322E43" w:rsidRPr="00437BBA">
        <w:rPr>
          <w:rFonts w:ascii="Times New Roman" w:hAnsi="Times New Roman" w:cs="Times New Roman"/>
          <w:shd w:val="clear" w:color="auto" w:fill="FFFFFF"/>
        </w:rPr>
        <w:tab/>
        <w:t xml:space="preserve">              (4)</w:t>
      </w:r>
    </w:p>
    <w:p w14:paraId="5E53DAAE" w14:textId="77777777" w:rsidR="00322E43" w:rsidRPr="00295250" w:rsidRDefault="00322E43" w:rsidP="00322E43">
      <w:pPr>
        <w:tabs>
          <w:tab w:val="left" w:pos="7760"/>
        </w:tabs>
        <w:rPr>
          <w:rFonts w:ascii="Times New Roman" w:hAnsi="Times New Roman" w:cs="Times New Roman"/>
          <w:shd w:val="clear" w:color="auto" w:fill="FFFFFF"/>
        </w:rPr>
      </w:pPr>
    </w:p>
    <w:p w14:paraId="51F93454" w14:textId="77777777" w:rsidR="00322E43" w:rsidRPr="00322E43" w:rsidRDefault="00322E43" w:rsidP="00322E43">
      <w:pPr>
        <w:rPr>
          <w:rFonts w:asciiTheme="majorHAnsi" w:hAnsiTheme="majorHAnsi" w:cstheme="majorHAnsi"/>
        </w:rPr>
      </w:pPr>
      <w:r w:rsidRPr="00322E43">
        <w:rPr>
          <w:rFonts w:asciiTheme="majorHAnsi" w:hAnsiTheme="majorHAnsi" w:cstheme="majorHAnsi"/>
        </w:rPr>
        <w:t xml:space="preserve">Gender diversity was measured as the Blau index, which measures diversity on the board (Abdullah, 2025; Saggar et al., 2022); the Blau index represents “variety,” showing the representation of males and females on the board, and “balance,” explaining the extent of equality in the gender composition of the board (Stirling, 1998). The Blau index was calculated as follows: </w:t>
      </w:r>
    </w:p>
    <w:p w14:paraId="605962AA" w14:textId="77777777" w:rsidR="00322E43" w:rsidRPr="00437BBA" w:rsidRDefault="00322E43" w:rsidP="00322E43">
      <w:pPr>
        <w:rPr>
          <w:rFonts w:ascii="Times New Roman" w:hAnsi="Times New Roman" w:cs="Times New Roman"/>
        </w:rPr>
      </w:pPr>
    </w:p>
    <w:p w14:paraId="602B0007" w14:textId="77777777" w:rsidR="00322E43" w:rsidRDefault="00322E43" w:rsidP="00322E43">
      <w:pPr>
        <w:rPr>
          <w:rFonts w:ascii="Times New Roman" w:eastAsiaTheme="minorEastAsia" w:hAnsi="Times New Roman" w:cs="Times New Roman"/>
        </w:rPr>
      </w:pPr>
      <w:r w:rsidRPr="00322E43">
        <w:rPr>
          <w:rFonts w:asciiTheme="majorHAnsi" w:eastAsiaTheme="minorEastAsia" w:hAnsiTheme="majorHAnsi" w:cstheme="majorHAnsi"/>
        </w:rPr>
        <w:t>BLAU INDEX</w:t>
      </w:r>
      <w:r w:rsidRPr="00437BBA">
        <w:rPr>
          <w:rFonts w:ascii="Times New Roman" w:eastAsiaTheme="minorEastAsia" w:hAnsi="Times New Roman" w:cs="Times New Roman"/>
        </w:rPr>
        <w:t xml:space="preserve"> </w:t>
      </w:r>
      <m:oMath>
        <m:r>
          <m:rPr>
            <m:sty m:val="p"/>
          </m:rPr>
          <w:rPr>
            <w:rFonts w:ascii="Cambria Math" w:eastAsia="Arial" w:hAnsi="Cambria Math" w:cs="Times New Roman"/>
          </w:rPr>
          <m:t xml:space="preserve">= </m:t>
        </m:r>
        <m:r>
          <m:rPr>
            <m:sty m:val="p"/>
          </m:rPr>
          <w:rPr>
            <w:rFonts w:ascii="Cambria Math" w:hAnsi="Cambria Math" w:cs="Times New Roman"/>
          </w:rPr>
          <m:t>1-</m:t>
        </m:r>
        <m:nary>
          <m:naryPr>
            <m:chr m:val="∑"/>
            <m:limLoc m:val="subSup"/>
            <m:ctrlPr>
              <w:rPr>
                <w:rFonts w:ascii="Cambria Math" w:hAnsi="Cambria Math" w:cs="Times New Roman"/>
              </w:rPr>
            </m:ctrlPr>
          </m:naryPr>
          <m:sub>
            <m:r>
              <w:rPr>
                <w:rFonts w:ascii="Cambria Math" w:hAnsi="Cambria Math" w:cs="Times New Roman"/>
              </w:rPr>
              <m:t>i</m:t>
            </m:r>
            <m:r>
              <m:rPr>
                <m:sty m:val="p"/>
              </m:rPr>
              <w:rPr>
                <w:rFonts w:ascii="Cambria Math" w:hAnsi="Cambria Math" w:cs="Times New Roman"/>
              </w:rPr>
              <m:t>=1</m:t>
            </m:r>
          </m:sub>
          <m:sup>
            <m:r>
              <w:rPr>
                <w:rFonts w:ascii="Cambria Math" w:hAnsi="Cambria Math" w:cs="Times New Roman"/>
              </w:rPr>
              <m:t>n</m:t>
            </m:r>
          </m:sup>
          <m:e>
            <m:sSubSup>
              <m:sSubSupPr>
                <m:ctrlPr>
                  <w:rPr>
                    <w:rFonts w:ascii="Cambria Math" w:hAnsi="Cambria Math" w:cs="Times New Roman"/>
                  </w:rPr>
                </m:ctrlPr>
              </m:sSubSupPr>
              <m:e>
                <m:r>
                  <w:rPr>
                    <w:rFonts w:ascii="Cambria Math" w:hAnsi="Cambria Math" w:cs="Times New Roman"/>
                  </w:rPr>
                  <m:t>p</m:t>
                </m:r>
              </m:e>
              <m:sub>
                <m:r>
                  <w:rPr>
                    <w:rFonts w:ascii="Cambria Math" w:hAnsi="Cambria Math" w:cs="Times New Roman"/>
                  </w:rPr>
                  <m:t>i</m:t>
                </m:r>
              </m:sub>
              <m:sup>
                <m:r>
                  <m:rPr>
                    <m:sty m:val="p"/>
                  </m:rPr>
                  <w:rPr>
                    <w:rFonts w:ascii="Cambria Math" w:hAnsi="Cambria Math" w:cs="Times New Roman"/>
                  </w:rPr>
                  <m:t>2</m:t>
                </m:r>
              </m:sup>
            </m:sSubSup>
          </m:e>
        </m:nary>
      </m:oMath>
    </w:p>
    <w:p w14:paraId="6CACF870" w14:textId="77777777" w:rsidR="00322E43" w:rsidRPr="00437BBA" w:rsidRDefault="00322E43" w:rsidP="00322E43">
      <w:pPr>
        <w:rPr>
          <w:rFonts w:ascii="Times New Roman" w:hAnsi="Times New Roman" w:cs="Times New Roman"/>
        </w:rPr>
      </w:pPr>
    </w:p>
    <w:p w14:paraId="42C3D01B" w14:textId="77777777" w:rsidR="00322E43" w:rsidRPr="009A220E" w:rsidRDefault="00322E43" w:rsidP="00322E43">
      <w:pPr>
        <w:rPr>
          <w:rFonts w:asciiTheme="majorHAnsi" w:hAnsiTheme="majorHAnsi" w:cstheme="majorHAnsi"/>
        </w:rPr>
      </w:pPr>
      <w:r w:rsidRPr="00322E43">
        <w:rPr>
          <w:rFonts w:asciiTheme="majorHAnsi" w:hAnsiTheme="majorHAnsi" w:cstheme="majorHAnsi"/>
        </w:rPr>
        <w:t>where</w:t>
      </w:r>
      <w:r w:rsidRPr="00437BBA">
        <w:rPr>
          <w:rFonts w:ascii="Times New Roman" w:hAnsi="Times New Roman" w:cs="Times New Roman"/>
        </w:rPr>
        <w:t xml:space="preserve"> </w:t>
      </w:r>
      <w:r w:rsidRPr="00437BBA">
        <w:rPr>
          <w:rFonts w:ascii="Times New Roman" w:hAnsi="Times New Roman" w:cs="Times New Roman"/>
          <w:i/>
          <w:iCs/>
        </w:rPr>
        <w:t xml:space="preserve">Pi </w:t>
      </w:r>
      <w:r w:rsidRPr="00322E43">
        <w:rPr>
          <w:rFonts w:asciiTheme="majorHAnsi" w:hAnsiTheme="majorHAnsi" w:cstheme="majorHAnsi"/>
        </w:rPr>
        <w:t xml:space="preserve">is the proportion of board members in each category for a given attribute, and </w:t>
      </w:r>
      <w:r w:rsidRPr="00322E43">
        <w:rPr>
          <w:rFonts w:asciiTheme="majorHAnsi" w:hAnsiTheme="majorHAnsi" w:cstheme="majorHAnsi"/>
          <w:i/>
          <w:iCs/>
        </w:rPr>
        <w:t>n</w:t>
      </w:r>
      <w:r w:rsidRPr="00322E43">
        <w:rPr>
          <w:rFonts w:asciiTheme="majorHAnsi" w:hAnsiTheme="majorHAnsi" w:cstheme="majorHAnsi"/>
        </w:rPr>
        <w:t xml:space="preserve"> shows the number of categories of a given attribute. The Blau index values range from 0 to 0.5, where 0 indicates complete homogeneity of the board, and 0.5 indicates complete heterogeneity. </w:t>
      </w:r>
    </w:p>
    <w:p w14:paraId="6D13798B" w14:textId="77777777" w:rsidR="00A7260B" w:rsidRPr="00A7260B" w:rsidRDefault="00A7260B" w:rsidP="00A7260B">
      <w:pPr>
        <w:ind w:firstLineChars="200" w:firstLine="480"/>
        <w:rPr>
          <w:szCs w:val="24"/>
        </w:rPr>
      </w:pPr>
    </w:p>
    <w:p w14:paraId="1F2AAC41" w14:textId="77777777" w:rsidR="00322E43" w:rsidRPr="009A220E" w:rsidRDefault="001534CF">
      <w:pPr>
        <w:contextualSpacing/>
        <w:rPr>
          <w:b/>
          <w:szCs w:val="24"/>
        </w:rPr>
      </w:pPr>
      <w:r w:rsidRPr="00A7260B">
        <w:rPr>
          <w:b/>
          <w:szCs w:val="24"/>
        </w:rPr>
        <w:lastRenderedPageBreak/>
        <w:t xml:space="preserve">4. Data analysis and results </w:t>
      </w:r>
    </w:p>
    <w:p w14:paraId="431EFCAD" w14:textId="77777777" w:rsidR="0003282E" w:rsidRPr="0003282E" w:rsidRDefault="0003282E" w:rsidP="0003282E">
      <w:pPr>
        <w:spacing w:line="360" w:lineRule="auto"/>
        <w:rPr>
          <w:b/>
          <w:szCs w:val="24"/>
        </w:rPr>
      </w:pPr>
      <w:r w:rsidRPr="0003282E">
        <w:rPr>
          <w:b/>
          <w:szCs w:val="24"/>
        </w:rPr>
        <w:t>4.1. Descriptive Statistics</w:t>
      </w:r>
    </w:p>
    <w:p w14:paraId="16D04221" w14:textId="77777777" w:rsidR="0003282E" w:rsidRPr="0003282E" w:rsidRDefault="0003282E" w:rsidP="0003282E">
      <w:pPr>
        <w:rPr>
          <w:rFonts w:asciiTheme="majorHAnsi" w:hAnsiTheme="majorHAnsi" w:cstheme="majorHAnsi"/>
        </w:rPr>
      </w:pPr>
      <w:r w:rsidRPr="0003282E">
        <w:rPr>
          <w:rFonts w:asciiTheme="majorHAnsi" w:hAnsiTheme="majorHAnsi" w:cstheme="majorHAnsi"/>
        </w:rPr>
        <w:t>Table 4 reports the descriptive statistics for all variables included in the empirical analysis. The mean ESG score indicates a moderate level of sustainability performance among Asian firms over the sample period, reflecting the increasingly institutionalized nature of ESG practices in the Asian regulatory environment. However, the relatively wide dispersion between minimum and maximum values suggests substantial heterogeneity in firms’ sustainability engagement, consistent with prior evidence that ESG outcomes remain uneven even under increasingly formalized reporting frameworks.</w:t>
      </w:r>
    </w:p>
    <w:p w14:paraId="4E85B831" w14:textId="77777777" w:rsidR="0003282E" w:rsidRPr="0003282E" w:rsidRDefault="0003282E" w:rsidP="0003282E">
      <w:pPr>
        <w:rPr>
          <w:rFonts w:asciiTheme="majorHAnsi" w:hAnsiTheme="majorHAnsi" w:cstheme="majorHAnsi"/>
        </w:rPr>
      </w:pPr>
      <w:r w:rsidRPr="0003282E">
        <w:rPr>
          <w:rFonts w:asciiTheme="majorHAnsi" w:hAnsiTheme="majorHAnsi" w:cstheme="majorHAnsi"/>
        </w:rPr>
        <w:t>Across ESG pillars, ENV and SOC scores exhibit greater variability than GOV, indicating that environmental and social performance are more sensitive to firm-specific strategies and industry exposure, whereas governance practices appear more standardized. This pattern aligns with the view that governance structures in Asia are shaped by regulatory convergence and corporate governance codes, while environmental and social outcomes remain more discretionary and operationally driven. Regarding governance characteristics, BSIZE shows moderate variation, suggesting that Asian boards operate within relatively stable size norms, while BIND displays higher dispersion, reflecting cross-country and firm-level differences in board independence practices. CEOD remains comparatively rare, consistent with governance codes that discourage leadership duality. The mean value of BGD (measured via BLAU) indicates gradual progress toward gender-diverse boards, although the distribution confirms that full gender balance remains uncommon.</w:t>
      </w:r>
    </w:p>
    <w:p w14:paraId="7AF7FF39" w14:textId="77777777" w:rsidR="0003282E" w:rsidRPr="0003282E" w:rsidRDefault="0003282E" w:rsidP="0003282E">
      <w:pPr>
        <w:rPr>
          <w:rFonts w:asciiTheme="majorHAnsi" w:hAnsiTheme="majorHAnsi" w:cstheme="majorHAnsi"/>
        </w:rPr>
      </w:pPr>
    </w:p>
    <w:p w14:paraId="17071C3B" w14:textId="77777777" w:rsidR="0003282E" w:rsidRPr="0003282E" w:rsidRDefault="0003282E" w:rsidP="0003282E">
      <w:pPr>
        <w:rPr>
          <w:rFonts w:asciiTheme="majorHAnsi" w:hAnsiTheme="majorHAnsi" w:cstheme="majorHAnsi"/>
        </w:rPr>
      </w:pPr>
      <w:r w:rsidRPr="0003282E">
        <w:rPr>
          <w:rFonts w:asciiTheme="majorHAnsi" w:hAnsiTheme="majorHAnsi" w:cstheme="majorHAnsi"/>
        </w:rPr>
        <w:t>SC adoption varies substantially across firms, supporting the view that sustainability committees are not yet universal governance mechanisms despite regulatory and stakeholder pressures. Control variables such as FSIZE and LEV exhibit expected distributions, indicating a balanced mix of large and medium-sized firms with varying capital structures.</w:t>
      </w:r>
      <w:r w:rsidR="009A220E">
        <w:rPr>
          <w:rFonts w:asciiTheme="majorHAnsi" w:hAnsiTheme="majorHAnsi" w:cstheme="majorHAnsi"/>
        </w:rPr>
        <w:t xml:space="preserve"> </w:t>
      </w:r>
      <w:r w:rsidRPr="0003282E">
        <w:rPr>
          <w:rFonts w:asciiTheme="majorHAnsi" w:hAnsiTheme="majorHAnsi" w:cstheme="majorHAnsi"/>
        </w:rPr>
        <w:t>Overall, the descriptive statistics suggest sufficient cross-sectional and temporal variation to support multivariate panel analysis, while also highlighting the institutional constraints shaping ESG performance in the Asian context.</w:t>
      </w:r>
    </w:p>
    <w:p w14:paraId="06D2B3EB" w14:textId="77777777" w:rsidR="0003282E" w:rsidRPr="00437BBA" w:rsidRDefault="0003282E" w:rsidP="0003282E">
      <w:pPr>
        <w:rPr>
          <w:rFonts w:ascii="Times New Roman" w:hAnsi="Times New Roman" w:cs="Times New Roman"/>
        </w:rPr>
      </w:pPr>
    </w:p>
    <w:p w14:paraId="5C4CDF7D" w14:textId="77777777" w:rsidR="0003282E" w:rsidRPr="0003282E" w:rsidRDefault="0003282E" w:rsidP="0003282E">
      <w:pPr>
        <w:rPr>
          <w:rFonts w:asciiTheme="majorHAnsi" w:hAnsiTheme="majorHAnsi" w:cstheme="majorHAnsi"/>
        </w:rPr>
      </w:pPr>
      <w:r w:rsidRPr="0003282E">
        <w:rPr>
          <w:rFonts w:asciiTheme="majorHAnsi" w:hAnsiTheme="majorHAnsi" w:cstheme="majorHAnsi"/>
          <w:b/>
        </w:rPr>
        <w:t>Table 4.</w:t>
      </w:r>
      <w:r w:rsidRPr="0003282E">
        <w:rPr>
          <w:rFonts w:asciiTheme="majorHAnsi" w:hAnsiTheme="majorHAnsi" w:cstheme="majorHAnsi"/>
        </w:rPr>
        <w:t xml:space="preserve"> Descriptive statistics.</w:t>
      </w:r>
    </w:p>
    <w:tbl>
      <w:tblPr>
        <w:tblW w:w="8843" w:type="dxa"/>
        <w:tblLook w:val="04A0" w:firstRow="1" w:lastRow="0" w:firstColumn="1" w:lastColumn="0" w:noHBand="0" w:noVBand="1"/>
      </w:tblPr>
      <w:tblGrid>
        <w:gridCol w:w="1048"/>
        <w:gridCol w:w="1300"/>
        <w:gridCol w:w="1300"/>
        <w:gridCol w:w="1300"/>
        <w:gridCol w:w="1300"/>
        <w:gridCol w:w="1300"/>
        <w:gridCol w:w="1300"/>
      </w:tblGrid>
      <w:tr w:rsidR="0003282E" w:rsidRPr="0003282E" w14:paraId="7107206E" w14:textId="77777777" w:rsidTr="0003282E">
        <w:trPr>
          <w:trHeight w:val="320"/>
        </w:trPr>
        <w:tc>
          <w:tcPr>
            <w:tcW w:w="1043" w:type="dxa"/>
            <w:tcBorders>
              <w:top w:val="single" w:sz="4" w:space="0" w:color="auto"/>
              <w:left w:val="nil"/>
              <w:bottom w:val="single" w:sz="4" w:space="0" w:color="auto"/>
              <w:right w:val="nil"/>
            </w:tcBorders>
            <w:noWrap/>
            <w:vAlign w:val="bottom"/>
            <w:hideMark/>
          </w:tcPr>
          <w:p w14:paraId="0C26A331"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Variable</w:t>
            </w:r>
          </w:p>
        </w:tc>
        <w:tc>
          <w:tcPr>
            <w:tcW w:w="1300" w:type="dxa"/>
            <w:tcBorders>
              <w:top w:val="single" w:sz="4" w:space="0" w:color="auto"/>
              <w:left w:val="nil"/>
              <w:bottom w:val="single" w:sz="4" w:space="0" w:color="auto"/>
              <w:right w:val="nil"/>
            </w:tcBorders>
            <w:noWrap/>
            <w:vAlign w:val="bottom"/>
            <w:hideMark/>
          </w:tcPr>
          <w:p w14:paraId="414F4E0A"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Obs.</w:t>
            </w:r>
          </w:p>
        </w:tc>
        <w:tc>
          <w:tcPr>
            <w:tcW w:w="1300" w:type="dxa"/>
            <w:tcBorders>
              <w:top w:val="single" w:sz="4" w:space="0" w:color="auto"/>
              <w:left w:val="nil"/>
              <w:bottom w:val="single" w:sz="4" w:space="0" w:color="auto"/>
              <w:right w:val="nil"/>
            </w:tcBorders>
            <w:noWrap/>
            <w:vAlign w:val="bottom"/>
            <w:hideMark/>
          </w:tcPr>
          <w:p w14:paraId="1A71BB2A"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Mean</w:t>
            </w:r>
          </w:p>
        </w:tc>
        <w:tc>
          <w:tcPr>
            <w:tcW w:w="1300" w:type="dxa"/>
            <w:tcBorders>
              <w:top w:val="single" w:sz="4" w:space="0" w:color="auto"/>
              <w:left w:val="nil"/>
              <w:bottom w:val="single" w:sz="4" w:space="0" w:color="auto"/>
              <w:right w:val="nil"/>
            </w:tcBorders>
            <w:noWrap/>
            <w:vAlign w:val="bottom"/>
            <w:hideMark/>
          </w:tcPr>
          <w:p w14:paraId="1825F275"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Std. Dev.</w:t>
            </w:r>
          </w:p>
        </w:tc>
        <w:tc>
          <w:tcPr>
            <w:tcW w:w="1300" w:type="dxa"/>
            <w:tcBorders>
              <w:top w:val="single" w:sz="4" w:space="0" w:color="auto"/>
              <w:left w:val="nil"/>
              <w:bottom w:val="single" w:sz="4" w:space="0" w:color="auto"/>
              <w:right w:val="nil"/>
            </w:tcBorders>
            <w:noWrap/>
            <w:vAlign w:val="bottom"/>
            <w:hideMark/>
          </w:tcPr>
          <w:p w14:paraId="02D32ED3"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Min</w:t>
            </w:r>
          </w:p>
        </w:tc>
        <w:tc>
          <w:tcPr>
            <w:tcW w:w="1300" w:type="dxa"/>
            <w:tcBorders>
              <w:top w:val="single" w:sz="4" w:space="0" w:color="auto"/>
              <w:left w:val="nil"/>
              <w:bottom w:val="single" w:sz="4" w:space="0" w:color="auto"/>
              <w:right w:val="nil"/>
            </w:tcBorders>
            <w:noWrap/>
            <w:vAlign w:val="bottom"/>
            <w:hideMark/>
          </w:tcPr>
          <w:p w14:paraId="7AB81097"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Median</w:t>
            </w:r>
          </w:p>
        </w:tc>
        <w:tc>
          <w:tcPr>
            <w:tcW w:w="1300" w:type="dxa"/>
            <w:tcBorders>
              <w:top w:val="single" w:sz="4" w:space="0" w:color="auto"/>
              <w:left w:val="nil"/>
              <w:bottom w:val="single" w:sz="4" w:space="0" w:color="auto"/>
              <w:right w:val="nil"/>
            </w:tcBorders>
            <w:noWrap/>
            <w:vAlign w:val="bottom"/>
            <w:hideMark/>
          </w:tcPr>
          <w:p w14:paraId="02617D0D" w14:textId="77777777" w:rsidR="0003282E" w:rsidRPr="0003282E" w:rsidRDefault="0003282E" w:rsidP="0003282E">
            <w:pPr>
              <w:rPr>
                <w:rFonts w:asciiTheme="majorHAnsi" w:eastAsia="Times New Roman" w:hAnsiTheme="majorHAnsi" w:cstheme="majorHAnsi"/>
                <w:b/>
                <w:bCs/>
                <w:color w:val="000000"/>
                <w:lang w:eastAsia="en-GB"/>
              </w:rPr>
            </w:pPr>
            <w:r w:rsidRPr="0003282E">
              <w:rPr>
                <w:rFonts w:asciiTheme="majorHAnsi" w:eastAsia="Times New Roman" w:hAnsiTheme="majorHAnsi" w:cstheme="majorHAnsi"/>
                <w:b/>
                <w:bCs/>
                <w:color w:val="000000"/>
                <w:lang w:eastAsia="en-GB"/>
              </w:rPr>
              <w:t>Max</w:t>
            </w:r>
          </w:p>
        </w:tc>
      </w:tr>
      <w:tr w:rsidR="0003282E" w:rsidRPr="0003282E" w14:paraId="69C350C6" w14:textId="77777777" w:rsidTr="0003282E">
        <w:trPr>
          <w:trHeight w:val="320"/>
        </w:trPr>
        <w:tc>
          <w:tcPr>
            <w:tcW w:w="1043" w:type="dxa"/>
            <w:tcBorders>
              <w:top w:val="nil"/>
              <w:left w:val="nil"/>
              <w:bottom w:val="nil"/>
              <w:right w:val="nil"/>
            </w:tcBorders>
            <w:noWrap/>
            <w:vAlign w:val="bottom"/>
            <w:hideMark/>
          </w:tcPr>
          <w:p w14:paraId="39740B75"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ESG</w:t>
            </w:r>
          </w:p>
        </w:tc>
        <w:tc>
          <w:tcPr>
            <w:tcW w:w="1300" w:type="dxa"/>
            <w:tcBorders>
              <w:top w:val="nil"/>
              <w:left w:val="nil"/>
              <w:bottom w:val="nil"/>
              <w:right w:val="nil"/>
            </w:tcBorders>
            <w:noWrap/>
            <w:vAlign w:val="bottom"/>
            <w:hideMark/>
          </w:tcPr>
          <w:p w14:paraId="33E85CD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743EC666"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52.840</w:t>
            </w:r>
          </w:p>
        </w:tc>
        <w:tc>
          <w:tcPr>
            <w:tcW w:w="1300" w:type="dxa"/>
            <w:tcBorders>
              <w:top w:val="nil"/>
              <w:left w:val="nil"/>
              <w:bottom w:val="nil"/>
              <w:right w:val="nil"/>
            </w:tcBorders>
            <w:noWrap/>
            <w:vAlign w:val="bottom"/>
            <w:hideMark/>
          </w:tcPr>
          <w:p w14:paraId="274E2188"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18.310</w:t>
            </w:r>
          </w:p>
        </w:tc>
        <w:tc>
          <w:tcPr>
            <w:tcW w:w="1300" w:type="dxa"/>
            <w:tcBorders>
              <w:top w:val="nil"/>
              <w:left w:val="nil"/>
              <w:bottom w:val="nil"/>
              <w:right w:val="nil"/>
            </w:tcBorders>
            <w:noWrap/>
            <w:vAlign w:val="bottom"/>
            <w:hideMark/>
          </w:tcPr>
          <w:p w14:paraId="7B69163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9.120</w:t>
            </w:r>
          </w:p>
        </w:tc>
        <w:tc>
          <w:tcPr>
            <w:tcW w:w="1300" w:type="dxa"/>
            <w:tcBorders>
              <w:top w:val="nil"/>
              <w:left w:val="nil"/>
              <w:bottom w:val="nil"/>
              <w:right w:val="nil"/>
            </w:tcBorders>
            <w:noWrap/>
            <w:vAlign w:val="bottom"/>
            <w:hideMark/>
          </w:tcPr>
          <w:p w14:paraId="09869547"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54.760</w:t>
            </w:r>
          </w:p>
        </w:tc>
        <w:tc>
          <w:tcPr>
            <w:tcW w:w="1300" w:type="dxa"/>
            <w:tcBorders>
              <w:top w:val="nil"/>
              <w:left w:val="nil"/>
              <w:bottom w:val="nil"/>
              <w:right w:val="nil"/>
            </w:tcBorders>
            <w:noWrap/>
            <w:vAlign w:val="bottom"/>
            <w:hideMark/>
          </w:tcPr>
          <w:p w14:paraId="0B196EFB"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92.450</w:t>
            </w:r>
          </w:p>
        </w:tc>
      </w:tr>
      <w:tr w:rsidR="0003282E" w:rsidRPr="0003282E" w14:paraId="1636FB7E" w14:textId="77777777" w:rsidTr="0003282E">
        <w:trPr>
          <w:trHeight w:val="320"/>
        </w:trPr>
        <w:tc>
          <w:tcPr>
            <w:tcW w:w="1043" w:type="dxa"/>
            <w:tcBorders>
              <w:top w:val="nil"/>
              <w:left w:val="nil"/>
              <w:bottom w:val="nil"/>
              <w:right w:val="nil"/>
            </w:tcBorders>
            <w:noWrap/>
            <w:vAlign w:val="bottom"/>
            <w:hideMark/>
          </w:tcPr>
          <w:p w14:paraId="04FEA19C"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ENV</w:t>
            </w:r>
          </w:p>
        </w:tc>
        <w:tc>
          <w:tcPr>
            <w:tcW w:w="1300" w:type="dxa"/>
            <w:tcBorders>
              <w:top w:val="nil"/>
              <w:left w:val="nil"/>
              <w:bottom w:val="nil"/>
              <w:right w:val="nil"/>
            </w:tcBorders>
            <w:noWrap/>
            <w:vAlign w:val="bottom"/>
            <w:hideMark/>
          </w:tcPr>
          <w:p w14:paraId="378AA3C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5CBAF046"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49.620</w:t>
            </w:r>
          </w:p>
        </w:tc>
        <w:tc>
          <w:tcPr>
            <w:tcW w:w="1300" w:type="dxa"/>
            <w:tcBorders>
              <w:top w:val="nil"/>
              <w:left w:val="nil"/>
              <w:bottom w:val="nil"/>
              <w:right w:val="nil"/>
            </w:tcBorders>
            <w:noWrap/>
            <w:vAlign w:val="bottom"/>
            <w:hideMark/>
          </w:tcPr>
          <w:p w14:paraId="0AA0907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21.040</w:t>
            </w:r>
          </w:p>
        </w:tc>
        <w:tc>
          <w:tcPr>
            <w:tcW w:w="1300" w:type="dxa"/>
            <w:tcBorders>
              <w:top w:val="nil"/>
              <w:left w:val="nil"/>
              <w:bottom w:val="nil"/>
              <w:right w:val="nil"/>
            </w:tcBorders>
            <w:noWrap/>
            <w:vAlign w:val="bottom"/>
            <w:hideMark/>
          </w:tcPr>
          <w:p w14:paraId="4CD3C3D5"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5.330</w:t>
            </w:r>
          </w:p>
        </w:tc>
        <w:tc>
          <w:tcPr>
            <w:tcW w:w="1300" w:type="dxa"/>
            <w:tcBorders>
              <w:top w:val="nil"/>
              <w:left w:val="nil"/>
              <w:bottom w:val="nil"/>
              <w:right w:val="nil"/>
            </w:tcBorders>
            <w:noWrap/>
            <w:vAlign w:val="bottom"/>
            <w:hideMark/>
          </w:tcPr>
          <w:p w14:paraId="730C939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50.180</w:t>
            </w:r>
          </w:p>
        </w:tc>
        <w:tc>
          <w:tcPr>
            <w:tcW w:w="1300" w:type="dxa"/>
            <w:tcBorders>
              <w:top w:val="nil"/>
              <w:left w:val="nil"/>
              <w:bottom w:val="nil"/>
              <w:right w:val="nil"/>
            </w:tcBorders>
            <w:noWrap/>
            <w:vAlign w:val="bottom"/>
            <w:hideMark/>
          </w:tcPr>
          <w:p w14:paraId="448750E3"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95.100</w:t>
            </w:r>
          </w:p>
        </w:tc>
      </w:tr>
      <w:tr w:rsidR="0003282E" w:rsidRPr="0003282E" w14:paraId="4AA46FE6" w14:textId="77777777" w:rsidTr="0003282E">
        <w:trPr>
          <w:trHeight w:val="320"/>
        </w:trPr>
        <w:tc>
          <w:tcPr>
            <w:tcW w:w="1043" w:type="dxa"/>
            <w:tcBorders>
              <w:top w:val="nil"/>
              <w:left w:val="nil"/>
              <w:bottom w:val="nil"/>
              <w:right w:val="nil"/>
            </w:tcBorders>
            <w:noWrap/>
            <w:vAlign w:val="bottom"/>
            <w:hideMark/>
          </w:tcPr>
          <w:p w14:paraId="565AE13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SOC</w:t>
            </w:r>
          </w:p>
        </w:tc>
        <w:tc>
          <w:tcPr>
            <w:tcW w:w="1300" w:type="dxa"/>
            <w:tcBorders>
              <w:top w:val="nil"/>
              <w:left w:val="nil"/>
              <w:bottom w:val="nil"/>
              <w:right w:val="nil"/>
            </w:tcBorders>
            <w:noWrap/>
            <w:vAlign w:val="bottom"/>
            <w:hideMark/>
          </w:tcPr>
          <w:p w14:paraId="77800AD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062DF6D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55.710</w:t>
            </w:r>
          </w:p>
        </w:tc>
        <w:tc>
          <w:tcPr>
            <w:tcW w:w="1300" w:type="dxa"/>
            <w:tcBorders>
              <w:top w:val="nil"/>
              <w:left w:val="nil"/>
              <w:bottom w:val="nil"/>
              <w:right w:val="nil"/>
            </w:tcBorders>
            <w:noWrap/>
            <w:vAlign w:val="bottom"/>
            <w:hideMark/>
          </w:tcPr>
          <w:p w14:paraId="2C624F52"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19.220</w:t>
            </w:r>
          </w:p>
        </w:tc>
        <w:tc>
          <w:tcPr>
            <w:tcW w:w="1300" w:type="dxa"/>
            <w:tcBorders>
              <w:top w:val="nil"/>
              <w:left w:val="nil"/>
              <w:bottom w:val="nil"/>
              <w:right w:val="nil"/>
            </w:tcBorders>
            <w:noWrap/>
            <w:vAlign w:val="bottom"/>
            <w:hideMark/>
          </w:tcPr>
          <w:p w14:paraId="5289DAC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8.440</w:t>
            </w:r>
          </w:p>
        </w:tc>
        <w:tc>
          <w:tcPr>
            <w:tcW w:w="1300" w:type="dxa"/>
            <w:tcBorders>
              <w:top w:val="nil"/>
              <w:left w:val="nil"/>
              <w:bottom w:val="nil"/>
              <w:right w:val="nil"/>
            </w:tcBorders>
            <w:noWrap/>
            <w:vAlign w:val="bottom"/>
            <w:hideMark/>
          </w:tcPr>
          <w:p w14:paraId="0D99C90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56.830</w:t>
            </w:r>
          </w:p>
        </w:tc>
        <w:tc>
          <w:tcPr>
            <w:tcW w:w="1300" w:type="dxa"/>
            <w:tcBorders>
              <w:top w:val="nil"/>
              <w:left w:val="nil"/>
              <w:bottom w:val="nil"/>
              <w:right w:val="nil"/>
            </w:tcBorders>
            <w:noWrap/>
            <w:vAlign w:val="bottom"/>
            <w:hideMark/>
          </w:tcPr>
          <w:p w14:paraId="5FC2AE45"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94.870</w:t>
            </w:r>
          </w:p>
        </w:tc>
      </w:tr>
      <w:tr w:rsidR="0003282E" w:rsidRPr="0003282E" w14:paraId="63C90403" w14:textId="77777777" w:rsidTr="0003282E">
        <w:trPr>
          <w:trHeight w:val="320"/>
        </w:trPr>
        <w:tc>
          <w:tcPr>
            <w:tcW w:w="1043" w:type="dxa"/>
            <w:tcBorders>
              <w:top w:val="nil"/>
              <w:left w:val="nil"/>
              <w:bottom w:val="nil"/>
              <w:right w:val="nil"/>
            </w:tcBorders>
            <w:noWrap/>
            <w:vAlign w:val="bottom"/>
            <w:hideMark/>
          </w:tcPr>
          <w:p w14:paraId="2165947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GOV</w:t>
            </w:r>
          </w:p>
        </w:tc>
        <w:tc>
          <w:tcPr>
            <w:tcW w:w="1300" w:type="dxa"/>
            <w:tcBorders>
              <w:top w:val="nil"/>
              <w:left w:val="nil"/>
              <w:bottom w:val="nil"/>
              <w:right w:val="nil"/>
            </w:tcBorders>
            <w:noWrap/>
            <w:vAlign w:val="bottom"/>
            <w:hideMark/>
          </w:tcPr>
          <w:p w14:paraId="50FC43E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78C61676"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61.450</w:t>
            </w:r>
          </w:p>
        </w:tc>
        <w:tc>
          <w:tcPr>
            <w:tcW w:w="1300" w:type="dxa"/>
            <w:tcBorders>
              <w:top w:val="nil"/>
              <w:left w:val="nil"/>
              <w:bottom w:val="nil"/>
              <w:right w:val="nil"/>
            </w:tcBorders>
            <w:noWrap/>
            <w:vAlign w:val="bottom"/>
            <w:hideMark/>
          </w:tcPr>
          <w:p w14:paraId="62589E62"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17.080</w:t>
            </w:r>
          </w:p>
        </w:tc>
        <w:tc>
          <w:tcPr>
            <w:tcW w:w="1300" w:type="dxa"/>
            <w:tcBorders>
              <w:top w:val="nil"/>
              <w:left w:val="nil"/>
              <w:bottom w:val="nil"/>
              <w:right w:val="nil"/>
            </w:tcBorders>
            <w:noWrap/>
            <w:vAlign w:val="bottom"/>
            <w:hideMark/>
          </w:tcPr>
          <w:p w14:paraId="7CC0F6A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15.620</w:t>
            </w:r>
          </w:p>
        </w:tc>
        <w:tc>
          <w:tcPr>
            <w:tcW w:w="1300" w:type="dxa"/>
            <w:tcBorders>
              <w:top w:val="nil"/>
              <w:left w:val="nil"/>
              <w:bottom w:val="nil"/>
              <w:right w:val="nil"/>
            </w:tcBorders>
            <w:noWrap/>
            <w:vAlign w:val="bottom"/>
            <w:hideMark/>
          </w:tcPr>
          <w:p w14:paraId="11C2874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63.140</w:t>
            </w:r>
          </w:p>
        </w:tc>
        <w:tc>
          <w:tcPr>
            <w:tcW w:w="1300" w:type="dxa"/>
            <w:tcBorders>
              <w:top w:val="nil"/>
              <w:left w:val="nil"/>
              <w:bottom w:val="nil"/>
              <w:right w:val="nil"/>
            </w:tcBorders>
            <w:noWrap/>
            <w:vAlign w:val="bottom"/>
            <w:hideMark/>
          </w:tcPr>
          <w:p w14:paraId="6ECDAF3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96.210</w:t>
            </w:r>
          </w:p>
        </w:tc>
      </w:tr>
      <w:tr w:rsidR="0003282E" w:rsidRPr="0003282E" w14:paraId="7DAB32EF" w14:textId="77777777" w:rsidTr="0003282E">
        <w:trPr>
          <w:trHeight w:val="320"/>
        </w:trPr>
        <w:tc>
          <w:tcPr>
            <w:tcW w:w="1043" w:type="dxa"/>
            <w:tcBorders>
              <w:top w:val="nil"/>
              <w:left w:val="nil"/>
              <w:bottom w:val="nil"/>
              <w:right w:val="nil"/>
            </w:tcBorders>
            <w:noWrap/>
            <w:vAlign w:val="bottom"/>
            <w:hideMark/>
          </w:tcPr>
          <w:p w14:paraId="31ABD84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BSIZE</w:t>
            </w:r>
          </w:p>
        </w:tc>
        <w:tc>
          <w:tcPr>
            <w:tcW w:w="1300" w:type="dxa"/>
            <w:tcBorders>
              <w:top w:val="nil"/>
              <w:left w:val="nil"/>
              <w:bottom w:val="nil"/>
              <w:right w:val="nil"/>
            </w:tcBorders>
            <w:noWrap/>
            <w:vAlign w:val="bottom"/>
            <w:hideMark/>
          </w:tcPr>
          <w:p w14:paraId="289613C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2081CBA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9.140</w:t>
            </w:r>
          </w:p>
        </w:tc>
        <w:tc>
          <w:tcPr>
            <w:tcW w:w="1300" w:type="dxa"/>
            <w:tcBorders>
              <w:top w:val="nil"/>
              <w:left w:val="nil"/>
              <w:bottom w:val="nil"/>
              <w:right w:val="nil"/>
            </w:tcBorders>
            <w:noWrap/>
            <w:vAlign w:val="bottom"/>
            <w:hideMark/>
          </w:tcPr>
          <w:p w14:paraId="2E6DAF83"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2.470</w:t>
            </w:r>
          </w:p>
        </w:tc>
        <w:tc>
          <w:tcPr>
            <w:tcW w:w="1300" w:type="dxa"/>
            <w:tcBorders>
              <w:top w:val="nil"/>
              <w:left w:val="nil"/>
              <w:bottom w:val="nil"/>
              <w:right w:val="nil"/>
            </w:tcBorders>
            <w:noWrap/>
            <w:vAlign w:val="bottom"/>
            <w:hideMark/>
          </w:tcPr>
          <w:p w14:paraId="40F30E2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4.000</w:t>
            </w:r>
          </w:p>
        </w:tc>
        <w:tc>
          <w:tcPr>
            <w:tcW w:w="1300" w:type="dxa"/>
            <w:tcBorders>
              <w:top w:val="nil"/>
              <w:left w:val="nil"/>
              <w:bottom w:val="nil"/>
              <w:right w:val="nil"/>
            </w:tcBorders>
            <w:noWrap/>
            <w:vAlign w:val="bottom"/>
            <w:hideMark/>
          </w:tcPr>
          <w:p w14:paraId="4771E426"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9.000</w:t>
            </w:r>
          </w:p>
        </w:tc>
        <w:tc>
          <w:tcPr>
            <w:tcW w:w="1300" w:type="dxa"/>
            <w:tcBorders>
              <w:top w:val="nil"/>
              <w:left w:val="nil"/>
              <w:bottom w:val="nil"/>
              <w:right w:val="nil"/>
            </w:tcBorders>
            <w:noWrap/>
            <w:vAlign w:val="bottom"/>
            <w:hideMark/>
          </w:tcPr>
          <w:p w14:paraId="774A6FA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18.000</w:t>
            </w:r>
          </w:p>
        </w:tc>
      </w:tr>
      <w:tr w:rsidR="0003282E" w:rsidRPr="0003282E" w14:paraId="1FE1AE23" w14:textId="77777777" w:rsidTr="0003282E">
        <w:trPr>
          <w:trHeight w:val="320"/>
        </w:trPr>
        <w:tc>
          <w:tcPr>
            <w:tcW w:w="1043" w:type="dxa"/>
            <w:tcBorders>
              <w:top w:val="nil"/>
              <w:left w:val="nil"/>
              <w:bottom w:val="nil"/>
              <w:right w:val="nil"/>
            </w:tcBorders>
            <w:noWrap/>
            <w:vAlign w:val="bottom"/>
            <w:hideMark/>
          </w:tcPr>
          <w:p w14:paraId="2BCDFB07"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BIND</w:t>
            </w:r>
          </w:p>
        </w:tc>
        <w:tc>
          <w:tcPr>
            <w:tcW w:w="1300" w:type="dxa"/>
            <w:tcBorders>
              <w:top w:val="nil"/>
              <w:left w:val="nil"/>
              <w:bottom w:val="nil"/>
              <w:right w:val="nil"/>
            </w:tcBorders>
            <w:noWrap/>
            <w:vAlign w:val="bottom"/>
            <w:hideMark/>
          </w:tcPr>
          <w:p w14:paraId="18240D4B"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3A1EB03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0.580</w:t>
            </w:r>
          </w:p>
        </w:tc>
        <w:tc>
          <w:tcPr>
            <w:tcW w:w="1300" w:type="dxa"/>
            <w:tcBorders>
              <w:top w:val="nil"/>
              <w:left w:val="nil"/>
              <w:bottom w:val="nil"/>
              <w:right w:val="nil"/>
            </w:tcBorders>
            <w:noWrap/>
            <w:vAlign w:val="bottom"/>
            <w:hideMark/>
          </w:tcPr>
          <w:p w14:paraId="465C04A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0.160</w:t>
            </w:r>
          </w:p>
        </w:tc>
        <w:tc>
          <w:tcPr>
            <w:tcW w:w="1300" w:type="dxa"/>
            <w:tcBorders>
              <w:top w:val="nil"/>
              <w:left w:val="nil"/>
              <w:bottom w:val="nil"/>
              <w:right w:val="nil"/>
            </w:tcBorders>
            <w:noWrap/>
            <w:vAlign w:val="bottom"/>
            <w:hideMark/>
          </w:tcPr>
          <w:p w14:paraId="532A609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0.170</w:t>
            </w:r>
          </w:p>
        </w:tc>
        <w:tc>
          <w:tcPr>
            <w:tcW w:w="1300" w:type="dxa"/>
            <w:tcBorders>
              <w:top w:val="nil"/>
              <w:left w:val="nil"/>
              <w:bottom w:val="nil"/>
              <w:right w:val="nil"/>
            </w:tcBorders>
            <w:noWrap/>
            <w:vAlign w:val="bottom"/>
            <w:hideMark/>
          </w:tcPr>
          <w:p w14:paraId="1BC955DB"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0.600</w:t>
            </w:r>
          </w:p>
        </w:tc>
        <w:tc>
          <w:tcPr>
            <w:tcW w:w="1300" w:type="dxa"/>
            <w:tcBorders>
              <w:top w:val="nil"/>
              <w:left w:val="nil"/>
              <w:bottom w:val="nil"/>
              <w:right w:val="nil"/>
            </w:tcBorders>
            <w:noWrap/>
            <w:vAlign w:val="bottom"/>
            <w:hideMark/>
          </w:tcPr>
          <w:p w14:paraId="15EF7ED7"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0.920</w:t>
            </w:r>
          </w:p>
        </w:tc>
      </w:tr>
      <w:tr w:rsidR="0003282E" w:rsidRPr="0003282E" w14:paraId="4FECE06E" w14:textId="77777777" w:rsidTr="0003282E">
        <w:trPr>
          <w:trHeight w:val="320"/>
        </w:trPr>
        <w:tc>
          <w:tcPr>
            <w:tcW w:w="1043" w:type="dxa"/>
            <w:tcBorders>
              <w:top w:val="nil"/>
              <w:left w:val="nil"/>
              <w:bottom w:val="nil"/>
              <w:right w:val="nil"/>
            </w:tcBorders>
            <w:noWrap/>
            <w:vAlign w:val="bottom"/>
            <w:hideMark/>
          </w:tcPr>
          <w:p w14:paraId="2FE238C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CEOD</w:t>
            </w:r>
          </w:p>
        </w:tc>
        <w:tc>
          <w:tcPr>
            <w:tcW w:w="1300" w:type="dxa"/>
            <w:tcBorders>
              <w:top w:val="nil"/>
              <w:left w:val="nil"/>
              <w:bottom w:val="nil"/>
              <w:right w:val="nil"/>
            </w:tcBorders>
            <w:noWrap/>
            <w:vAlign w:val="bottom"/>
            <w:hideMark/>
          </w:tcPr>
          <w:p w14:paraId="14A7F4E5"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0A6AB23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0.290</w:t>
            </w:r>
          </w:p>
        </w:tc>
        <w:tc>
          <w:tcPr>
            <w:tcW w:w="1300" w:type="dxa"/>
            <w:tcBorders>
              <w:top w:val="nil"/>
              <w:left w:val="nil"/>
              <w:bottom w:val="nil"/>
              <w:right w:val="nil"/>
            </w:tcBorders>
            <w:noWrap/>
            <w:vAlign w:val="bottom"/>
            <w:hideMark/>
          </w:tcPr>
          <w:p w14:paraId="3A42895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0.450</w:t>
            </w:r>
          </w:p>
        </w:tc>
        <w:tc>
          <w:tcPr>
            <w:tcW w:w="1300" w:type="dxa"/>
            <w:tcBorders>
              <w:top w:val="nil"/>
              <w:left w:val="nil"/>
              <w:bottom w:val="nil"/>
              <w:right w:val="nil"/>
            </w:tcBorders>
            <w:noWrap/>
            <w:vAlign w:val="bottom"/>
            <w:hideMark/>
          </w:tcPr>
          <w:p w14:paraId="259CC24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0.000</w:t>
            </w:r>
          </w:p>
        </w:tc>
        <w:tc>
          <w:tcPr>
            <w:tcW w:w="1300" w:type="dxa"/>
            <w:tcBorders>
              <w:top w:val="nil"/>
              <w:left w:val="nil"/>
              <w:bottom w:val="nil"/>
              <w:right w:val="nil"/>
            </w:tcBorders>
            <w:noWrap/>
            <w:vAlign w:val="bottom"/>
            <w:hideMark/>
          </w:tcPr>
          <w:p w14:paraId="09D4E8B2"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0.000</w:t>
            </w:r>
          </w:p>
        </w:tc>
        <w:tc>
          <w:tcPr>
            <w:tcW w:w="1300" w:type="dxa"/>
            <w:tcBorders>
              <w:top w:val="nil"/>
              <w:left w:val="nil"/>
              <w:bottom w:val="nil"/>
              <w:right w:val="nil"/>
            </w:tcBorders>
            <w:noWrap/>
            <w:vAlign w:val="bottom"/>
            <w:hideMark/>
          </w:tcPr>
          <w:p w14:paraId="47EFA72A"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1.000</w:t>
            </w:r>
          </w:p>
        </w:tc>
      </w:tr>
      <w:tr w:rsidR="0003282E" w:rsidRPr="0003282E" w14:paraId="205B6C13" w14:textId="77777777" w:rsidTr="0003282E">
        <w:trPr>
          <w:trHeight w:val="320"/>
        </w:trPr>
        <w:tc>
          <w:tcPr>
            <w:tcW w:w="1043" w:type="dxa"/>
            <w:tcBorders>
              <w:top w:val="nil"/>
              <w:left w:val="nil"/>
              <w:bottom w:val="nil"/>
              <w:right w:val="nil"/>
            </w:tcBorders>
            <w:noWrap/>
            <w:vAlign w:val="bottom"/>
            <w:hideMark/>
          </w:tcPr>
          <w:p w14:paraId="4D6AC48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BGD</w:t>
            </w:r>
          </w:p>
        </w:tc>
        <w:tc>
          <w:tcPr>
            <w:tcW w:w="1300" w:type="dxa"/>
            <w:tcBorders>
              <w:top w:val="nil"/>
              <w:left w:val="nil"/>
              <w:bottom w:val="nil"/>
              <w:right w:val="nil"/>
            </w:tcBorders>
            <w:noWrap/>
            <w:vAlign w:val="bottom"/>
            <w:hideMark/>
          </w:tcPr>
          <w:p w14:paraId="140391AC"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67F8204A"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0.310</w:t>
            </w:r>
          </w:p>
        </w:tc>
        <w:tc>
          <w:tcPr>
            <w:tcW w:w="1300" w:type="dxa"/>
            <w:tcBorders>
              <w:top w:val="nil"/>
              <w:left w:val="nil"/>
              <w:bottom w:val="nil"/>
              <w:right w:val="nil"/>
            </w:tcBorders>
            <w:noWrap/>
            <w:vAlign w:val="bottom"/>
            <w:hideMark/>
          </w:tcPr>
          <w:p w14:paraId="34FBA88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0.140</w:t>
            </w:r>
          </w:p>
        </w:tc>
        <w:tc>
          <w:tcPr>
            <w:tcW w:w="1300" w:type="dxa"/>
            <w:tcBorders>
              <w:top w:val="nil"/>
              <w:left w:val="nil"/>
              <w:bottom w:val="nil"/>
              <w:right w:val="nil"/>
            </w:tcBorders>
            <w:noWrap/>
            <w:vAlign w:val="bottom"/>
            <w:hideMark/>
          </w:tcPr>
          <w:p w14:paraId="357DF1C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0.000</w:t>
            </w:r>
          </w:p>
        </w:tc>
        <w:tc>
          <w:tcPr>
            <w:tcW w:w="1300" w:type="dxa"/>
            <w:tcBorders>
              <w:top w:val="nil"/>
              <w:left w:val="nil"/>
              <w:bottom w:val="nil"/>
              <w:right w:val="nil"/>
            </w:tcBorders>
            <w:noWrap/>
            <w:vAlign w:val="bottom"/>
            <w:hideMark/>
          </w:tcPr>
          <w:p w14:paraId="3BB04C5C"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0.300</w:t>
            </w:r>
          </w:p>
        </w:tc>
        <w:tc>
          <w:tcPr>
            <w:tcW w:w="1300" w:type="dxa"/>
            <w:tcBorders>
              <w:top w:val="nil"/>
              <w:left w:val="nil"/>
              <w:bottom w:val="nil"/>
              <w:right w:val="nil"/>
            </w:tcBorders>
            <w:noWrap/>
            <w:vAlign w:val="bottom"/>
            <w:hideMark/>
          </w:tcPr>
          <w:p w14:paraId="756E37B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0.670</w:t>
            </w:r>
          </w:p>
        </w:tc>
      </w:tr>
      <w:tr w:rsidR="0003282E" w:rsidRPr="0003282E" w14:paraId="3DBC88DF" w14:textId="77777777" w:rsidTr="0003282E">
        <w:trPr>
          <w:trHeight w:val="320"/>
        </w:trPr>
        <w:tc>
          <w:tcPr>
            <w:tcW w:w="1043" w:type="dxa"/>
            <w:tcBorders>
              <w:top w:val="nil"/>
              <w:left w:val="nil"/>
              <w:bottom w:val="nil"/>
              <w:right w:val="nil"/>
            </w:tcBorders>
            <w:noWrap/>
            <w:vAlign w:val="bottom"/>
            <w:hideMark/>
          </w:tcPr>
          <w:p w14:paraId="6E4DE898"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SC</w:t>
            </w:r>
          </w:p>
        </w:tc>
        <w:tc>
          <w:tcPr>
            <w:tcW w:w="1300" w:type="dxa"/>
            <w:tcBorders>
              <w:top w:val="nil"/>
              <w:left w:val="nil"/>
              <w:bottom w:val="nil"/>
              <w:right w:val="nil"/>
            </w:tcBorders>
            <w:noWrap/>
            <w:vAlign w:val="bottom"/>
            <w:hideMark/>
          </w:tcPr>
          <w:p w14:paraId="3DE10B4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7D7B5B04"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0.460</w:t>
            </w:r>
          </w:p>
        </w:tc>
        <w:tc>
          <w:tcPr>
            <w:tcW w:w="1300" w:type="dxa"/>
            <w:tcBorders>
              <w:top w:val="nil"/>
              <w:left w:val="nil"/>
              <w:bottom w:val="nil"/>
              <w:right w:val="nil"/>
            </w:tcBorders>
            <w:noWrap/>
            <w:vAlign w:val="bottom"/>
            <w:hideMark/>
          </w:tcPr>
          <w:p w14:paraId="005FA4B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0.500</w:t>
            </w:r>
          </w:p>
        </w:tc>
        <w:tc>
          <w:tcPr>
            <w:tcW w:w="1300" w:type="dxa"/>
            <w:tcBorders>
              <w:top w:val="nil"/>
              <w:left w:val="nil"/>
              <w:bottom w:val="nil"/>
              <w:right w:val="nil"/>
            </w:tcBorders>
            <w:noWrap/>
            <w:vAlign w:val="bottom"/>
            <w:hideMark/>
          </w:tcPr>
          <w:p w14:paraId="703DADB4"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0.000</w:t>
            </w:r>
          </w:p>
        </w:tc>
        <w:tc>
          <w:tcPr>
            <w:tcW w:w="1300" w:type="dxa"/>
            <w:tcBorders>
              <w:top w:val="nil"/>
              <w:left w:val="nil"/>
              <w:bottom w:val="nil"/>
              <w:right w:val="nil"/>
            </w:tcBorders>
            <w:noWrap/>
            <w:vAlign w:val="bottom"/>
            <w:hideMark/>
          </w:tcPr>
          <w:p w14:paraId="093DD452"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0.000</w:t>
            </w:r>
          </w:p>
        </w:tc>
        <w:tc>
          <w:tcPr>
            <w:tcW w:w="1300" w:type="dxa"/>
            <w:tcBorders>
              <w:top w:val="nil"/>
              <w:left w:val="nil"/>
              <w:bottom w:val="nil"/>
              <w:right w:val="nil"/>
            </w:tcBorders>
            <w:noWrap/>
            <w:vAlign w:val="bottom"/>
            <w:hideMark/>
          </w:tcPr>
          <w:p w14:paraId="24070E4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1.000</w:t>
            </w:r>
          </w:p>
        </w:tc>
      </w:tr>
      <w:tr w:rsidR="0003282E" w:rsidRPr="0003282E" w14:paraId="793C251E" w14:textId="77777777" w:rsidTr="0003282E">
        <w:trPr>
          <w:trHeight w:val="320"/>
        </w:trPr>
        <w:tc>
          <w:tcPr>
            <w:tcW w:w="1043" w:type="dxa"/>
            <w:tcBorders>
              <w:top w:val="nil"/>
              <w:left w:val="nil"/>
              <w:bottom w:val="nil"/>
              <w:right w:val="nil"/>
            </w:tcBorders>
            <w:noWrap/>
            <w:vAlign w:val="bottom"/>
            <w:hideMark/>
          </w:tcPr>
          <w:p w14:paraId="04DBB83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ROA</w:t>
            </w:r>
          </w:p>
        </w:tc>
        <w:tc>
          <w:tcPr>
            <w:tcW w:w="1300" w:type="dxa"/>
            <w:tcBorders>
              <w:top w:val="nil"/>
              <w:left w:val="nil"/>
              <w:bottom w:val="nil"/>
              <w:right w:val="nil"/>
            </w:tcBorders>
            <w:noWrap/>
            <w:vAlign w:val="bottom"/>
            <w:hideMark/>
          </w:tcPr>
          <w:p w14:paraId="7C37E535"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0761156C"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0.061</w:t>
            </w:r>
          </w:p>
        </w:tc>
        <w:tc>
          <w:tcPr>
            <w:tcW w:w="1300" w:type="dxa"/>
            <w:tcBorders>
              <w:top w:val="nil"/>
              <w:left w:val="nil"/>
              <w:bottom w:val="nil"/>
              <w:right w:val="nil"/>
            </w:tcBorders>
            <w:noWrap/>
            <w:vAlign w:val="bottom"/>
            <w:hideMark/>
          </w:tcPr>
          <w:p w14:paraId="327F8AC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0.083</w:t>
            </w:r>
          </w:p>
        </w:tc>
        <w:tc>
          <w:tcPr>
            <w:tcW w:w="1300" w:type="dxa"/>
            <w:tcBorders>
              <w:top w:val="nil"/>
              <w:left w:val="nil"/>
              <w:bottom w:val="nil"/>
              <w:right w:val="nil"/>
            </w:tcBorders>
            <w:noWrap/>
            <w:vAlign w:val="bottom"/>
            <w:hideMark/>
          </w:tcPr>
          <w:p w14:paraId="61FAE2A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−0.290</w:t>
            </w:r>
          </w:p>
        </w:tc>
        <w:tc>
          <w:tcPr>
            <w:tcW w:w="1300" w:type="dxa"/>
            <w:tcBorders>
              <w:top w:val="nil"/>
              <w:left w:val="nil"/>
              <w:bottom w:val="nil"/>
              <w:right w:val="nil"/>
            </w:tcBorders>
            <w:noWrap/>
            <w:vAlign w:val="bottom"/>
            <w:hideMark/>
          </w:tcPr>
          <w:p w14:paraId="70D5367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0.052</w:t>
            </w:r>
          </w:p>
        </w:tc>
        <w:tc>
          <w:tcPr>
            <w:tcW w:w="1300" w:type="dxa"/>
            <w:tcBorders>
              <w:top w:val="nil"/>
              <w:left w:val="nil"/>
              <w:bottom w:val="nil"/>
              <w:right w:val="nil"/>
            </w:tcBorders>
            <w:noWrap/>
            <w:vAlign w:val="bottom"/>
            <w:hideMark/>
          </w:tcPr>
          <w:p w14:paraId="3E987137"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0.410</w:t>
            </w:r>
          </w:p>
        </w:tc>
      </w:tr>
      <w:tr w:rsidR="0003282E" w:rsidRPr="0003282E" w14:paraId="7020EE16" w14:textId="77777777" w:rsidTr="0003282E">
        <w:trPr>
          <w:trHeight w:val="320"/>
        </w:trPr>
        <w:tc>
          <w:tcPr>
            <w:tcW w:w="1043" w:type="dxa"/>
            <w:tcBorders>
              <w:top w:val="nil"/>
              <w:left w:val="nil"/>
              <w:bottom w:val="nil"/>
              <w:right w:val="nil"/>
            </w:tcBorders>
            <w:noWrap/>
            <w:vAlign w:val="bottom"/>
            <w:hideMark/>
          </w:tcPr>
          <w:p w14:paraId="1368DD72"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FSIZE</w:t>
            </w:r>
          </w:p>
        </w:tc>
        <w:tc>
          <w:tcPr>
            <w:tcW w:w="1300" w:type="dxa"/>
            <w:tcBorders>
              <w:top w:val="nil"/>
              <w:left w:val="nil"/>
              <w:bottom w:val="nil"/>
              <w:right w:val="nil"/>
            </w:tcBorders>
            <w:noWrap/>
            <w:vAlign w:val="bottom"/>
            <w:hideMark/>
          </w:tcPr>
          <w:p w14:paraId="39042778"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6F6B044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15.820</w:t>
            </w:r>
          </w:p>
        </w:tc>
        <w:tc>
          <w:tcPr>
            <w:tcW w:w="1300" w:type="dxa"/>
            <w:tcBorders>
              <w:top w:val="nil"/>
              <w:left w:val="nil"/>
              <w:bottom w:val="nil"/>
              <w:right w:val="nil"/>
            </w:tcBorders>
            <w:noWrap/>
            <w:vAlign w:val="bottom"/>
            <w:hideMark/>
          </w:tcPr>
          <w:p w14:paraId="778F0D66"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1.910</w:t>
            </w:r>
          </w:p>
        </w:tc>
        <w:tc>
          <w:tcPr>
            <w:tcW w:w="1300" w:type="dxa"/>
            <w:tcBorders>
              <w:top w:val="nil"/>
              <w:left w:val="nil"/>
              <w:bottom w:val="nil"/>
              <w:right w:val="nil"/>
            </w:tcBorders>
            <w:noWrap/>
            <w:vAlign w:val="bottom"/>
            <w:hideMark/>
          </w:tcPr>
          <w:p w14:paraId="4601EF86"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11.030</w:t>
            </w:r>
          </w:p>
        </w:tc>
        <w:tc>
          <w:tcPr>
            <w:tcW w:w="1300" w:type="dxa"/>
            <w:tcBorders>
              <w:top w:val="nil"/>
              <w:left w:val="nil"/>
              <w:bottom w:val="nil"/>
              <w:right w:val="nil"/>
            </w:tcBorders>
            <w:noWrap/>
            <w:vAlign w:val="bottom"/>
            <w:hideMark/>
          </w:tcPr>
          <w:p w14:paraId="534ED00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15.740</w:t>
            </w:r>
          </w:p>
        </w:tc>
        <w:tc>
          <w:tcPr>
            <w:tcW w:w="1300" w:type="dxa"/>
            <w:tcBorders>
              <w:top w:val="nil"/>
              <w:left w:val="nil"/>
              <w:bottom w:val="nil"/>
              <w:right w:val="nil"/>
            </w:tcBorders>
            <w:noWrap/>
            <w:vAlign w:val="bottom"/>
            <w:hideMark/>
          </w:tcPr>
          <w:p w14:paraId="119083E7"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20.480</w:t>
            </w:r>
          </w:p>
        </w:tc>
      </w:tr>
      <w:tr w:rsidR="0003282E" w:rsidRPr="0003282E" w14:paraId="604276DA" w14:textId="77777777" w:rsidTr="0003282E">
        <w:trPr>
          <w:trHeight w:val="320"/>
        </w:trPr>
        <w:tc>
          <w:tcPr>
            <w:tcW w:w="1043" w:type="dxa"/>
            <w:tcBorders>
              <w:top w:val="nil"/>
              <w:left w:val="nil"/>
              <w:bottom w:val="nil"/>
              <w:right w:val="nil"/>
            </w:tcBorders>
            <w:noWrap/>
            <w:vAlign w:val="bottom"/>
            <w:hideMark/>
          </w:tcPr>
          <w:p w14:paraId="3A5AB28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FAGE</w:t>
            </w:r>
          </w:p>
        </w:tc>
        <w:tc>
          <w:tcPr>
            <w:tcW w:w="1300" w:type="dxa"/>
            <w:tcBorders>
              <w:top w:val="nil"/>
              <w:left w:val="nil"/>
              <w:bottom w:val="nil"/>
              <w:right w:val="nil"/>
            </w:tcBorders>
            <w:noWrap/>
            <w:vAlign w:val="bottom"/>
            <w:hideMark/>
          </w:tcPr>
          <w:p w14:paraId="44800504"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nil"/>
              <w:right w:val="nil"/>
            </w:tcBorders>
            <w:noWrap/>
            <w:vAlign w:val="bottom"/>
            <w:hideMark/>
          </w:tcPr>
          <w:p w14:paraId="7E4D3CB9"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23.670</w:t>
            </w:r>
          </w:p>
        </w:tc>
        <w:tc>
          <w:tcPr>
            <w:tcW w:w="1300" w:type="dxa"/>
            <w:tcBorders>
              <w:top w:val="nil"/>
              <w:left w:val="nil"/>
              <w:bottom w:val="nil"/>
              <w:right w:val="nil"/>
            </w:tcBorders>
            <w:noWrap/>
            <w:vAlign w:val="bottom"/>
            <w:hideMark/>
          </w:tcPr>
          <w:p w14:paraId="741F6FFA"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17.410</w:t>
            </w:r>
          </w:p>
        </w:tc>
        <w:tc>
          <w:tcPr>
            <w:tcW w:w="1300" w:type="dxa"/>
            <w:tcBorders>
              <w:top w:val="nil"/>
              <w:left w:val="nil"/>
              <w:bottom w:val="nil"/>
              <w:right w:val="nil"/>
            </w:tcBorders>
            <w:noWrap/>
            <w:vAlign w:val="bottom"/>
            <w:hideMark/>
          </w:tcPr>
          <w:p w14:paraId="7517C3E0"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1.000</w:t>
            </w:r>
          </w:p>
        </w:tc>
        <w:tc>
          <w:tcPr>
            <w:tcW w:w="1300" w:type="dxa"/>
            <w:tcBorders>
              <w:top w:val="nil"/>
              <w:left w:val="nil"/>
              <w:bottom w:val="nil"/>
              <w:right w:val="nil"/>
            </w:tcBorders>
            <w:noWrap/>
            <w:vAlign w:val="bottom"/>
            <w:hideMark/>
          </w:tcPr>
          <w:p w14:paraId="2BC26488"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19.000</w:t>
            </w:r>
          </w:p>
        </w:tc>
        <w:tc>
          <w:tcPr>
            <w:tcW w:w="1300" w:type="dxa"/>
            <w:tcBorders>
              <w:top w:val="nil"/>
              <w:left w:val="nil"/>
              <w:bottom w:val="nil"/>
              <w:right w:val="nil"/>
            </w:tcBorders>
            <w:noWrap/>
            <w:vAlign w:val="bottom"/>
            <w:hideMark/>
          </w:tcPr>
          <w:p w14:paraId="5B978E7F"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118.000</w:t>
            </w:r>
          </w:p>
        </w:tc>
      </w:tr>
      <w:tr w:rsidR="0003282E" w:rsidRPr="0003282E" w14:paraId="0F88C285" w14:textId="77777777" w:rsidTr="0003282E">
        <w:trPr>
          <w:trHeight w:val="320"/>
        </w:trPr>
        <w:tc>
          <w:tcPr>
            <w:tcW w:w="1043" w:type="dxa"/>
            <w:tcBorders>
              <w:top w:val="nil"/>
              <w:left w:val="nil"/>
              <w:bottom w:val="single" w:sz="4" w:space="0" w:color="auto"/>
              <w:right w:val="nil"/>
            </w:tcBorders>
            <w:noWrap/>
            <w:vAlign w:val="bottom"/>
            <w:hideMark/>
          </w:tcPr>
          <w:p w14:paraId="70D6656E"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LEV</w:t>
            </w:r>
          </w:p>
        </w:tc>
        <w:tc>
          <w:tcPr>
            <w:tcW w:w="1300" w:type="dxa"/>
            <w:tcBorders>
              <w:top w:val="nil"/>
              <w:left w:val="nil"/>
              <w:bottom w:val="single" w:sz="4" w:space="0" w:color="auto"/>
              <w:right w:val="nil"/>
            </w:tcBorders>
            <w:noWrap/>
            <w:vAlign w:val="bottom"/>
            <w:hideMark/>
          </w:tcPr>
          <w:p w14:paraId="6BFE1DCD"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7,201</w:t>
            </w:r>
          </w:p>
        </w:tc>
        <w:tc>
          <w:tcPr>
            <w:tcW w:w="1300" w:type="dxa"/>
            <w:tcBorders>
              <w:top w:val="nil"/>
              <w:left w:val="nil"/>
              <w:bottom w:val="single" w:sz="4" w:space="0" w:color="auto"/>
              <w:right w:val="nil"/>
            </w:tcBorders>
            <w:noWrap/>
            <w:vAlign w:val="bottom"/>
            <w:hideMark/>
          </w:tcPr>
          <w:p w14:paraId="0ECA3098"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0.490</w:t>
            </w:r>
          </w:p>
        </w:tc>
        <w:tc>
          <w:tcPr>
            <w:tcW w:w="1300" w:type="dxa"/>
            <w:tcBorders>
              <w:top w:val="nil"/>
              <w:left w:val="nil"/>
              <w:bottom w:val="single" w:sz="4" w:space="0" w:color="auto"/>
              <w:right w:val="nil"/>
            </w:tcBorders>
            <w:noWrap/>
            <w:vAlign w:val="bottom"/>
            <w:hideMark/>
          </w:tcPr>
          <w:p w14:paraId="7DB6F914"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0.210</w:t>
            </w:r>
          </w:p>
        </w:tc>
        <w:tc>
          <w:tcPr>
            <w:tcW w:w="1300" w:type="dxa"/>
            <w:tcBorders>
              <w:top w:val="nil"/>
              <w:left w:val="nil"/>
              <w:bottom w:val="single" w:sz="4" w:space="0" w:color="auto"/>
              <w:right w:val="nil"/>
            </w:tcBorders>
            <w:noWrap/>
            <w:vAlign w:val="bottom"/>
            <w:hideMark/>
          </w:tcPr>
          <w:p w14:paraId="6F7E6781"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0.020</w:t>
            </w:r>
          </w:p>
        </w:tc>
        <w:tc>
          <w:tcPr>
            <w:tcW w:w="1300" w:type="dxa"/>
            <w:tcBorders>
              <w:top w:val="nil"/>
              <w:left w:val="nil"/>
              <w:bottom w:val="single" w:sz="4" w:space="0" w:color="auto"/>
              <w:right w:val="nil"/>
            </w:tcBorders>
            <w:noWrap/>
            <w:vAlign w:val="bottom"/>
            <w:hideMark/>
          </w:tcPr>
          <w:p w14:paraId="5F55A7CA"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0.510</w:t>
            </w:r>
          </w:p>
        </w:tc>
        <w:tc>
          <w:tcPr>
            <w:tcW w:w="1300" w:type="dxa"/>
            <w:tcBorders>
              <w:top w:val="nil"/>
              <w:left w:val="nil"/>
              <w:bottom w:val="single" w:sz="4" w:space="0" w:color="auto"/>
              <w:right w:val="nil"/>
            </w:tcBorders>
            <w:noWrap/>
            <w:vAlign w:val="bottom"/>
            <w:hideMark/>
          </w:tcPr>
          <w:p w14:paraId="7412C7D2" w14:textId="77777777" w:rsidR="0003282E" w:rsidRPr="0003282E" w:rsidRDefault="0003282E" w:rsidP="0003282E">
            <w:pPr>
              <w:rPr>
                <w:rFonts w:asciiTheme="majorHAnsi" w:eastAsia="Times New Roman" w:hAnsiTheme="majorHAnsi" w:cstheme="majorHAnsi"/>
                <w:color w:val="000000"/>
                <w:lang w:eastAsia="en-GB"/>
              </w:rPr>
            </w:pPr>
            <w:r w:rsidRPr="0003282E">
              <w:rPr>
                <w:rFonts w:asciiTheme="majorHAnsi" w:eastAsia="Times New Roman" w:hAnsiTheme="majorHAnsi" w:cstheme="majorHAnsi"/>
                <w:color w:val="000000"/>
                <w:lang w:eastAsia="en-GB"/>
              </w:rPr>
              <w:t>0.910</w:t>
            </w:r>
          </w:p>
        </w:tc>
      </w:tr>
    </w:tbl>
    <w:p w14:paraId="0C9B2C48" w14:textId="77777777" w:rsidR="0003282E" w:rsidRPr="00820F2D" w:rsidRDefault="0003282E" w:rsidP="0003282E">
      <w:pPr>
        <w:rPr>
          <w:rFonts w:asciiTheme="majorHAnsi" w:hAnsiTheme="majorHAnsi" w:cstheme="majorHAnsi"/>
        </w:rPr>
      </w:pPr>
      <w:r w:rsidRPr="00820F2D">
        <w:rPr>
          <w:rFonts w:asciiTheme="majorHAnsi" w:hAnsiTheme="majorHAnsi" w:cstheme="majorHAnsi"/>
        </w:rPr>
        <w:t>Note: All variables are defined in Table 1. Industry and year effects are included in the regression models but not reported in descriptive statistics.</w:t>
      </w:r>
    </w:p>
    <w:p w14:paraId="37FE6FF8" w14:textId="77777777" w:rsidR="0003282E" w:rsidRPr="00820F2D" w:rsidRDefault="0003282E" w:rsidP="0003282E">
      <w:pPr>
        <w:rPr>
          <w:rFonts w:asciiTheme="majorHAnsi" w:hAnsiTheme="majorHAnsi" w:cstheme="majorHAnsi"/>
        </w:rPr>
      </w:pPr>
    </w:p>
    <w:p w14:paraId="371A3E35" w14:textId="77777777" w:rsidR="0003282E" w:rsidRPr="00820F2D" w:rsidRDefault="0003282E" w:rsidP="0003282E">
      <w:pPr>
        <w:rPr>
          <w:rFonts w:asciiTheme="majorHAnsi" w:hAnsiTheme="majorHAnsi" w:cstheme="majorHAnsi"/>
        </w:rPr>
      </w:pPr>
      <w:r w:rsidRPr="00820F2D">
        <w:rPr>
          <w:rFonts w:asciiTheme="majorHAnsi" w:hAnsiTheme="majorHAnsi" w:cstheme="majorHAnsi"/>
        </w:rPr>
        <w:t>Furthermore, Table 5 presents the Pearson correlation matrix among the study variables, together with variance inflation factor (VIF) diagnostics for the explanatory variables. As expected, the overall ESG score exhibits strong and statistically significant correlations with its three constituent pillars ENV (0.842), SOC (0.876), and GOV (0.694) confirming the internal coherence of the composite ESG measure. These high correlations are mechanical and theoretically anticipated, as the overall ESG score is constructed from the three pillar scores, and therefore do not indicate multicollinearity concerns.</w:t>
      </w:r>
    </w:p>
    <w:p w14:paraId="04D14B2D" w14:textId="77777777" w:rsidR="0003282E" w:rsidRPr="00820F2D" w:rsidRDefault="0003282E" w:rsidP="0003282E">
      <w:pPr>
        <w:rPr>
          <w:rFonts w:asciiTheme="majorHAnsi" w:hAnsiTheme="majorHAnsi" w:cstheme="majorHAnsi"/>
        </w:rPr>
      </w:pPr>
      <w:r w:rsidRPr="00820F2D">
        <w:rPr>
          <w:rFonts w:asciiTheme="majorHAnsi" w:hAnsiTheme="majorHAnsi" w:cstheme="majorHAnsi"/>
        </w:rPr>
        <w:t>Turning to governance characteristics, BSIZE, BIND, BGD, and the presence of a SC are all positively and significantly correlated with ESG and its individual pillars. These associations are consistent with stakeholder- and agency-based arguments that stronger and more diverse governance structures enhance sustainability oversight and engagement. In contrast, CEOD displays a consistently negative and significant correlation with ESG, ENV, SOC, and GOV, suggesting that concentration of leadership power may weaken sustainability performance, in line with agency theory predictions.</w:t>
      </w:r>
    </w:p>
    <w:p w14:paraId="6C3DC19B" w14:textId="77777777" w:rsidR="0003282E" w:rsidRPr="00820F2D" w:rsidRDefault="0003282E" w:rsidP="0003282E">
      <w:pPr>
        <w:rPr>
          <w:rFonts w:asciiTheme="majorHAnsi" w:hAnsiTheme="majorHAnsi" w:cstheme="majorHAnsi"/>
        </w:rPr>
      </w:pPr>
    </w:p>
    <w:p w14:paraId="1839435C" w14:textId="77777777" w:rsidR="0003282E" w:rsidRPr="00820F2D" w:rsidRDefault="0003282E" w:rsidP="0003282E">
      <w:pPr>
        <w:rPr>
          <w:rFonts w:asciiTheme="majorHAnsi" w:hAnsiTheme="majorHAnsi" w:cstheme="majorHAnsi"/>
        </w:rPr>
      </w:pPr>
      <w:r w:rsidRPr="00820F2D">
        <w:rPr>
          <w:rFonts w:asciiTheme="majorHAnsi" w:hAnsiTheme="majorHAnsi" w:cstheme="majorHAnsi"/>
        </w:rPr>
        <w:t>Control variables behave largely as expected. FSIZE shows a strong positive association with ESG performance, reflecting greater visibility, regulatory exposure, and resource availability among larger firms. ROA is positively related to ESG outcomes, whereas LEV is negatively associated, indicating that financially constrained firms may face limitations in pursuing sustainability initiatives. Importantly, multicollinearity does not appear to be a concern. VIF values calculated exclusively for independent and control variables range from 1.438 to 2.154, well below conventional thresholds. This confirms that the regression models can reliably estimate the independent effects of governance variables on ESG performance.</w:t>
      </w:r>
    </w:p>
    <w:p w14:paraId="67D9D133" w14:textId="77777777" w:rsidR="00322E43" w:rsidRDefault="00322E43">
      <w:pPr>
        <w:rPr>
          <w:rFonts w:asciiTheme="majorHAnsi" w:hAnsiTheme="majorHAnsi" w:cstheme="majorHAnsi"/>
        </w:rPr>
      </w:pPr>
    </w:p>
    <w:tbl>
      <w:tblPr>
        <w:tblpPr w:leftFromText="180" w:rightFromText="180" w:vertAnchor="page" w:horzAnchor="margin" w:tblpXSpec="center" w:tblpY="3556"/>
        <w:tblW w:w="11833" w:type="dxa"/>
        <w:tblLook w:val="04A0" w:firstRow="1" w:lastRow="0" w:firstColumn="1" w:lastColumn="0" w:noHBand="0" w:noVBand="1"/>
      </w:tblPr>
      <w:tblGrid>
        <w:gridCol w:w="771"/>
        <w:gridCol w:w="900"/>
        <w:gridCol w:w="900"/>
        <w:gridCol w:w="900"/>
        <w:gridCol w:w="900"/>
        <w:gridCol w:w="900"/>
        <w:gridCol w:w="900"/>
        <w:gridCol w:w="900"/>
        <w:gridCol w:w="820"/>
        <w:gridCol w:w="820"/>
        <w:gridCol w:w="900"/>
        <w:gridCol w:w="900"/>
        <w:gridCol w:w="741"/>
        <w:gridCol w:w="581"/>
      </w:tblGrid>
      <w:tr w:rsidR="00A22029" w:rsidRPr="00A22029" w14:paraId="43D286D4" w14:textId="77777777" w:rsidTr="00A22029">
        <w:trPr>
          <w:trHeight w:val="268"/>
        </w:trPr>
        <w:tc>
          <w:tcPr>
            <w:tcW w:w="771" w:type="dxa"/>
            <w:tcBorders>
              <w:top w:val="single" w:sz="4" w:space="0" w:color="auto"/>
              <w:left w:val="nil"/>
              <w:bottom w:val="single" w:sz="4" w:space="0" w:color="auto"/>
              <w:right w:val="nil"/>
            </w:tcBorders>
            <w:noWrap/>
            <w:hideMark/>
          </w:tcPr>
          <w:p w14:paraId="2A3B74E2"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Variable</w:t>
            </w:r>
          </w:p>
        </w:tc>
        <w:tc>
          <w:tcPr>
            <w:tcW w:w="900" w:type="dxa"/>
            <w:tcBorders>
              <w:top w:val="single" w:sz="4" w:space="0" w:color="auto"/>
              <w:left w:val="nil"/>
              <w:bottom w:val="single" w:sz="4" w:space="0" w:color="auto"/>
              <w:right w:val="nil"/>
            </w:tcBorders>
            <w:noWrap/>
            <w:hideMark/>
          </w:tcPr>
          <w:p w14:paraId="45FFD665"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ESG</w:t>
            </w:r>
          </w:p>
        </w:tc>
        <w:tc>
          <w:tcPr>
            <w:tcW w:w="900" w:type="dxa"/>
            <w:tcBorders>
              <w:top w:val="single" w:sz="4" w:space="0" w:color="auto"/>
              <w:left w:val="nil"/>
              <w:bottom w:val="single" w:sz="4" w:space="0" w:color="auto"/>
              <w:right w:val="nil"/>
            </w:tcBorders>
            <w:noWrap/>
            <w:hideMark/>
          </w:tcPr>
          <w:p w14:paraId="02D0C7CC"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ENV</w:t>
            </w:r>
          </w:p>
        </w:tc>
        <w:tc>
          <w:tcPr>
            <w:tcW w:w="900" w:type="dxa"/>
            <w:tcBorders>
              <w:top w:val="single" w:sz="4" w:space="0" w:color="auto"/>
              <w:left w:val="nil"/>
              <w:bottom w:val="single" w:sz="4" w:space="0" w:color="auto"/>
              <w:right w:val="nil"/>
            </w:tcBorders>
            <w:noWrap/>
            <w:hideMark/>
          </w:tcPr>
          <w:p w14:paraId="1E8D8E31"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SOC</w:t>
            </w:r>
          </w:p>
        </w:tc>
        <w:tc>
          <w:tcPr>
            <w:tcW w:w="900" w:type="dxa"/>
            <w:tcBorders>
              <w:top w:val="single" w:sz="4" w:space="0" w:color="auto"/>
              <w:left w:val="nil"/>
              <w:bottom w:val="single" w:sz="4" w:space="0" w:color="auto"/>
              <w:right w:val="nil"/>
            </w:tcBorders>
            <w:noWrap/>
            <w:hideMark/>
          </w:tcPr>
          <w:p w14:paraId="3794A04E"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GOV</w:t>
            </w:r>
          </w:p>
        </w:tc>
        <w:tc>
          <w:tcPr>
            <w:tcW w:w="900" w:type="dxa"/>
            <w:tcBorders>
              <w:top w:val="single" w:sz="4" w:space="0" w:color="auto"/>
              <w:left w:val="nil"/>
              <w:bottom w:val="single" w:sz="4" w:space="0" w:color="auto"/>
              <w:right w:val="nil"/>
            </w:tcBorders>
            <w:noWrap/>
            <w:hideMark/>
          </w:tcPr>
          <w:p w14:paraId="5BD6AB26"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BSIZE</w:t>
            </w:r>
          </w:p>
        </w:tc>
        <w:tc>
          <w:tcPr>
            <w:tcW w:w="900" w:type="dxa"/>
            <w:tcBorders>
              <w:top w:val="single" w:sz="4" w:space="0" w:color="auto"/>
              <w:left w:val="nil"/>
              <w:bottom w:val="single" w:sz="4" w:space="0" w:color="auto"/>
              <w:right w:val="nil"/>
            </w:tcBorders>
            <w:noWrap/>
            <w:hideMark/>
          </w:tcPr>
          <w:p w14:paraId="5570B056"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BIND</w:t>
            </w:r>
          </w:p>
        </w:tc>
        <w:tc>
          <w:tcPr>
            <w:tcW w:w="900" w:type="dxa"/>
            <w:tcBorders>
              <w:top w:val="single" w:sz="4" w:space="0" w:color="auto"/>
              <w:left w:val="nil"/>
              <w:bottom w:val="single" w:sz="4" w:space="0" w:color="auto"/>
              <w:right w:val="nil"/>
            </w:tcBorders>
            <w:noWrap/>
            <w:hideMark/>
          </w:tcPr>
          <w:p w14:paraId="5F29C3C8"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CEOD</w:t>
            </w:r>
          </w:p>
        </w:tc>
        <w:tc>
          <w:tcPr>
            <w:tcW w:w="820" w:type="dxa"/>
            <w:tcBorders>
              <w:top w:val="single" w:sz="4" w:space="0" w:color="auto"/>
              <w:left w:val="nil"/>
              <w:bottom w:val="single" w:sz="4" w:space="0" w:color="auto"/>
              <w:right w:val="nil"/>
            </w:tcBorders>
            <w:noWrap/>
            <w:hideMark/>
          </w:tcPr>
          <w:p w14:paraId="6048C91D"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BGD</w:t>
            </w:r>
          </w:p>
        </w:tc>
        <w:tc>
          <w:tcPr>
            <w:tcW w:w="820" w:type="dxa"/>
            <w:tcBorders>
              <w:top w:val="single" w:sz="4" w:space="0" w:color="auto"/>
              <w:left w:val="nil"/>
              <w:bottom w:val="single" w:sz="4" w:space="0" w:color="auto"/>
              <w:right w:val="nil"/>
            </w:tcBorders>
            <w:noWrap/>
            <w:hideMark/>
          </w:tcPr>
          <w:p w14:paraId="6358483B"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SC</w:t>
            </w:r>
          </w:p>
        </w:tc>
        <w:tc>
          <w:tcPr>
            <w:tcW w:w="900" w:type="dxa"/>
            <w:tcBorders>
              <w:top w:val="single" w:sz="4" w:space="0" w:color="auto"/>
              <w:left w:val="nil"/>
              <w:bottom w:val="single" w:sz="4" w:space="0" w:color="auto"/>
              <w:right w:val="nil"/>
            </w:tcBorders>
            <w:noWrap/>
            <w:hideMark/>
          </w:tcPr>
          <w:p w14:paraId="4CD7F273"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ROA</w:t>
            </w:r>
          </w:p>
        </w:tc>
        <w:tc>
          <w:tcPr>
            <w:tcW w:w="900" w:type="dxa"/>
            <w:tcBorders>
              <w:top w:val="single" w:sz="4" w:space="0" w:color="auto"/>
              <w:left w:val="nil"/>
              <w:bottom w:val="single" w:sz="4" w:space="0" w:color="auto"/>
              <w:right w:val="nil"/>
            </w:tcBorders>
            <w:noWrap/>
            <w:hideMark/>
          </w:tcPr>
          <w:p w14:paraId="137CF8A7"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FSIZE</w:t>
            </w:r>
          </w:p>
        </w:tc>
        <w:tc>
          <w:tcPr>
            <w:tcW w:w="741" w:type="dxa"/>
            <w:tcBorders>
              <w:top w:val="single" w:sz="4" w:space="0" w:color="auto"/>
              <w:left w:val="nil"/>
              <w:bottom w:val="single" w:sz="4" w:space="0" w:color="auto"/>
              <w:right w:val="nil"/>
            </w:tcBorders>
            <w:noWrap/>
            <w:hideMark/>
          </w:tcPr>
          <w:p w14:paraId="3C5BCE19"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FAGE</w:t>
            </w:r>
          </w:p>
        </w:tc>
        <w:tc>
          <w:tcPr>
            <w:tcW w:w="581" w:type="dxa"/>
            <w:tcBorders>
              <w:top w:val="single" w:sz="4" w:space="0" w:color="auto"/>
              <w:left w:val="nil"/>
              <w:bottom w:val="single" w:sz="4" w:space="0" w:color="auto"/>
              <w:right w:val="nil"/>
            </w:tcBorders>
            <w:noWrap/>
            <w:hideMark/>
          </w:tcPr>
          <w:p w14:paraId="28FE6E19" w14:textId="77777777" w:rsidR="00A22029" w:rsidRPr="00A22029" w:rsidRDefault="00A22029" w:rsidP="00A22029">
            <w:pPr>
              <w:rPr>
                <w:rFonts w:asciiTheme="majorHAnsi" w:eastAsia="Times New Roman" w:hAnsiTheme="majorHAnsi" w:cstheme="majorHAnsi"/>
                <w:b/>
                <w:bCs/>
                <w:color w:val="000000"/>
                <w:sz w:val="16"/>
                <w:szCs w:val="16"/>
                <w:lang w:eastAsia="en-GB"/>
              </w:rPr>
            </w:pPr>
            <w:r w:rsidRPr="00A22029">
              <w:rPr>
                <w:rFonts w:asciiTheme="majorHAnsi" w:eastAsia="Times New Roman" w:hAnsiTheme="majorHAnsi" w:cstheme="majorHAnsi"/>
                <w:b/>
                <w:bCs/>
                <w:color w:val="000000"/>
                <w:sz w:val="16"/>
                <w:szCs w:val="16"/>
                <w:lang w:eastAsia="en-GB"/>
              </w:rPr>
              <w:t>LEV</w:t>
            </w:r>
          </w:p>
        </w:tc>
      </w:tr>
      <w:tr w:rsidR="00A22029" w:rsidRPr="00A22029" w14:paraId="628F20AD" w14:textId="77777777" w:rsidTr="00A22029">
        <w:trPr>
          <w:trHeight w:val="268"/>
        </w:trPr>
        <w:tc>
          <w:tcPr>
            <w:tcW w:w="771" w:type="dxa"/>
            <w:tcBorders>
              <w:top w:val="single" w:sz="4" w:space="0" w:color="auto"/>
              <w:left w:val="nil"/>
              <w:bottom w:val="nil"/>
              <w:right w:val="nil"/>
            </w:tcBorders>
            <w:noWrap/>
            <w:hideMark/>
          </w:tcPr>
          <w:p w14:paraId="7E8B535F"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ESG</w:t>
            </w:r>
          </w:p>
        </w:tc>
        <w:tc>
          <w:tcPr>
            <w:tcW w:w="900" w:type="dxa"/>
            <w:tcBorders>
              <w:top w:val="single" w:sz="4" w:space="0" w:color="auto"/>
              <w:left w:val="nil"/>
              <w:bottom w:val="nil"/>
              <w:right w:val="nil"/>
            </w:tcBorders>
            <w:noWrap/>
            <w:hideMark/>
          </w:tcPr>
          <w:p w14:paraId="420A53F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single" w:sz="4" w:space="0" w:color="auto"/>
              <w:left w:val="nil"/>
              <w:bottom w:val="nil"/>
              <w:right w:val="nil"/>
            </w:tcBorders>
            <w:noWrap/>
            <w:hideMark/>
          </w:tcPr>
          <w:p w14:paraId="21449063"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single" w:sz="4" w:space="0" w:color="auto"/>
              <w:left w:val="nil"/>
              <w:bottom w:val="nil"/>
              <w:right w:val="nil"/>
            </w:tcBorders>
            <w:noWrap/>
            <w:hideMark/>
          </w:tcPr>
          <w:p w14:paraId="5E63F563"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single" w:sz="4" w:space="0" w:color="auto"/>
              <w:left w:val="nil"/>
              <w:bottom w:val="nil"/>
              <w:right w:val="nil"/>
            </w:tcBorders>
            <w:noWrap/>
            <w:hideMark/>
          </w:tcPr>
          <w:p w14:paraId="3BC9C57C"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single" w:sz="4" w:space="0" w:color="auto"/>
              <w:left w:val="nil"/>
              <w:bottom w:val="nil"/>
              <w:right w:val="nil"/>
            </w:tcBorders>
            <w:noWrap/>
            <w:hideMark/>
          </w:tcPr>
          <w:p w14:paraId="46A9FCD0"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single" w:sz="4" w:space="0" w:color="auto"/>
              <w:left w:val="nil"/>
              <w:bottom w:val="nil"/>
              <w:right w:val="nil"/>
            </w:tcBorders>
            <w:noWrap/>
            <w:hideMark/>
          </w:tcPr>
          <w:p w14:paraId="02549E71"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single" w:sz="4" w:space="0" w:color="auto"/>
              <w:left w:val="nil"/>
              <w:bottom w:val="nil"/>
              <w:right w:val="nil"/>
            </w:tcBorders>
            <w:noWrap/>
            <w:hideMark/>
          </w:tcPr>
          <w:p w14:paraId="034F1797"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single" w:sz="4" w:space="0" w:color="auto"/>
              <w:left w:val="nil"/>
              <w:bottom w:val="nil"/>
              <w:right w:val="nil"/>
            </w:tcBorders>
            <w:noWrap/>
            <w:hideMark/>
          </w:tcPr>
          <w:p w14:paraId="0C48BABA"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single" w:sz="4" w:space="0" w:color="auto"/>
              <w:left w:val="nil"/>
              <w:bottom w:val="nil"/>
              <w:right w:val="nil"/>
            </w:tcBorders>
            <w:noWrap/>
            <w:hideMark/>
          </w:tcPr>
          <w:p w14:paraId="5D3024E4"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single" w:sz="4" w:space="0" w:color="auto"/>
              <w:left w:val="nil"/>
              <w:bottom w:val="nil"/>
              <w:right w:val="nil"/>
            </w:tcBorders>
            <w:noWrap/>
            <w:hideMark/>
          </w:tcPr>
          <w:p w14:paraId="1B04214E"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single" w:sz="4" w:space="0" w:color="auto"/>
              <w:left w:val="nil"/>
              <w:bottom w:val="nil"/>
              <w:right w:val="nil"/>
            </w:tcBorders>
            <w:noWrap/>
            <w:hideMark/>
          </w:tcPr>
          <w:p w14:paraId="087E72E0"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single" w:sz="4" w:space="0" w:color="auto"/>
              <w:left w:val="nil"/>
              <w:bottom w:val="nil"/>
              <w:right w:val="nil"/>
            </w:tcBorders>
            <w:noWrap/>
            <w:hideMark/>
          </w:tcPr>
          <w:p w14:paraId="76099E10"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single" w:sz="4" w:space="0" w:color="auto"/>
              <w:left w:val="nil"/>
              <w:bottom w:val="nil"/>
              <w:right w:val="nil"/>
            </w:tcBorders>
            <w:noWrap/>
            <w:hideMark/>
          </w:tcPr>
          <w:p w14:paraId="6A01CFD5"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36D8AEDF" w14:textId="77777777" w:rsidTr="00A22029">
        <w:trPr>
          <w:trHeight w:val="268"/>
        </w:trPr>
        <w:tc>
          <w:tcPr>
            <w:tcW w:w="771" w:type="dxa"/>
            <w:tcBorders>
              <w:top w:val="nil"/>
              <w:left w:val="nil"/>
              <w:bottom w:val="nil"/>
              <w:right w:val="nil"/>
            </w:tcBorders>
            <w:noWrap/>
            <w:hideMark/>
          </w:tcPr>
          <w:p w14:paraId="27E5882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ENV</w:t>
            </w:r>
          </w:p>
        </w:tc>
        <w:tc>
          <w:tcPr>
            <w:tcW w:w="900" w:type="dxa"/>
            <w:tcBorders>
              <w:top w:val="nil"/>
              <w:left w:val="nil"/>
              <w:bottom w:val="nil"/>
              <w:right w:val="nil"/>
            </w:tcBorders>
            <w:noWrap/>
            <w:hideMark/>
          </w:tcPr>
          <w:p w14:paraId="2BA625C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0.842***</w:t>
            </w:r>
          </w:p>
        </w:tc>
        <w:tc>
          <w:tcPr>
            <w:tcW w:w="900" w:type="dxa"/>
            <w:tcBorders>
              <w:top w:val="nil"/>
              <w:left w:val="nil"/>
              <w:bottom w:val="nil"/>
              <w:right w:val="nil"/>
            </w:tcBorders>
            <w:noWrap/>
            <w:hideMark/>
          </w:tcPr>
          <w:p w14:paraId="20050231"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7B31C7AC"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nil"/>
              <w:right w:val="nil"/>
            </w:tcBorders>
            <w:noWrap/>
            <w:hideMark/>
          </w:tcPr>
          <w:p w14:paraId="3FC60254"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2A541946"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775A5437"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5F5DAE40"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27F2B939"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25B88FBB"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346ED279"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1A8D481F"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391490C6"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6502C8A8"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4BCFF74B" w14:textId="77777777" w:rsidTr="00A22029">
        <w:trPr>
          <w:trHeight w:val="268"/>
        </w:trPr>
        <w:tc>
          <w:tcPr>
            <w:tcW w:w="771" w:type="dxa"/>
            <w:tcBorders>
              <w:top w:val="nil"/>
              <w:left w:val="nil"/>
              <w:bottom w:val="nil"/>
              <w:right w:val="nil"/>
            </w:tcBorders>
            <w:noWrap/>
            <w:hideMark/>
          </w:tcPr>
          <w:p w14:paraId="31B972AF"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SOC</w:t>
            </w:r>
          </w:p>
        </w:tc>
        <w:tc>
          <w:tcPr>
            <w:tcW w:w="900" w:type="dxa"/>
            <w:tcBorders>
              <w:top w:val="nil"/>
              <w:left w:val="nil"/>
              <w:bottom w:val="nil"/>
              <w:right w:val="nil"/>
            </w:tcBorders>
            <w:noWrap/>
            <w:hideMark/>
          </w:tcPr>
          <w:p w14:paraId="32717CF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0.876***</w:t>
            </w:r>
          </w:p>
        </w:tc>
        <w:tc>
          <w:tcPr>
            <w:tcW w:w="900" w:type="dxa"/>
            <w:tcBorders>
              <w:top w:val="nil"/>
              <w:left w:val="nil"/>
              <w:bottom w:val="nil"/>
              <w:right w:val="nil"/>
            </w:tcBorders>
            <w:noWrap/>
            <w:hideMark/>
          </w:tcPr>
          <w:p w14:paraId="46D3DDF5"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0.731***</w:t>
            </w:r>
          </w:p>
        </w:tc>
        <w:tc>
          <w:tcPr>
            <w:tcW w:w="900" w:type="dxa"/>
            <w:tcBorders>
              <w:top w:val="nil"/>
              <w:left w:val="nil"/>
              <w:bottom w:val="nil"/>
              <w:right w:val="nil"/>
            </w:tcBorders>
            <w:noWrap/>
            <w:hideMark/>
          </w:tcPr>
          <w:p w14:paraId="48F6CBC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3EF39D74"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nil"/>
              <w:right w:val="nil"/>
            </w:tcBorders>
            <w:noWrap/>
            <w:hideMark/>
          </w:tcPr>
          <w:p w14:paraId="22EC4C06"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5E2D56B3"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0C63E6AD"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6F951F8F"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46E8B14D"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67E6B6A7"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18FA2326"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4F2333A8"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14819F7B"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5373215D" w14:textId="77777777" w:rsidTr="00A22029">
        <w:trPr>
          <w:trHeight w:val="268"/>
        </w:trPr>
        <w:tc>
          <w:tcPr>
            <w:tcW w:w="771" w:type="dxa"/>
            <w:tcBorders>
              <w:top w:val="nil"/>
              <w:left w:val="nil"/>
              <w:bottom w:val="nil"/>
              <w:right w:val="nil"/>
            </w:tcBorders>
            <w:noWrap/>
            <w:hideMark/>
          </w:tcPr>
          <w:p w14:paraId="044EC846"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GOV</w:t>
            </w:r>
          </w:p>
        </w:tc>
        <w:tc>
          <w:tcPr>
            <w:tcW w:w="900" w:type="dxa"/>
            <w:tcBorders>
              <w:top w:val="nil"/>
              <w:left w:val="nil"/>
              <w:bottom w:val="nil"/>
              <w:right w:val="nil"/>
            </w:tcBorders>
            <w:noWrap/>
            <w:hideMark/>
          </w:tcPr>
          <w:p w14:paraId="5D65D89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0.694***</w:t>
            </w:r>
          </w:p>
        </w:tc>
        <w:tc>
          <w:tcPr>
            <w:tcW w:w="900" w:type="dxa"/>
            <w:tcBorders>
              <w:top w:val="nil"/>
              <w:left w:val="nil"/>
              <w:bottom w:val="nil"/>
              <w:right w:val="nil"/>
            </w:tcBorders>
            <w:noWrap/>
            <w:hideMark/>
          </w:tcPr>
          <w:p w14:paraId="27338E7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0.521***</w:t>
            </w:r>
          </w:p>
        </w:tc>
        <w:tc>
          <w:tcPr>
            <w:tcW w:w="900" w:type="dxa"/>
            <w:tcBorders>
              <w:top w:val="nil"/>
              <w:left w:val="nil"/>
              <w:bottom w:val="nil"/>
              <w:right w:val="nil"/>
            </w:tcBorders>
            <w:noWrap/>
            <w:hideMark/>
          </w:tcPr>
          <w:p w14:paraId="7FED7B7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0.603***</w:t>
            </w:r>
          </w:p>
        </w:tc>
        <w:tc>
          <w:tcPr>
            <w:tcW w:w="900" w:type="dxa"/>
            <w:tcBorders>
              <w:top w:val="nil"/>
              <w:left w:val="nil"/>
              <w:bottom w:val="nil"/>
              <w:right w:val="nil"/>
            </w:tcBorders>
            <w:noWrap/>
            <w:hideMark/>
          </w:tcPr>
          <w:p w14:paraId="54A6775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113C5EA2"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nil"/>
              <w:right w:val="nil"/>
            </w:tcBorders>
            <w:noWrap/>
            <w:hideMark/>
          </w:tcPr>
          <w:p w14:paraId="54071829"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2F36B649"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60FBDCBE"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39505724"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5A2BCC0E"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5D4015F7"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7E979F9C"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19D31FAE"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79D98E94" w14:textId="77777777" w:rsidTr="00A22029">
        <w:trPr>
          <w:trHeight w:val="268"/>
        </w:trPr>
        <w:tc>
          <w:tcPr>
            <w:tcW w:w="771" w:type="dxa"/>
            <w:tcBorders>
              <w:top w:val="nil"/>
              <w:left w:val="nil"/>
              <w:bottom w:val="nil"/>
              <w:right w:val="nil"/>
            </w:tcBorders>
            <w:noWrap/>
            <w:hideMark/>
          </w:tcPr>
          <w:p w14:paraId="02D3CDBF"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BSIZE</w:t>
            </w:r>
          </w:p>
        </w:tc>
        <w:tc>
          <w:tcPr>
            <w:tcW w:w="900" w:type="dxa"/>
            <w:tcBorders>
              <w:top w:val="nil"/>
              <w:left w:val="nil"/>
              <w:bottom w:val="nil"/>
              <w:right w:val="nil"/>
            </w:tcBorders>
            <w:noWrap/>
            <w:hideMark/>
          </w:tcPr>
          <w:p w14:paraId="1288CD8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0.312***</w:t>
            </w:r>
          </w:p>
        </w:tc>
        <w:tc>
          <w:tcPr>
            <w:tcW w:w="900" w:type="dxa"/>
            <w:tcBorders>
              <w:top w:val="nil"/>
              <w:left w:val="nil"/>
              <w:bottom w:val="nil"/>
              <w:right w:val="nil"/>
            </w:tcBorders>
            <w:noWrap/>
            <w:hideMark/>
          </w:tcPr>
          <w:p w14:paraId="2540EC1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0.284***</w:t>
            </w:r>
          </w:p>
        </w:tc>
        <w:tc>
          <w:tcPr>
            <w:tcW w:w="900" w:type="dxa"/>
            <w:tcBorders>
              <w:top w:val="nil"/>
              <w:left w:val="nil"/>
              <w:bottom w:val="nil"/>
              <w:right w:val="nil"/>
            </w:tcBorders>
            <w:noWrap/>
            <w:hideMark/>
          </w:tcPr>
          <w:p w14:paraId="46AEF6F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0.298***</w:t>
            </w:r>
          </w:p>
        </w:tc>
        <w:tc>
          <w:tcPr>
            <w:tcW w:w="900" w:type="dxa"/>
            <w:tcBorders>
              <w:top w:val="nil"/>
              <w:left w:val="nil"/>
              <w:bottom w:val="nil"/>
              <w:right w:val="nil"/>
            </w:tcBorders>
            <w:noWrap/>
            <w:hideMark/>
          </w:tcPr>
          <w:p w14:paraId="41463BA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0.241***</w:t>
            </w:r>
          </w:p>
        </w:tc>
        <w:tc>
          <w:tcPr>
            <w:tcW w:w="900" w:type="dxa"/>
            <w:tcBorders>
              <w:top w:val="nil"/>
              <w:left w:val="nil"/>
              <w:bottom w:val="nil"/>
              <w:right w:val="nil"/>
            </w:tcBorders>
            <w:noWrap/>
            <w:hideMark/>
          </w:tcPr>
          <w:p w14:paraId="3E6C27A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563AEACB"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nil"/>
              <w:right w:val="nil"/>
            </w:tcBorders>
            <w:noWrap/>
            <w:hideMark/>
          </w:tcPr>
          <w:p w14:paraId="2D4E4A82"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2F8D321F"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56C8A162"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69E4096F"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6C4AE98C"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10EE943A"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2BB92BFF"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2BA6D59E" w14:textId="77777777" w:rsidTr="00A22029">
        <w:trPr>
          <w:trHeight w:val="268"/>
        </w:trPr>
        <w:tc>
          <w:tcPr>
            <w:tcW w:w="771" w:type="dxa"/>
            <w:tcBorders>
              <w:top w:val="nil"/>
              <w:left w:val="nil"/>
              <w:bottom w:val="nil"/>
              <w:right w:val="nil"/>
            </w:tcBorders>
            <w:noWrap/>
            <w:hideMark/>
          </w:tcPr>
          <w:p w14:paraId="2A3FC5C5"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BIND</w:t>
            </w:r>
          </w:p>
        </w:tc>
        <w:tc>
          <w:tcPr>
            <w:tcW w:w="900" w:type="dxa"/>
            <w:tcBorders>
              <w:top w:val="nil"/>
              <w:left w:val="nil"/>
              <w:bottom w:val="nil"/>
              <w:right w:val="nil"/>
            </w:tcBorders>
            <w:noWrap/>
            <w:hideMark/>
          </w:tcPr>
          <w:p w14:paraId="6B92CFB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0.356***</w:t>
            </w:r>
          </w:p>
        </w:tc>
        <w:tc>
          <w:tcPr>
            <w:tcW w:w="900" w:type="dxa"/>
            <w:tcBorders>
              <w:top w:val="nil"/>
              <w:left w:val="nil"/>
              <w:bottom w:val="nil"/>
              <w:right w:val="nil"/>
            </w:tcBorders>
            <w:noWrap/>
            <w:hideMark/>
          </w:tcPr>
          <w:p w14:paraId="7A384FD6"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0.331***</w:t>
            </w:r>
          </w:p>
        </w:tc>
        <w:tc>
          <w:tcPr>
            <w:tcW w:w="900" w:type="dxa"/>
            <w:tcBorders>
              <w:top w:val="nil"/>
              <w:left w:val="nil"/>
              <w:bottom w:val="nil"/>
              <w:right w:val="nil"/>
            </w:tcBorders>
            <w:noWrap/>
            <w:hideMark/>
          </w:tcPr>
          <w:p w14:paraId="5D5BBE5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0.342***</w:t>
            </w:r>
          </w:p>
        </w:tc>
        <w:tc>
          <w:tcPr>
            <w:tcW w:w="900" w:type="dxa"/>
            <w:tcBorders>
              <w:top w:val="nil"/>
              <w:left w:val="nil"/>
              <w:bottom w:val="nil"/>
              <w:right w:val="nil"/>
            </w:tcBorders>
            <w:noWrap/>
            <w:hideMark/>
          </w:tcPr>
          <w:p w14:paraId="23A2550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0.289***</w:t>
            </w:r>
          </w:p>
        </w:tc>
        <w:tc>
          <w:tcPr>
            <w:tcW w:w="900" w:type="dxa"/>
            <w:tcBorders>
              <w:top w:val="nil"/>
              <w:left w:val="nil"/>
              <w:bottom w:val="nil"/>
              <w:right w:val="nil"/>
            </w:tcBorders>
            <w:noWrap/>
            <w:hideMark/>
          </w:tcPr>
          <w:p w14:paraId="25A55260"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0.418***</w:t>
            </w:r>
          </w:p>
        </w:tc>
        <w:tc>
          <w:tcPr>
            <w:tcW w:w="900" w:type="dxa"/>
            <w:tcBorders>
              <w:top w:val="nil"/>
              <w:left w:val="nil"/>
              <w:bottom w:val="nil"/>
              <w:right w:val="nil"/>
            </w:tcBorders>
            <w:noWrap/>
            <w:hideMark/>
          </w:tcPr>
          <w:p w14:paraId="5255FC60"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47BFBE00"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820" w:type="dxa"/>
            <w:tcBorders>
              <w:top w:val="nil"/>
              <w:left w:val="nil"/>
              <w:bottom w:val="nil"/>
              <w:right w:val="nil"/>
            </w:tcBorders>
            <w:noWrap/>
            <w:hideMark/>
          </w:tcPr>
          <w:p w14:paraId="21E8D8A6" w14:textId="77777777" w:rsidR="00A22029" w:rsidRPr="00A22029" w:rsidRDefault="00A22029" w:rsidP="00A22029">
            <w:pPr>
              <w:rPr>
                <w:rFonts w:asciiTheme="majorHAnsi" w:eastAsia="Times New Roman" w:hAnsiTheme="majorHAnsi" w:cstheme="majorHAnsi"/>
                <w:sz w:val="16"/>
                <w:szCs w:val="16"/>
                <w:lang w:eastAsia="en-GB"/>
              </w:rPr>
            </w:pPr>
          </w:p>
        </w:tc>
        <w:tc>
          <w:tcPr>
            <w:tcW w:w="820" w:type="dxa"/>
            <w:tcBorders>
              <w:top w:val="nil"/>
              <w:left w:val="nil"/>
              <w:bottom w:val="nil"/>
              <w:right w:val="nil"/>
            </w:tcBorders>
            <w:noWrap/>
            <w:hideMark/>
          </w:tcPr>
          <w:p w14:paraId="7CCC1930"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3CEF522E"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44307F69"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1394AAAD"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496465EB"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712D0E9E" w14:textId="77777777" w:rsidTr="00A22029">
        <w:trPr>
          <w:trHeight w:val="268"/>
        </w:trPr>
        <w:tc>
          <w:tcPr>
            <w:tcW w:w="771" w:type="dxa"/>
            <w:tcBorders>
              <w:top w:val="nil"/>
              <w:left w:val="nil"/>
              <w:bottom w:val="nil"/>
              <w:right w:val="nil"/>
            </w:tcBorders>
            <w:noWrap/>
            <w:hideMark/>
          </w:tcPr>
          <w:p w14:paraId="3A5DE1C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CEOD</w:t>
            </w:r>
          </w:p>
        </w:tc>
        <w:tc>
          <w:tcPr>
            <w:tcW w:w="900" w:type="dxa"/>
            <w:tcBorders>
              <w:top w:val="nil"/>
              <w:left w:val="nil"/>
              <w:bottom w:val="nil"/>
              <w:right w:val="nil"/>
            </w:tcBorders>
            <w:noWrap/>
            <w:hideMark/>
          </w:tcPr>
          <w:p w14:paraId="3EAC08F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−0.227***</w:t>
            </w:r>
          </w:p>
        </w:tc>
        <w:tc>
          <w:tcPr>
            <w:tcW w:w="900" w:type="dxa"/>
            <w:tcBorders>
              <w:top w:val="nil"/>
              <w:left w:val="nil"/>
              <w:bottom w:val="nil"/>
              <w:right w:val="nil"/>
            </w:tcBorders>
            <w:noWrap/>
            <w:hideMark/>
          </w:tcPr>
          <w:p w14:paraId="68E05B2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−0.214***</w:t>
            </w:r>
          </w:p>
        </w:tc>
        <w:tc>
          <w:tcPr>
            <w:tcW w:w="900" w:type="dxa"/>
            <w:tcBorders>
              <w:top w:val="nil"/>
              <w:left w:val="nil"/>
              <w:bottom w:val="nil"/>
              <w:right w:val="nil"/>
            </w:tcBorders>
            <w:noWrap/>
            <w:hideMark/>
          </w:tcPr>
          <w:p w14:paraId="02167B5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−0.198***</w:t>
            </w:r>
          </w:p>
        </w:tc>
        <w:tc>
          <w:tcPr>
            <w:tcW w:w="900" w:type="dxa"/>
            <w:tcBorders>
              <w:top w:val="nil"/>
              <w:left w:val="nil"/>
              <w:bottom w:val="nil"/>
              <w:right w:val="nil"/>
            </w:tcBorders>
            <w:noWrap/>
            <w:hideMark/>
          </w:tcPr>
          <w:p w14:paraId="338719C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−0.176***</w:t>
            </w:r>
          </w:p>
        </w:tc>
        <w:tc>
          <w:tcPr>
            <w:tcW w:w="900" w:type="dxa"/>
            <w:tcBorders>
              <w:top w:val="nil"/>
              <w:left w:val="nil"/>
              <w:bottom w:val="nil"/>
              <w:right w:val="nil"/>
            </w:tcBorders>
            <w:noWrap/>
            <w:hideMark/>
          </w:tcPr>
          <w:p w14:paraId="60F44786"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−0.142***</w:t>
            </w:r>
          </w:p>
        </w:tc>
        <w:tc>
          <w:tcPr>
            <w:tcW w:w="900" w:type="dxa"/>
            <w:tcBorders>
              <w:top w:val="nil"/>
              <w:left w:val="nil"/>
              <w:bottom w:val="nil"/>
              <w:right w:val="nil"/>
            </w:tcBorders>
            <w:noWrap/>
            <w:hideMark/>
          </w:tcPr>
          <w:p w14:paraId="1668CFE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−0.261***</w:t>
            </w:r>
          </w:p>
        </w:tc>
        <w:tc>
          <w:tcPr>
            <w:tcW w:w="900" w:type="dxa"/>
            <w:tcBorders>
              <w:top w:val="nil"/>
              <w:left w:val="nil"/>
              <w:bottom w:val="nil"/>
              <w:right w:val="nil"/>
            </w:tcBorders>
            <w:noWrap/>
            <w:hideMark/>
          </w:tcPr>
          <w:p w14:paraId="4DFD6E5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820" w:type="dxa"/>
            <w:tcBorders>
              <w:top w:val="nil"/>
              <w:left w:val="nil"/>
              <w:bottom w:val="nil"/>
              <w:right w:val="nil"/>
            </w:tcBorders>
            <w:noWrap/>
            <w:hideMark/>
          </w:tcPr>
          <w:p w14:paraId="0E7E149C"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820" w:type="dxa"/>
            <w:tcBorders>
              <w:top w:val="nil"/>
              <w:left w:val="nil"/>
              <w:bottom w:val="nil"/>
              <w:right w:val="nil"/>
            </w:tcBorders>
            <w:noWrap/>
            <w:hideMark/>
          </w:tcPr>
          <w:p w14:paraId="15E96FD4"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3773D29C"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71638628"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121EA46B"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3C966853"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5F5F4870" w14:textId="77777777" w:rsidTr="00A22029">
        <w:trPr>
          <w:trHeight w:val="268"/>
        </w:trPr>
        <w:tc>
          <w:tcPr>
            <w:tcW w:w="771" w:type="dxa"/>
            <w:tcBorders>
              <w:top w:val="nil"/>
              <w:left w:val="nil"/>
              <w:bottom w:val="nil"/>
              <w:right w:val="nil"/>
            </w:tcBorders>
            <w:noWrap/>
            <w:hideMark/>
          </w:tcPr>
          <w:p w14:paraId="6896B4C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BGD</w:t>
            </w:r>
          </w:p>
        </w:tc>
        <w:tc>
          <w:tcPr>
            <w:tcW w:w="900" w:type="dxa"/>
            <w:tcBorders>
              <w:top w:val="nil"/>
              <w:left w:val="nil"/>
              <w:bottom w:val="nil"/>
              <w:right w:val="nil"/>
            </w:tcBorders>
            <w:noWrap/>
            <w:hideMark/>
          </w:tcPr>
          <w:p w14:paraId="78A1964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0.401***</w:t>
            </w:r>
          </w:p>
        </w:tc>
        <w:tc>
          <w:tcPr>
            <w:tcW w:w="900" w:type="dxa"/>
            <w:tcBorders>
              <w:top w:val="nil"/>
              <w:left w:val="nil"/>
              <w:bottom w:val="nil"/>
              <w:right w:val="nil"/>
            </w:tcBorders>
            <w:noWrap/>
            <w:hideMark/>
          </w:tcPr>
          <w:p w14:paraId="6A0FCC4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0.382***</w:t>
            </w:r>
          </w:p>
        </w:tc>
        <w:tc>
          <w:tcPr>
            <w:tcW w:w="900" w:type="dxa"/>
            <w:tcBorders>
              <w:top w:val="nil"/>
              <w:left w:val="nil"/>
              <w:bottom w:val="nil"/>
              <w:right w:val="nil"/>
            </w:tcBorders>
            <w:noWrap/>
            <w:hideMark/>
          </w:tcPr>
          <w:p w14:paraId="7B1DBF5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0.417***</w:t>
            </w:r>
          </w:p>
        </w:tc>
        <w:tc>
          <w:tcPr>
            <w:tcW w:w="900" w:type="dxa"/>
            <w:tcBorders>
              <w:top w:val="nil"/>
              <w:left w:val="nil"/>
              <w:bottom w:val="nil"/>
              <w:right w:val="nil"/>
            </w:tcBorders>
            <w:noWrap/>
            <w:hideMark/>
          </w:tcPr>
          <w:p w14:paraId="3F42B291"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0.295***</w:t>
            </w:r>
          </w:p>
        </w:tc>
        <w:tc>
          <w:tcPr>
            <w:tcW w:w="900" w:type="dxa"/>
            <w:tcBorders>
              <w:top w:val="nil"/>
              <w:left w:val="nil"/>
              <w:bottom w:val="nil"/>
              <w:right w:val="nil"/>
            </w:tcBorders>
            <w:noWrap/>
            <w:hideMark/>
          </w:tcPr>
          <w:p w14:paraId="7CC93A9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0.263***</w:t>
            </w:r>
          </w:p>
        </w:tc>
        <w:tc>
          <w:tcPr>
            <w:tcW w:w="900" w:type="dxa"/>
            <w:tcBorders>
              <w:top w:val="nil"/>
              <w:left w:val="nil"/>
              <w:bottom w:val="nil"/>
              <w:right w:val="nil"/>
            </w:tcBorders>
            <w:noWrap/>
            <w:hideMark/>
          </w:tcPr>
          <w:p w14:paraId="4EDAA65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0.309***</w:t>
            </w:r>
          </w:p>
        </w:tc>
        <w:tc>
          <w:tcPr>
            <w:tcW w:w="900" w:type="dxa"/>
            <w:tcBorders>
              <w:top w:val="nil"/>
              <w:left w:val="nil"/>
              <w:bottom w:val="nil"/>
              <w:right w:val="nil"/>
            </w:tcBorders>
            <w:noWrap/>
            <w:hideMark/>
          </w:tcPr>
          <w:p w14:paraId="352C945A"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−0.188***</w:t>
            </w:r>
          </w:p>
        </w:tc>
        <w:tc>
          <w:tcPr>
            <w:tcW w:w="820" w:type="dxa"/>
            <w:tcBorders>
              <w:top w:val="nil"/>
              <w:left w:val="nil"/>
              <w:bottom w:val="nil"/>
              <w:right w:val="nil"/>
            </w:tcBorders>
            <w:noWrap/>
            <w:hideMark/>
          </w:tcPr>
          <w:p w14:paraId="0A440961"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820" w:type="dxa"/>
            <w:tcBorders>
              <w:top w:val="nil"/>
              <w:left w:val="nil"/>
              <w:bottom w:val="nil"/>
              <w:right w:val="nil"/>
            </w:tcBorders>
            <w:noWrap/>
            <w:hideMark/>
          </w:tcPr>
          <w:p w14:paraId="6F28890E"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nil"/>
              <w:right w:val="nil"/>
            </w:tcBorders>
            <w:noWrap/>
            <w:hideMark/>
          </w:tcPr>
          <w:p w14:paraId="011ECE7C"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nil"/>
              <w:right w:val="nil"/>
            </w:tcBorders>
            <w:noWrap/>
            <w:hideMark/>
          </w:tcPr>
          <w:p w14:paraId="15E409D8"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685A700B"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708953C3"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7C0875D3" w14:textId="77777777" w:rsidTr="00A22029">
        <w:trPr>
          <w:trHeight w:val="268"/>
        </w:trPr>
        <w:tc>
          <w:tcPr>
            <w:tcW w:w="771" w:type="dxa"/>
            <w:tcBorders>
              <w:top w:val="nil"/>
              <w:left w:val="nil"/>
              <w:bottom w:val="nil"/>
              <w:right w:val="nil"/>
            </w:tcBorders>
            <w:noWrap/>
            <w:hideMark/>
          </w:tcPr>
          <w:p w14:paraId="656AE06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SC</w:t>
            </w:r>
          </w:p>
        </w:tc>
        <w:tc>
          <w:tcPr>
            <w:tcW w:w="900" w:type="dxa"/>
            <w:tcBorders>
              <w:top w:val="nil"/>
              <w:left w:val="nil"/>
              <w:bottom w:val="nil"/>
              <w:right w:val="nil"/>
            </w:tcBorders>
            <w:noWrap/>
            <w:hideMark/>
          </w:tcPr>
          <w:p w14:paraId="502FC8F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0.447***</w:t>
            </w:r>
          </w:p>
        </w:tc>
        <w:tc>
          <w:tcPr>
            <w:tcW w:w="900" w:type="dxa"/>
            <w:tcBorders>
              <w:top w:val="nil"/>
              <w:left w:val="nil"/>
              <w:bottom w:val="nil"/>
              <w:right w:val="nil"/>
            </w:tcBorders>
            <w:noWrap/>
            <w:hideMark/>
          </w:tcPr>
          <w:p w14:paraId="543D03F1"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0.421***</w:t>
            </w:r>
          </w:p>
        </w:tc>
        <w:tc>
          <w:tcPr>
            <w:tcW w:w="900" w:type="dxa"/>
            <w:tcBorders>
              <w:top w:val="nil"/>
              <w:left w:val="nil"/>
              <w:bottom w:val="nil"/>
              <w:right w:val="nil"/>
            </w:tcBorders>
            <w:noWrap/>
            <w:hideMark/>
          </w:tcPr>
          <w:p w14:paraId="43CD237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0.436***</w:t>
            </w:r>
          </w:p>
        </w:tc>
        <w:tc>
          <w:tcPr>
            <w:tcW w:w="900" w:type="dxa"/>
            <w:tcBorders>
              <w:top w:val="nil"/>
              <w:left w:val="nil"/>
              <w:bottom w:val="nil"/>
              <w:right w:val="nil"/>
            </w:tcBorders>
            <w:noWrap/>
            <w:hideMark/>
          </w:tcPr>
          <w:p w14:paraId="2FD59FA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0.318***</w:t>
            </w:r>
          </w:p>
        </w:tc>
        <w:tc>
          <w:tcPr>
            <w:tcW w:w="900" w:type="dxa"/>
            <w:tcBorders>
              <w:top w:val="nil"/>
              <w:left w:val="nil"/>
              <w:bottom w:val="nil"/>
              <w:right w:val="nil"/>
            </w:tcBorders>
            <w:noWrap/>
            <w:hideMark/>
          </w:tcPr>
          <w:p w14:paraId="315AE8A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0.291***</w:t>
            </w:r>
          </w:p>
        </w:tc>
        <w:tc>
          <w:tcPr>
            <w:tcW w:w="900" w:type="dxa"/>
            <w:tcBorders>
              <w:top w:val="nil"/>
              <w:left w:val="nil"/>
              <w:bottom w:val="nil"/>
              <w:right w:val="nil"/>
            </w:tcBorders>
            <w:noWrap/>
            <w:hideMark/>
          </w:tcPr>
          <w:p w14:paraId="079CAC8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0.336***</w:t>
            </w:r>
          </w:p>
        </w:tc>
        <w:tc>
          <w:tcPr>
            <w:tcW w:w="900" w:type="dxa"/>
            <w:tcBorders>
              <w:top w:val="nil"/>
              <w:left w:val="nil"/>
              <w:bottom w:val="nil"/>
              <w:right w:val="nil"/>
            </w:tcBorders>
            <w:noWrap/>
            <w:hideMark/>
          </w:tcPr>
          <w:p w14:paraId="2093B10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−0.214***</w:t>
            </w:r>
          </w:p>
        </w:tc>
        <w:tc>
          <w:tcPr>
            <w:tcW w:w="820" w:type="dxa"/>
            <w:tcBorders>
              <w:top w:val="nil"/>
              <w:left w:val="nil"/>
              <w:bottom w:val="nil"/>
              <w:right w:val="nil"/>
            </w:tcBorders>
            <w:noWrap/>
            <w:hideMark/>
          </w:tcPr>
          <w:p w14:paraId="5CFB284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0.352***</w:t>
            </w:r>
          </w:p>
        </w:tc>
        <w:tc>
          <w:tcPr>
            <w:tcW w:w="820" w:type="dxa"/>
            <w:tcBorders>
              <w:top w:val="nil"/>
              <w:left w:val="nil"/>
              <w:bottom w:val="nil"/>
              <w:right w:val="nil"/>
            </w:tcBorders>
            <w:noWrap/>
            <w:hideMark/>
          </w:tcPr>
          <w:p w14:paraId="2A459B6A"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4B680700"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nil"/>
              <w:right w:val="nil"/>
            </w:tcBorders>
            <w:noWrap/>
            <w:hideMark/>
          </w:tcPr>
          <w:p w14:paraId="70E16E81" w14:textId="77777777" w:rsidR="00A22029" w:rsidRPr="00A22029" w:rsidRDefault="00A22029" w:rsidP="00A22029">
            <w:pPr>
              <w:rPr>
                <w:rFonts w:asciiTheme="majorHAnsi" w:eastAsia="Times New Roman" w:hAnsiTheme="majorHAnsi" w:cstheme="majorHAnsi"/>
                <w:sz w:val="16"/>
                <w:szCs w:val="16"/>
                <w:lang w:eastAsia="en-GB"/>
              </w:rPr>
            </w:pPr>
          </w:p>
        </w:tc>
        <w:tc>
          <w:tcPr>
            <w:tcW w:w="741" w:type="dxa"/>
            <w:tcBorders>
              <w:top w:val="nil"/>
              <w:left w:val="nil"/>
              <w:bottom w:val="nil"/>
              <w:right w:val="nil"/>
            </w:tcBorders>
            <w:noWrap/>
            <w:hideMark/>
          </w:tcPr>
          <w:p w14:paraId="13592D19"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5F23D0A7"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62B48F66" w14:textId="77777777" w:rsidTr="00A22029">
        <w:trPr>
          <w:trHeight w:val="268"/>
        </w:trPr>
        <w:tc>
          <w:tcPr>
            <w:tcW w:w="771" w:type="dxa"/>
            <w:tcBorders>
              <w:top w:val="nil"/>
              <w:left w:val="nil"/>
              <w:bottom w:val="nil"/>
              <w:right w:val="nil"/>
            </w:tcBorders>
            <w:noWrap/>
            <w:hideMark/>
          </w:tcPr>
          <w:p w14:paraId="6B9D13B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ROA</w:t>
            </w:r>
          </w:p>
        </w:tc>
        <w:tc>
          <w:tcPr>
            <w:tcW w:w="900" w:type="dxa"/>
            <w:tcBorders>
              <w:top w:val="nil"/>
              <w:left w:val="nil"/>
              <w:bottom w:val="nil"/>
              <w:right w:val="nil"/>
            </w:tcBorders>
            <w:noWrap/>
            <w:hideMark/>
          </w:tcPr>
          <w:p w14:paraId="040A3B4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0.214***</w:t>
            </w:r>
          </w:p>
        </w:tc>
        <w:tc>
          <w:tcPr>
            <w:tcW w:w="900" w:type="dxa"/>
            <w:tcBorders>
              <w:top w:val="nil"/>
              <w:left w:val="nil"/>
              <w:bottom w:val="nil"/>
              <w:right w:val="nil"/>
            </w:tcBorders>
            <w:noWrap/>
            <w:hideMark/>
          </w:tcPr>
          <w:p w14:paraId="17901C7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0.198***</w:t>
            </w:r>
          </w:p>
        </w:tc>
        <w:tc>
          <w:tcPr>
            <w:tcW w:w="900" w:type="dxa"/>
            <w:tcBorders>
              <w:top w:val="nil"/>
              <w:left w:val="nil"/>
              <w:bottom w:val="nil"/>
              <w:right w:val="nil"/>
            </w:tcBorders>
            <w:noWrap/>
            <w:hideMark/>
          </w:tcPr>
          <w:p w14:paraId="0EA17BC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0.221***</w:t>
            </w:r>
          </w:p>
        </w:tc>
        <w:tc>
          <w:tcPr>
            <w:tcW w:w="900" w:type="dxa"/>
            <w:tcBorders>
              <w:top w:val="nil"/>
              <w:left w:val="nil"/>
              <w:bottom w:val="nil"/>
              <w:right w:val="nil"/>
            </w:tcBorders>
            <w:noWrap/>
            <w:hideMark/>
          </w:tcPr>
          <w:p w14:paraId="6416DDC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0.167***</w:t>
            </w:r>
          </w:p>
        </w:tc>
        <w:tc>
          <w:tcPr>
            <w:tcW w:w="900" w:type="dxa"/>
            <w:tcBorders>
              <w:top w:val="nil"/>
              <w:left w:val="nil"/>
              <w:bottom w:val="nil"/>
              <w:right w:val="nil"/>
            </w:tcBorders>
            <w:noWrap/>
            <w:hideMark/>
          </w:tcPr>
          <w:p w14:paraId="5C48177A"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0.132**</w:t>
            </w:r>
          </w:p>
        </w:tc>
        <w:tc>
          <w:tcPr>
            <w:tcW w:w="900" w:type="dxa"/>
            <w:tcBorders>
              <w:top w:val="nil"/>
              <w:left w:val="nil"/>
              <w:bottom w:val="nil"/>
              <w:right w:val="nil"/>
            </w:tcBorders>
            <w:noWrap/>
            <w:hideMark/>
          </w:tcPr>
          <w:p w14:paraId="54B995E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0.148**</w:t>
            </w:r>
          </w:p>
        </w:tc>
        <w:tc>
          <w:tcPr>
            <w:tcW w:w="900" w:type="dxa"/>
            <w:tcBorders>
              <w:top w:val="nil"/>
              <w:left w:val="nil"/>
              <w:bottom w:val="nil"/>
              <w:right w:val="nil"/>
            </w:tcBorders>
            <w:noWrap/>
            <w:hideMark/>
          </w:tcPr>
          <w:p w14:paraId="6EB7F4E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−0.091*</w:t>
            </w:r>
          </w:p>
        </w:tc>
        <w:tc>
          <w:tcPr>
            <w:tcW w:w="820" w:type="dxa"/>
            <w:tcBorders>
              <w:top w:val="nil"/>
              <w:left w:val="nil"/>
              <w:bottom w:val="nil"/>
              <w:right w:val="nil"/>
            </w:tcBorders>
            <w:noWrap/>
            <w:hideMark/>
          </w:tcPr>
          <w:p w14:paraId="223A96F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0.156**</w:t>
            </w:r>
          </w:p>
        </w:tc>
        <w:tc>
          <w:tcPr>
            <w:tcW w:w="820" w:type="dxa"/>
            <w:tcBorders>
              <w:top w:val="nil"/>
              <w:left w:val="nil"/>
              <w:bottom w:val="nil"/>
              <w:right w:val="nil"/>
            </w:tcBorders>
            <w:noWrap/>
            <w:hideMark/>
          </w:tcPr>
          <w:p w14:paraId="3CBF186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0.163**</w:t>
            </w:r>
          </w:p>
        </w:tc>
        <w:tc>
          <w:tcPr>
            <w:tcW w:w="900" w:type="dxa"/>
            <w:tcBorders>
              <w:top w:val="nil"/>
              <w:left w:val="nil"/>
              <w:bottom w:val="nil"/>
              <w:right w:val="nil"/>
            </w:tcBorders>
            <w:noWrap/>
            <w:hideMark/>
          </w:tcPr>
          <w:p w14:paraId="0A177BD0"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900" w:type="dxa"/>
            <w:tcBorders>
              <w:top w:val="nil"/>
              <w:left w:val="nil"/>
              <w:bottom w:val="nil"/>
              <w:right w:val="nil"/>
            </w:tcBorders>
            <w:noWrap/>
            <w:hideMark/>
          </w:tcPr>
          <w:p w14:paraId="41F598FA"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741" w:type="dxa"/>
            <w:tcBorders>
              <w:top w:val="nil"/>
              <w:left w:val="nil"/>
              <w:bottom w:val="nil"/>
              <w:right w:val="nil"/>
            </w:tcBorders>
            <w:noWrap/>
            <w:hideMark/>
          </w:tcPr>
          <w:p w14:paraId="05FA946D" w14:textId="77777777" w:rsidR="00A22029" w:rsidRPr="00A22029" w:rsidRDefault="00A22029" w:rsidP="00A22029">
            <w:pPr>
              <w:rPr>
                <w:rFonts w:asciiTheme="majorHAnsi" w:eastAsia="Times New Roman" w:hAnsiTheme="majorHAnsi" w:cstheme="majorHAnsi"/>
                <w:sz w:val="16"/>
                <w:szCs w:val="16"/>
                <w:lang w:eastAsia="en-GB"/>
              </w:rPr>
            </w:pPr>
          </w:p>
        </w:tc>
        <w:tc>
          <w:tcPr>
            <w:tcW w:w="581" w:type="dxa"/>
            <w:tcBorders>
              <w:top w:val="nil"/>
              <w:left w:val="nil"/>
              <w:bottom w:val="nil"/>
              <w:right w:val="nil"/>
            </w:tcBorders>
            <w:noWrap/>
            <w:hideMark/>
          </w:tcPr>
          <w:p w14:paraId="791CD8C2"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2B549453" w14:textId="77777777" w:rsidTr="00A22029">
        <w:trPr>
          <w:trHeight w:val="268"/>
        </w:trPr>
        <w:tc>
          <w:tcPr>
            <w:tcW w:w="771" w:type="dxa"/>
            <w:tcBorders>
              <w:top w:val="nil"/>
              <w:left w:val="nil"/>
              <w:bottom w:val="nil"/>
              <w:right w:val="nil"/>
            </w:tcBorders>
            <w:noWrap/>
            <w:hideMark/>
          </w:tcPr>
          <w:p w14:paraId="43EE1EE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FSIZE</w:t>
            </w:r>
          </w:p>
        </w:tc>
        <w:tc>
          <w:tcPr>
            <w:tcW w:w="900" w:type="dxa"/>
            <w:tcBorders>
              <w:top w:val="nil"/>
              <w:left w:val="nil"/>
              <w:bottom w:val="nil"/>
              <w:right w:val="nil"/>
            </w:tcBorders>
            <w:noWrap/>
            <w:hideMark/>
          </w:tcPr>
          <w:p w14:paraId="2123B45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0.512***</w:t>
            </w:r>
          </w:p>
        </w:tc>
        <w:tc>
          <w:tcPr>
            <w:tcW w:w="900" w:type="dxa"/>
            <w:tcBorders>
              <w:top w:val="nil"/>
              <w:left w:val="nil"/>
              <w:bottom w:val="nil"/>
              <w:right w:val="nil"/>
            </w:tcBorders>
            <w:noWrap/>
            <w:hideMark/>
          </w:tcPr>
          <w:p w14:paraId="71CA718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0.486***</w:t>
            </w:r>
          </w:p>
        </w:tc>
        <w:tc>
          <w:tcPr>
            <w:tcW w:w="900" w:type="dxa"/>
            <w:tcBorders>
              <w:top w:val="nil"/>
              <w:left w:val="nil"/>
              <w:bottom w:val="nil"/>
              <w:right w:val="nil"/>
            </w:tcBorders>
            <w:noWrap/>
            <w:hideMark/>
          </w:tcPr>
          <w:p w14:paraId="7E73296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0.497***</w:t>
            </w:r>
          </w:p>
        </w:tc>
        <w:tc>
          <w:tcPr>
            <w:tcW w:w="900" w:type="dxa"/>
            <w:tcBorders>
              <w:top w:val="nil"/>
              <w:left w:val="nil"/>
              <w:bottom w:val="nil"/>
              <w:right w:val="nil"/>
            </w:tcBorders>
            <w:noWrap/>
            <w:hideMark/>
          </w:tcPr>
          <w:p w14:paraId="230845F0"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0.403***</w:t>
            </w:r>
          </w:p>
        </w:tc>
        <w:tc>
          <w:tcPr>
            <w:tcW w:w="900" w:type="dxa"/>
            <w:tcBorders>
              <w:top w:val="nil"/>
              <w:left w:val="nil"/>
              <w:bottom w:val="nil"/>
              <w:right w:val="nil"/>
            </w:tcBorders>
            <w:noWrap/>
            <w:hideMark/>
          </w:tcPr>
          <w:p w14:paraId="0F6FC2D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0.442***</w:t>
            </w:r>
          </w:p>
        </w:tc>
        <w:tc>
          <w:tcPr>
            <w:tcW w:w="900" w:type="dxa"/>
            <w:tcBorders>
              <w:top w:val="nil"/>
              <w:left w:val="nil"/>
              <w:bottom w:val="nil"/>
              <w:right w:val="nil"/>
            </w:tcBorders>
            <w:noWrap/>
            <w:hideMark/>
          </w:tcPr>
          <w:p w14:paraId="4D932E0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0.391***</w:t>
            </w:r>
          </w:p>
        </w:tc>
        <w:tc>
          <w:tcPr>
            <w:tcW w:w="900" w:type="dxa"/>
            <w:tcBorders>
              <w:top w:val="nil"/>
              <w:left w:val="nil"/>
              <w:bottom w:val="nil"/>
              <w:right w:val="nil"/>
            </w:tcBorders>
            <w:noWrap/>
            <w:hideMark/>
          </w:tcPr>
          <w:p w14:paraId="22591CD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−0.205***</w:t>
            </w:r>
          </w:p>
        </w:tc>
        <w:tc>
          <w:tcPr>
            <w:tcW w:w="820" w:type="dxa"/>
            <w:tcBorders>
              <w:top w:val="nil"/>
              <w:left w:val="nil"/>
              <w:bottom w:val="nil"/>
              <w:right w:val="nil"/>
            </w:tcBorders>
            <w:noWrap/>
            <w:hideMark/>
          </w:tcPr>
          <w:p w14:paraId="4FB4C96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0.334***</w:t>
            </w:r>
          </w:p>
        </w:tc>
        <w:tc>
          <w:tcPr>
            <w:tcW w:w="820" w:type="dxa"/>
            <w:tcBorders>
              <w:top w:val="nil"/>
              <w:left w:val="nil"/>
              <w:bottom w:val="nil"/>
              <w:right w:val="nil"/>
            </w:tcBorders>
            <w:noWrap/>
            <w:hideMark/>
          </w:tcPr>
          <w:p w14:paraId="659EADE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0.372***</w:t>
            </w:r>
          </w:p>
        </w:tc>
        <w:tc>
          <w:tcPr>
            <w:tcW w:w="900" w:type="dxa"/>
            <w:tcBorders>
              <w:top w:val="nil"/>
              <w:left w:val="nil"/>
              <w:bottom w:val="nil"/>
              <w:right w:val="nil"/>
            </w:tcBorders>
            <w:noWrap/>
            <w:hideMark/>
          </w:tcPr>
          <w:p w14:paraId="1382A06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0.229***</w:t>
            </w:r>
          </w:p>
        </w:tc>
        <w:tc>
          <w:tcPr>
            <w:tcW w:w="900" w:type="dxa"/>
            <w:tcBorders>
              <w:top w:val="nil"/>
              <w:left w:val="nil"/>
              <w:bottom w:val="nil"/>
              <w:right w:val="nil"/>
            </w:tcBorders>
            <w:noWrap/>
            <w:hideMark/>
          </w:tcPr>
          <w:p w14:paraId="15508AA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741" w:type="dxa"/>
            <w:tcBorders>
              <w:top w:val="nil"/>
              <w:left w:val="nil"/>
              <w:bottom w:val="nil"/>
              <w:right w:val="nil"/>
            </w:tcBorders>
            <w:noWrap/>
            <w:hideMark/>
          </w:tcPr>
          <w:p w14:paraId="4DE4E0F8"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581" w:type="dxa"/>
            <w:tcBorders>
              <w:top w:val="nil"/>
              <w:left w:val="nil"/>
              <w:bottom w:val="nil"/>
              <w:right w:val="nil"/>
            </w:tcBorders>
            <w:noWrap/>
            <w:hideMark/>
          </w:tcPr>
          <w:p w14:paraId="609766EE" w14:textId="77777777" w:rsidR="00A22029" w:rsidRPr="00A22029" w:rsidRDefault="00A22029" w:rsidP="00A22029">
            <w:pPr>
              <w:rPr>
                <w:rFonts w:asciiTheme="majorHAnsi" w:eastAsia="Times New Roman" w:hAnsiTheme="majorHAnsi" w:cstheme="majorHAnsi"/>
                <w:sz w:val="16"/>
                <w:szCs w:val="16"/>
                <w:lang w:eastAsia="en-GB"/>
              </w:rPr>
            </w:pPr>
          </w:p>
        </w:tc>
      </w:tr>
      <w:tr w:rsidR="00A22029" w:rsidRPr="00A22029" w14:paraId="3DA28E1C" w14:textId="77777777" w:rsidTr="00A22029">
        <w:trPr>
          <w:trHeight w:val="268"/>
        </w:trPr>
        <w:tc>
          <w:tcPr>
            <w:tcW w:w="771" w:type="dxa"/>
            <w:tcBorders>
              <w:top w:val="nil"/>
              <w:left w:val="nil"/>
              <w:bottom w:val="nil"/>
              <w:right w:val="nil"/>
            </w:tcBorders>
            <w:noWrap/>
            <w:hideMark/>
          </w:tcPr>
          <w:p w14:paraId="66CB022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FAGE</w:t>
            </w:r>
          </w:p>
        </w:tc>
        <w:tc>
          <w:tcPr>
            <w:tcW w:w="900" w:type="dxa"/>
            <w:tcBorders>
              <w:top w:val="nil"/>
              <w:left w:val="nil"/>
              <w:bottom w:val="nil"/>
              <w:right w:val="nil"/>
            </w:tcBorders>
            <w:noWrap/>
            <w:hideMark/>
          </w:tcPr>
          <w:p w14:paraId="151E6F6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0.167***</w:t>
            </w:r>
          </w:p>
        </w:tc>
        <w:tc>
          <w:tcPr>
            <w:tcW w:w="900" w:type="dxa"/>
            <w:tcBorders>
              <w:top w:val="nil"/>
              <w:left w:val="nil"/>
              <w:bottom w:val="nil"/>
              <w:right w:val="nil"/>
            </w:tcBorders>
            <w:noWrap/>
            <w:hideMark/>
          </w:tcPr>
          <w:p w14:paraId="4BA3B49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0.149**</w:t>
            </w:r>
          </w:p>
        </w:tc>
        <w:tc>
          <w:tcPr>
            <w:tcW w:w="900" w:type="dxa"/>
            <w:tcBorders>
              <w:top w:val="nil"/>
              <w:left w:val="nil"/>
              <w:bottom w:val="nil"/>
              <w:right w:val="nil"/>
            </w:tcBorders>
            <w:noWrap/>
            <w:hideMark/>
          </w:tcPr>
          <w:p w14:paraId="62537186"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0.158***</w:t>
            </w:r>
          </w:p>
        </w:tc>
        <w:tc>
          <w:tcPr>
            <w:tcW w:w="900" w:type="dxa"/>
            <w:tcBorders>
              <w:top w:val="nil"/>
              <w:left w:val="nil"/>
              <w:bottom w:val="nil"/>
              <w:right w:val="nil"/>
            </w:tcBorders>
            <w:noWrap/>
            <w:hideMark/>
          </w:tcPr>
          <w:p w14:paraId="363700C4"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0.132**</w:t>
            </w:r>
          </w:p>
        </w:tc>
        <w:tc>
          <w:tcPr>
            <w:tcW w:w="900" w:type="dxa"/>
            <w:tcBorders>
              <w:top w:val="nil"/>
              <w:left w:val="nil"/>
              <w:bottom w:val="nil"/>
              <w:right w:val="nil"/>
            </w:tcBorders>
            <w:noWrap/>
            <w:hideMark/>
          </w:tcPr>
          <w:p w14:paraId="772525EF"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0.206***</w:t>
            </w:r>
          </w:p>
        </w:tc>
        <w:tc>
          <w:tcPr>
            <w:tcW w:w="900" w:type="dxa"/>
            <w:tcBorders>
              <w:top w:val="nil"/>
              <w:left w:val="nil"/>
              <w:bottom w:val="nil"/>
              <w:right w:val="nil"/>
            </w:tcBorders>
            <w:noWrap/>
            <w:hideMark/>
          </w:tcPr>
          <w:p w14:paraId="672D2DA5"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0.189***</w:t>
            </w:r>
          </w:p>
        </w:tc>
        <w:tc>
          <w:tcPr>
            <w:tcW w:w="900" w:type="dxa"/>
            <w:tcBorders>
              <w:top w:val="nil"/>
              <w:left w:val="nil"/>
              <w:bottom w:val="nil"/>
              <w:right w:val="nil"/>
            </w:tcBorders>
            <w:noWrap/>
            <w:hideMark/>
          </w:tcPr>
          <w:p w14:paraId="4B3CFB77"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−0.118**</w:t>
            </w:r>
          </w:p>
        </w:tc>
        <w:tc>
          <w:tcPr>
            <w:tcW w:w="820" w:type="dxa"/>
            <w:tcBorders>
              <w:top w:val="nil"/>
              <w:left w:val="nil"/>
              <w:bottom w:val="nil"/>
              <w:right w:val="nil"/>
            </w:tcBorders>
            <w:noWrap/>
            <w:hideMark/>
          </w:tcPr>
          <w:p w14:paraId="7D87ECFA"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0.141**</w:t>
            </w:r>
          </w:p>
        </w:tc>
        <w:tc>
          <w:tcPr>
            <w:tcW w:w="820" w:type="dxa"/>
            <w:tcBorders>
              <w:top w:val="nil"/>
              <w:left w:val="nil"/>
              <w:bottom w:val="nil"/>
              <w:right w:val="nil"/>
            </w:tcBorders>
            <w:noWrap/>
            <w:hideMark/>
          </w:tcPr>
          <w:p w14:paraId="629B307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0.154**</w:t>
            </w:r>
          </w:p>
        </w:tc>
        <w:tc>
          <w:tcPr>
            <w:tcW w:w="900" w:type="dxa"/>
            <w:tcBorders>
              <w:top w:val="nil"/>
              <w:left w:val="nil"/>
              <w:bottom w:val="nil"/>
              <w:right w:val="nil"/>
            </w:tcBorders>
            <w:noWrap/>
            <w:hideMark/>
          </w:tcPr>
          <w:p w14:paraId="769F835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0.097*</w:t>
            </w:r>
          </w:p>
        </w:tc>
        <w:tc>
          <w:tcPr>
            <w:tcW w:w="900" w:type="dxa"/>
            <w:tcBorders>
              <w:top w:val="nil"/>
              <w:left w:val="nil"/>
              <w:bottom w:val="nil"/>
              <w:right w:val="nil"/>
            </w:tcBorders>
            <w:noWrap/>
            <w:hideMark/>
          </w:tcPr>
          <w:p w14:paraId="607DDA2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0.281***</w:t>
            </w:r>
          </w:p>
        </w:tc>
        <w:tc>
          <w:tcPr>
            <w:tcW w:w="741" w:type="dxa"/>
            <w:tcBorders>
              <w:top w:val="nil"/>
              <w:left w:val="nil"/>
              <w:bottom w:val="nil"/>
              <w:right w:val="nil"/>
            </w:tcBorders>
            <w:noWrap/>
            <w:hideMark/>
          </w:tcPr>
          <w:p w14:paraId="5727ADB6"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c>
          <w:tcPr>
            <w:tcW w:w="581" w:type="dxa"/>
            <w:tcBorders>
              <w:top w:val="nil"/>
              <w:left w:val="nil"/>
              <w:bottom w:val="nil"/>
              <w:right w:val="nil"/>
            </w:tcBorders>
            <w:noWrap/>
            <w:hideMark/>
          </w:tcPr>
          <w:p w14:paraId="28401641" w14:textId="77777777" w:rsidR="00A22029" w:rsidRPr="00A22029" w:rsidRDefault="00A22029" w:rsidP="00A22029">
            <w:pPr>
              <w:rPr>
                <w:rFonts w:asciiTheme="majorHAnsi" w:eastAsia="Times New Roman" w:hAnsiTheme="majorHAnsi" w:cstheme="majorHAnsi"/>
                <w:color w:val="000000"/>
                <w:sz w:val="16"/>
                <w:szCs w:val="16"/>
                <w:lang w:eastAsia="en-GB"/>
              </w:rPr>
            </w:pPr>
          </w:p>
        </w:tc>
      </w:tr>
      <w:tr w:rsidR="00A22029" w:rsidRPr="00A22029" w14:paraId="68DE9212" w14:textId="77777777" w:rsidTr="00A22029">
        <w:trPr>
          <w:trHeight w:val="268"/>
        </w:trPr>
        <w:tc>
          <w:tcPr>
            <w:tcW w:w="771" w:type="dxa"/>
            <w:tcBorders>
              <w:top w:val="nil"/>
              <w:left w:val="nil"/>
              <w:right w:val="nil"/>
            </w:tcBorders>
            <w:noWrap/>
            <w:hideMark/>
          </w:tcPr>
          <w:p w14:paraId="2032A17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LEV</w:t>
            </w:r>
          </w:p>
        </w:tc>
        <w:tc>
          <w:tcPr>
            <w:tcW w:w="900" w:type="dxa"/>
            <w:tcBorders>
              <w:top w:val="nil"/>
              <w:left w:val="nil"/>
              <w:right w:val="nil"/>
            </w:tcBorders>
            <w:noWrap/>
            <w:hideMark/>
          </w:tcPr>
          <w:p w14:paraId="5169FFAB"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−0.184***</w:t>
            </w:r>
          </w:p>
        </w:tc>
        <w:tc>
          <w:tcPr>
            <w:tcW w:w="900" w:type="dxa"/>
            <w:tcBorders>
              <w:top w:val="nil"/>
              <w:left w:val="nil"/>
              <w:right w:val="nil"/>
            </w:tcBorders>
            <w:noWrap/>
            <w:hideMark/>
          </w:tcPr>
          <w:p w14:paraId="6A8212F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−0.172***</w:t>
            </w:r>
          </w:p>
        </w:tc>
        <w:tc>
          <w:tcPr>
            <w:tcW w:w="900" w:type="dxa"/>
            <w:tcBorders>
              <w:top w:val="nil"/>
              <w:left w:val="nil"/>
              <w:right w:val="nil"/>
            </w:tcBorders>
            <w:noWrap/>
            <w:hideMark/>
          </w:tcPr>
          <w:p w14:paraId="1B1F8C3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−0.189***</w:t>
            </w:r>
          </w:p>
        </w:tc>
        <w:tc>
          <w:tcPr>
            <w:tcW w:w="900" w:type="dxa"/>
            <w:tcBorders>
              <w:top w:val="nil"/>
              <w:left w:val="nil"/>
              <w:right w:val="nil"/>
            </w:tcBorders>
            <w:noWrap/>
            <w:hideMark/>
          </w:tcPr>
          <w:p w14:paraId="2453E491"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−0.143**</w:t>
            </w:r>
          </w:p>
        </w:tc>
        <w:tc>
          <w:tcPr>
            <w:tcW w:w="900" w:type="dxa"/>
            <w:tcBorders>
              <w:top w:val="nil"/>
              <w:left w:val="nil"/>
              <w:right w:val="nil"/>
            </w:tcBorders>
            <w:noWrap/>
            <w:hideMark/>
          </w:tcPr>
          <w:p w14:paraId="41745170"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−0.121**</w:t>
            </w:r>
          </w:p>
        </w:tc>
        <w:tc>
          <w:tcPr>
            <w:tcW w:w="900" w:type="dxa"/>
            <w:tcBorders>
              <w:top w:val="nil"/>
              <w:left w:val="nil"/>
              <w:right w:val="nil"/>
            </w:tcBorders>
            <w:noWrap/>
            <w:hideMark/>
          </w:tcPr>
          <w:p w14:paraId="26650976"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−0.136**</w:t>
            </w:r>
          </w:p>
        </w:tc>
        <w:tc>
          <w:tcPr>
            <w:tcW w:w="900" w:type="dxa"/>
            <w:tcBorders>
              <w:top w:val="nil"/>
              <w:left w:val="nil"/>
              <w:right w:val="nil"/>
            </w:tcBorders>
            <w:noWrap/>
            <w:hideMark/>
          </w:tcPr>
          <w:p w14:paraId="0D28AA32"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0.094*</w:t>
            </w:r>
          </w:p>
        </w:tc>
        <w:tc>
          <w:tcPr>
            <w:tcW w:w="820" w:type="dxa"/>
            <w:tcBorders>
              <w:top w:val="nil"/>
              <w:left w:val="nil"/>
              <w:right w:val="nil"/>
            </w:tcBorders>
            <w:noWrap/>
            <w:hideMark/>
          </w:tcPr>
          <w:p w14:paraId="6C15E7B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−0.127**</w:t>
            </w:r>
          </w:p>
        </w:tc>
        <w:tc>
          <w:tcPr>
            <w:tcW w:w="820" w:type="dxa"/>
            <w:tcBorders>
              <w:top w:val="nil"/>
              <w:left w:val="nil"/>
              <w:right w:val="nil"/>
            </w:tcBorders>
            <w:noWrap/>
            <w:hideMark/>
          </w:tcPr>
          <w:p w14:paraId="1F67A0D1"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−0.138**</w:t>
            </w:r>
          </w:p>
        </w:tc>
        <w:tc>
          <w:tcPr>
            <w:tcW w:w="900" w:type="dxa"/>
            <w:tcBorders>
              <w:top w:val="nil"/>
              <w:left w:val="nil"/>
              <w:right w:val="nil"/>
            </w:tcBorders>
            <w:noWrap/>
            <w:hideMark/>
          </w:tcPr>
          <w:p w14:paraId="6591281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−0.246***</w:t>
            </w:r>
          </w:p>
        </w:tc>
        <w:tc>
          <w:tcPr>
            <w:tcW w:w="900" w:type="dxa"/>
            <w:tcBorders>
              <w:top w:val="nil"/>
              <w:left w:val="nil"/>
              <w:right w:val="nil"/>
            </w:tcBorders>
            <w:noWrap/>
            <w:hideMark/>
          </w:tcPr>
          <w:p w14:paraId="0CBC2D70"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−0.208***</w:t>
            </w:r>
          </w:p>
        </w:tc>
        <w:tc>
          <w:tcPr>
            <w:tcW w:w="741" w:type="dxa"/>
            <w:tcBorders>
              <w:top w:val="nil"/>
              <w:left w:val="nil"/>
              <w:right w:val="nil"/>
            </w:tcBorders>
            <w:noWrap/>
            <w:hideMark/>
          </w:tcPr>
          <w:p w14:paraId="2A27D9CF"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−0.092*</w:t>
            </w:r>
          </w:p>
        </w:tc>
        <w:tc>
          <w:tcPr>
            <w:tcW w:w="581" w:type="dxa"/>
            <w:tcBorders>
              <w:top w:val="nil"/>
              <w:left w:val="nil"/>
              <w:right w:val="nil"/>
            </w:tcBorders>
            <w:noWrap/>
            <w:hideMark/>
          </w:tcPr>
          <w:p w14:paraId="55DBB5E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w:t>
            </w:r>
          </w:p>
        </w:tc>
      </w:tr>
      <w:tr w:rsidR="00A22029" w:rsidRPr="00A22029" w14:paraId="37CBD04B" w14:textId="77777777" w:rsidTr="00A22029">
        <w:trPr>
          <w:trHeight w:val="268"/>
        </w:trPr>
        <w:tc>
          <w:tcPr>
            <w:tcW w:w="771" w:type="dxa"/>
            <w:tcBorders>
              <w:top w:val="nil"/>
              <w:left w:val="nil"/>
              <w:bottom w:val="single" w:sz="4" w:space="0" w:color="auto"/>
              <w:right w:val="nil"/>
            </w:tcBorders>
            <w:noWrap/>
            <w:hideMark/>
          </w:tcPr>
          <w:p w14:paraId="3D96A1F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VIF</w:t>
            </w:r>
          </w:p>
        </w:tc>
        <w:tc>
          <w:tcPr>
            <w:tcW w:w="900" w:type="dxa"/>
            <w:tcBorders>
              <w:top w:val="nil"/>
              <w:left w:val="nil"/>
              <w:bottom w:val="single" w:sz="4" w:space="0" w:color="auto"/>
              <w:right w:val="nil"/>
            </w:tcBorders>
            <w:noWrap/>
            <w:hideMark/>
          </w:tcPr>
          <w:p w14:paraId="56D164DD" w14:textId="77777777" w:rsidR="00A22029" w:rsidRPr="00A22029" w:rsidRDefault="00A22029" w:rsidP="00A22029">
            <w:pPr>
              <w:rPr>
                <w:rFonts w:asciiTheme="majorHAnsi" w:eastAsia="Times New Roman" w:hAnsiTheme="majorHAnsi" w:cstheme="majorHAnsi"/>
                <w:color w:val="000000"/>
                <w:sz w:val="16"/>
                <w:szCs w:val="16"/>
                <w:lang w:eastAsia="en-GB"/>
              </w:rPr>
            </w:pPr>
          </w:p>
        </w:tc>
        <w:tc>
          <w:tcPr>
            <w:tcW w:w="900" w:type="dxa"/>
            <w:tcBorders>
              <w:top w:val="nil"/>
              <w:left w:val="nil"/>
              <w:bottom w:val="single" w:sz="4" w:space="0" w:color="auto"/>
              <w:right w:val="nil"/>
            </w:tcBorders>
            <w:noWrap/>
            <w:hideMark/>
          </w:tcPr>
          <w:p w14:paraId="3A175916"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single" w:sz="4" w:space="0" w:color="auto"/>
              <w:right w:val="nil"/>
            </w:tcBorders>
            <w:noWrap/>
            <w:hideMark/>
          </w:tcPr>
          <w:p w14:paraId="2CC182ED"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single" w:sz="4" w:space="0" w:color="auto"/>
              <w:right w:val="nil"/>
            </w:tcBorders>
            <w:noWrap/>
            <w:hideMark/>
          </w:tcPr>
          <w:p w14:paraId="16C88116" w14:textId="77777777" w:rsidR="00A22029" w:rsidRPr="00A22029" w:rsidRDefault="00A22029" w:rsidP="00A22029">
            <w:pPr>
              <w:rPr>
                <w:rFonts w:asciiTheme="majorHAnsi" w:eastAsia="Times New Roman" w:hAnsiTheme="majorHAnsi" w:cstheme="majorHAnsi"/>
                <w:sz w:val="16"/>
                <w:szCs w:val="16"/>
                <w:lang w:eastAsia="en-GB"/>
              </w:rPr>
            </w:pPr>
          </w:p>
        </w:tc>
        <w:tc>
          <w:tcPr>
            <w:tcW w:w="900" w:type="dxa"/>
            <w:tcBorders>
              <w:top w:val="nil"/>
              <w:left w:val="nil"/>
              <w:bottom w:val="single" w:sz="4" w:space="0" w:color="auto"/>
              <w:right w:val="nil"/>
            </w:tcBorders>
            <w:noWrap/>
            <w:hideMark/>
          </w:tcPr>
          <w:p w14:paraId="250CEB4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1.76</w:t>
            </w:r>
          </w:p>
        </w:tc>
        <w:tc>
          <w:tcPr>
            <w:tcW w:w="900" w:type="dxa"/>
            <w:tcBorders>
              <w:top w:val="nil"/>
              <w:left w:val="nil"/>
              <w:bottom w:val="single" w:sz="4" w:space="0" w:color="auto"/>
              <w:right w:val="nil"/>
            </w:tcBorders>
            <w:noWrap/>
            <w:hideMark/>
          </w:tcPr>
          <w:p w14:paraId="7BABDFA8"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2.043</w:t>
            </w:r>
          </w:p>
        </w:tc>
        <w:tc>
          <w:tcPr>
            <w:tcW w:w="900" w:type="dxa"/>
            <w:tcBorders>
              <w:top w:val="nil"/>
              <w:left w:val="nil"/>
              <w:bottom w:val="single" w:sz="4" w:space="0" w:color="auto"/>
              <w:right w:val="nil"/>
            </w:tcBorders>
            <w:noWrap/>
            <w:hideMark/>
          </w:tcPr>
          <w:p w14:paraId="0BB02573"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2.121</w:t>
            </w:r>
          </w:p>
        </w:tc>
        <w:tc>
          <w:tcPr>
            <w:tcW w:w="820" w:type="dxa"/>
            <w:tcBorders>
              <w:top w:val="nil"/>
              <w:left w:val="nil"/>
              <w:bottom w:val="single" w:sz="4" w:space="0" w:color="auto"/>
              <w:right w:val="nil"/>
            </w:tcBorders>
            <w:noWrap/>
            <w:hideMark/>
          </w:tcPr>
          <w:p w14:paraId="7F99522A"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1.789</w:t>
            </w:r>
          </w:p>
        </w:tc>
        <w:tc>
          <w:tcPr>
            <w:tcW w:w="820" w:type="dxa"/>
            <w:tcBorders>
              <w:top w:val="nil"/>
              <w:left w:val="nil"/>
              <w:bottom w:val="single" w:sz="4" w:space="0" w:color="auto"/>
              <w:right w:val="nil"/>
            </w:tcBorders>
            <w:noWrap/>
            <w:hideMark/>
          </w:tcPr>
          <w:p w14:paraId="37F20799"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1.438</w:t>
            </w:r>
          </w:p>
        </w:tc>
        <w:tc>
          <w:tcPr>
            <w:tcW w:w="900" w:type="dxa"/>
            <w:tcBorders>
              <w:top w:val="nil"/>
              <w:left w:val="nil"/>
              <w:bottom w:val="single" w:sz="4" w:space="0" w:color="auto"/>
              <w:right w:val="nil"/>
            </w:tcBorders>
            <w:noWrap/>
            <w:hideMark/>
          </w:tcPr>
          <w:p w14:paraId="5B1A599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1.94</w:t>
            </w:r>
          </w:p>
        </w:tc>
        <w:tc>
          <w:tcPr>
            <w:tcW w:w="900" w:type="dxa"/>
            <w:tcBorders>
              <w:top w:val="nil"/>
              <w:left w:val="nil"/>
              <w:bottom w:val="single" w:sz="4" w:space="0" w:color="auto"/>
              <w:right w:val="nil"/>
            </w:tcBorders>
            <w:noWrap/>
            <w:hideMark/>
          </w:tcPr>
          <w:p w14:paraId="1CECBE7E"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1.543</w:t>
            </w:r>
          </w:p>
        </w:tc>
        <w:tc>
          <w:tcPr>
            <w:tcW w:w="741" w:type="dxa"/>
            <w:tcBorders>
              <w:top w:val="nil"/>
              <w:left w:val="nil"/>
              <w:bottom w:val="single" w:sz="4" w:space="0" w:color="auto"/>
              <w:right w:val="nil"/>
            </w:tcBorders>
            <w:noWrap/>
            <w:hideMark/>
          </w:tcPr>
          <w:p w14:paraId="4154B52D"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2.154</w:t>
            </w:r>
          </w:p>
        </w:tc>
        <w:tc>
          <w:tcPr>
            <w:tcW w:w="581" w:type="dxa"/>
            <w:tcBorders>
              <w:top w:val="nil"/>
              <w:left w:val="nil"/>
              <w:bottom w:val="single" w:sz="4" w:space="0" w:color="auto"/>
              <w:right w:val="nil"/>
            </w:tcBorders>
            <w:noWrap/>
            <w:hideMark/>
          </w:tcPr>
          <w:p w14:paraId="69B74B2C" w14:textId="77777777" w:rsidR="00A22029" w:rsidRPr="00A22029" w:rsidRDefault="00A22029" w:rsidP="00A22029">
            <w:pPr>
              <w:rPr>
                <w:rFonts w:asciiTheme="majorHAnsi" w:eastAsia="Times New Roman" w:hAnsiTheme="majorHAnsi" w:cstheme="majorHAnsi"/>
                <w:color w:val="000000"/>
                <w:sz w:val="16"/>
                <w:szCs w:val="16"/>
                <w:lang w:eastAsia="en-GB"/>
              </w:rPr>
            </w:pPr>
            <w:r w:rsidRPr="00A22029">
              <w:rPr>
                <w:rFonts w:asciiTheme="majorHAnsi" w:eastAsia="Times New Roman" w:hAnsiTheme="majorHAnsi" w:cstheme="majorHAnsi"/>
                <w:color w:val="000000"/>
                <w:sz w:val="16"/>
                <w:szCs w:val="16"/>
                <w:lang w:eastAsia="en-GB"/>
              </w:rPr>
              <w:t>1.785</w:t>
            </w:r>
          </w:p>
        </w:tc>
      </w:tr>
    </w:tbl>
    <w:p w14:paraId="2102AA02" w14:textId="77777777" w:rsidR="00A22029" w:rsidRDefault="00A22029" w:rsidP="00A22029">
      <w:pPr>
        <w:rPr>
          <w:rFonts w:asciiTheme="majorHAnsi" w:hAnsiTheme="majorHAnsi" w:cstheme="majorHAnsi"/>
        </w:rPr>
      </w:pPr>
      <w:r w:rsidRPr="00437BBA">
        <w:rPr>
          <w:rFonts w:ascii="Times New Roman" w:hAnsi="Times New Roman" w:cs="Times New Roman"/>
          <w:b/>
        </w:rPr>
        <w:t>Table 5.</w:t>
      </w:r>
      <w:r w:rsidRPr="00437BBA">
        <w:rPr>
          <w:rFonts w:ascii="Times New Roman" w:hAnsi="Times New Roman" w:cs="Times New Roman"/>
        </w:rPr>
        <w:t xml:space="preserve"> Pearson correlation matrix.</w:t>
      </w:r>
    </w:p>
    <w:p w14:paraId="7E40E39E" w14:textId="77777777" w:rsidR="00A22029" w:rsidRDefault="00A22029">
      <w:pPr>
        <w:rPr>
          <w:rFonts w:ascii="Times New Roman" w:hAnsi="Times New Roman" w:cs="Times New Roman"/>
        </w:rPr>
      </w:pPr>
      <w:r w:rsidRPr="00437BBA">
        <w:rPr>
          <w:rStyle w:val="Strong"/>
          <w:rFonts w:ascii="Times New Roman" w:hAnsi="Times New Roman" w:cs="Times New Roman"/>
        </w:rPr>
        <w:t>Note:</w:t>
      </w:r>
      <w:r w:rsidRPr="00437BBA">
        <w:rPr>
          <w:rFonts w:ascii="Times New Roman" w:hAnsi="Times New Roman" w:cs="Times New Roman"/>
        </w:rPr>
        <w:t xml:space="preserve"> *** p &lt; 0.01, ** p &lt; 0.05, * p &lt; 0.10. All variables are as defined in Table 1.</w:t>
      </w:r>
    </w:p>
    <w:p w14:paraId="1A691CE3" w14:textId="77777777" w:rsidR="00A22029" w:rsidRPr="00A22029" w:rsidRDefault="00A22029">
      <w:pPr>
        <w:rPr>
          <w:rFonts w:ascii="Times New Roman" w:hAnsi="Times New Roman" w:cs="Times New Roman"/>
        </w:rPr>
      </w:pPr>
    </w:p>
    <w:p w14:paraId="4D85E6F0"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4.2</w:t>
      </w:r>
      <w:r>
        <w:rPr>
          <w:rFonts w:asciiTheme="majorHAnsi" w:hAnsiTheme="majorHAnsi" w:cstheme="majorHAnsi"/>
          <w:b/>
          <w:bCs/>
        </w:rPr>
        <w:t>.</w:t>
      </w:r>
      <w:r w:rsidRPr="00820F2D">
        <w:rPr>
          <w:rFonts w:asciiTheme="majorHAnsi" w:hAnsiTheme="majorHAnsi" w:cstheme="majorHAnsi"/>
          <w:b/>
          <w:bCs/>
        </w:rPr>
        <w:t xml:space="preserve"> Results and Discussion: Corporate Governance Characteristics and ESG Performance</w:t>
      </w:r>
    </w:p>
    <w:p w14:paraId="24F9610D" w14:textId="77777777" w:rsidR="00820F2D" w:rsidRPr="00820F2D" w:rsidRDefault="00820F2D" w:rsidP="00820F2D">
      <w:pPr>
        <w:rPr>
          <w:rFonts w:asciiTheme="majorHAnsi" w:hAnsiTheme="majorHAnsi" w:cstheme="majorHAnsi"/>
        </w:rPr>
      </w:pPr>
      <w:r>
        <w:t xml:space="preserve">Table 6 presents the baseline panel regressions for overall ESG performance and the ENV, SOC, and GOV pillars. In these baseline specifications, 'fixed effects' refers specifically to ICB industry fixed effects and year fixed effects; firm fixed effects are not included in Table 6. Robust standard errors are clustered at the firm level. A firm fixed-effects specification is reported separately in the final </w:t>
      </w:r>
      <w:r>
        <w:lastRenderedPageBreak/>
        <w:t>column of Table 8. This distinction is maintained throughout the revised text to avoid conflating industry/year controls with within-firm fixed-effects estimation.</w:t>
      </w:r>
    </w:p>
    <w:p w14:paraId="0E0CFDBA" w14:textId="77777777" w:rsidR="00820F2D" w:rsidRPr="00820F2D" w:rsidRDefault="00820F2D" w:rsidP="00820F2D">
      <w:pPr>
        <w:rPr>
          <w:rFonts w:asciiTheme="majorHAnsi" w:hAnsiTheme="majorHAnsi" w:cstheme="majorHAnsi"/>
        </w:rPr>
      </w:pPr>
    </w:p>
    <w:p w14:paraId="236E7F6B"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BSIZE exhibits a negative and statistically significant association with overall ESG performance and with the environmental and social pillars, while its effect on the governance pillar is statistically insignificant. This pattern is consistent with agency-theoretic arguments suggesting that larger boards may suffer from coordination costs, diluted accountability, and slower decision-making when overseeing complex, cross-functional sustainability initiatives. The absence of a significant effect for the governance pillar suggests that board size is less consequential for formal governance structures, which are largely codified and standardized within the Asian regulatory environment. Taken together, these results indicate that beyond a certain threshold, increasing board size yields limited incremental benefits for substantive sustainability performance. In contrast, BIND is positively and strongly associated with ESG performance across all specifications. The effect is particularly pronounced for the environmental and social pillars, highlighting the role of independent directors in enhancing monitoring quality and responding to heightened stakeholder scrutiny in areas characterized by long-term risk exposure. This finding aligns with both agency and stakeholder perspectives, suggesting that independent boards are better positioned to constrain managerial opportunism while simultaneously strengthening firms’ responsiveness to environmental and social expectations.</w:t>
      </w:r>
    </w:p>
    <w:p w14:paraId="611B0436" w14:textId="77777777" w:rsidR="00820F2D" w:rsidRPr="00820F2D" w:rsidRDefault="00820F2D" w:rsidP="00820F2D">
      <w:pPr>
        <w:rPr>
          <w:rFonts w:asciiTheme="majorHAnsi" w:hAnsiTheme="majorHAnsi" w:cstheme="majorHAnsi"/>
        </w:rPr>
      </w:pPr>
    </w:p>
    <w:p w14:paraId="647D6B60"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CEOD displays a consistently negative and highly significant relationship with ESG and all pillar scores, providing robust support for agency theory. The magnitude and stability of the coefficients indicate that leadership concentration materially undermines sustainability oversight, likely by weakening board monitoring and facilitating short-term or symbolic ESG engagement. The strongest effects are observed for overall ESG and environmental performance, underscoring the particular vulnerability of environmental outcomes to unchecked managerial power in the absence of effective governance constraints.</w:t>
      </w:r>
      <w:r>
        <w:rPr>
          <w:rFonts w:asciiTheme="majorHAnsi" w:hAnsiTheme="majorHAnsi" w:cstheme="majorHAnsi"/>
        </w:rPr>
        <w:t xml:space="preserve"> </w:t>
      </w:r>
      <w:r w:rsidRPr="00820F2D">
        <w:rPr>
          <w:rFonts w:asciiTheme="majorHAnsi" w:hAnsiTheme="majorHAnsi" w:cstheme="majorHAnsi"/>
        </w:rPr>
        <w:t>BGD and SC both exhibit positive and economically meaningful effects across all ESG dimensions. Gender diversity displays the largest coefficients among the governance variables, especially for the social pillar, reinforcing stakeholder-theoretic arguments that diverse boards enhance ethical sensitivity, stakeholder representation, and social responsiveness. Similarly, the presence of a sustainability committee is associated with superior ESG performance across all dimensions, suggesting that formalized ESG oversight structures facilitate the translation of sustainability commitments into measurable outcomes rather than symbolic compliance.</w:t>
      </w:r>
    </w:p>
    <w:p w14:paraId="3A8D20F6"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Among the control variables, ROA and FSIZE are positively related to ESG performance, consistent with resource availability and visibility arguments, while LEV is negatively associated, reflecting financial constraints that may limit firms’ capacity to invest in sustainability initiatives. FAGE exhibits weaker and less consistent effects, indicating that organizational maturity alone does not guarantee superior sustainability performance.</w:t>
      </w:r>
    </w:p>
    <w:p w14:paraId="53364419" w14:textId="77777777" w:rsidR="00820F2D" w:rsidRDefault="00820F2D" w:rsidP="00820F2D">
      <w:pPr>
        <w:rPr>
          <w:rFonts w:asciiTheme="majorHAnsi" w:hAnsiTheme="majorHAnsi" w:cstheme="majorHAnsi"/>
        </w:rPr>
      </w:pPr>
    </w:p>
    <w:p w14:paraId="63DF5EE7"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The models exhibit substantial explanatory power, with adjusted R² values ranging from 0.336 to 0.412, and low mean variance inflation factors (approximately 1.84) confirm that multicollinearity does not threaten inference. Overall, these findings suggest that ESG performance in Asia is shaped by a configuration of governance mechanisms encompassing monitoring intensity, leadership structure, and sustainability-specific oversight, rather than by any single governance attribute in isolation. Even within a highly regulated sustainability environment, internal governance structures continue to play a meaningful role in differentiating firms’ ESG outcomes.</w:t>
      </w:r>
    </w:p>
    <w:p w14:paraId="0B48AC5F" w14:textId="77777777" w:rsidR="00820F2D" w:rsidRPr="00820F2D" w:rsidRDefault="00820F2D" w:rsidP="00820F2D">
      <w:pPr>
        <w:rPr>
          <w:rFonts w:asciiTheme="majorHAnsi" w:hAnsiTheme="majorHAnsi" w:cstheme="majorHAnsi"/>
        </w:rPr>
      </w:pPr>
    </w:p>
    <w:p w14:paraId="7E0973ED" w14:textId="77777777" w:rsidR="00820F2D" w:rsidRPr="00820F2D" w:rsidRDefault="00820F2D" w:rsidP="00820F2D">
      <w:pPr>
        <w:spacing w:line="360" w:lineRule="auto"/>
        <w:rPr>
          <w:rFonts w:asciiTheme="majorHAnsi" w:hAnsiTheme="majorHAnsi" w:cstheme="majorHAnsi"/>
        </w:rPr>
      </w:pPr>
      <w:r w:rsidRPr="00820F2D">
        <w:rPr>
          <w:rFonts w:asciiTheme="majorHAnsi" w:hAnsiTheme="majorHAnsi" w:cstheme="majorHAnsi"/>
          <w:b/>
          <w:bCs/>
        </w:rPr>
        <w:lastRenderedPageBreak/>
        <w:t>Table 6.</w:t>
      </w:r>
      <w:r w:rsidRPr="00820F2D">
        <w:rPr>
          <w:rFonts w:asciiTheme="majorHAnsi" w:hAnsiTheme="majorHAnsi" w:cstheme="majorHAnsi"/>
        </w:rPr>
        <w:t xml:space="preserve"> Corporate Governance Characteristics and ESG Performance</w:t>
      </w:r>
    </w:p>
    <w:tbl>
      <w:tblPr>
        <w:tblW w:w="9026" w:type="dxa"/>
        <w:tblLook w:val="04A0" w:firstRow="1" w:lastRow="0" w:firstColumn="1" w:lastColumn="0" w:noHBand="0" w:noVBand="1"/>
      </w:tblPr>
      <w:tblGrid>
        <w:gridCol w:w="1710"/>
        <w:gridCol w:w="1780"/>
        <w:gridCol w:w="1885"/>
        <w:gridCol w:w="1885"/>
        <w:gridCol w:w="1766"/>
      </w:tblGrid>
      <w:tr w:rsidR="00820F2D" w:rsidRPr="00820F2D" w14:paraId="2C11881C" w14:textId="77777777" w:rsidTr="00EA7C8E">
        <w:trPr>
          <w:trHeight w:val="320"/>
        </w:trPr>
        <w:tc>
          <w:tcPr>
            <w:tcW w:w="1710" w:type="dxa"/>
            <w:tcBorders>
              <w:top w:val="single" w:sz="4" w:space="0" w:color="auto"/>
              <w:left w:val="nil"/>
              <w:bottom w:val="single" w:sz="4" w:space="0" w:color="auto"/>
              <w:right w:val="nil"/>
            </w:tcBorders>
            <w:noWrap/>
            <w:hideMark/>
          </w:tcPr>
          <w:p w14:paraId="4BB14CE0"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VARIABLES</w:t>
            </w:r>
          </w:p>
        </w:tc>
        <w:tc>
          <w:tcPr>
            <w:tcW w:w="1780" w:type="dxa"/>
            <w:tcBorders>
              <w:top w:val="single" w:sz="4" w:space="0" w:color="auto"/>
              <w:left w:val="nil"/>
              <w:bottom w:val="single" w:sz="4" w:space="0" w:color="auto"/>
              <w:right w:val="nil"/>
            </w:tcBorders>
            <w:noWrap/>
            <w:hideMark/>
          </w:tcPr>
          <w:p w14:paraId="6BDEF7ED"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ESG</w:t>
            </w:r>
          </w:p>
        </w:tc>
        <w:tc>
          <w:tcPr>
            <w:tcW w:w="1885" w:type="dxa"/>
            <w:tcBorders>
              <w:top w:val="single" w:sz="4" w:space="0" w:color="auto"/>
              <w:left w:val="nil"/>
              <w:bottom w:val="single" w:sz="4" w:space="0" w:color="auto"/>
              <w:right w:val="nil"/>
            </w:tcBorders>
            <w:noWrap/>
            <w:hideMark/>
          </w:tcPr>
          <w:p w14:paraId="63DA3508"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ENV</w:t>
            </w:r>
          </w:p>
        </w:tc>
        <w:tc>
          <w:tcPr>
            <w:tcW w:w="1885" w:type="dxa"/>
            <w:tcBorders>
              <w:top w:val="single" w:sz="4" w:space="0" w:color="auto"/>
              <w:left w:val="nil"/>
              <w:bottom w:val="single" w:sz="4" w:space="0" w:color="auto"/>
              <w:right w:val="nil"/>
            </w:tcBorders>
            <w:noWrap/>
            <w:hideMark/>
          </w:tcPr>
          <w:p w14:paraId="45317083"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SOC</w:t>
            </w:r>
          </w:p>
        </w:tc>
        <w:tc>
          <w:tcPr>
            <w:tcW w:w="1766" w:type="dxa"/>
            <w:tcBorders>
              <w:top w:val="single" w:sz="4" w:space="0" w:color="auto"/>
              <w:left w:val="nil"/>
              <w:bottom w:val="single" w:sz="4" w:space="0" w:color="auto"/>
              <w:right w:val="nil"/>
            </w:tcBorders>
            <w:noWrap/>
            <w:hideMark/>
          </w:tcPr>
          <w:p w14:paraId="14B62E0E"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GOV</w:t>
            </w:r>
          </w:p>
        </w:tc>
      </w:tr>
      <w:tr w:rsidR="00820F2D" w:rsidRPr="00820F2D" w14:paraId="38FA2785" w14:textId="77777777" w:rsidTr="00EA7C8E">
        <w:trPr>
          <w:trHeight w:val="320"/>
        </w:trPr>
        <w:tc>
          <w:tcPr>
            <w:tcW w:w="1710" w:type="dxa"/>
            <w:tcBorders>
              <w:top w:val="nil"/>
              <w:left w:val="nil"/>
              <w:bottom w:val="nil"/>
              <w:right w:val="nil"/>
            </w:tcBorders>
            <w:noWrap/>
            <w:hideMark/>
          </w:tcPr>
          <w:p w14:paraId="379F566A"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BSIZE</w:t>
            </w:r>
          </w:p>
        </w:tc>
        <w:tc>
          <w:tcPr>
            <w:tcW w:w="1780" w:type="dxa"/>
            <w:tcBorders>
              <w:top w:val="nil"/>
              <w:left w:val="nil"/>
              <w:bottom w:val="nil"/>
              <w:right w:val="nil"/>
            </w:tcBorders>
            <w:noWrap/>
            <w:hideMark/>
          </w:tcPr>
          <w:p w14:paraId="76C2FBD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−0.012** (0.005)</w:t>
            </w:r>
          </w:p>
        </w:tc>
        <w:tc>
          <w:tcPr>
            <w:tcW w:w="1885" w:type="dxa"/>
            <w:tcBorders>
              <w:top w:val="nil"/>
              <w:left w:val="nil"/>
              <w:bottom w:val="nil"/>
              <w:right w:val="nil"/>
            </w:tcBorders>
            <w:noWrap/>
            <w:hideMark/>
          </w:tcPr>
          <w:p w14:paraId="3144776B"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−0.015** (0.006)</w:t>
            </w:r>
          </w:p>
        </w:tc>
        <w:tc>
          <w:tcPr>
            <w:tcW w:w="1885" w:type="dxa"/>
            <w:tcBorders>
              <w:top w:val="nil"/>
              <w:left w:val="nil"/>
              <w:bottom w:val="nil"/>
              <w:right w:val="nil"/>
            </w:tcBorders>
            <w:noWrap/>
            <w:hideMark/>
          </w:tcPr>
          <w:p w14:paraId="2AA617B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−0.010* (0.005)</w:t>
            </w:r>
          </w:p>
        </w:tc>
        <w:tc>
          <w:tcPr>
            <w:tcW w:w="1766" w:type="dxa"/>
            <w:tcBorders>
              <w:top w:val="nil"/>
              <w:left w:val="nil"/>
              <w:bottom w:val="nil"/>
              <w:right w:val="nil"/>
            </w:tcBorders>
            <w:noWrap/>
            <w:hideMark/>
          </w:tcPr>
          <w:p w14:paraId="40E8AB23"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−0.008 (0.006)</w:t>
            </w:r>
          </w:p>
        </w:tc>
      </w:tr>
      <w:tr w:rsidR="00820F2D" w:rsidRPr="00820F2D" w14:paraId="2E1F8443" w14:textId="77777777" w:rsidTr="00EA7C8E">
        <w:trPr>
          <w:trHeight w:val="320"/>
        </w:trPr>
        <w:tc>
          <w:tcPr>
            <w:tcW w:w="1710" w:type="dxa"/>
            <w:tcBorders>
              <w:top w:val="nil"/>
              <w:left w:val="nil"/>
              <w:bottom w:val="nil"/>
              <w:right w:val="nil"/>
            </w:tcBorders>
            <w:noWrap/>
            <w:hideMark/>
          </w:tcPr>
          <w:p w14:paraId="6FCAEFEE"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BIND</w:t>
            </w:r>
          </w:p>
        </w:tc>
        <w:tc>
          <w:tcPr>
            <w:tcW w:w="1780" w:type="dxa"/>
            <w:tcBorders>
              <w:top w:val="nil"/>
              <w:left w:val="nil"/>
              <w:bottom w:val="nil"/>
              <w:right w:val="nil"/>
            </w:tcBorders>
            <w:noWrap/>
            <w:hideMark/>
          </w:tcPr>
          <w:p w14:paraId="57637CC3"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0.041*** (0.010)</w:t>
            </w:r>
          </w:p>
        </w:tc>
        <w:tc>
          <w:tcPr>
            <w:tcW w:w="1885" w:type="dxa"/>
            <w:tcBorders>
              <w:top w:val="nil"/>
              <w:left w:val="nil"/>
              <w:bottom w:val="nil"/>
              <w:right w:val="nil"/>
            </w:tcBorders>
            <w:noWrap/>
            <w:hideMark/>
          </w:tcPr>
          <w:p w14:paraId="1EB6360F"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0.038*** (0.011)</w:t>
            </w:r>
          </w:p>
        </w:tc>
        <w:tc>
          <w:tcPr>
            <w:tcW w:w="1885" w:type="dxa"/>
            <w:tcBorders>
              <w:top w:val="nil"/>
              <w:left w:val="nil"/>
              <w:bottom w:val="nil"/>
              <w:right w:val="nil"/>
            </w:tcBorders>
            <w:noWrap/>
            <w:hideMark/>
          </w:tcPr>
          <w:p w14:paraId="4F44A28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0.044*** (0.012)</w:t>
            </w:r>
          </w:p>
        </w:tc>
        <w:tc>
          <w:tcPr>
            <w:tcW w:w="1766" w:type="dxa"/>
            <w:tcBorders>
              <w:top w:val="nil"/>
              <w:left w:val="nil"/>
              <w:bottom w:val="nil"/>
              <w:right w:val="nil"/>
            </w:tcBorders>
            <w:noWrap/>
            <w:hideMark/>
          </w:tcPr>
          <w:p w14:paraId="171C2761"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0.029** (0.013)</w:t>
            </w:r>
          </w:p>
        </w:tc>
      </w:tr>
      <w:tr w:rsidR="00820F2D" w:rsidRPr="00820F2D" w14:paraId="151DD3F8" w14:textId="77777777" w:rsidTr="00EA7C8E">
        <w:trPr>
          <w:trHeight w:val="320"/>
        </w:trPr>
        <w:tc>
          <w:tcPr>
            <w:tcW w:w="1710" w:type="dxa"/>
            <w:tcBorders>
              <w:top w:val="nil"/>
              <w:left w:val="nil"/>
              <w:bottom w:val="nil"/>
              <w:right w:val="nil"/>
            </w:tcBorders>
            <w:noWrap/>
            <w:hideMark/>
          </w:tcPr>
          <w:p w14:paraId="0A21D7E2"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CEOD</w:t>
            </w:r>
          </w:p>
        </w:tc>
        <w:tc>
          <w:tcPr>
            <w:tcW w:w="1780" w:type="dxa"/>
            <w:tcBorders>
              <w:top w:val="nil"/>
              <w:left w:val="nil"/>
              <w:bottom w:val="nil"/>
              <w:right w:val="nil"/>
            </w:tcBorders>
            <w:noWrap/>
            <w:hideMark/>
          </w:tcPr>
          <w:p w14:paraId="4F63AEE6"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−0.067*** (0.018)</w:t>
            </w:r>
          </w:p>
        </w:tc>
        <w:tc>
          <w:tcPr>
            <w:tcW w:w="1885" w:type="dxa"/>
            <w:tcBorders>
              <w:top w:val="nil"/>
              <w:left w:val="nil"/>
              <w:bottom w:val="nil"/>
              <w:right w:val="nil"/>
            </w:tcBorders>
            <w:noWrap/>
            <w:hideMark/>
          </w:tcPr>
          <w:p w14:paraId="3E39976E"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−0.061*** (0.020)</w:t>
            </w:r>
          </w:p>
        </w:tc>
        <w:tc>
          <w:tcPr>
            <w:tcW w:w="1885" w:type="dxa"/>
            <w:tcBorders>
              <w:top w:val="nil"/>
              <w:left w:val="nil"/>
              <w:bottom w:val="nil"/>
              <w:right w:val="nil"/>
            </w:tcBorders>
            <w:noWrap/>
            <w:hideMark/>
          </w:tcPr>
          <w:p w14:paraId="427323B0"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−0.058*** (0.019)</w:t>
            </w:r>
          </w:p>
        </w:tc>
        <w:tc>
          <w:tcPr>
            <w:tcW w:w="1766" w:type="dxa"/>
            <w:tcBorders>
              <w:top w:val="nil"/>
              <w:left w:val="nil"/>
              <w:bottom w:val="nil"/>
              <w:right w:val="nil"/>
            </w:tcBorders>
            <w:noWrap/>
            <w:hideMark/>
          </w:tcPr>
          <w:p w14:paraId="562CF0C7"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−0.049** (0.021)</w:t>
            </w:r>
          </w:p>
        </w:tc>
      </w:tr>
      <w:tr w:rsidR="00820F2D" w:rsidRPr="00820F2D" w14:paraId="0C6D56BC" w14:textId="77777777" w:rsidTr="00EA7C8E">
        <w:trPr>
          <w:trHeight w:val="320"/>
        </w:trPr>
        <w:tc>
          <w:tcPr>
            <w:tcW w:w="1710" w:type="dxa"/>
            <w:tcBorders>
              <w:top w:val="nil"/>
              <w:left w:val="nil"/>
              <w:bottom w:val="nil"/>
              <w:right w:val="nil"/>
            </w:tcBorders>
            <w:noWrap/>
            <w:hideMark/>
          </w:tcPr>
          <w:p w14:paraId="3459841F"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BGD</w:t>
            </w:r>
          </w:p>
        </w:tc>
        <w:tc>
          <w:tcPr>
            <w:tcW w:w="1780" w:type="dxa"/>
            <w:tcBorders>
              <w:top w:val="nil"/>
              <w:left w:val="nil"/>
              <w:bottom w:val="nil"/>
              <w:right w:val="nil"/>
            </w:tcBorders>
            <w:noWrap/>
            <w:hideMark/>
          </w:tcPr>
          <w:p w14:paraId="692E677C"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0.089*** (0.022)</w:t>
            </w:r>
          </w:p>
        </w:tc>
        <w:tc>
          <w:tcPr>
            <w:tcW w:w="1885" w:type="dxa"/>
            <w:tcBorders>
              <w:top w:val="nil"/>
              <w:left w:val="nil"/>
              <w:bottom w:val="nil"/>
              <w:right w:val="nil"/>
            </w:tcBorders>
            <w:noWrap/>
            <w:hideMark/>
          </w:tcPr>
          <w:p w14:paraId="3444F22A"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0.083*** (0.024)</w:t>
            </w:r>
          </w:p>
        </w:tc>
        <w:tc>
          <w:tcPr>
            <w:tcW w:w="1885" w:type="dxa"/>
            <w:tcBorders>
              <w:top w:val="nil"/>
              <w:left w:val="nil"/>
              <w:bottom w:val="nil"/>
              <w:right w:val="nil"/>
            </w:tcBorders>
            <w:noWrap/>
            <w:hideMark/>
          </w:tcPr>
          <w:p w14:paraId="540B013C"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0.091*** (0.025)</w:t>
            </w:r>
          </w:p>
        </w:tc>
        <w:tc>
          <w:tcPr>
            <w:tcW w:w="1766" w:type="dxa"/>
            <w:tcBorders>
              <w:top w:val="nil"/>
              <w:left w:val="nil"/>
              <w:bottom w:val="nil"/>
              <w:right w:val="nil"/>
            </w:tcBorders>
            <w:noWrap/>
            <w:hideMark/>
          </w:tcPr>
          <w:p w14:paraId="453B3BAE"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0.064*** (0.023)</w:t>
            </w:r>
          </w:p>
        </w:tc>
      </w:tr>
      <w:tr w:rsidR="00820F2D" w:rsidRPr="00820F2D" w14:paraId="494B4A8C" w14:textId="77777777" w:rsidTr="00EA7C8E">
        <w:trPr>
          <w:trHeight w:val="320"/>
        </w:trPr>
        <w:tc>
          <w:tcPr>
            <w:tcW w:w="1710" w:type="dxa"/>
            <w:tcBorders>
              <w:top w:val="nil"/>
              <w:left w:val="nil"/>
              <w:bottom w:val="nil"/>
              <w:right w:val="nil"/>
            </w:tcBorders>
            <w:noWrap/>
            <w:hideMark/>
          </w:tcPr>
          <w:p w14:paraId="59A51993"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SC</w:t>
            </w:r>
          </w:p>
        </w:tc>
        <w:tc>
          <w:tcPr>
            <w:tcW w:w="1780" w:type="dxa"/>
            <w:tcBorders>
              <w:top w:val="nil"/>
              <w:left w:val="nil"/>
              <w:bottom w:val="nil"/>
              <w:right w:val="nil"/>
            </w:tcBorders>
            <w:noWrap/>
            <w:hideMark/>
          </w:tcPr>
          <w:p w14:paraId="2DD30DD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0.074*** (0.019)</w:t>
            </w:r>
          </w:p>
        </w:tc>
        <w:tc>
          <w:tcPr>
            <w:tcW w:w="1885" w:type="dxa"/>
            <w:tcBorders>
              <w:top w:val="nil"/>
              <w:left w:val="nil"/>
              <w:bottom w:val="nil"/>
              <w:right w:val="nil"/>
            </w:tcBorders>
            <w:noWrap/>
            <w:hideMark/>
          </w:tcPr>
          <w:p w14:paraId="14C6F176"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0.069*** (0.021)</w:t>
            </w:r>
          </w:p>
        </w:tc>
        <w:tc>
          <w:tcPr>
            <w:tcW w:w="1885" w:type="dxa"/>
            <w:tcBorders>
              <w:top w:val="nil"/>
              <w:left w:val="nil"/>
              <w:bottom w:val="nil"/>
              <w:right w:val="nil"/>
            </w:tcBorders>
            <w:noWrap/>
            <w:hideMark/>
          </w:tcPr>
          <w:p w14:paraId="2F29F51D"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0.072*** (0.020)</w:t>
            </w:r>
          </w:p>
        </w:tc>
        <w:tc>
          <w:tcPr>
            <w:tcW w:w="1766" w:type="dxa"/>
            <w:tcBorders>
              <w:top w:val="nil"/>
              <w:left w:val="nil"/>
              <w:bottom w:val="nil"/>
              <w:right w:val="nil"/>
            </w:tcBorders>
            <w:noWrap/>
            <w:hideMark/>
          </w:tcPr>
          <w:p w14:paraId="77AD2AAE"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0.055** (0.022)</w:t>
            </w:r>
          </w:p>
        </w:tc>
      </w:tr>
      <w:tr w:rsidR="00820F2D" w:rsidRPr="00820F2D" w14:paraId="3BB22F04" w14:textId="77777777" w:rsidTr="00EA7C8E">
        <w:trPr>
          <w:trHeight w:val="320"/>
        </w:trPr>
        <w:tc>
          <w:tcPr>
            <w:tcW w:w="1710" w:type="dxa"/>
            <w:tcBorders>
              <w:top w:val="nil"/>
              <w:left w:val="nil"/>
              <w:bottom w:val="nil"/>
              <w:right w:val="nil"/>
            </w:tcBorders>
            <w:noWrap/>
            <w:hideMark/>
          </w:tcPr>
          <w:p w14:paraId="6877C814"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ROA</w:t>
            </w:r>
          </w:p>
        </w:tc>
        <w:tc>
          <w:tcPr>
            <w:tcW w:w="1780" w:type="dxa"/>
            <w:tcBorders>
              <w:top w:val="nil"/>
              <w:left w:val="nil"/>
              <w:bottom w:val="nil"/>
              <w:right w:val="nil"/>
            </w:tcBorders>
            <w:noWrap/>
            <w:hideMark/>
          </w:tcPr>
          <w:p w14:paraId="5643A4B2"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0.028*** (0.009)</w:t>
            </w:r>
          </w:p>
        </w:tc>
        <w:tc>
          <w:tcPr>
            <w:tcW w:w="1885" w:type="dxa"/>
            <w:tcBorders>
              <w:top w:val="nil"/>
              <w:left w:val="nil"/>
              <w:bottom w:val="nil"/>
              <w:right w:val="nil"/>
            </w:tcBorders>
            <w:noWrap/>
            <w:hideMark/>
          </w:tcPr>
          <w:p w14:paraId="7C121D0C"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0.025** (0.010)</w:t>
            </w:r>
          </w:p>
        </w:tc>
        <w:tc>
          <w:tcPr>
            <w:tcW w:w="1885" w:type="dxa"/>
            <w:tcBorders>
              <w:top w:val="nil"/>
              <w:left w:val="nil"/>
              <w:bottom w:val="nil"/>
              <w:right w:val="nil"/>
            </w:tcBorders>
            <w:noWrap/>
            <w:hideMark/>
          </w:tcPr>
          <w:p w14:paraId="5DF15423"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0.031*** (0.011)</w:t>
            </w:r>
          </w:p>
        </w:tc>
        <w:tc>
          <w:tcPr>
            <w:tcW w:w="1766" w:type="dxa"/>
            <w:tcBorders>
              <w:top w:val="nil"/>
              <w:left w:val="nil"/>
              <w:bottom w:val="nil"/>
              <w:right w:val="nil"/>
            </w:tcBorders>
            <w:noWrap/>
            <w:hideMark/>
          </w:tcPr>
          <w:p w14:paraId="0E35A972"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0.019* (0.010)</w:t>
            </w:r>
          </w:p>
        </w:tc>
      </w:tr>
      <w:tr w:rsidR="00820F2D" w:rsidRPr="00820F2D" w14:paraId="032E05E8" w14:textId="77777777" w:rsidTr="00EA7C8E">
        <w:trPr>
          <w:trHeight w:val="320"/>
        </w:trPr>
        <w:tc>
          <w:tcPr>
            <w:tcW w:w="1710" w:type="dxa"/>
            <w:tcBorders>
              <w:top w:val="nil"/>
              <w:left w:val="nil"/>
              <w:bottom w:val="nil"/>
              <w:right w:val="nil"/>
            </w:tcBorders>
            <w:noWrap/>
            <w:hideMark/>
          </w:tcPr>
          <w:p w14:paraId="3DC2738F"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FSIZE</w:t>
            </w:r>
          </w:p>
        </w:tc>
        <w:tc>
          <w:tcPr>
            <w:tcW w:w="1780" w:type="dxa"/>
            <w:tcBorders>
              <w:top w:val="nil"/>
              <w:left w:val="nil"/>
              <w:bottom w:val="nil"/>
              <w:right w:val="nil"/>
            </w:tcBorders>
            <w:noWrap/>
            <w:hideMark/>
          </w:tcPr>
          <w:p w14:paraId="67D81D3F"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0.112*** (0.017)</w:t>
            </w:r>
          </w:p>
        </w:tc>
        <w:tc>
          <w:tcPr>
            <w:tcW w:w="1885" w:type="dxa"/>
            <w:tcBorders>
              <w:top w:val="nil"/>
              <w:left w:val="nil"/>
              <w:bottom w:val="nil"/>
              <w:right w:val="nil"/>
            </w:tcBorders>
            <w:noWrap/>
            <w:hideMark/>
          </w:tcPr>
          <w:p w14:paraId="68E6F41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0.105*** (0.018)</w:t>
            </w:r>
          </w:p>
        </w:tc>
        <w:tc>
          <w:tcPr>
            <w:tcW w:w="1885" w:type="dxa"/>
            <w:tcBorders>
              <w:top w:val="nil"/>
              <w:left w:val="nil"/>
              <w:bottom w:val="nil"/>
              <w:right w:val="nil"/>
            </w:tcBorders>
            <w:noWrap/>
            <w:hideMark/>
          </w:tcPr>
          <w:p w14:paraId="7F2F205F"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0.109*** (0.019)</w:t>
            </w:r>
          </w:p>
        </w:tc>
        <w:tc>
          <w:tcPr>
            <w:tcW w:w="1766" w:type="dxa"/>
            <w:tcBorders>
              <w:top w:val="nil"/>
              <w:left w:val="nil"/>
              <w:bottom w:val="nil"/>
              <w:right w:val="nil"/>
            </w:tcBorders>
            <w:noWrap/>
            <w:hideMark/>
          </w:tcPr>
          <w:p w14:paraId="4DF9CCAE"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0.087*** (0.020)</w:t>
            </w:r>
          </w:p>
        </w:tc>
      </w:tr>
      <w:tr w:rsidR="00820F2D" w:rsidRPr="00820F2D" w14:paraId="358A2247" w14:textId="77777777" w:rsidTr="00EA7C8E">
        <w:trPr>
          <w:trHeight w:val="320"/>
        </w:trPr>
        <w:tc>
          <w:tcPr>
            <w:tcW w:w="1710" w:type="dxa"/>
            <w:tcBorders>
              <w:top w:val="nil"/>
              <w:left w:val="nil"/>
              <w:bottom w:val="nil"/>
              <w:right w:val="nil"/>
            </w:tcBorders>
            <w:noWrap/>
            <w:hideMark/>
          </w:tcPr>
          <w:p w14:paraId="17A54ED4"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FAGE</w:t>
            </w:r>
          </w:p>
        </w:tc>
        <w:tc>
          <w:tcPr>
            <w:tcW w:w="1780" w:type="dxa"/>
            <w:tcBorders>
              <w:top w:val="nil"/>
              <w:left w:val="nil"/>
              <w:bottom w:val="nil"/>
              <w:right w:val="nil"/>
            </w:tcBorders>
            <w:noWrap/>
            <w:hideMark/>
          </w:tcPr>
          <w:p w14:paraId="3BCDE1AD"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0.014** (0.006)</w:t>
            </w:r>
          </w:p>
        </w:tc>
        <w:tc>
          <w:tcPr>
            <w:tcW w:w="1885" w:type="dxa"/>
            <w:tcBorders>
              <w:top w:val="nil"/>
              <w:left w:val="nil"/>
              <w:bottom w:val="nil"/>
              <w:right w:val="nil"/>
            </w:tcBorders>
            <w:noWrap/>
            <w:hideMark/>
          </w:tcPr>
          <w:p w14:paraId="64577F57"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0.011* (0.006)</w:t>
            </w:r>
          </w:p>
        </w:tc>
        <w:tc>
          <w:tcPr>
            <w:tcW w:w="1885" w:type="dxa"/>
            <w:tcBorders>
              <w:top w:val="nil"/>
              <w:left w:val="nil"/>
              <w:bottom w:val="nil"/>
              <w:right w:val="nil"/>
            </w:tcBorders>
            <w:noWrap/>
            <w:hideMark/>
          </w:tcPr>
          <w:p w14:paraId="0BBD101D"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0.013** (0.006)</w:t>
            </w:r>
          </w:p>
        </w:tc>
        <w:tc>
          <w:tcPr>
            <w:tcW w:w="1766" w:type="dxa"/>
            <w:tcBorders>
              <w:top w:val="nil"/>
              <w:left w:val="nil"/>
              <w:bottom w:val="nil"/>
              <w:right w:val="nil"/>
            </w:tcBorders>
            <w:noWrap/>
            <w:hideMark/>
          </w:tcPr>
          <w:p w14:paraId="6F1FE466"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0.009 (0.007)</w:t>
            </w:r>
          </w:p>
        </w:tc>
      </w:tr>
      <w:tr w:rsidR="00820F2D" w:rsidRPr="00820F2D" w14:paraId="309A53DB" w14:textId="77777777" w:rsidTr="00EA7C8E">
        <w:trPr>
          <w:trHeight w:val="320"/>
        </w:trPr>
        <w:tc>
          <w:tcPr>
            <w:tcW w:w="1710" w:type="dxa"/>
            <w:tcBorders>
              <w:top w:val="nil"/>
              <w:left w:val="nil"/>
              <w:bottom w:val="nil"/>
              <w:right w:val="nil"/>
            </w:tcBorders>
            <w:noWrap/>
            <w:hideMark/>
          </w:tcPr>
          <w:p w14:paraId="0F51D623"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LEV</w:t>
            </w:r>
          </w:p>
        </w:tc>
        <w:tc>
          <w:tcPr>
            <w:tcW w:w="1780" w:type="dxa"/>
            <w:tcBorders>
              <w:top w:val="nil"/>
              <w:left w:val="nil"/>
              <w:bottom w:val="nil"/>
              <w:right w:val="nil"/>
            </w:tcBorders>
            <w:noWrap/>
            <w:hideMark/>
          </w:tcPr>
          <w:p w14:paraId="5190B61C"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−0.036*** (0.012)</w:t>
            </w:r>
          </w:p>
        </w:tc>
        <w:tc>
          <w:tcPr>
            <w:tcW w:w="1885" w:type="dxa"/>
            <w:tcBorders>
              <w:top w:val="nil"/>
              <w:left w:val="nil"/>
              <w:bottom w:val="nil"/>
              <w:right w:val="nil"/>
            </w:tcBorders>
            <w:noWrap/>
            <w:hideMark/>
          </w:tcPr>
          <w:p w14:paraId="37A72F42"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−0.033*** (0.013)</w:t>
            </w:r>
          </w:p>
        </w:tc>
        <w:tc>
          <w:tcPr>
            <w:tcW w:w="1885" w:type="dxa"/>
            <w:tcBorders>
              <w:top w:val="nil"/>
              <w:left w:val="nil"/>
              <w:bottom w:val="nil"/>
              <w:right w:val="nil"/>
            </w:tcBorders>
            <w:noWrap/>
            <w:hideMark/>
          </w:tcPr>
          <w:p w14:paraId="23CCBDB6"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−0.039*** (0.014)</w:t>
            </w:r>
          </w:p>
        </w:tc>
        <w:tc>
          <w:tcPr>
            <w:tcW w:w="1766" w:type="dxa"/>
            <w:tcBorders>
              <w:top w:val="nil"/>
              <w:left w:val="nil"/>
              <w:bottom w:val="nil"/>
              <w:right w:val="nil"/>
            </w:tcBorders>
            <w:noWrap/>
            <w:hideMark/>
          </w:tcPr>
          <w:p w14:paraId="0096B494"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−0.028** (0.013)</w:t>
            </w:r>
          </w:p>
        </w:tc>
      </w:tr>
      <w:tr w:rsidR="00820F2D" w:rsidRPr="00820F2D" w14:paraId="15BEE182" w14:textId="77777777" w:rsidTr="00EA7C8E">
        <w:trPr>
          <w:trHeight w:val="320"/>
        </w:trPr>
        <w:tc>
          <w:tcPr>
            <w:tcW w:w="1710" w:type="dxa"/>
            <w:tcBorders>
              <w:top w:val="nil"/>
              <w:left w:val="nil"/>
              <w:bottom w:val="nil"/>
              <w:right w:val="nil"/>
            </w:tcBorders>
            <w:noWrap/>
            <w:hideMark/>
          </w:tcPr>
          <w:p w14:paraId="2B8FB3FB"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Industry FE</w:t>
            </w:r>
          </w:p>
        </w:tc>
        <w:tc>
          <w:tcPr>
            <w:tcW w:w="1780" w:type="dxa"/>
            <w:tcBorders>
              <w:top w:val="nil"/>
              <w:left w:val="nil"/>
              <w:bottom w:val="nil"/>
              <w:right w:val="nil"/>
            </w:tcBorders>
            <w:noWrap/>
            <w:hideMark/>
          </w:tcPr>
          <w:p w14:paraId="42F864BC"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885" w:type="dxa"/>
            <w:tcBorders>
              <w:top w:val="nil"/>
              <w:left w:val="nil"/>
              <w:bottom w:val="nil"/>
              <w:right w:val="nil"/>
            </w:tcBorders>
            <w:noWrap/>
            <w:hideMark/>
          </w:tcPr>
          <w:p w14:paraId="4E3D5980"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885" w:type="dxa"/>
            <w:tcBorders>
              <w:top w:val="nil"/>
              <w:left w:val="nil"/>
              <w:bottom w:val="nil"/>
              <w:right w:val="nil"/>
            </w:tcBorders>
            <w:noWrap/>
            <w:hideMark/>
          </w:tcPr>
          <w:p w14:paraId="229F5387"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766" w:type="dxa"/>
            <w:tcBorders>
              <w:top w:val="nil"/>
              <w:left w:val="nil"/>
              <w:bottom w:val="nil"/>
              <w:right w:val="nil"/>
            </w:tcBorders>
            <w:noWrap/>
            <w:hideMark/>
          </w:tcPr>
          <w:p w14:paraId="5554153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r>
      <w:tr w:rsidR="00820F2D" w:rsidRPr="00820F2D" w14:paraId="2FC1085E" w14:textId="77777777" w:rsidTr="00EA7C8E">
        <w:trPr>
          <w:trHeight w:val="320"/>
        </w:trPr>
        <w:tc>
          <w:tcPr>
            <w:tcW w:w="1710" w:type="dxa"/>
            <w:tcBorders>
              <w:top w:val="nil"/>
              <w:left w:val="nil"/>
              <w:bottom w:val="nil"/>
              <w:right w:val="nil"/>
            </w:tcBorders>
            <w:noWrap/>
            <w:hideMark/>
          </w:tcPr>
          <w:p w14:paraId="56DDFBBC"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Year FE</w:t>
            </w:r>
          </w:p>
        </w:tc>
        <w:tc>
          <w:tcPr>
            <w:tcW w:w="1780" w:type="dxa"/>
            <w:tcBorders>
              <w:top w:val="nil"/>
              <w:left w:val="nil"/>
              <w:bottom w:val="nil"/>
              <w:right w:val="nil"/>
            </w:tcBorders>
            <w:noWrap/>
            <w:hideMark/>
          </w:tcPr>
          <w:p w14:paraId="1D0F4E64"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885" w:type="dxa"/>
            <w:tcBorders>
              <w:top w:val="nil"/>
              <w:left w:val="nil"/>
              <w:bottom w:val="nil"/>
              <w:right w:val="nil"/>
            </w:tcBorders>
            <w:noWrap/>
            <w:hideMark/>
          </w:tcPr>
          <w:p w14:paraId="6F3F05CD"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885" w:type="dxa"/>
            <w:tcBorders>
              <w:top w:val="nil"/>
              <w:left w:val="nil"/>
              <w:bottom w:val="nil"/>
              <w:right w:val="nil"/>
            </w:tcBorders>
            <w:noWrap/>
            <w:hideMark/>
          </w:tcPr>
          <w:p w14:paraId="5FCE8182"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766" w:type="dxa"/>
            <w:tcBorders>
              <w:top w:val="nil"/>
              <w:left w:val="nil"/>
              <w:bottom w:val="nil"/>
              <w:right w:val="nil"/>
            </w:tcBorders>
            <w:noWrap/>
            <w:hideMark/>
          </w:tcPr>
          <w:p w14:paraId="104B31C5"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r>
      <w:tr w:rsidR="00820F2D" w:rsidRPr="00820F2D" w14:paraId="79D593D9" w14:textId="77777777" w:rsidTr="00EA7C8E">
        <w:trPr>
          <w:trHeight w:val="320"/>
        </w:trPr>
        <w:tc>
          <w:tcPr>
            <w:tcW w:w="1710" w:type="dxa"/>
            <w:tcBorders>
              <w:top w:val="nil"/>
              <w:left w:val="nil"/>
              <w:bottom w:val="nil"/>
              <w:right w:val="nil"/>
            </w:tcBorders>
            <w:noWrap/>
            <w:hideMark/>
          </w:tcPr>
          <w:p w14:paraId="1B6AC1A9"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Observations</w:t>
            </w:r>
          </w:p>
        </w:tc>
        <w:tc>
          <w:tcPr>
            <w:tcW w:w="1780" w:type="dxa"/>
            <w:tcBorders>
              <w:top w:val="nil"/>
              <w:left w:val="nil"/>
              <w:bottom w:val="nil"/>
              <w:right w:val="nil"/>
            </w:tcBorders>
            <w:noWrap/>
            <w:hideMark/>
          </w:tcPr>
          <w:p w14:paraId="69943D1E"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c>
          <w:tcPr>
            <w:tcW w:w="1885" w:type="dxa"/>
            <w:tcBorders>
              <w:top w:val="nil"/>
              <w:left w:val="nil"/>
              <w:bottom w:val="nil"/>
              <w:right w:val="nil"/>
            </w:tcBorders>
            <w:noWrap/>
            <w:hideMark/>
          </w:tcPr>
          <w:p w14:paraId="76F9A819"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c>
          <w:tcPr>
            <w:tcW w:w="1885" w:type="dxa"/>
            <w:tcBorders>
              <w:top w:val="nil"/>
              <w:left w:val="nil"/>
              <w:bottom w:val="nil"/>
              <w:right w:val="nil"/>
            </w:tcBorders>
            <w:noWrap/>
            <w:hideMark/>
          </w:tcPr>
          <w:p w14:paraId="62B2BF1E"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c>
          <w:tcPr>
            <w:tcW w:w="1766" w:type="dxa"/>
            <w:tcBorders>
              <w:top w:val="nil"/>
              <w:left w:val="nil"/>
              <w:bottom w:val="nil"/>
              <w:right w:val="nil"/>
            </w:tcBorders>
            <w:noWrap/>
            <w:hideMark/>
          </w:tcPr>
          <w:p w14:paraId="7E5ABB6F"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r>
      <w:tr w:rsidR="00820F2D" w:rsidRPr="00820F2D" w14:paraId="45FF9066" w14:textId="77777777" w:rsidTr="00EA7C8E">
        <w:trPr>
          <w:trHeight w:val="320"/>
        </w:trPr>
        <w:tc>
          <w:tcPr>
            <w:tcW w:w="1710" w:type="dxa"/>
            <w:tcBorders>
              <w:top w:val="nil"/>
              <w:left w:val="nil"/>
              <w:bottom w:val="nil"/>
              <w:right w:val="nil"/>
            </w:tcBorders>
            <w:noWrap/>
            <w:hideMark/>
          </w:tcPr>
          <w:p w14:paraId="1195D5DC"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Adjusted R²</w:t>
            </w:r>
          </w:p>
        </w:tc>
        <w:tc>
          <w:tcPr>
            <w:tcW w:w="1780" w:type="dxa"/>
            <w:tcBorders>
              <w:top w:val="nil"/>
              <w:left w:val="nil"/>
              <w:bottom w:val="nil"/>
              <w:right w:val="nil"/>
            </w:tcBorders>
            <w:noWrap/>
            <w:hideMark/>
          </w:tcPr>
          <w:p w14:paraId="3C3A0D4C"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0.412</w:t>
            </w:r>
          </w:p>
        </w:tc>
        <w:tc>
          <w:tcPr>
            <w:tcW w:w="1885" w:type="dxa"/>
            <w:tcBorders>
              <w:top w:val="nil"/>
              <w:left w:val="nil"/>
              <w:bottom w:val="nil"/>
              <w:right w:val="nil"/>
            </w:tcBorders>
            <w:noWrap/>
            <w:hideMark/>
          </w:tcPr>
          <w:p w14:paraId="1A1CF52D"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0.387</w:t>
            </w:r>
          </w:p>
        </w:tc>
        <w:tc>
          <w:tcPr>
            <w:tcW w:w="1885" w:type="dxa"/>
            <w:tcBorders>
              <w:top w:val="nil"/>
              <w:left w:val="nil"/>
              <w:bottom w:val="nil"/>
              <w:right w:val="nil"/>
            </w:tcBorders>
            <w:noWrap/>
            <w:hideMark/>
          </w:tcPr>
          <w:p w14:paraId="63F68DA5"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0.401</w:t>
            </w:r>
          </w:p>
        </w:tc>
        <w:tc>
          <w:tcPr>
            <w:tcW w:w="1766" w:type="dxa"/>
            <w:tcBorders>
              <w:top w:val="nil"/>
              <w:left w:val="nil"/>
              <w:bottom w:val="nil"/>
              <w:right w:val="nil"/>
            </w:tcBorders>
            <w:noWrap/>
            <w:hideMark/>
          </w:tcPr>
          <w:p w14:paraId="04A4EC08"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0.336</w:t>
            </w:r>
          </w:p>
        </w:tc>
      </w:tr>
      <w:tr w:rsidR="00820F2D" w:rsidRPr="00820F2D" w14:paraId="4A7BAEF3" w14:textId="77777777" w:rsidTr="00EA7C8E">
        <w:trPr>
          <w:trHeight w:val="320"/>
        </w:trPr>
        <w:tc>
          <w:tcPr>
            <w:tcW w:w="1710" w:type="dxa"/>
            <w:tcBorders>
              <w:top w:val="nil"/>
              <w:left w:val="nil"/>
              <w:bottom w:val="single" w:sz="4" w:space="0" w:color="auto"/>
              <w:right w:val="nil"/>
            </w:tcBorders>
            <w:noWrap/>
            <w:hideMark/>
          </w:tcPr>
          <w:p w14:paraId="78537A4F" w14:textId="77777777" w:rsidR="00820F2D" w:rsidRPr="00820F2D" w:rsidRDefault="00820F2D" w:rsidP="00820F2D">
            <w:pPr>
              <w:jc w:val="cente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Mean VIF</w:t>
            </w:r>
          </w:p>
        </w:tc>
        <w:tc>
          <w:tcPr>
            <w:tcW w:w="1780" w:type="dxa"/>
            <w:tcBorders>
              <w:top w:val="nil"/>
              <w:left w:val="nil"/>
              <w:bottom w:val="single" w:sz="4" w:space="0" w:color="auto"/>
              <w:right w:val="nil"/>
            </w:tcBorders>
            <w:noWrap/>
            <w:hideMark/>
          </w:tcPr>
          <w:p w14:paraId="35882010"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1.84</w:t>
            </w:r>
          </w:p>
        </w:tc>
        <w:tc>
          <w:tcPr>
            <w:tcW w:w="1885" w:type="dxa"/>
            <w:tcBorders>
              <w:top w:val="nil"/>
              <w:left w:val="nil"/>
              <w:bottom w:val="single" w:sz="4" w:space="0" w:color="auto"/>
              <w:right w:val="nil"/>
            </w:tcBorders>
            <w:noWrap/>
            <w:hideMark/>
          </w:tcPr>
          <w:p w14:paraId="4242C6ED"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1.84</w:t>
            </w:r>
          </w:p>
        </w:tc>
        <w:tc>
          <w:tcPr>
            <w:tcW w:w="1885" w:type="dxa"/>
            <w:tcBorders>
              <w:top w:val="nil"/>
              <w:left w:val="nil"/>
              <w:bottom w:val="single" w:sz="4" w:space="0" w:color="auto"/>
              <w:right w:val="nil"/>
            </w:tcBorders>
            <w:noWrap/>
            <w:hideMark/>
          </w:tcPr>
          <w:p w14:paraId="16D64605"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1.84</w:t>
            </w:r>
          </w:p>
        </w:tc>
        <w:tc>
          <w:tcPr>
            <w:tcW w:w="1766" w:type="dxa"/>
            <w:tcBorders>
              <w:top w:val="nil"/>
              <w:left w:val="nil"/>
              <w:bottom w:val="single" w:sz="4" w:space="0" w:color="auto"/>
              <w:right w:val="nil"/>
            </w:tcBorders>
            <w:noWrap/>
            <w:hideMark/>
          </w:tcPr>
          <w:p w14:paraId="3548F214" w14:textId="77777777" w:rsidR="00820F2D" w:rsidRPr="00820F2D" w:rsidRDefault="00820F2D" w:rsidP="00820F2D">
            <w:pPr>
              <w:jc w:val="cente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1.84</w:t>
            </w:r>
          </w:p>
        </w:tc>
      </w:tr>
    </w:tbl>
    <w:p w14:paraId="05F37746" w14:textId="77777777" w:rsidR="00820F2D" w:rsidRDefault="00820F2D" w:rsidP="00820F2D">
      <w:pPr>
        <w:rPr>
          <w:rFonts w:asciiTheme="majorHAnsi" w:hAnsiTheme="majorHAnsi" w:cstheme="majorHAnsi"/>
        </w:rPr>
      </w:pPr>
      <w:r w:rsidRPr="00820F2D">
        <w:rPr>
          <w:rFonts w:asciiTheme="majorHAnsi" w:hAnsiTheme="majorHAnsi" w:cstheme="majorHAnsi"/>
          <w:b/>
          <w:bCs/>
        </w:rPr>
        <w:t xml:space="preserve">Notes: </w:t>
      </w:r>
      <w:r w:rsidRPr="00820F2D">
        <w:rPr>
          <w:rFonts w:asciiTheme="majorHAnsi" w:hAnsiTheme="majorHAnsi" w:cstheme="majorHAnsi"/>
        </w:rPr>
        <w:t>Robust standard errors clustered at the firm level are reported in parentheses. ***, **, and * denote statistical significance at the 1%, 5%, and 10% levels, respectively. All regressions include industry and year fixed effects. Variance inflation factors (VIFs) are reported for independent and control variables only. All variables are defined in Table 1.</w:t>
      </w:r>
    </w:p>
    <w:p w14:paraId="6833677C" w14:textId="77777777" w:rsidR="00820F2D" w:rsidRPr="00820F2D" w:rsidRDefault="00820F2D" w:rsidP="00820F2D">
      <w:pPr>
        <w:rPr>
          <w:rFonts w:asciiTheme="majorHAnsi" w:hAnsiTheme="majorHAnsi" w:cstheme="majorHAnsi"/>
        </w:rPr>
      </w:pPr>
    </w:p>
    <w:p w14:paraId="1715DC96"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4.3</w:t>
      </w:r>
      <w:r>
        <w:rPr>
          <w:rFonts w:asciiTheme="majorHAnsi" w:hAnsiTheme="majorHAnsi" w:cstheme="majorHAnsi"/>
          <w:b/>
          <w:bCs/>
        </w:rPr>
        <w:t xml:space="preserve">. </w:t>
      </w:r>
      <w:r w:rsidRPr="00820F2D">
        <w:rPr>
          <w:rFonts w:asciiTheme="majorHAnsi" w:hAnsiTheme="majorHAnsi" w:cstheme="majorHAnsi"/>
          <w:b/>
          <w:bCs/>
        </w:rPr>
        <w:t>Moderating Effect of Sustainability Committees on Corporate Governance and ESG Performance</w:t>
      </w:r>
    </w:p>
    <w:p w14:paraId="3CBC267B" w14:textId="77777777" w:rsidR="00820F2D" w:rsidRPr="00820F2D" w:rsidRDefault="00820F2D" w:rsidP="00820F2D">
      <w:pPr>
        <w:rPr>
          <w:rFonts w:asciiTheme="majorHAnsi" w:hAnsiTheme="majorHAnsi" w:cstheme="majorHAnsi"/>
        </w:rPr>
      </w:pPr>
      <w:r>
        <w:t>Table 7 tests H6 by adding the interaction between board gender diversity and the presence of a sustainability committee. The direct coefficients retain the same signs as in the baseline specification. The BGD x SC coefficient is positive and statistically significant for the composite ESG score and each pillar, although significance is weaker for GOV. This pattern is consistent with the proposed complementarity: the positive association between gender diversity and ESG performance is stronger among firms with a board-level sustainability committee. Because the design is observational, the interaction is interpreted as a conditional association rather than evidence that establishing a committee causally increases the effect of gender diversity.</w:t>
      </w:r>
    </w:p>
    <w:p w14:paraId="191D1B2C"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The direct effects of board size, board independence, CEO duality, and board gender diversity remain stable in sign and significance relative to the baseline models. Board size continues to be negatively associated with ESG performance, while board independence and gender diversity exhibit positive effects. CEO duality remains consistently detrimental across ESG and all pillar scores, confirming that the moderation model does not alter the underlying governance–ESG relationships.</w:t>
      </w:r>
    </w:p>
    <w:p w14:paraId="0CA81C56" w14:textId="77777777" w:rsidR="00424F42" w:rsidRDefault="00424F42" w:rsidP="00820F2D">
      <w:pPr>
        <w:rPr>
          <w:rFonts w:asciiTheme="majorHAnsi" w:hAnsiTheme="majorHAnsi" w:cstheme="majorHAnsi"/>
        </w:rPr>
      </w:pPr>
    </w:p>
    <w:p w14:paraId="2853CF4F" w14:textId="77777777" w:rsidR="00820F2D" w:rsidRPr="00820F2D" w:rsidRDefault="00820F2D" w:rsidP="00820F2D">
      <w:pPr>
        <w:rPr>
          <w:rFonts w:asciiTheme="majorHAnsi" w:hAnsiTheme="majorHAnsi" w:cstheme="majorHAnsi"/>
        </w:rPr>
      </w:pPr>
      <w:r>
        <w:lastRenderedPageBreak/>
        <w:t>The sustainability committee itself is positively associated with overall ESG performance and with the environmental and social pillars, indicating that ESG committees contribute to substantive sustainability oversight rather than merely symbolic compliance. Most importantly, the interaction between board gender diversity and the sustainability committee (BGD × SC) is positive and statistically significant across all models. This result is consistent with sustainability committees strengthening the impact of gender-diverse boards on ESG outcomes by providing a dedicated institutional channel through which diversity-related perspectives are translated into concrete ESG strategies and monitoring processes.</w:t>
      </w:r>
    </w:p>
    <w:p w14:paraId="3244C8CA" w14:textId="77777777" w:rsidR="00424F42" w:rsidRDefault="00424F42" w:rsidP="00820F2D">
      <w:pPr>
        <w:rPr>
          <w:rFonts w:asciiTheme="majorHAnsi" w:hAnsiTheme="majorHAnsi" w:cstheme="majorHAnsi"/>
        </w:rPr>
      </w:pPr>
    </w:p>
    <w:p w14:paraId="13D7C4FA"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This finding explains why sustainability committees are an appropriate moderating mechanism compared to other governance attributes. While board size and independence primarily affect monitoring intensity, sustainability committees perform an agenda-setting and coordination role, structuring how ESG issues are prioritized within the board. The moderation effects are strongest for overall ESG and social performance, suggesting that committees are particularly effective in embedding inclusive governance into stakeholder-oriented sustainability practices. The weaker interaction for governance performance likely reflects the higher degree of regulatory standardization in Asian governance frameworks. Overall, Table 7 shows that sustainability committees act as a structural enabler, converting board gender diversity from a passive characteristic into an active driver of ESG performance.</w:t>
      </w:r>
    </w:p>
    <w:p w14:paraId="57AC6B42" w14:textId="77777777" w:rsidR="00820F2D" w:rsidRPr="00820F2D" w:rsidRDefault="00820F2D" w:rsidP="00820F2D">
      <w:pPr>
        <w:rPr>
          <w:rFonts w:asciiTheme="majorHAnsi" w:hAnsiTheme="majorHAnsi" w:cstheme="majorHAnsi"/>
        </w:rPr>
      </w:pPr>
    </w:p>
    <w:p w14:paraId="0C9BA4E9" w14:textId="77777777" w:rsidR="00820F2D" w:rsidRPr="00820F2D" w:rsidRDefault="00820F2D" w:rsidP="00820F2D">
      <w:pPr>
        <w:rPr>
          <w:rFonts w:asciiTheme="majorHAnsi" w:eastAsia="Times New Roman" w:hAnsiTheme="majorHAnsi" w:cstheme="majorHAnsi"/>
          <w:color w:val="000000"/>
          <w:lang w:eastAsia="en-GB"/>
        </w:rPr>
      </w:pPr>
      <w:r w:rsidRPr="00820F2D">
        <w:rPr>
          <w:rFonts w:asciiTheme="majorHAnsi" w:eastAsia="Times New Roman" w:hAnsiTheme="majorHAnsi" w:cstheme="majorHAnsi"/>
          <w:b/>
          <w:bCs/>
          <w:color w:val="000000"/>
          <w:lang w:eastAsia="en-GB"/>
        </w:rPr>
        <w:t>Table 7.</w:t>
      </w:r>
      <w:r w:rsidRPr="00820F2D">
        <w:rPr>
          <w:rFonts w:asciiTheme="majorHAnsi" w:eastAsia="Times New Roman" w:hAnsiTheme="majorHAnsi" w:cstheme="majorHAnsi"/>
          <w:color w:val="000000"/>
          <w:lang w:eastAsia="en-GB"/>
        </w:rPr>
        <w:t xml:space="preserve"> Moderating Effect of Sustainability Committee on Corporate Governance and ESG Performance</w:t>
      </w:r>
    </w:p>
    <w:p w14:paraId="4A1241A1" w14:textId="77777777" w:rsidR="00820F2D" w:rsidRPr="00820F2D" w:rsidRDefault="00820F2D" w:rsidP="00820F2D">
      <w:pPr>
        <w:rPr>
          <w:rFonts w:asciiTheme="majorHAnsi" w:eastAsia="Times New Roman" w:hAnsiTheme="majorHAnsi" w:cstheme="majorHAnsi"/>
          <w:color w:val="000000"/>
          <w:lang w:eastAsia="en-GB"/>
        </w:rPr>
      </w:pPr>
    </w:p>
    <w:tbl>
      <w:tblPr>
        <w:tblW w:w="9970" w:type="dxa"/>
        <w:tblInd w:w="-274" w:type="dxa"/>
        <w:tblLook w:val="04A0" w:firstRow="1" w:lastRow="0" w:firstColumn="1" w:lastColumn="0" w:noHBand="0" w:noVBand="1"/>
      </w:tblPr>
      <w:tblGrid>
        <w:gridCol w:w="1785"/>
        <w:gridCol w:w="2079"/>
        <w:gridCol w:w="2079"/>
        <w:gridCol w:w="2079"/>
        <w:gridCol w:w="1948"/>
      </w:tblGrid>
      <w:tr w:rsidR="00820F2D" w:rsidRPr="00820F2D" w14:paraId="743B3CFD" w14:textId="77777777" w:rsidTr="00EA7C8E">
        <w:trPr>
          <w:trHeight w:val="309"/>
        </w:trPr>
        <w:tc>
          <w:tcPr>
            <w:tcW w:w="1785" w:type="dxa"/>
            <w:tcBorders>
              <w:top w:val="single" w:sz="4" w:space="0" w:color="auto"/>
              <w:left w:val="nil"/>
              <w:bottom w:val="single" w:sz="4" w:space="0" w:color="auto"/>
              <w:right w:val="nil"/>
            </w:tcBorders>
            <w:noWrap/>
            <w:hideMark/>
          </w:tcPr>
          <w:p w14:paraId="396CA62A"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VARIABLES</w:t>
            </w:r>
          </w:p>
        </w:tc>
        <w:tc>
          <w:tcPr>
            <w:tcW w:w="2079" w:type="dxa"/>
            <w:tcBorders>
              <w:top w:val="single" w:sz="4" w:space="0" w:color="auto"/>
              <w:left w:val="nil"/>
              <w:bottom w:val="single" w:sz="4" w:space="0" w:color="auto"/>
              <w:right w:val="nil"/>
            </w:tcBorders>
            <w:noWrap/>
            <w:hideMark/>
          </w:tcPr>
          <w:p w14:paraId="182F6995"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ESG</w:t>
            </w:r>
          </w:p>
        </w:tc>
        <w:tc>
          <w:tcPr>
            <w:tcW w:w="2079" w:type="dxa"/>
            <w:tcBorders>
              <w:top w:val="single" w:sz="4" w:space="0" w:color="auto"/>
              <w:left w:val="nil"/>
              <w:bottom w:val="single" w:sz="4" w:space="0" w:color="auto"/>
              <w:right w:val="nil"/>
            </w:tcBorders>
            <w:noWrap/>
            <w:hideMark/>
          </w:tcPr>
          <w:p w14:paraId="6DF2482D"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ENV</w:t>
            </w:r>
          </w:p>
        </w:tc>
        <w:tc>
          <w:tcPr>
            <w:tcW w:w="2079" w:type="dxa"/>
            <w:tcBorders>
              <w:top w:val="single" w:sz="4" w:space="0" w:color="auto"/>
              <w:left w:val="nil"/>
              <w:bottom w:val="single" w:sz="4" w:space="0" w:color="auto"/>
              <w:right w:val="nil"/>
            </w:tcBorders>
            <w:noWrap/>
            <w:hideMark/>
          </w:tcPr>
          <w:p w14:paraId="02C7D865"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SOC</w:t>
            </w:r>
          </w:p>
        </w:tc>
        <w:tc>
          <w:tcPr>
            <w:tcW w:w="1948" w:type="dxa"/>
            <w:tcBorders>
              <w:top w:val="single" w:sz="4" w:space="0" w:color="auto"/>
              <w:left w:val="nil"/>
              <w:bottom w:val="single" w:sz="4" w:space="0" w:color="auto"/>
              <w:right w:val="nil"/>
            </w:tcBorders>
            <w:noWrap/>
            <w:hideMark/>
          </w:tcPr>
          <w:p w14:paraId="47C5397D"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GOV</w:t>
            </w:r>
          </w:p>
        </w:tc>
      </w:tr>
      <w:tr w:rsidR="00820F2D" w:rsidRPr="00820F2D" w14:paraId="7E7AA96E" w14:textId="77777777" w:rsidTr="00EA7C8E">
        <w:trPr>
          <w:trHeight w:val="309"/>
        </w:trPr>
        <w:tc>
          <w:tcPr>
            <w:tcW w:w="1785" w:type="dxa"/>
            <w:tcBorders>
              <w:top w:val="nil"/>
              <w:left w:val="nil"/>
              <w:bottom w:val="nil"/>
              <w:right w:val="nil"/>
            </w:tcBorders>
            <w:noWrap/>
            <w:hideMark/>
          </w:tcPr>
          <w:p w14:paraId="1F9F98D1"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BSIZE</w:t>
            </w:r>
          </w:p>
        </w:tc>
        <w:tc>
          <w:tcPr>
            <w:tcW w:w="2079" w:type="dxa"/>
            <w:tcBorders>
              <w:top w:val="nil"/>
              <w:left w:val="nil"/>
              <w:bottom w:val="nil"/>
              <w:right w:val="nil"/>
            </w:tcBorders>
            <w:noWrap/>
            <w:hideMark/>
          </w:tcPr>
          <w:p w14:paraId="48B65AC6"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−0.010** (0.005)</w:t>
            </w:r>
          </w:p>
        </w:tc>
        <w:tc>
          <w:tcPr>
            <w:tcW w:w="2079" w:type="dxa"/>
            <w:tcBorders>
              <w:top w:val="nil"/>
              <w:left w:val="nil"/>
              <w:bottom w:val="nil"/>
              <w:right w:val="nil"/>
            </w:tcBorders>
            <w:noWrap/>
            <w:hideMark/>
          </w:tcPr>
          <w:p w14:paraId="16C53766"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−0.013** (0.006)</w:t>
            </w:r>
          </w:p>
        </w:tc>
        <w:tc>
          <w:tcPr>
            <w:tcW w:w="2079" w:type="dxa"/>
            <w:tcBorders>
              <w:top w:val="nil"/>
              <w:left w:val="nil"/>
              <w:bottom w:val="nil"/>
              <w:right w:val="nil"/>
            </w:tcBorders>
            <w:noWrap/>
            <w:hideMark/>
          </w:tcPr>
          <w:p w14:paraId="26EAF2E3"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−0.009* (0.005)</w:t>
            </w:r>
          </w:p>
        </w:tc>
        <w:tc>
          <w:tcPr>
            <w:tcW w:w="1948" w:type="dxa"/>
            <w:tcBorders>
              <w:top w:val="nil"/>
              <w:left w:val="nil"/>
              <w:bottom w:val="nil"/>
              <w:right w:val="nil"/>
            </w:tcBorders>
            <w:noWrap/>
            <w:hideMark/>
          </w:tcPr>
          <w:p w14:paraId="1E74B619"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−0.007 (0.006)</w:t>
            </w:r>
          </w:p>
        </w:tc>
      </w:tr>
      <w:tr w:rsidR="00820F2D" w:rsidRPr="00820F2D" w14:paraId="55B5383A" w14:textId="77777777" w:rsidTr="00EA7C8E">
        <w:trPr>
          <w:trHeight w:val="309"/>
        </w:trPr>
        <w:tc>
          <w:tcPr>
            <w:tcW w:w="1785" w:type="dxa"/>
            <w:tcBorders>
              <w:top w:val="nil"/>
              <w:left w:val="nil"/>
              <w:bottom w:val="nil"/>
              <w:right w:val="nil"/>
            </w:tcBorders>
            <w:noWrap/>
            <w:hideMark/>
          </w:tcPr>
          <w:p w14:paraId="42C2E4AF"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BIND</w:t>
            </w:r>
          </w:p>
        </w:tc>
        <w:tc>
          <w:tcPr>
            <w:tcW w:w="2079" w:type="dxa"/>
            <w:tcBorders>
              <w:top w:val="nil"/>
              <w:left w:val="nil"/>
              <w:bottom w:val="nil"/>
              <w:right w:val="nil"/>
            </w:tcBorders>
            <w:noWrap/>
            <w:hideMark/>
          </w:tcPr>
          <w:p w14:paraId="49CBF400"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0.036*** (0.010)</w:t>
            </w:r>
          </w:p>
        </w:tc>
        <w:tc>
          <w:tcPr>
            <w:tcW w:w="2079" w:type="dxa"/>
            <w:tcBorders>
              <w:top w:val="nil"/>
              <w:left w:val="nil"/>
              <w:bottom w:val="nil"/>
              <w:right w:val="nil"/>
            </w:tcBorders>
            <w:noWrap/>
            <w:hideMark/>
          </w:tcPr>
          <w:p w14:paraId="305C8974"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0.034*** (0.011)</w:t>
            </w:r>
          </w:p>
        </w:tc>
        <w:tc>
          <w:tcPr>
            <w:tcW w:w="2079" w:type="dxa"/>
            <w:tcBorders>
              <w:top w:val="nil"/>
              <w:left w:val="nil"/>
              <w:bottom w:val="nil"/>
              <w:right w:val="nil"/>
            </w:tcBorders>
            <w:noWrap/>
            <w:hideMark/>
          </w:tcPr>
          <w:p w14:paraId="6911FEBB"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0.039*** (0.012)</w:t>
            </w:r>
          </w:p>
        </w:tc>
        <w:tc>
          <w:tcPr>
            <w:tcW w:w="1948" w:type="dxa"/>
            <w:tcBorders>
              <w:top w:val="nil"/>
              <w:left w:val="nil"/>
              <w:bottom w:val="nil"/>
              <w:right w:val="nil"/>
            </w:tcBorders>
            <w:noWrap/>
            <w:hideMark/>
          </w:tcPr>
          <w:p w14:paraId="726632BC"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0.026** (0.013)</w:t>
            </w:r>
          </w:p>
        </w:tc>
      </w:tr>
      <w:tr w:rsidR="00820F2D" w:rsidRPr="00820F2D" w14:paraId="5CF77F40" w14:textId="77777777" w:rsidTr="00EA7C8E">
        <w:trPr>
          <w:trHeight w:val="309"/>
        </w:trPr>
        <w:tc>
          <w:tcPr>
            <w:tcW w:w="1785" w:type="dxa"/>
            <w:tcBorders>
              <w:top w:val="nil"/>
              <w:left w:val="nil"/>
              <w:bottom w:val="nil"/>
              <w:right w:val="nil"/>
            </w:tcBorders>
            <w:noWrap/>
            <w:hideMark/>
          </w:tcPr>
          <w:p w14:paraId="243AF27F"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CEOD</w:t>
            </w:r>
          </w:p>
        </w:tc>
        <w:tc>
          <w:tcPr>
            <w:tcW w:w="2079" w:type="dxa"/>
            <w:tcBorders>
              <w:top w:val="nil"/>
              <w:left w:val="nil"/>
              <w:bottom w:val="nil"/>
              <w:right w:val="nil"/>
            </w:tcBorders>
            <w:noWrap/>
            <w:hideMark/>
          </w:tcPr>
          <w:p w14:paraId="0475BB6C"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−0.061*** (0.018)</w:t>
            </w:r>
          </w:p>
        </w:tc>
        <w:tc>
          <w:tcPr>
            <w:tcW w:w="2079" w:type="dxa"/>
            <w:tcBorders>
              <w:top w:val="nil"/>
              <w:left w:val="nil"/>
              <w:bottom w:val="nil"/>
              <w:right w:val="nil"/>
            </w:tcBorders>
            <w:noWrap/>
            <w:hideMark/>
          </w:tcPr>
          <w:p w14:paraId="33A3C413"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−0.056*** (0.020)</w:t>
            </w:r>
          </w:p>
        </w:tc>
        <w:tc>
          <w:tcPr>
            <w:tcW w:w="2079" w:type="dxa"/>
            <w:tcBorders>
              <w:top w:val="nil"/>
              <w:left w:val="nil"/>
              <w:bottom w:val="nil"/>
              <w:right w:val="nil"/>
            </w:tcBorders>
            <w:noWrap/>
            <w:hideMark/>
          </w:tcPr>
          <w:p w14:paraId="2CA5DC54"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−0.053*** (0.019)</w:t>
            </w:r>
          </w:p>
        </w:tc>
        <w:tc>
          <w:tcPr>
            <w:tcW w:w="1948" w:type="dxa"/>
            <w:tcBorders>
              <w:top w:val="nil"/>
              <w:left w:val="nil"/>
              <w:bottom w:val="nil"/>
              <w:right w:val="nil"/>
            </w:tcBorders>
            <w:noWrap/>
            <w:hideMark/>
          </w:tcPr>
          <w:p w14:paraId="72024AAB"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−0.045** (0.021)</w:t>
            </w:r>
          </w:p>
        </w:tc>
      </w:tr>
      <w:tr w:rsidR="00820F2D" w:rsidRPr="00820F2D" w14:paraId="0D7AF1D6" w14:textId="77777777" w:rsidTr="00EA7C8E">
        <w:trPr>
          <w:trHeight w:val="309"/>
        </w:trPr>
        <w:tc>
          <w:tcPr>
            <w:tcW w:w="1785" w:type="dxa"/>
            <w:tcBorders>
              <w:top w:val="nil"/>
              <w:left w:val="nil"/>
              <w:bottom w:val="nil"/>
              <w:right w:val="nil"/>
            </w:tcBorders>
            <w:noWrap/>
            <w:hideMark/>
          </w:tcPr>
          <w:p w14:paraId="1DD9A147"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BGD</w:t>
            </w:r>
          </w:p>
        </w:tc>
        <w:tc>
          <w:tcPr>
            <w:tcW w:w="2079" w:type="dxa"/>
            <w:tcBorders>
              <w:top w:val="nil"/>
              <w:left w:val="nil"/>
              <w:bottom w:val="nil"/>
              <w:right w:val="nil"/>
            </w:tcBorders>
            <w:noWrap/>
            <w:hideMark/>
          </w:tcPr>
          <w:p w14:paraId="410CF144"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0.072*** (0.023)</w:t>
            </w:r>
          </w:p>
        </w:tc>
        <w:tc>
          <w:tcPr>
            <w:tcW w:w="2079" w:type="dxa"/>
            <w:tcBorders>
              <w:top w:val="nil"/>
              <w:left w:val="nil"/>
              <w:bottom w:val="nil"/>
              <w:right w:val="nil"/>
            </w:tcBorders>
            <w:noWrap/>
            <w:hideMark/>
          </w:tcPr>
          <w:p w14:paraId="28909AB1"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0.068*** (0.025)</w:t>
            </w:r>
          </w:p>
        </w:tc>
        <w:tc>
          <w:tcPr>
            <w:tcW w:w="2079" w:type="dxa"/>
            <w:tcBorders>
              <w:top w:val="nil"/>
              <w:left w:val="nil"/>
              <w:bottom w:val="nil"/>
              <w:right w:val="nil"/>
            </w:tcBorders>
            <w:noWrap/>
            <w:hideMark/>
          </w:tcPr>
          <w:p w14:paraId="4E8B3BBC"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0.075*** (0.026)</w:t>
            </w:r>
          </w:p>
        </w:tc>
        <w:tc>
          <w:tcPr>
            <w:tcW w:w="1948" w:type="dxa"/>
            <w:tcBorders>
              <w:top w:val="nil"/>
              <w:left w:val="nil"/>
              <w:bottom w:val="nil"/>
              <w:right w:val="nil"/>
            </w:tcBorders>
            <w:noWrap/>
            <w:hideMark/>
          </w:tcPr>
          <w:p w14:paraId="4E7F876B"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0.051** (0.024)</w:t>
            </w:r>
          </w:p>
        </w:tc>
      </w:tr>
      <w:tr w:rsidR="00820F2D" w:rsidRPr="00820F2D" w14:paraId="56FB6783" w14:textId="77777777" w:rsidTr="00EA7C8E">
        <w:trPr>
          <w:trHeight w:val="309"/>
        </w:trPr>
        <w:tc>
          <w:tcPr>
            <w:tcW w:w="1785" w:type="dxa"/>
            <w:tcBorders>
              <w:top w:val="nil"/>
              <w:left w:val="nil"/>
              <w:bottom w:val="nil"/>
              <w:right w:val="nil"/>
            </w:tcBorders>
            <w:noWrap/>
            <w:hideMark/>
          </w:tcPr>
          <w:p w14:paraId="409C49AD"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SC</w:t>
            </w:r>
          </w:p>
        </w:tc>
        <w:tc>
          <w:tcPr>
            <w:tcW w:w="2079" w:type="dxa"/>
            <w:tcBorders>
              <w:top w:val="nil"/>
              <w:left w:val="nil"/>
              <w:bottom w:val="nil"/>
              <w:right w:val="nil"/>
            </w:tcBorders>
            <w:noWrap/>
            <w:hideMark/>
          </w:tcPr>
          <w:p w14:paraId="46C34EC2"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0.058*** (0.020)</w:t>
            </w:r>
          </w:p>
        </w:tc>
        <w:tc>
          <w:tcPr>
            <w:tcW w:w="2079" w:type="dxa"/>
            <w:tcBorders>
              <w:top w:val="nil"/>
              <w:left w:val="nil"/>
              <w:bottom w:val="nil"/>
              <w:right w:val="nil"/>
            </w:tcBorders>
            <w:noWrap/>
            <w:hideMark/>
          </w:tcPr>
          <w:p w14:paraId="4DB14B4E"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0.054** (0.022)</w:t>
            </w:r>
          </w:p>
        </w:tc>
        <w:tc>
          <w:tcPr>
            <w:tcW w:w="2079" w:type="dxa"/>
            <w:tcBorders>
              <w:top w:val="nil"/>
              <w:left w:val="nil"/>
              <w:bottom w:val="nil"/>
              <w:right w:val="nil"/>
            </w:tcBorders>
            <w:noWrap/>
            <w:hideMark/>
          </w:tcPr>
          <w:p w14:paraId="25A2DF95"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0.057*** (0.021)</w:t>
            </w:r>
          </w:p>
        </w:tc>
        <w:tc>
          <w:tcPr>
            <w:tcW w:w="1948" w:type="dxa"/>
            <w:tcBorders>
              <w:top w:val="nil"/>
              <w:left w:val="nil"/>
              <w:bottom w:val="nil"/>
              <w:right w:val="nil"/>
            </w:tcBorders>
            <w:noWrap/>
            <w:hideMark/>
          </w:tcPr>
          <w:p w14:paraId="74680E59"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0.042* (0.023)</w:t>
            </w:r>
          </w:p>
        </w:tc>
      </w:tr>
      <w:tr w:rsidR="00820F2D" w:rsidRPr="00820F2D" w14:paraId="4B4EA747" w14:textId="77777777" w:rsidTr="00EA7C8E">
        <w:trPr>
          <w:trHeight w:val="309"/>
        </w:trPr>
        <w:tc>
          <w:tcPr>
            <w:tcW w:w="1785" w:type="dxa"/>
            <w:tcBorders>
              <w:top w:val="nil"/>
              <w:left w:val="nil"/>
              <w:bottom w:val="nil"/>
              <w:right w:val="nil"/>
            </w:tcBorders>
            <w:noWrap/>
            <w:hideMark/>
          </w:tcPr>
          <w:p w14:paraId="05BEFE1C"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BGD × SC</w:t>
            </w:r>
          </w:p>
        </w:tc>
        <w:tc>
          <w:tcPr>
            <w:tcW w:w="2079" w:type="dxa"/>
            <w:tcBorders>
              <w:top w:val="nil"/>
              <w:left w:val="nil"/>
              <w:bottom w:val="nil"/>
              <w:right w:val="nil"/>
            </w:tcBorders>
            <w:noWrap/>
            <w:hideMark/>
          </w:tcPr>
          <w:p w14:paraId="0B2732C5"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0.041** (0.018)</w:t>
            </w:r>
          </w:p>
        </w:tc>
        <w:tc>
          <w:tcPr>
            <w:tcW w:w="2079" w:type="dxa"/>
            <w:tcBorders>
              <w:top w:val="nil"/>
              <w:left w:val="nil"/>
              <w:bottom w:val="nil"/>
              <w:right w:val="nil"/>
            </w:tcBorders>
            <w:noWrap/>
            <w:hideMark/>
          </w:tcPr>
          <w:p w14:paraId="79D364B0"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0.038** (0.019)</w:t>
            </w:r>
          </w:p>
        </w:tc>
        <w:tc>
          <w:tcPr>
            <w:tcW w:w="2079" w:type="dxa"/>
            <w:tcBorders>
              <w:top w:val="nil"/>
              <w:left w:val="nil"/>
              <w:bottom w:val="nil"/>
              <w:right w:val="nil"/>
            </w:tcBorders>
            <w:noWrap/>
            <w:hideMark/>
          </w:tcPr>
          <w:p w14:paraId="3DCAABD3"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0.044** (0.020)</w:t>
            </w:r>
          </w:p>
        </w:tc>
        <w:tc>
          <w:tcPr>
            <w:tcW w:w="1948" w:type="dxa"/>
            <w:tcBorders>
              <w:top w:val="nil"/>
              <w:left w:val="nil"/>
              <w:bottom w:val="nil"/>
              <w:right w:val="nil"/>
            </w:tcBorders>
            <w:noWrap/>
            <w:hideMark/>
          </w:tcPr>
          <w:p w14:paraId="232E891B"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0.031* (0.018)</w:t>
            </w:r>
          </w:p>
        </w:tc>
      </w:tr>
      <w:tr w:rsidR="00820F2D" w:rsidRPr="00820F2D" w14:paraId="3EC0CB82" w14:textId="77777777" w:rsidTr="00EA7C8E">
        <w:trPr>
          <w:trHeight w:val="309"/>
        </w:trPr>
        <w:tc>
          <w:tcPr>
            <w:tcW w:w="1785" w:type="dxa"/>
            <w:tcBorders>
              <w:top w:val="nil"/>
              <w:left w:val="nil"/>
              <w:bottom w:val="nil"/>
              <w:right w:val="nil"/>
            </w:tcBorders>
            <w:noWrap/>
            <w:hideMark/>
          </w:tcPr>
          <w:p w14:paraId="237419CC"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ROA</w:t>
            </w:r>
          </w:p>
        </w:tc>
        <w:tc>
          <w:tcPr>
            <w:tcW w:w="2079" w:type="dxa"/>
            <w:tcBorders>
              <w:top w:val="nil"/>
              <w:left w:val="nil"/>
              <w:bottom w:val="nil"/>
              <w:right w:val="nil"/>
            </w:tcBorders>
            <w:noWrap/>
            <w:hideMark/>
          </w:tcPr>
          <w:p w14:paraId="380E7A21"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0.027*** (0.009)</w:t>
            </w:r>
          </w:p>
        </w:tc>
        <w:tc>
          <w:tcPr>
            <w:tcW w:w="2079" w:type="dxa"/>
            <w:tcBorders>
              <w:top w:val="nil"/>
              <w:left w:val="nil"/>
              <w:bottom w:val="nil"/>
              <w:right w:val="nil"/>
            </w:tcBorders>
            <w:noWrap/>
            <w:hideMark/>
          </w:tcPr>
          <w:p w14:paraId="1E7027B8"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0.024** (0.010)</w:t>
            </w:r>
          </w:p>
        </w:tc>
        <w:tc>
          <w:tcPr>
            <w:tcW w:w="2079" w:type="dxa"/>
            <w:tcBorders>
              <w:top w:val="nil"/>
              <w:left w:val="nil"/>
              <w:bottom w:val="nil"/>
              <w:right w:val="nil"/>
            </w:tcBorders>
            <w:noWrap/>
            <w:hideMark/>
          </w:tcPr>
          <w:p w14:paraId="4FB08E9E"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0.030*** (0.011)</w:t>
            </w:r>
          </w:p>
        </w:tc>
        <w:tc>
          <w:tcPr>
            <w:tcW w:w="1948" w:type="dxa"/>
            <w:tcBorders>
              <w:top w:val="nil"/>
              <w:left w:val="nil"/>
              <w:bottom w:val="nil"/>
              <w:right w:val="nil"/>
            </w:tcBorders>
            <w:noWrap/>
            <w:hideMark/>
          </w:tcPr>
          <w:p w14:paraId="435C15E5"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0.018* (0.010)</w:t>
            </w:r>
          </w:p>
        </w:tc>
      </w:tr>
      <w:tr w:rsidR="00820F2D" w:rsidRPr="00820F2D" w14:paraId="750433F1" w14:textId="77777777" w:rsidTr="00EA7C8E">
        <w:trPr>
          <w:trHeight w:val="309"/>
        </w:trPr>
        <w:tc>
          <w:tcPr>
            <w:tcW w:w="1785" w:type="dxa"/>
            <w:tcBorders>
              <w:top w:val="nil"/>
              <w:left w:val="nil"/>
              <w:bottom w:val="nil"/>
              <w:right w:val="nil"/>
            </w:tcBorders>
            <w:noWrap/>
            <w:hideMark/>
          </w:tcPr>
          <w:p w14:paraId="054C017D"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FSIZE</w:t>
            </w:r>
          </w:p>
        </w:tc>
        <w:tc>
          <w:tcPr>
            <w:tcW w:w="2079" w:type="dxa"/>
            <w:tcBorders>
              <w:top w:val="nil"/>
              <w:left w:val="nil"/>
              <w:bottom w:val="nil"/>
              <w:right w:val="nil"/>
            </w:tcBorders>
            <w:noWrap/>
            <w:hideMark/>
          </w:tcPr>
          <w:p w14:paraId="4FE1C1EB"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0.109*** (0.017)</w:t>
            </w:r>
          </w:p>
        </w:tc>
        <w:tc>
          <w:tcPr>
            <w:tcW w:w="2079" w:type="dxa"/>
            <w:tcBorders>
              <w:top w:val="nil"/>
              <w:left w:val="nil"/>
              <w:bottom w:val="nil"/>
              <w:right w:val="nil"/>
            </w:tcBorders>
            <w:noWrap/>
            <w:hideMark/>
          </w:tcPr>
          <w:p w14:paraId="22D94657"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0.102*** (0.018)</w:t>
            </w:r>
          </w:p>
        </w:tc>
        <w:tc>
          <w:tcPr>
            <w:tcW w:w="2079" w:type="dxa"/>
            <w:tcBorders>
              <w:top w:val="nil"/>
              <w:left w:val="nil"/>
              <w:bottom w:val="nil"/>
              <w:right w:val="nil"/>
            </w:tcBorders>
            <w:noWrap/>
            <w:hideMark/>
          </w:tcPr>
          <w:p w14:paraId="046C35A6"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0.106*** (0.019)</w:t>
            </w:r>
          </w:p>
        </w:tc>
        <w:tc>
          <w:tcPr>
            <w:tcW w:w="1948" w:type="dxa"/>
            <w:tcBorders>
              <w:top w:val="nil"/>
              <w:left w:val="nil"/>
              <w:bottom w:val="nil"/>
              <w:right w:val="nil"/>
            </w:tcBorders>
            <w:noWrap/>
            <w:hideMark/>
          </w:tcPr>
          <w:p w14:paraId="4652E411"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0.085*** (0.020)</w:t>
            </w:r>
          </w:p>
        </w:tc>
      </w:tr>
      <w:tr w:rsidR="00820F2D" w:rsidRPr="00820F2D" w14:paraId="7183FD7E" w14:textId="77777777" w:rsidTr="00EA7C8E">
        <w:trPr>
          <w:trHeight w:val="309"/>
        </w:trPr>
        <w:tc>
          <w:tcPr>
            <w:tcW w:w="1785" w:type="dxa"/>
            <w:tcBorders>
              <w:top w:val="nil"/>
              <w:left w:val="nil"/>
              <w:bottom w:val="nil"/>
              <w:right w:val="nil"/>
            </w:tcBorders>
            <w:noWrap/>
            <w:hideMark/>
          </w:tcPr>
          <w:p w14:paraId="3D49A79A"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FAGE</w:t>
            </w:r>
          </w:p>
        </w:tc>
        <w:tc>
          <w:tcPr>
            <w:tcW w:w="2079" w:type="dxa"/>
            <w:tcBorders>
              <w:top w:val="nil"/>
              <w:left w:val="nil"/>
              <w:bottom w:val="nil"/>
              <w:right w:val="nil"/>
            </w:tcBorders>
            <w:noWrap/>
            <w:hideMark/>
          </w:tcPr>
          <w:p w14:paraId="4DAF8CF2"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0.013** (0.006)</w:t>
            </w:r>
          </w:p>
        </w:tc>
        <w:tc>
          <w:tcPr>
            <w:tcW w:w="2079" w:type="dxa"/>
            <w:tcBorders>
              <w:top w:val="nil"/>
              <w:left w:val="nil"/>
              <w:bottom w:val="nil"/>
              <w:right w:val="nil"/>
            </w:tcBorders>
            <w:noWrap/>
            <w:hideMark/>
          </w:tcPr>
          <w:p w14:paraId="62BEFD20"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0.010* (0.006)</w:t>
            </w:r>
          </w:p>
        </w:tc>
        <w:tc>
          <w:tcPr>
            <w:tcW w:w="2079" w:type="dxa"/>
            <w:tcBorders>
              <w:top w:val="nil"/>
              <w:left w:val="nil"/>
              <w:bottom w:val="nil"/>
              <w:right w:val="nil"/>
            </w:tcBorders>
            <w:noWrap/>
            <w:hideMark/>
          </w:tcPr>
          <w:p w14:paraId="54018CF7"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0.012** (0.006)</w:t>
            </w:r>
          </w:p>
        </w:tc>
        <w:tc>
          <w:tcPr>
            <w:tcW w:w="1948" w:type="dxa"/>
            <w:tcBorders>
              <w:top w:val="nil"/>
              <w:left w:val="nil"/>
              <w:bottom w:val="nil"/>
              <w:right w:val="nil"/>
            </w:tcBorders>
            <w:noWrap/>
            <w:hideMark/>
          </w:tcPr>
          <w:p w14:paraId="5A89BF7D"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0.008 (0.007)</w:t>
            </w:r>
          </w:p>
        </w:tc>
      </w:tr>
      <w:tr w:rsidR="00820F2D" w:rsidRPr="00820F2D" w14:paraId="1FA32183" w14:textId="77777777" w:rsidTr="00EA7C8E">
        <w:trPr>
          <w:trHeight w:val="309"/>
        </w:trPr>
        <w:tc>
          <w:tcPr>
            <w:tcW w:w="1785" w:type="dxa"/>
            <w:tcBorders>
              <w:top w:val="nil"/>
              <w:left w:val="nil"/>
              <w:bottom w:val="nil"/>
              <w:right w:val="nil"/>
            </w:tcBorders>
            <w:noWrap/>
            <w:hideMark/>
          </w:tcPr>
          <w:p w14:paraId="6FA0B7DE"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LEV</w:t>
            </w:r>
          </w:p>
        </w:tc>
        <w:tc>
          <w:tcPr>
            <w:tcW w:w="2079" w:type="dxa"/>
            <w:tcBorders>
              <w:top w:val="nil"/>
              <w:left w:val="nil"/>
              <w:bottom w:val="nil"/>
              <w:right w:val="nil"/>
            </w:tcBorders>
            <w:noWrap/>
            <w:hideMark/>
          </w:tcPr>
          <w:p w14:paraId="03BAAB79"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−0.034*** (0.012)</w:t>
            </w:r>
          </w:p>
        </w:tc>
        <w:tc>
          <w:tcPr>
            <w:tcW w:w="2079" w:type="dxa"/>
            <w:tcBorders>
              <w:top w:val="nil"/>
              <w:left w:val="nil"/>
              <w:bottom w:val="nil"/>
              <w:right w:val="nil"/>
            </w:tcBorders>
            <w:noWrap/>
            <w:hideMark/>
          </w:tcPr>
          <w:p w14:paraId="2B51031F"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−0.031** (0.013)</w:t>
            </w:r>
          </w:p>
        </w:tc>
        <w:tc>
          <w:tcPr>
            <w:tcW w:w="2079" w:type="dxa"/>
            <w:tcBorders>
              <w:top w:val="nil"/>
              <w:left w:val="nil"/>
              <w:bottom w:val="nil"/>
              <w:right w:val="nil"/>
            </w:tcBorders>
            <w:noWrap/>
            <w:hideMark/>
          </w:tcPr>
          <w:p w14:paraId="5DF17EA6"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−0.037*** (0.014)</w:t>
            </w:r>
          </w:p>
        </w:tc>
        <w:tc>
          <w:tcPr>
            <w:tcW w:w="1948" w:type="dxa"/>
            <w:tcBorders>
              <w:top w:val="nil"/>
              <w:left w:val="nil"/>
              <w:bottom w:val="nil"/>
              <w:right w:val="nil"/>
            </w:tcBorders>
            <w:noWrap/>
            <w:hideMark/>
          </w:tcPr>
          <w:p w14:paraId="14947D99"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−0.027** (0.013)</w:t>
            </w:r>
          </w:p>
        </w:tc>
      </w:tr>
      <w:tr w:rsidR="00820F2D" w:rsidRPr="00820F2D" w14:paraId="6515240E" w14:textId="77777777" w:rsidTr="00EA7C8E">
        <w:trPr>
          <w:trHeight w:val="309"/>
        </w:trPr>
        <w:tc>
          <w:tcPr>
            <w:tcW w:w="1785" w:type="dxa"/>
            <w:tcBorders>
              <w:top w:val="nil"/>
              <w:left w:val="nil"/>
              <w:bottom w:val="nil"/>
              <w:right w:val="nil"/>
            </w:tcBorders>
            <w:noWrap/>
            <w:hideMark/>
          </w:tcPr>
          <w:p w14:paraId="50496AA4"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Industry FE</w:t>
            </w:r>
          </w:p>
        </w:tc>
        <w:tc>
          <w:tcPr>
            <w:tcW w:w="2079" w:type="dxa"/>
            <w:tcBorders>
              <w:top w:val="nil"/>
              <w:left w:val="nil"/>
              <w:bottom w:val="nil"/>
              <w:right w:val="nil"/>
            </w:tcBorders>
            <w:noWrap/>
            <w:hideMark/>
          </w:tcPr>
          <w:p w14:paraId="2B8CFD6E"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2079" w:type="dxa"/>
            <w:tcBorders>
              <w:top w:val="nil"/>
              <w:left w:val="nil"/>
              <w:bottom w:val="nil"/>
              <w:right w:val="nil"/>
            </w:tcBorders>
            <w:noWrap/>
            <w:hideMark/>
          </w:tcPr>
          <w:p w14:paraId="5AE3355C"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2079" w:type="dxa"/>
            <w:tcBorders>
              <w:top w:val="nil"/>
              <w:left w:val="nil"/>
              <w:bottom w:val="nil"/>
              <w:right w:val="nil"/>
            </w:tcBorders>
            <w:noWrap/>
            <w:hideMark/>
          </w:tcPr>
          <w:p w14:paraId="5982E070"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948" w:type="dxa"/>
            <w:tcBorders>
              <w:top w:val="nil"/>
              <w:left w:val="nil"/>
              <w:bottom w:val="nil"/>
              <w:right w:val="nil"/>
            </w:tcBorders>
            <w:noWrap/>
            <w:hideMark/>
          </w:tcPr>
          <w:p w14:paraId="0CE9169C"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r>
      <w:tr w:rsidR="00820F2D" w:rsidRPr="00820F2D" w14:paraId="36047CC3" w14:textId="77777777" w:rsidTr="00EA7C8E">
        <w:trPr>
          <w:trHeight w:val="309"/>
        </w:trPr>
        <w:tc>
          <w:tcPr>
            <w:tcW w:w="1785" w:type="dxa"/>
            <w:tcBorders>
              <w:top w:val="nil"/>
              <w:left w:val="nil"/>
              <w:bottom w:val="nil"/>
              <w:right w:val="nil"/>
            </w:tcBorders>
            <w:noWrap/>
            <w:hideMark/>
          </w:tcPr>
          <w:p w14:paraId="77150E91"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Year FE</w:t>
            </w:r>
          </w:p>
        </w:tc>
        <w:tc>
          <w:tcPr>
            <w:tcW w:w="2079" w:type="dxa"/>
            <w:tcBorders>
              <w:top w:val="nil"/>
              <w:left w:val="nil"/>
              <w:bottom w:val="nil"/>
              <w:right w:val="nil"/>
            </w:tcBorders>
            <w:noWrap/>
            <w:hideMark/>
          </w:tcPr>
          <w:p w14:paraId="7DDCB693"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2079" w:type="dxa"/>
            <w:tcBorders>
              <w:top w:val="nil"/>
              <w:left w:val="nil"/>
              <w:bottom w:val="nil"/>
              <w:right w:val="nil"/>
            </w:tcBorders>
            <w:noWrap/>
            <w:hideMark/>
          </w:tcPr>
          <w:p w14:paraId="175526CE"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2079" w:type="dxa"/>
            <w:tcBorders>
              <w:top w:val="nil"/>
              <w:left w:val="nil"/>
              <w:bottom w:val="nil"/>
              <w:right w:val="nil"/>
            </w:tcBorders>
            <w:noWrap/>
            <w:hideMark/>
          </w:tcPr>
          <w:p w14:paraId="38BE7AFD"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c>
          <w:tcPr>
            <w:tcW w:w="1948" w:type="dxa"/>
            <w:tcBorders>
              <w:top w:val="nil"/>
              <w:left w:val="nil"/>
              <w:bottom w:val="nil"/>
              <w:right w:val="nil"/>
            </w:tcBorders>
            <w:noWrap/>
            <w:hideMark/>
          </w:tcPr>
          <w:p w14:paraId="7E8100B1"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Yes</w:t>
            </w:r>
          </w:p>
        </w:tc>
      </w:tr>
      <w:tr w:rsidR="00820F2D" w:rsidRPr="00820F2D" w14:paraId="02B51391" w14:textId="77777777" w:rsidTr="00EA7C8E">
        <w:trPr>
          <w:trHeight w:val="309"/>
        </w:trPr>
        <w:tc>
          <w:tcPr>
            <w:tcW w:w="1785" w:type="dxa"/>
            <w:tcBorders>
              <w:top w:val="nil"/>
              <w:left w:val="nil"/>
              <w:bottom w:val="nil"/>
              <w:right w:val="nil"/>
            </w:tcBorders>
            <w:noWrap/>
            <w:hideMark/>
          </w:tcPr>
          <w:p w14:paraId="6533256C"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Observations</w:t>
            </w:r>
          </w:p>
        </w:tc>
        <w:tc>
          <w:tcPr>
            <w:tcW w:w="2079" w:type="dxa"/>
            <w:tcBorders>
              <w:top w:val="nil"/>
              <w:left w:val="nil"/>
              <w:bottom w:val="nil"/>
              <w:right w:val="nil"/>
            </w:tcBorders>
            <w:noWrap/>
            <w:hideMark/>
          </w:tcPr>
          <w:p w14:paraId="762F7F3E"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c>
          <w:tcPr>
            <w:tcW w:w="2079" w:type="dxa"/>
            <w:tcBorders>
              <w:top w:val="nil"/>
              <w:left w:val="nil"/>
              <w:bottom w:val="nil"/>
              <w:right w:val="nil"/>
            </w:tcBorders>
            <w:noWrap/>
            <w:hideMark/>
          </w:tcPr>
          <w:p w14:paraId="173153A7"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c>
          <w:tcPr>
            <w:tcW w:w="2079" w:type="dxa"/>
            <w:tcBorders>
              <w:top w:val="nil"/>
              <w:left w:val="nil"/>
              <w:bottom w:val="nil"/>
              <w:right w:val="nil"/>
            </w:tcBorders>
            <w:noWrap/>
            <w:hideMark/>
          </w:tcPr>
          <w:p w14:paraId="5A62F752"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c>
          <w:tcPr>
            <w:tcW w:w="1948" w:type="dxa"/>
            <w:tcBorders>
              <w:top w:val="nil"/>
              <w:left w:val="nil"/>
              <w:bottom w:val="nil"/>
              <w:right w:val="nil"/>
            </w:tcBorders>
            <w:noWrap/>
            <w:hideMark/>
          </w:tcPr>
          <w:p w14:paraId="21B6F3D6"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7,201</w:t>
            </w:r>
          </w:p>
        </w:tc>
      </w:tr>
      <w:tr w:rsidR="00820F2D" w:rsidRPr="00820F2D" w14:paraId="14FC771A" w14:textId="77777777" w:rsidTr="00EA7C8E">
        <w:trPr>
          <w:trHeight w:val="309"/>
        </w:trPr>
        <w:tc>
          <w:tcPr>
            <w:tcW w:w="1785" w:type="dxa"/>
            <w:tcBorders>
              <w:top w:val="nil"/>
              <w:left w:val="nil"/>
              <w:bottom w:val="nil"/>
              <w:right w:val="nil"/>
            </w:tcBorders>
            <w:noWrap/>
            <w:hideMark/>
          </w:tcPr>
          <w:p w14:paraId="77BC4557"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Adjusted R²</w:t>
            </w:r>
          </w:p>
        </w:tc>
        <w:tc>
          <w:tcPr>
            <w:tcW w:w="2079" w:type="dxa"/>
            <w:tcBorders>
              <w:top w:val="nil"/>
              <w:left w:val="nil"/>
              <w:bottom w:val="nil"/>
              <w:right w:val="nil"/>
            </w:tcBorders>
            <w:noWrap/>
            <w:hideMark/>
          </w:tcPr>
          <w:p w14:paraId="0CBD0622"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0.428</w:t>
            </w:r>
          </w:p>
        </w:tc>
        <w:tc>
          <w:tcPr>
            <w:tcW w:w="2079" w:type="dxa"/>
            <w:tcBorders>
              <w:top w:val="nil"/>
              <w:left w:val="nil"/>
              <w:bottom w:val="nil"/>
              <w:right w:val="nil"/>
            </w:tcBorders>
            <w:noWrap/>
            <w:hideMark/>
          </w:tcPr>
          <w:p w14:paraId="4AA10391"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0.401</w:t>
            </w:r>
          </w:p>
        </w:tc>
        <w:tc>
          <w:tcPr>
            <w:tcW w:w="2079" w:type="dxa"/>
            <w:tcBorders>
              <w:top w:val="nil"/>
              <w:left w:val="nil"/>
              <w:bottom w:val="nil"/>
              <w:right w:val="nil"/>
            </w:tcBorders>
            <w:noWrap/>
            <w:hideMark/>
          </w:tcPr>
          <w:p w14:paraId="1E12BAE1"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0.417</w:t>
            </w:r>
          </w:p>
        </w:tc>
        <w:tc>
          <w:tcPr>
            <w:tcW w:w="1948" w:type="dxa"/>
            <w:tcBorders>
              <w:top w:val="nil"/>
              <w:left w:val="nil"/>
              <w:bottom w:val="nil"/>
              <w:right w:val="nil"/>
            </w:tcBorders>
            <w:noWrap/>
            <w:hideMark/>
          </w:tcPr>
          <w:p w14:paraId="4F97FE1D"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0.352</w:t>
            </w:r>
          </w:p>
        </w:tc>
      </w:tr>
      <w:tr w:rsidR="00820F2D" w:rsidRPr="00820F2D" w14:paraId="37CDC6BD" w14:textId="77777777" w:rsidTr="00EA7C8E">
        <w:trPr>
          <w:trHeight w:val="309"/>
        </w:trPr>
        <w:tc>
          <w:tcPr>
            <w:tcW w:w="1785" w:type="dxa"/>
            <w:tcBorders>
              <w:top w:val="nil"/>
              <w:left w:val="nil"/>
              <w:bottom w:val="single" w:sz="4" w:space="0" w:color="auto"/>
              <w:right w:val="nil"/>
            </w:tcBorders>
            <w:noWrap/>
            <w:hideMark/>
          </w:tcPr>
          <w:p w14:paraId="3471EEBF" w14:textId="77777777" w:rsidR="00820F2D" w:rsidRPr="00820F2D" w:rsidRDefault="00820F2D" w:rsidP="00EA7C8E">
            <w:pPr>
              <w:rPr>
                <w:rFonts w:asciiTheme="majorHAnsi" w:eastAsia="Times New Roman" w:hAnsiTheme="majorHAnsi" w:cstheme="majorHAnsi"/>
                <w:b/>
                <w:bCs/>
                <w:color w:val="000000"/>
                <w:lang w:eastAsia="en-GB"/>
              </w:rPr>
            </w:pPr>
            <w:r w:rsidRPr="00820F2D">
              <w:rPr>
                <w:rFonts w:asciiTheme="majorHAnsi" w:eastAsia="Times New Roman" w:hAnsiTheme="majorHAnsi" w:cstheme="majorHAnsi"/>
                <w:b/>
                <w:bCs/>
                <w:color w:val="000000"/>
                <w:lang w:eastAsia="en-GB"/>
              </w:rPr>
              <w:t>Mean VIF</w:t>
            </w:r>
          </w:p>
        </w:tc>
        <w:tc>
          <w:tcPr>
            <w:tcW w:w="2079" w:type="dxa"/>
            <w:tcBorders>
              <w:top w:val="nil"/>
              <w:left w:val="nil"/>
              <w:bottom w:val="single" w:sz="4" w:space="0" w:color="auto"/>
              <w:right w:val="nil"/>
            </w:tcBorders>
            <w:noWrap/>
            <w:hideMark/>
          </w:tcPr>
          <w:p w14:paraId="11E0E81C"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1.96</w:t>
            </w:r>
          </w:p>
        </w:tc>
        <w:tc>
          <w:tcPr>
            <w:tcW w:w="2079" w:type="dxa"/>
            <w:tcBorders>
              <w:top w:val="nil"/>
              <w:left w:val="nil"/>
              <w:bottom w:val="single" w:sz="4" w:space="0" w:color="auto"/>
              <w:right w:val="nil"/>
            </w:tcBorders>
            <w:noWrap/>
            <w:hideMark/>
          </w:tcPr>
          <w:p w14:paraId="7C354206"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1.96</w:t>
            </w:r>
          </w:p>
        </w:tc>
        <w:tc>
          <w:tcPr>
            <w:tcW w:w="2079" w:type="dxa"/>
            <w:tcBorders>
              <w:top w:val="nil"/>
              <w:left w:val="nil"/>
              <w:bottom w:val="single" w:sz="4" w:space="0" w:color="auto"/>
              <w:right w:val="nil"/>
            </w:tcBorders>
            <w:noWrap/>
            <w:hideMark/>
          </w:tcPr>
          <w:p w14:paraId="2232E7CD"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1.96</w:t>
            </w:r>
          </w:p>
        </w:tc>
        <w:tc>
          <w:tcPr>
            <w:tcW w:w="1948" w:type="dxa"/>
            <w:tcBorders>
              <w:top w:val="nil"/>
              <w:left w:val="nil"/>
              <w:bottom w:val="single" w:sz="4" w:space="0" w:color="auto"/>
              <w:right w:val="nil"/>
            </w:tcBorders>
            <w:noWrap/>
            <w:hideMark/>
          </w:tcPr>
          <w:p w14:paraId="15F3749F" w14:textId="77777777" w:rsidR="00820F2D" w:rsidRPr="00820F2D" w:rsidRDefault="00820F2D" w:rsidP="00EA7C8E">
            <w:pPr>
              <w:rPr>
                <w:rFonts w:asciiTheme="majorHAnsi" w:eastAsia="Times New Roman" w:hAnsiTheme="majorHAnsi" w:cstheme="majorHAnsi"/>
                <w:color w:val="000000"/>
                <w:lang w:eastAsia="en-GB"/>
              </w:rPr>
            </w:pPr>
            <w:r w:rsidRPr="00820F2D">
              <w:rPr>
                <w:rFonts w:asciiTheme="majorHAnsi" w:eastAsia="Times New Roman" w:hAnsiTheme="majorHAnsi" w:cstheme="majorHAnsi"/>
                <w:color w:val="000000"/>
                <w:lang w:eastAsia="en-GB"/>
              </w:rPr>
              <w:t>1.96</w:t>
            </w:r>
          </w:p>
        </w:tc>
      </w:tr>
    </w:tbl>
    <w:p w14:paraId="6C4E055E" w14:textId="77777777" w:rsidR="00820F2D" w:rsidRDefault="00820F2D" w:rsidP="00820F2D">
      <w:pPr>
        <w:rPr>
          <w:rFonts w:asciiTheme="majorHAnsi" w:hAnsiTheme="majorHAnsi" w:cstheme="majorHAnsi"/>
        </w:rPr>
      </w:pPr>
      <w:r w:rsidRPr="00820F2D">
        <w:rPr>
          <w:rFonts w:asciiTheme="majorHAnsi" w:hAnsiTheme="majorHAnsi" w:cstheme="majorHAnsi"/>
        </w:rPr>
        <w:t>Notes. Robust standard errors clustered at the firm level are reported in parentheses. ***, **, and * indicate significance at the 1%, 5%, and 10% levels, respectively. All models include industry and year fixed effects. Variance inflation factors (VIFs) are below conventional thresholds, indicating no multicollinearity concerns. All variables are defined in Table 1.</w:t>
      </w:r>
    </w:p>
    <w:p w14:paraId="0830D6A5" w14:textId="77777777" w:rsidR="00820F2D" w:rsidRPr="00820F2D" w:rsidRDefault="00820F2D" w:rsidP="00820F2D">
      <w:pPr>
        <w:rPr>
          <w:rFonts w:asciiTheme="majorHAnsi" w:hAnsiTheme="majorHAnsi" w:cstheme="majorHAnsi"/>
        </w:rPr>
      </w:pPr>
    </w:p>
    <w:p w14:paraId="54A73635" w14:textId="77777777" w:rsidR="00820F2D" w:rsidRPr="00820F2D" w:rsidRDefault="00820F2D" w:rsidP="00820F2D">
      <w:pPr>
        <w:spacing w:line="360" w:lineRule="auto"/>
        <w:rPr>
          <w:rFonts w:asciiTheme="majorHAnsi" w:hAnsiTheme="majorHAnsi" w:cstheme="majorHAnsi"/>
          <w:b/>
          <w:bCs/>
        </w:rPr>
      </w:pPr>
      <w:r w:rsidRPr="00820F2D">
        <w:rPr>
          <w:rFonts w:asciiTheme="majorHAnsi" w:hAnsiTheme="majorHAnsi" w:cstheme="majorHAnsi"/>
          <w:b/>
          <w:bCs/>
        </w:rPr>
        <w:t>4.</w:t>
      </w:r>
      <w:r>
        <w:rPr>
          <w:rFonts w:asciiTheme="majorHAnsi" w:hAnsiTheme="majorHAnsi" w:cstheme="majorHAnsi"/>
          <w:b/>
          <w:bCs/>
        </w:rPr>
        <w:t>4.</w:t>
      </w:r>
      <w:r w:rsidRPr="00820F2D">
        <w:rPr>
          <w:rFonts w:asciiTheme="majorHAnsi" w:hAnsiTheme="majorHAnsi" w:cstheme="majorHAnsi"/>
          <w:b/>
          <w:bCs/>
        </w:rPr>
        <w:t xml:space="preserve"> Robustness Checks</w:t>
      </w:r>
    </w:p>
    <w:p w14:paraId="2DD766EC" w14:textId="77777777" w:rsidR="00820F2D" w:rsidRPr="00820F2D" w:rsidRDefault="00820F2D" w:rsidP="00820F2D">
      <w:pPr>
        <w:rPr>
          <w:rFonts w:asciiTheme="majorHAnsi" w:hAnsiTheme="majorHAnsi" w:cstheme="majorHAnsi"/>
        </w:rPr>
      </w:pPr>
      <w:r>
        <w:lastRenderedPageBreak/>
        <w:t>Table 8 assesses the stability of the main findings and addresses concerns related to model specification, reverse causality, and endogeneity. We conduct a series of robustness checks following prior studies in Business Strategy and the Environment (e.g., Hussain et al., 2018; Abdullah et al., 2024; Velte, 2024). First, we re-estimate the baseline and moderation models using one-year lagged ESG performance and lagged ESG pillar scores as dependent variables. This approach mitigates concerns that governance structures respond to contemporaneous ESG outcomes rather than shaping them. The results remain qualitatively unchanged. Board size continues to exhibit a negative association with ESG performance, while board independence, board gender diversity, and sustainability committees retain positive and statistically significant effects. CEO duality remains negatively related to ESG outcomes. Importantly, the interaction between board gender diversity and the sustainability committee remains positive and significant, showing that the positive interaction remains present when outcomes are lagged. Second, we re-estimate the models using firm fixed-effects regressions to control for unobserved time-invariant firm characteristics, such as corporate culture or persistent governance orientation. Although coefficient magnitudes are slightly attenuated as expected under fixed effects the direction and statistical significance of the key governance variables remain intact. Third, we estimate separate models for the environmental (ENV), social (SOC), and governance (GOV) pillars. The results indicate heterogeneous effects across ESG dimensions. Board gender diversity and sustainability committees exert the strongest influence on environmental and social performance, while governance outcomes display comparatively weaker responses. This pattern reinforces the argument that sustainability committees primarily enhance ESG outcomes through stakeholder-oriented and operational channels rather than formal governance compliance alone.</w:t>
      </w:r>
    </w:p>
    <w:p w14:paraId="3B943324"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Overall, the robustness checks confirm the consistency and credibility of the main results. The persistence of the moderating role of sustainability committees across alternative specifications supports the conclusion that their effect is structural rather than symbolic.</w:t>
      </w:r>
    </w:p>
    <w:p w14:paraId="3F7AC9E4" w14:textId="77777777" w:rsidR="00820F2D" w:rsidRPr="00820F2D" w:rsidRDefault="00820F2D" w:rsidP="00820F2D">
      <w:pPr>
        <w:rPr>
          <w:rFonts w:asciiTheme="majorHAnsi" w:hAnsiTheme="majorHAnsi" w:cstheme="majorHAnsi"/>
        </w:rPr>
      </w:pPr>
    </w:p>
    <w:p w14:paraId="649FF330" w14:textId="77777777" w:rsidR="00820F2D" w:rsidRPr="00820F2D" w:rsidRDefault="00820F2D" w:rsidP="00820F2D">
      <w:pPr>
        <w:spacing w:line="360" w:lineRule="auto"/>
        <w:rPr>
          <w:rFonts w:asciiTheme="majorHAnsi" w:hAnsiTheme="majorHAnsi" w:cstheme="majorHAnsi"/>
          <w:b/>
          <w:bCs/>
        </w:rPr>
      </w:pPr>
      <w:r w:rsidRPr="00820F2D">
        <w:rPr>
          <w:rFonts w:asciiTheme="majorHAnsi" w:hAnsiTheme="majorHAnsi" w:cstheme="majorHAnsi"/>
          <w:b/>
          <w:bCs/>
        </w:rPr>
        <w:t xml:space="preserve">Table 8. </w:t>
      </w:r>
      <w:r w:rsidRPr="00820F2D">
        <w:rPr>
          <w:rFonts w:asciiTheme="majorHAnsi" w:hAnsiTheme="majorHAnsi" w:cstheme="majorHAnsi"/>
        </w:rPr>
        <w:t>Robustness Checks: Lagged ESG and Alternative Estimators</w:t>
      </w:r>
    </w:p>
    <w:tbl>
      <w:tblPr>
        <w:tblW w:w="10747" w:type="dxa"/>
        <w:jc w:val="center"/>
        <w:tblLook w:val="04A0" w:firstRow="1" w:lastRow="0" w:firstColumn="1" w:lastColumn="0" w:noHBand="0" w:noVBand="1"/>
      </w:tblPr>
      <w:tblGrid>
        <w:gridCol w:w="1487"/>
        <w:gridCol w:w="1900"/>
        <w:gridCol w:w="1900"/>
        <w:gridCol w:w="1900"/>
        <w:gridCol w:w="1780"/>
        <w:gridCol w:w="1780"/>
      </w:tblGrid>
      <w:tr w:rsidR="00820F2D" w:rsidRPr="00820F2D" w14:paraId="2E776244" w14:textId="77777777" w:rsidTr="00820F2D">
        <w:trPr>
          <w:trHeight w:val="320"/>
          <w:jc w:val="center"/>
        </w:trPr>
        <w:tc>
          <w:tcPr>
            <w:tcW w:w="1487" w:type="dxa"/>
            <w:tcBorders>
              <w:top w:val="single" w:sz="4" w:space="0" w:color="auto"/>
              <w:left w:val="nil"/>
              <w:bottom w:val="single" w:sz="4" w:space="0" w:color="auto"/>
              <w:right w:val="nil"/>
            </w:tcBorders>
            <w:noWrap/>
            <w:vAlign w:val="bottom"/>
            <w:hideMark/>
          </w:tcPr>
          <w:p w14:paraId="67415D97" w14:textId="77777777" w:rsidR="00820F2D" w:rsidRPr="00820F2D" w:rsidRDefault="00820F2D" w:rsidP="00EA7C8E">
            <w:pP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VARIABLES</w:t>
            </w:r>
          </w:p>
        </w:tc>
        <w:tc>
          <w:tcPr>
            <w:tcW w:w="1900" w:type="dxa"/>
            <w:tcBorders>
              <w:top w:val="single" w:sz="4" w:space="0" w:color="auto"/>
              <w:left w:val="nil"/>
              <w:bottom w:val="single" w:sz="4" w:space="0" w:color="auto"/>
              <w:right w:val="nil"/>
            </w:tcBorders>
            <w:noWrap/>
            <w:vAlign w:val="bottom"/>
            <w:hideMark/>
          </w:tcPr>
          <w:p w14:paraId="51B04BF0" w14:textId="77777777" w:rsidR="00820F2D" w:rsidRPr="00820F2D" w:rsidRDefault="00820F2D" w:rsidP="00EA7C8E">
            <w:pP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ESGt−1</w:t>
            </w:r>
          </w:p>
        </w:tc>
        <w:tc>
          <w:tcPr>
            <w:tcW w:w="1900" w:type="dxa"/>
            <w:tcBorders>
              <w:top w:val="single" w:sz="4" w:space="0" w:color="auto"/>
              <w:left w:val="nil"/>
              <w:bottom w:val="single" w:sz="4" w:space="0" w:color="auto"/>
              <w:right w:val="nil"/>
            </w:tcBorders>
            <w:noWrap/>
            <w:vAlign w:val="bottom"/>
            <w:hideMark/>
          </w:tcPr>
          <w:p w14:paraId="735E071B" w14:textId="77777777" w:rsidR="00820F2D" w:rsidRPr="00820F2D" w:rsidRDefault="00820F2D" w:rsidP="00EA7C8E">
            <w:pP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ENVt−1</w:t>
            </w:r>
          </w:p>
        </w:tc>
        <w:tc>
          <w:tcPr>
            <w:tcW w:w="1900" w:type="dxa"/>
            <w:tcBorders>
              <w:top w:val="single" w:sz="4" w:space="0" w:color="auto"/>
              <w:left w:val="nil"/>
              <w:bottom w:val="single" w:sz="4" w:space="0" w:color="auto"/>
              <w:right w:val="nil"/>
            </w:tcBorders>
            <w:noWrap/>
            <w:vAlign w:val="bottom"/>
            <w:hideMark/>
          </w:tcPr>
          <w:p w14:paraId="79439D9A" w14:textId="77777777" w:rsidR="00820F2D" w:rsidRPr="00820F2D" w:rsidRDefault="00820F2D" w:rsidP="00EA7C8E">
            <w:pP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SOCt−1</w:t>
            </w:r>
          </w:p>
        </w:tc>
        <w:tc>
          <w:tcPr>
            <w:tcW w:w="1780" w:type="dxa"/>
            <w:tcBorders>
              <w:top w:val="single" w:sz="4" w:space="0" w:color="auto"/>
              <w:left w:val="nil"/>
              <w:bottom w:val="single" w:sz="4" w:space="0" w:color="auto"/>
              <w:right w:val="nil"/>
            </w:tcBorders>
            <w:noWrap/>
            <w:vAlign w:val="bottom"/>
            <w:hideMark/>
          </w:tcPr>
          <w:p w14:paraId="32021475" w14:textId="77777777" w:rsidR="00820F2D" w:rsidRPr="00820F2D" w:rsidRDefault="00820F2D" w:rsidP="00EA7C8E">
            <w:pP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GOVt−1</w:t>
            </w:r>
          </w:p>
        </w:tc>
        <w:tc>
          <w:tcPr>
            <w:tcW w:w="1780" w:type="dxa"/>
            <w:tcBorders>
              <w:top w:val="single" w:sz="4" w:space="0" w:color="auto"/>
              <w:left w:val="nil"/>
              <w:bottom w:val="single" w:sz="4" w:space="0" w:color="auto"/>
              <w:right w:val="nil"/>
            </w:tcBorders>
            <w:noWrap/>
            <w:vAlign w:val="bottom"/>
            <w:hideMark/>
          </w:tcPr>
          <w:p w14:paraId="14D79B8E" w14:textId="77777777" w:rsidR="00820F2D" w:rsidRPr="00820F2D" w:rsidRDefault="00820F2D" w:rsidP="00EA7C8E">
            <w:pP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ESG (FE)</w:t>
            </w:r>
          </w:p>
        </w:tc>
      </w:tr>
      <w:tr w:rsidR="00820F2D" w:rsidRPr="00820F2D" w14:paraId="465B5EE1" w14:textId="77777777" w:rsidTr="00820F2D">
        <w:trPr>
          <w:trHeight w:val="320"/>
          <w:jc w:val="center"/>
        </w:trPr>
        <w:tc>
          <w:tcPr>
            <w:tcW w:w="1487" w:type="dxa"/>
            <w:tcBorders>
              <w:top w:val="nil"/>
              <w:left w:val="nil"/>
              <w:bottom w:val="nil"/>
              <w:right w:val="nil"/>
            </w:tcBorders>
            <w:noWrap/>
            <w:vAlign w:val="bottom"/>
            <w:hideMark/>
          </w:tcPr>
          <w:p w14:paraId="35018FB7"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BSIZE</w:t>
            </w:r>
          </w:p>
        </w:tc>
        <w:tc>
          <w:tcPr>
            <w:tcW w:w="1900" w:type="dxa"/>
            <w:tcBorders>
              <w:top w:val="nil"/>
              <w:left w:val="nil"/>
              <w:bottom w:val="nil"/>
              <w:right w:val="nil"/>
            </w:tcBorders>
            <w:noWrap/>
            <w:vAlign w:val="bottom"/>
            <w:hideMark/>
          </w:tcPr>
          <w:p w14:paraId="17F31E2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−0.011** (0.005)</w:t>
            </w:r>
          </w:p>
        </w:tc>
        <w:tc>
          <w:tcPr>
            <w:tcW w:w="1900" w:type="dxa"/>
            <w:tcBorders>
              <w:top w:val="nil"/>
              <w:left w:val="nil"/>
              <w:bottom w:val="nil"/>
              <w:right w:val="nil"/>
            </w:tcBorders>
            <w:noWrap/>
            <w:vAlign w:val="bottom"/>
            <w:hideMark/>
          </w:tcPr>
          <w:p w14:paraId="64D75F67"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−0.014** (0.006)</w:t>
            </w:r>
          </w:p>
        </w:tc>
        <w:tc>
          <w:tcPr>
            <w:tcW w:w="1900" w:type="dxa"/>
            <w:tcBorders>
              <w:top w:val="nil"/>
              <w:left w:val="nil"/>
              <w:bottom w:val="nil"/>
              <w:right w:val="nil"/>
            </w:tcBorders>
            <w:noWrap/>
            <w:vAlign w:val="bottom"/>
            <w:hideMark/>
          </w:tcPr>
          <w:p w14:paraId="3573F1F2"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−0.009* (0.005)</w:t>
            </w:r>
          </w:p>
        </w:tc>
        <w:tc>
          <w:tcPr>
            <w:tcW w:w="1780" w:type="dxa"/>
            <w:tcBorders>
              <w:top w:val="nil"/>
              <w:left w:val="nil"/>
              <w:bottom w:val="nil"/>
              <w:right w:val="nil"/>
            </w:tcBorders>
            <w:noWrap/>
            <w:vAlign w:val="bottom"/>
            <w:hideMark/>
          </w:tcPr>
          <w:p w14:paraId="3C15B099"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−0.007 (0.006)</w:t>
            </w:r>
          </w:p>
        </w:tc>
        <w:tc>
          <w:tcPr>
            <w:tcW w:w="1780" w:type="dxa"/>
            <w:tcBorders>
              <w:top w:val="nil"/>
              <w:left w:val="nil"/>
              <w:bottom w:val="nil"/>
              <w:right w:val="nil"/>
            </w:tcBorders>
            <w:noWrap/>
            <w:vAlign w:val="bottom"/>
            <w:hideMark/>
          </w:tcPr>
          <w:p w14:paraId="2724B5B3"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−0.009* (0.005)</w:t>
            </w:r>
          </w:p>
        </w:tc>
      </w:tr>
      <w:tr w:rsidR="00820F2D" w:rsidRPr="00820F2D" w14:paraId="2F1899FF" w14:textId="77777777" w:rsidTr="00820F2D">
        <w:trPr>
          <w:trHeight w:val="320"/>
          <w:jc w:val="center"/>
        </w:trPr>
        <w:tc>
          <w:tcPr>
            <w:tcW w:w="1487" w:type="dxa"/>
            <w:tcBorders>
              <w:top w:val="nil"/>
              <w:left w:val="nil"/>
              <w:bottom w:val="nil"/>
              <w:right w:val="nil"/>
            </w:tcBorders>
            <w:noWrap/>
            <w:vAlign w:val="bottom"/>
            <w:hideMark/>
          </w:tcPr>
          <w:p w14:paraId="3A53C93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BIND</w:t>
            </w:r>
          </w:p>
        </w:tc>
        <w:tc>
          <w:tcPr>
            <w:tcW w:w="1900" w:type="dxa"/>
            <w:tcBorders>
              <w:top w:val="nil"/>
              <w:left w:val="nil"/>
              <w:bottom w:val="nil"/>
              <w:right w:val="nil"/>
            </w:tcBorders>
            <w:noWrap/>
            <w:vAlign w:val="bottom"/>
            <w:hideMark/>
          </w:tcPr>
          <w:p w14:paraId="3B59FC0C"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0.038*** (0.011)</w:t>
            </w:r>
          </w:p>
        </w:tc>
        <w:tc>
          <w:tcPr>
            <w:tcW w:w="1900" w:type="dxa"/>
            <w:tcBorders>
              <w:top w:val="nil"/>
              <w:left w:val="nil"/>
              <w:bottom w:val="nil"/>
              <w:right w:val="nil"/>
            </w:tcBorders>
            <w:noWrap/>
            <w:vAlign w:val="bottom"/>
            <w:hideMark/>
          </w:tcPr>
          <w:p w14:paraId="06272863"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0.035*** (0.012)</w:t>
            </w:r>
          </w:p>
        </w:tc>
        <w:tc>
          <w:tcPr>
            <w:tcW w:w="1900" w:type="dxa"/>
            <w:tcBorders>
              <w:top w:val="nil"/>
              <w:left w:val="nil"/>
              <w:bottom w:val="nil"/>
              <w:right w:val="nil"/>
            </w:tcBorders>
            <w:noWrap/>
            <w:vAlign w:val="bottom"/>
            <w:hideMark/>
          </w:tcPr>
          <w:p w14:paraId="27451125"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0.041*** (0.013)</w:t>
            </w:r>
          </w:p>
        </w:tc>
        <w:tc>
          <w:tcPr>
            <w:tcW w:w="1780" w:type="dxa"/>
            <w:tcBorders>
              <w:top w:val="nil"/>
              <w:left w:val="nil"/>
              <w:bottom w:val="nil"/>
              <w:right w:val="nil"/>
            </w:tcBorders>
            <w:noWrap/>
            <w:vAlign w:val="bottom"/>
            <w:hideMark/>
          </w:tcPr>
          <w:p w14:paraId="1FAF6E3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0.028** (0.014)</w:t>
            </w:r>
          </w:p>
        </w:tc>
        <w:tc>
          <w:tcPr>
            <w:tcW w:w="1780" w:type="dxa"/>
            <w:tcBorders>
              <w:top w:val="nil"/>
              <w:left w:val="nil"/>
              <w:bottom w:val="nil"/>
              <w:right w:val="nil"/>
            </w:tcBorders>
            <w:noWrap/>
            <w:vAlign w:val="bottom"/>
            <w:hideMark/>
          </w:tcPr>
          <w:p w14:paraId="28250409"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0.031** (0.013)</w:t>
            </w:r>
          </w:p>
        </w:tc>
      </w:tr>
      <w:tr w:rsidR="00820F2D" w:rsidRPr="00820F2D" w14:paraId="0CD0512A" w14:textId="77777777" w:rsidTr="00820F2D">
        <w:trPr>
          <w:trHeight w:val="320"/>
          <w:jc w:val="center"/>
        </w:trPr>
        <w:tc>
          <w:tcPr>
            <w:tcW w:w="1487" w:type="dxa"/>
            <w:tcBorders>
              <w:top w:val="nil"/>
              <w:left w:val="nil"/>
              <w:bottom w:val="nil"/>
              <w:right w:val="nil"/>
            </w:tcBorders>
            <w:noWrap/>
            <w:vAlign w:val="bottom"/>
            <w:hideMark/>
          </w:tcPr>
          <w:p w14:paraId="5DD8A579"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CEOD</w:t>
            </w:r>
          </w:p>
        </w:tc>
        <w:tc>
          <w:tcPr>
            <w:tcW w:w="1900" w:type="dxa"/>
            <w:tcBorders>
              <w:top w:val="nil"/>
              <w:left w:val="nil"/>
              <w:bottom w:val="nil"/>
              <w:right w:val="nil"/>
            </w:tcBorders>
            <w:noWrap/>
            <w:vAlign w:val="bottom"/>
            <w:hideMark/>
          </w:tcPr>
          <w:p w14:paraId="5B510AF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−0.062*** (0.019)</w:t>
            </w:r>
          </w:p>
        </w:tc>
        <w:tc>
          <w:tcPr>
            <w:tcW w:w="1900" w:type="dxa"/>
            <w:tcBorders>
              <w:top w:val="nil"/>
              <w:left w:val="nil"/>
              <w:bottom w:val="nil"/>
              <w:right w:val="nil"/>
            </w:tcBorders>
            <w:noWrap/>
            <w:vAlign w:val="bottom"/>
            <w:hideMark/>
          </w:tcPr>
          <w:p w14:paraId="4F1F8BAA"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−0.057*** (0.021)</w:t>
            </w:r>
          </w:p>
        </w:tc>
        <w:tc>
          <w:tcPr>
            <w:tcW w:w="1900" w:type="dxa"/>
            <w:tcBorders>
              <w:top w:val="nil"/>
              <w:left w:val="nil"/>
              <w:bottom w:val="nil"/>
              <w:right w:val="nil"/>
            </w:tcBorders>
            <w:noWrap/>
            <w:vAlign w:val="bottom"/>
            <w:hideMark/>
          </w:tcPr>
          <w:p w14:paraId="083DC6FD"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−0.054*** (0.020)</w:t>
            </w:r>
          </w:p>
        </w:tc>
        <w:tc>
          <w:tcPr>
            <w:tcW w:w="1780" w:type="dxa"/>
            <w:tcBorders>
              <w:top w:val="nil"/>
              <w:left w:val="nil"/>
              <w:bottom w:val="nil"/>
              <w:right w:val="nil"/>
            </w:tcBorders>
            <w:noWrap/>
            <w:vAlign w:val="bottom"/>
            <w:hideMark/>
          </w:tcPr>
          <w:p w14:paraId="45077D4D"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−0.046** (0.022)</w:t>
            </w:r>
          </w:p>
        </w:tc>
        <w:tc>
          <w:tcPr>
            <w:tcW w:w="1780" w:type="dxa"/>
            <w:tcBorders>
              <w:top w:val="nil"/>
              <w:left w:val="nil"/>
              <w:bottom w:val="nil"/>
              <w:right w:val="nil"/>
            </w:tcBorders>
            <w:noWrap/>
            <w:vAlign w:val="bottom"/>
            <w:hideMark/>
          </w:tcPr>
          <w:p w14:paraId="4B5EBEF3"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−0.051** (0.020)</w:t>
            </w:r>
          </w:p>
        </w:tc>
      </w:tr>
      <w:tr w:rsidR="00820F2D" w:rsidRPr="00820F2D" w14:paraId="1AA702A4" w14:textId="77777777" w:rsidTr="00820F2D">
        <w:trPr>
          <w:trHeight w:val="320"/>
          <w:jc w:val="center"/>
        </w:trPr>
        <w:tc>
          <w:tcPr>
            <w:tcW w:w="1487" w:type="dxa"/>
            <w:tcBorders>
              <w:top w:val="nil"/>
              <w:left w:val="nil"/>
              <w:bottom w:val="nil"/>
              <w:right w:val="nil"/>
            </w:tcBorders>
            <w:noWrap/>
            <w:vAlign w:val="bottom"/>
            <w:hideMark/>
          </w:tcPr>
          <w:p w14:paraId="2EC6666A"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BGD</w:t>
            </w:r>
          </w:p>
        </w:tc>
        <w:tc>
          <w:tcPr>
            <w:tcW w:w="1900" w:type="dxa"/>
            <w:tcBorders>
              <w:top w:val="nil"/>
              <w:left w:val="nil"/>
              <w:bottom w:val="nil"/>
              <w:right w:val="nil"/>
            </w:tcBorders>
            <w:noWrap/>
            <w:vAlign w:val="bottom"/>
            <w:hideMark/>
          </w:tcPr>
          <w:p w14:paraId="0C53C62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0.074*** (0.024)</w:t>
            </w:r>
          </w:p>
        </w:tc>
        <w:tc>
          <w:tcPr>
            <w:tcW w:w="1900" w:type="dxa"/>
            <w:tcBorders>
              <w:top w:val="nil"/>
              <w:left w:val="nil"/>
              <w:bottom w:val="nil"/>
              <w:right w:val="nil"/>
            </w:tcBorders>
            <w:noWrap/>
            <w:vAlign w:val="bottom"/>
            <w:hideMark/>
          </w:tcPr>
          <w:p w14:paraId="04E5914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0.070*** (0.026)</w:t>
            </w:r>
          </w:p>
        </w:tc>
        <w:tc>
          <w:tcPr>
            <w:tcW w:w="1900" w:type="dxa"/>
            <w:tcBorders>
              <w:top w:val="nil"/>
              <w:left w:val="nil"/>
              <w:bottom w:val="nil"/>
              <w:right w:val="nil"/>
            </w:tcBorders>
            <w:noWrap/>
            <w:vAlign w:val="bottom"/>
            <w:hideMark/>
          </w:tcPr>
          <w:p w14:paraId="7601F7DF"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0.078*** (0.027)</w:t>
            </w:r>
          </w:p>
        </w:tc>
        <w:tc>
          <w:tcPr>
            <w:tcW w:w="1780" w:type="dxa"/>
            <w:tcBorders>
              <w:top w:val="nil"/>
              <w:left w:val="nil"/>
              <w:bottom w:val="nil"/>
              <w:right w:val="nil"/>
            </w:tcBorders>
            <w:noWrap/>
            <w:vAlign w:val="bottom"/>
            <w:hideMark/>
          </w:tcPr>
          <w:p w14:paraId="448F2BFC"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0.053** (0.025)</w:t>
            </w:r>
          </w:p>
        </w:tc>
        <w:tc>
          <w:tcPr>
            <w:tcW w:w="1780" w:type="dxa"/>
            <w:tcBorders>
              <w:top w:val="nil"/>
              <w:left w:val="nil"/>
              <w:bottom w:val="nil"/>
              <w:right w:val="nil"/>
            </w:tcBorders>
            <w:noWrap/>
            <w:vAlign w:val="bottom"/>
            <w:hideMark/>
          </w:tcPr>
          <w:p w14:paraId="439733B2"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0.061** (0.026)</w:t>
            </w:r>
          </w:p>
        </w:tc>
      </w:tr>
      <w:tr w:rsidR="00820F2D" w:rsidRPr="00820F2D" w14:paraId="7C6E2622" w14:textId="77777777" w:rsidTr="00820F2D">
        <w:trPr>
          <w:trHeight w:val="320"/>
          <w:jc w:val="center"/>
        </w:trPr>
        <w:tc>
          <w:tcPr>
            <w:tcW w:w="1487" w:type="dxa"/>
            <w:tcBorders>
              <w:top w:val="nil"/>
              <w:left w:val="nil"/>
              <w:bottom w:val="nil"/>
              <w:right w:val="nil"/>
            </w:tcBorders>
            <w:noWrap/>
            <w:vAlign w:val="bottom"/>
            <w:hideMark/>
          </w:tcPr>
          <w:p w14:paraId="141D124A"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SC</w:t>
            </w:r>
          </w:p>
        </w:tc>
        <w:tc>
          <w:tcPr>
            <w:tcW w:w="1900" w:type="dxa"/>
            <w:tcBorders>
              <w:top w:val="nil"/>
              <w:left w:val="nil"/>
              <w:bottom w:val="nil"/>
              <w:right w:val="nil"/>
            </w:tcBorders>
            <w:noWrap/>
            <w:vAlign w:val="bottom"/>
            <w:hideMark/>
          </w:tcPr>
          <w:p w14:paraId="3A536A03"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0.056*** (0.021)</w:t>
            </w:r>
          </w:p>
        </w:tc>
        <w:tc>
          <w:tcPr>
            <w:tcW w:w="1900" w:type="dxa"/>
            <w:tcBorders>
              <w:top w:val="nil"/>
              <w:left w:val="nil"/>
              <w:bottom w:val="nil"/>
              <w:right w:val="nil"/>
            </w:tcBorders>
            <w:noWrap/>
            <w:vAlign w:val="bottom"/>
            <w:hideMark/>
          </w:tcPr>
          <w:p w14:paraId="2D16D9B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0.052** (0.023)</w:t>
            </w:r>
          </w:p>
        </w:tc>
        <w:tc>
          <w:tcPr>
            <w:tcW w:w="1900" w:type="dxa"/>
            <w:tcBorders>
              <w:top w:val="nil"/>
              <w:left w:val="nil"/>
              <w:bottom w:val="nil"/>
              <w:right w:val="nil"/>
            </w:tcBorders>
            <w:noWrap/>
            <w:vAlign w:val="bottom"/>
            <w:hideMark/>
          </w:tcPr>
          <w:p w14:paraId="60AB3F82"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0.055*** (0.022)</w:t>
            </w:r>
          </w:p>
        </w:tc>
        <w:tc>
          <w:tcPr>
            <w:tcW w:w="1780" w:type="dxa"/>
            <w:tcBorders>
              <w:top w:val="nil"/>
              <w:left w:val="nil"/>
              <w:bottom w:val="nil"/>
              <w:right w:val="nil"/>
            </w:tcBorders>
            <w:noWrap/>
            <w:vAlign w:val="bottom"/>
            <w:hideMark/>
          </w:tcPr>
          <w:p w14:paraId="24B04C0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0.040* (0.024)</w:t>
            </w:r>
          </w:p>
        </w:tc>
        <w:tc>
          <w:tcPr>
            <w:tcW w:w="1780" w:type="dxa"/>
            <w:tcBorders>
              <w:top w:val="nil"/>
              <w:left w:val="nil"/>
              <w:bottom w:val="nil"/>
              <w:right w:val="nil"/>
            </w:tcBorders>
            <w:noWrap/>
            <w:vAlign w:val="bottom"/>
            <w:hideMark/>
          </w:tcPr>
          <w:p w14:paraId="1A605373"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0.047** (0.022)</w:t>
            </w:r>
          </w:p>
        </w:tc>
      </w:tr>
      <w:tr w:rsidR="00820F2D" w:rsidRPr="00820F2D" w14:paraId="33331285" w14:textId="77777777" w:rsidTr="00820F2D">
        <w:trPr>
          <w:trHeight w:val="320"/>
          <w:jc w:val="center"/>
        </w:trPr>
        <w:tc>
          <w:tcPr>
            <w:tcW w:w="1487" w:type="dxa"/>
            <w:tcBorders>
              <w:top w:val="nil"/>
              <w:left w:val="nil"/>
              <w:bottom w:val="nil"/>
              <w:right w:val="nil"/>
            </w:tcBorders>
            <w:noWrap/>
            <w:vAlign w:val="bottom"/>
            <w:hideMark/>
          </w:tcPr>
          <w:p w14:paraId="28B9F1DF"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BGD × SC</w:t>
            </w:r>
          </w:p>
        </w:tc>
        <w:tc>
          <w:tcPr>
            <w:tcW w:w="1900" w:type="dxa"/>
            <w:tcBorders>
              <w:top w:val="nil"/>
              <w:left w:val="nil"/>
              <w:bottom w:val="nil"/>
              <w:right w:val="nil"/>
            </w:tcBorders>
            <w:noWrap/>
            <w:vAlign w:val="bottom"/>
            <w:hideMark/>
          </w:tcPr>
          <w:p w14:paraId="0080B3E2"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0.039** (0.019)</w:t>
            </w:r>
          </w:p>
        </w:tc>
        <w:tc>
          <w:tcPr>
            <w:tcW w:w="1900" w:type="dxa"/>
            <w:tcBorders>
              <w:top w:val="nil"/>
              <w:left w:val="nil"/>
              <w:bottom w:val="nil"/>
              <w:right w:val="nil"/>
            </w:tcBorders>
            <w:noWrap/>
            <w:vAlign w:val="bottom"/>
            <w:hideMark/>
          </w:tcPr>
          <w:p w14:paraId="64819D9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0.036** (0.020)</w:t>
            </w:r>
          </w:p>
        </w:tc>
        <w:tc>
          <w:tcPr>
            <w:tcW w:w="1900" w:type="dxa"/>
            <w:tcBorders>
              <w:top w:val="nil"/>
              <w:left w:val="nil"/>
              <w:bottom w:val="nil"/>
              <w:right w:val="nil"/>
            </w:tcBorders>
            <w:noWrap/>
            <w:vAlign w:val="bottom"/>
            <w:hideMark/>
          </w:tcPr>
          <w:p w14:paraId="5B87CEC6"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0.041** (0.021)</w:t>
            </w:r>
          </w:p>
        </w:tc>
        <w:tc>
          <w:tcPr>
            <w:tcW w:w="1780" w:type="dxa"/>
            <w:tcBorders>
              <w:top w:val="nil"/>
              <w:left w:val="nil"/>
              <w:bottom w:val="nil"/>
              <w:right w:val="nil"/>
            </w:tcBorders>
            <w:noWrap/>
            <w:vAlign w:val="bottom"/>
            <w:hideMark/>
          </w:tcPr>
          <w:p w14:paraId="04145F3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0.029* (0.019)</w:t>
            </w:r>
          </w:p>
        </w:tc>
        <w:tc>
          <w:tcPr>
            <w:tcW w:w="1780" w:type="dxa"/>
            <w:tcBorders>
              <w:top w:val="nil"/>
              <w:left w:val="nil"/>
              <w:bottom w:val="nil"/>
              <w:right w:val="nil"/>
            </w:tcBorders>
            <w:noWrap/>
            <w:vAlign w:val="bottom"/>
            <w:hideMark/>
          </w:tcPr>
          <w:p w14:paraId="1C95A04B"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0.033* (0.018)</w:t>
            </w:r>
          </w:p>
        </w:tc>
      </w:tr>
      <w:tr w:rsidR="00820F2D" w:rsidRPr="00820F2D" w14:paraId="448843A0" w14:textId="77777777" w:rsidTr="00820F2D">
        <w:trPr>
          <w:trHeight w:val="320"/>
          <w:jc w:val="center"/>
        </w:trPr>
        <w:tc>
          <w:tcPr>
            <w:tcW w:w="1487" w:type="dxa"/>
            <w:tcBorders>
              <w:top w:val="nil"/>
              <w:left w:val="nil"/>
              <w:bottom w:val="nil"/>
              <w:right w:val="nil"/>
            </w:tcBorders>
            <w:noWrap/>
            <w:vAlign w:val="bottom"/>
            <w:hideMark/>
          </w:tcPr>
          <w:p w14:paraId="495A57C6"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Controls</w:t>
            </w:r>
          </w:p>
        </w:tc>
        <w:tc>
          <w:tcPr>
            <w:tcW w:w="1900" w:type="dxa"/>
            <w:tcBorders>
              <w:top w:val="nil"/>
              <w:left w:val="nil"/>
              <w:bottom w:val="nil"/>
              <w:right w:val="nil"/>
            </w:tcBorders>
            <w:noWrap/>
            <w:vAlign w:val="bottom"/>
            <w:hideMark/>
          </w:tcPr>
          <w:p w14:paraId="29E63081"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900" w:type="dxa"/>
            <w:tcBorders>
              <w:top w:val="nil"/>
              <w:left w:val="nil"/>
              <w:bottom w:val="nil"/>
              <w:right w:val="nil"/>
            </w:tcBorders>
            <w:noWrap/>
            <w:vAlign w:val="bottom"/>
            <w:hideMark/>
          </w:tcPr>
          <w:p w14:paraId="7EDF9C1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900" w:type="dxa"/>
            <w:tcBorders>
              <w:top w:val="nil"/>
              <w:left w:val="nil"/>
              <w:bottom w:val="nil"/>
              <w:right w:val="nil"/>
            </w:tcBorders>
            <w:noWrap/>
            <w:vAlign w:val="bottom"/>
            <w:hideMark/>
          </w:tcPr>
          <w:p w14:paraId="63739596"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780" w:type="dxa"/>
            <w:tcBorders>
              <w:top w:val="nil"/>
              <w:left w:val="nil"/>
              <w:bottom w:val="nil"/>
              <w:right w:val="nil"/>
            </w:tcBorders>
            <w:noWrap/>
            <w:vAlign w:val="bottom"/>
            <w:hideMark/>
          </w:tcPr>
          <w:p w14:paraId="643E921A"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780" w:type="dxa"/>
            <w:tcBorders>
              <w:top w:val="nil"/>
              <w:left w:val="nil"/>
              <w:bottom w:val="nil"/>
              <w:right w:val="nil"/>
            </w:tcBorders>
            <w:noWrap/>
            <w:vAlign w:val="bottom"/>
            <w:hideMark/>
          </w:tcPr>
          <w:p w14:paraId="4F77DDE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r>
      <w:tr w:rsidR="00820F2D" w:rsidRPr="00820F2D" w14:paraId="65A837A0" w14:textId="77777777" w:rsidTr="00820F2D">
        <w:trPr>
          <w:trHeight w:val="320"/>
          <w:jc w:val="center"/>
        </w:trPr>
        <w:tc>
          <w:tcPr>
            <w:tcW w:w="1487" w:type="dxa"/>
            <w:tcBorders>
              <w:top w:val="nil"/>
              <w:left w:val="nil"/>
              <w:bottom w:val="nil"/>
              <w:right w:val="nil"/>
            </w:tcBorders>
            <w:noWrap/>
            <w:vAlign w:val="bottom"/>
            <w:hideMark/>
          </w:tcPr>
          <w:p w14:paraId="3A973C2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Industry FE</w:t>
            </w:r>
          </w:p>
        </w:tc>
        <w:tc>
          <w:tcPr>
            <w:tcW w:w="1900" w:type="dxa"/>
            <w:tcBorders>
              <w:top w:val="nil"/>
              <w:left w:val="nil"/>
              <w:bottom w:val="nil"/>
              <w:right w:val="nil"/>
            </w:tcBorders>
            <w:noWrap/>
            <w:vAlign w:val="bottom"/>
            <w:hideMark/>
          </w:tcPr>
          <w:p w14:paraId="56EA59C9"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900" w:type="dxa"/>
            <w:tcBorders>
              <w:top w:val="nil"/>
              <w:left w:val="nil"/>
              <w:bottom w:val="nil"/>
              <w:right w:val="nil"/>
            </w:tcBorders>
            <w:noWrap/>
            <w:vAlign w:val="bottom"/>
            <w:hideMark/>
          </w:tcPr>
          <w:p w14:paraId="77835CC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900" w:type="dxa"/>
            <w:tcBorders>
              <w:top w:val="nil"/>
              <w:left w:val="nil"/>
              <w:bottom w:val="nil"/>
              <w:right w:val="nil"/>
            </w:tcBorders>
            <w:noWrap/>
            <w:vAlign w:val="bottom"/>
            <w:hideMark/>
          </w:tcPr>
          <w:p w14:paraId="058AC8DD"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780" w:type="dxa"/>
            <w:tcBorders>
              <w:top w:val="nil"/>
              <w:left w:val="nil"/>
              <w:bottom w:val="nil"/>
              <w:right w:val="nil"/>
            </w:tcBorders>
            <w:noWrap/>
            <w:vAlign w:val="bottom"/>
            <w:hideMark/>
          </w:tcPr>
          <w:p w14:paraId="38486AED"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780" w:type="dxa"/>
            <w:tcBorders>
              <w:top w:val="nil"/>
              <w:left w:val="nil"/>
              <w:bottom w:val="nil"/>
              <w:right w:val="nil"/>
            </w:tcBorders>
            <w:noWrap/>
            <w:vAlign w:val="bottom"/>
            <w:hideMark/>
          </w:tcPr>
          <w:p w14:paraId="4D3AD91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No</w:t>
            </w:r>
          </w:p>
        </w:tc>
      </w:tr>
      <w:tr w:rsidR="00820F2D" w:rsidRPr="00820F2D" w14:paraId="589D2AE1" w14:textId="77777777" w:rsidTr="00820F2D">
        <w:trPr>
          <w:trHeight w:val="320"/>
          <w:jc w:val="center"/>
        </w:trPr>
        <w:tc>
          <w:tcPr>
            <w:tcW w:w="1487" w:type="dxa"/>
            <w:tcBorders>
              <w:top w:val="nil"/>
              <w:left w:val="nil"/>
              <w:bottom w:val="nil"/>
              <w:right w:val="nil"/>
            </w:tcBorders>
            <w:noWrap/>
            <w:vAlign w:val="bottom"/>
            <w:hideMark/>
          </w:tcPr>
          <w:p w14:paraId="016AEC4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Firm FE</w:t>
            </w:r>
          </w:p>
        </w:tc>
        <w:tc>
          <w:tcPr>
            <w:tcW w:w="1900" w:type="dxa"/>
            <w:tcBorders>
              <w:top w:val="nil"/>
              <w:left w:val="nil"/>
              <w:bottom w:val="nil"/>
              <w:right w:val="nil"/>
            </w:tcBorders>
            <w:noWrap/>
            <w:vAlign w:val="bottom"/>
            <w:hideMark/>
          </w:tcPr>
          <w:p w14:paraId="7DF698D5"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No</w:t>
            </w:r>
          </w:p>
        </w:tc>
        <w:tc>
          <w:tcPr>
            <w:tcW w:w="1900" w:type="dxa"/>
            <w:tcBorders>
              <w:top w:val="nil"/>
              <w:left w:val="nil"/>
              <w:bottom w:val="nil"/>
              <w:right w:val="nil"/>
            </w:tcBorders>
            <w:noWrap/>
            <w:vAlign w:val="bottom"/>
            <w:hideMark/>
          </w:tcPr>
          <w:p w14:paraId="7852230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No</w:t>
            </w:r>
          </w:p>
        </w:tc>
        <w:tc>
          <w:tcPr>
            <w:tcW w:w="1900" w:type="dxa"/>
            <w:tcBorders>
              <w:top w:val="nil"/>
              <w:left w:val="nil"/>
              <w:bottom w:val="nil"/>
              <w:right w:val="nil"/>
            </w:tcBorders>
            <w:noWrap/>
            <w:vAlign w:val="bottom"/>
            <w:hideMark/>
          </w:tcPr>
          <w:p w14:paraId="0217C94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No</w:t>
            </w:r>
          </w:p>
        </w:tc>
        <w:tc>
          <w:tcPr>
            <w:tcW w:w="1780" w:type="dxa"/>
            <w:tcBorders>
              <w:top w:val="nil"/>
              <w:left w:val="nil"/>
              <w:bottom w:val="nil"/>
              <w:right w:val="nil"/>
            </w:tcBorders>
            <w:noWrap/>
            <w:vAlign w:val="bottom"/>
            <w:hideMark/>
          </w:tcPr>
          <w:p w14:paraId="659044C9"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No</w:t>
            </w:r>
          </w:p>
        </w:tc>
        <w:tc>
          <w:tcPr>
            <w:tcW w:w="1780" w:type="dxa"/>
            <w:tcBorders>
              <w:top w:val="nil"/>
              <w:left w:val="nil"/>
              <w:bottom w:val="nil"/>
              <w:right w:val="nil"/>
            </w:tcBorders>
            <w:noWrap/>
            <w:vAlign w:val="bottom"/>
            <w:hideMark/>
          </w:tcPr>
          <w:p w14:paraId="6AABB720"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r>
      <w:tr w:rsidR="00820F2D" w:rsidRPr="00820F2D" w14:paraId="04684844" w14:textId="77777777" w:rsidTr="00820F2D">
        <w:trPr>
          <w:trHeight w:val="320"/>
          <w:jc w:val="center"/>
        </w:trPr>
        <w:tc>
          <w:tcPr>
            <w:tcW w:w="1487" w:type="dxa"/>
            <w:tcBorders>
              <w:top w:val="nil"/>
              <w:left w:val="nil"/>
              <w:bottom w:val="nil"/>
              <w:right w:val="nil"/>
            </w:tcBorders>
            <w:noWrap/>
            <w:vAlign w:val="bottom"/>
            <w:hideMark/>
          </w:tcPr>
          <w:p w14:paraId="2082D4E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Year FE</w:t>
            </w:r>
          </w:p>
        </w:tc>
        <w:tc>
          <w:tcPr>
            <w:tcW w:w="1900" w:type="dxa"/>
            <w:tcBorders>
              <w:top w:val="nil"/>
              <w:left w:val="nil"/>
              <w:bottom w:val="nil"/>
              <w:right w:val="nil"/>
            </w:tcBorders>
            <w:noWrap/>
            <w:vAlign w:val="bottom"/>
            <w:hideMark/>
          </w:tcPr>
          <w:p w14:paraId="562F641C"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900" w:type="dxa"/>
            <w:tcBorders>
              <w:top w:val="nil"/>
              <w:left w:val="nil"/>
              <w:bottom w:val="nil"/>
              <w:right w:val="nil"/>
            </w:tcBorders>
            <w:noWrap/>
            <w:vAlign w:val="bottom"/>
            <w:hideMark/>
          </w:tcPr>
          <w:p w14:paraId="7320621B"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900" w:type="dxa"/>
            <w:tcBorders>
              <w:top w:val="nil"/>
              <w:left w:val="nil"/>
              <w:bottom w:val="nil"/>
              <w:right w:val="nil"/>
            </w:tcBorders>
            <w:noWrap/>
            <w:vAlign w:val="bottom"/>
            <w:hideMark/>
          </w:tcPr>
          <w:p w14:paraId="3C60A12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780" w:type="dxa"/>
            <w:tcBorders>
              <w:top w:val="nil"/>
              <w:left w:val="nil"/>
              <w:bottom w:val="nil"/>
              <w:right w:val="nil"/>
            </w:tcBorders>
            <w:noWrap/>
            <w:vAlign w:val="bottom"/>
            <w:hideMark/>
          </w:tcPr>
          <w:p w14:paraId="6212BB51"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c>
          <w:tcPr>
            <w:tcW w:w="1780" w:type="dxa"/>
            <w:tcBorders>
              <w:top w:val="nil"/>
              <w:left w:val="nil"/>
              <w:bottom w:val="nil"/>
              <w:right w:val="nil"/>
            </w:tcBorders>
            <w:noWrap/>
            <w:vAlign w:val="bottom"/>
            <w:hideMark/>
          </w:tcPr>
          <w:p w14:paraId="03A8F915"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Yes</w:t>
            </w:r>
          </w:p>
        </w:tc>
      </w:tr>
      <w:tr w:rsidR="00820F2D" w:rsidRPr="00820F2D" w14:paraId="078AB8F4" w14:textId="77777777" w:rsidTr="00820F2D">
        <w:trPr>
          <w:trHeight w:val="320"/>
          <w:jc w:val="center"/>
        </w:trPr>
        <w:tc>
          <w:tcPr>
            <w:tcW w:w="1487" w:type="dxa"/>
            <w:tcBorders>
              <w:top w:val="nil"/>
              <w:left w:val="nil"/>
              <w:bottom w:val="nil"/>
              <w:right w:val="nil"/>
            </w:tcBorders>
            <w:noWrap/>
            <w:vAlign w:val="bottom"/>
            <w:hideMark/>
          </w:tcPr>
          <w:p w14:paraId="2FA8FD92"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Observations</w:t>
            </w:r>
          </w:p>
        </w:tc>
        <w:tc>
          <w:tcPr>
            <w:tcW w:w="1900" w:type="dxa"/>
            <w:tcBorders>
              <w:top w:val="nil"/>
              <w:left w:val="nil"/>
              <w:bottom w:val="nil"/>
              <w:right w:val="nil"/>
            </w:tcBorders>
            <w:noWrap/>
            <w:vAlign w:val="bottom"/>
            <w:hideMark/>
          </w:tcPr>
          <w:p w14:paraId="01148B9B"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6,317</w:t>
            </w:r>
          </w:p>
        </w:tc>
        <w:tc>
          <w:tcPr>
            <w:tcW w:w="1900" w:type="dxa"/>
            <w:tcBorders>
              <w:top w:val="nil"/>
              <w:left w:val="nil"/>
              <w:bottom w:val="nil"/>
              <w:right w:val="nil"/>
            </w:tcBorders>
            <w:noWrap/>
            <w:vAlign w:val="bottom"/>
            <w:hideMark/>
          </w:tcPr>
          <w:p w14:paraId="0C3C6A51"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6,317</w:t>
            </w:r>
          </w:p>
        </w:tc>
        <w:tc>
          <w:tcPr>
            <w:tcW w:w="1900" w:type="dxa"/>
            <w:tcBorders>
              <w:top w:val="nil"/>
              <w:left w:val="nil"/>
              <w:bottom w:val="nil"/>
              <w:right w:val="nil"/>
            </w:tcBorders>
            <w:noWrap/>
            <w:vAlign w:val="bottom"/>
            <w:hideMark/>
          </w:tcPr>
          <w:p w14:paraId="04C750F7"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6,317</w:t>
            </w:r>
          </w:p>
        </w:tc>
        <w:tc>
          <w:tcPr>
            <w:tcW w:w="1780" w:type="dxa"/>
            <w:tcBorders>
              <w:top w:val="nil"/>
              <w:left w:val="nil"/>
              <w:bottom w:val="nil"/>
              <w:right w:val="nil"/>
            </w:tcBorders>
            <w:noWrap/>
            <w:vAlign w:val="bottom"/>
            <w:hideMark/>
          </w:tcPr>
          <w:p w14:paraId="6D79C0CC"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6,317</w:t>
            </w:r>
          </w:p>
        </w:tc>
        <w:tc>
          <w:tcPr>
            <w:tcW w:w="1780" w:type="dxa"/>
            <w:tcBorders>
              <w:top w:val="nil"/>
              <w:left w:val="nil"/>
              <w:bottom w:val="nil"/>
              <w:right w:val="nil"/>
            </w:tcBorders>
            <w:noWrap/>
            <w:vAlign w:val="bottom"/>
            <w:hideMark/>
          </w:tcPr>
          <w:p w14:paraId="72E648FB"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7,201</w:t>
            </w:r>
          </w:p>
        </w:tc>
      </w:tr>
      <w:tr w:rsidR="00820F2D" w:rsidRPr="00820F2D" w14:paraId="26A96A52" w14:textId="77777777" w:rsidTr="00820F2D">
        <w:trPr>
          <w:trHeight w:val="320"/>
          <w:jc w:val="center"/>
        </w:trPr>
        <w:tc>
          <w:tcPr>
            <w:tcW w:w="1487" w:type="dxa"/>
            <w:tcBorders>
              <w:top w:val="nil"/>
              <w:left w:val="nil"/>
              <w:bottom w:val="nil"/>
              <w:right w:val="nil"/>
            </w:tcBorders>
            <w:noWrap/>
            <w:vAlign w:val="bottom"/>
            <w:hideMark/>
          </w:tcPr>
          <w:p w14:paraId="6FE60E2D"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Adjusted R²</w:t>
            </w:r>
          </w:p>
        </w:tc>
        <w:tc>
          <w:tcPr>
            <w:tcW w:w="1900" w:type="dxa"/>
            <w:tcBorders>
              <w:top w:val="nil"/>
              <w:left w:val="nil"/>
              <w:bottom w:val="nil"/>
              <w:right w:val="nil"/>
            </w:tcBorders>
            <w:noWrap/>
            <w:vAlign w:val="bottom"/>
            <w:hideMark/>
          </w:tcPr>
          <w:p w14:paraId="67BAD49F"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0.419</w:t>
            </w:r>
          </w:p>
        </w:tc>
        <w:tc>
          <w:tcPr>
            <w:tcW w:w="1900" w:type="dxa"/>
            <w:tcBorders>
              <w:top w:val="nil"/>
              <w:left w:val="nil"/>
              <w:bottom w:val="nil"/>
              <w:right w:val="nil"/>
            </w:tcBorders>
            <w:noWrap/>
            <w:vAlign w:val="bottom"/>
            <w:hideMark/>
          </w:tcPr>
          <w:p w14:paraId="057BD6C5"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0.392</w:t>
            </w:r>
          </w:p>
        </w:tc>
        <w:tc>
          <w:tcPr>
            <w:tcW w:w="1900" w:type="dxa"/>
            <w:tcBorders>
              <w:top w:val="nil"/>
              <w:left w:val="nil"/>
              <w:bottom w:val="nil"/>
              <w:right w:val="nil"/>
            </w:tcBorders>
            <w:noWrap/>
            <w:vAlign w:val="bottom"/>
            <w:hideMark/>
          </w:tcPr>
          <w:p w14:paraId="7AEAF27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0.408</w:t>
            </w:r>
          </w:p>
        </w:tc>
        <w:tc>
          <w:tcPr>
            <w:tcW w:w="1780" w:type="dxa"/>
            <w:tcBorders>
              <w:top w:val="nil"/>
              <w:left w:val="nil"/>
              <w:bottom w:val="nil"/>
              <w:right w:val="nil"/>
            </w:tcBorders>
            <w:noWrap/>
            <w:vAlign w:val="bottom"/>
            <w:hideMark/>
          </w:tcPr>
          <w:p w14:paraId="2264DA8F"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0.341</w:t>
            </w:r>
          </w:p>
        </w:tc>
        <w:tc>
          <w:tcPr>
            <w:tcW w:w="1780" w:type="dxa"/>
            <w:tcBorders>
              <w:top w:val="nil"/>
              <w:left w:val="nil"/>
              <w:bottom w:val="nil"/>
              <w:right w:val="nil"/>
            </w:tcBorders>
            <w:noWrap/>
            <w:vAlign w:val="bottom"/>
            <w:hideMark/>
          </w:tcPr>
          <w:p w14:paraId="12216842"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0.366</w:t>
            </w:r>
          </w:p>
        </w:tc>
      </w:tr>
      <w:tr w:rsidR="00820F2D" w:rsidRPr="00820F2D" w14:paraId="1C2ABFC6" w14:textId="77777777" w:rsidTr="00820F2D">
        <w:trPr>
          <w:trHeight w:val="320"/>
          <w:jc w:val="center"/>
        </w:trPr>
        <w:tc>
          <w:tcPr>
            <w:tcW w:w="1487" w:type="dxa"/>
            <w:tcBorders>
              <w:top w:val="nil"/>
              <w:left w:val="nil"/>
              <w:bottom w:val="single" w:sz="4" w:space="0" w:color="auto"/>
              <w:right w:val="nil"/>
            </w:tcBorders>
            <w:noWrap/>
            <w:vAlign w:val="bottom"/>
            <w:hideMark/>
          </w:tcPr>
          <w:p w14:paraId="4C60840F"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Mean VIF</w:t>
            </w:r>
          </w:p>
        </w:tc>
        <w:tc>
          <w:tcPr>
            <w:tcW w:w="1900" w:type="dxa"/>
            <w:tcBorders>
              <w:top w:val="nil"/>
              <w:left w:val="nil"/>
              <w:bottom w:val="single" w:sz="4" w:space="0" w:color="auto"/>
              <w:right w:val="nil"/>
            </w:tcBorders>
            <w:noWrap/>
            <w:vAlign w:val="bottom"/>
            <w:hideMark/>
          </w:tcPr>
          <w:p w14:paraId="2DB71D19"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1.97</w:t>
            </w:r>
          </w:p>
        </w:tc>
        <w:tc>
          <w:tcPr>
            <w:tcW w:w="1900" w:type="dxa"/>
            <w:tcBorders>
              <w:top w:val="nil"/>
              <w:left w:val="nil"/>
              <w:bottom w:val="single" w:sz="4" w:space="0" w:color="auto"/>
              <w:right w:val="nil"/>
            </w:tcBorders>
            <w:noWrap/>
            <w:vAlign w:val="bottom"/>
            <w:hideMark/>
          </w:tcPr>
          <w:p w14:paraId="64E4264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1.97</w:t>
            </w:r>
          </w:p>
        </w:tc>
        <w:tc>
          <w:tcPr>
            <w:tcW w:w="1900" w:type="dxa"/>
            <w:tcBorders>
              <w:top w:val="nil"/>
              <w:left w:val="nil"/>
              <w:bottom w:val="single" w:sz="4" w:space="0" w:color="auto"/>
              <w:right w:val="nil"/>
            </w:tcBorders>
            <w:noWrap/>
            <w:vAlign w:val="bottom"/>
            <w:hideMark/>
          </w:tcPr>
          <w:p w14:paraId="1F9CE4E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1.97</w:t>
            </w:r>
          </w:p>
        </w:tc>
        <w:tc>
          <w:tcPr>
            <w:tcW w:w="1780" w:type="dxa"/>
            <w:tcBorders>
              <w:top w:val="nil"/>
              <w:left w:val="nil"/>
              <w:bottom w:val="single" w:sz="4" w:space="0" w:color="auto"/>
              <w:right w:val="nil"/>
            </w:tcBorders>
            <w:noWrap/>
            <w:vAlign w:val="bottom"/>
            <w:hideMark/>
          </w:tcPr>
          <w:p w14:paraId="610668D4"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1.97</w:t>
            </w:r>
          </w:p>
        </w:tc>
        <w:tc>
          <w:tcPr>
            <w:tcW w:w="1780" w:type="dxa"/>
            <w:tcBorders>
              <w:top w:val="nil"/>
              <w:left w:val="nil"/>
              <w:bottom w:val="single" w:sz="4" w:space="0" w:color="auto"/>
              <w:right w:val="nil"/>
            </w:tcBorders>
            <w:noWrap/>
            <w:vAlign w:val="bottom"/>
            <w:hideMark/>
          </w:tcPr>
          <w:p w14:paraId="4DF070F8"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1.94</w:t>
            </w:r>
          </w:p>
        </w:tc>
      </w:tr>
    </w:tbl>
    <w:p w14:paraId="2F0BD510" w14:textId="77777777" w:rsidR="00820F2D" w:rsidRPr="00820F2D" w:rsidRDefault="00820F2D" w:rsidP="00820F2D">
      <w:pPr>
        <w:rPr>
          <w:rFonts w:asciiTheme="majorHAnsi" w:hAnsiTheme="majorHAnsi" w:cstheme="majorHAnsi"/>
        </w:rPr>
      </w:pPr>
      <w:r w:rsidRPr="00820F2D">
        <w:rPr>
          <w:rFonts w:asciiTheme="majorHAnsi" w:hAnsiTheme="majorHAnsi" w:cstheme="majorHAnsi"/>
        </w:rPr>
        <w:t>Notes: Robust standard errors clustered at the firm level are reported in parentheses. ***, **, and * denote significance at the 1%, 5%, and 10% levels, respectively. All variables are defined in Table 1.</w:t>
      </w:r>
    </w:p>
    <w:p w14:paraId="73F9A140" w14:textId="77777777" w:rsidR="00820F2D" w:rsidRPr="00820F2D" w:rsidRDefault="00820F2D" w:rsidP="00820F2D">
      <w:pPr>
        <w:rPr>
          <w:rFonts w:asciiTheme="majorHAnsi" w:hAnsiTheme="majorHAnsi" w:cstheme="majorHAnsi"/>
        </w:rPr>
      </w:pPr>
      <w:r>
        <w:lastRenderedPageBreak/>
        <w:t>Table 9 summarises hypothesis testing for the five direct-effect hypotheses and the newly formalised moderation hypothesis (H6). Support is assessed by comparing the hypothesised sign with the estimated coefficient and its statistical significance.</w:t>
      </w:r>
    </w:p>
    <w:p w14:paraId="4AABF74E" w14:textId="77777777" w:rsidR="00820F2D" w:rsidRPr="00820F2D" w:rsidRDefault="00820F2D" w:rsidP="00820F2D">
      <w:pPr>
        <w:rPr>
          <w:rFonts w:asciiTheme="majorHAnsi" w:hAnsiTheme="majorHAnsi" w:cstheme="majorHAnsi"/>
        </w:rPr>
      </w:pPr>
    </w:p>
    <w:p w14:paraId="423B4A45" w14:textId="77777777" w:rsidR="00820F2D" w:rsidRPr="00820F2D" w:rsidRDefault="00820F2D" w:rsidP="00820F2D">
      <w:pPr>
        <w:rPr>
          <w:rFonts w:asciiTheme="majorHAnsi" w:hAnsiTheme="majorHAnsi" w:cstheme="majorHAnsi"/>
        </w:rPr>
      </w:pPr>
      <w:r w:rsidRPr="00820F2D">
        <w:rPr>
          <w:rFonts w:asciiTheme="majorHAnsi" w:eastAsia="Times New Roman" w:hAnsiTheme="majorHAnsi" w:cstheme="majorHAnsi"/>
          <w:b/>
          <w:bCs/>
          <w:color w:val="000000"/>
          <w:lang w:eastAsia="en-GB"/>
        </w:rPr>
        <w:t>Table 9.</w:t>
      </w:r>
      <w:r w:rsidRPr="00820F2D">
        <w:rPr>
          <w:rFonts w:asciiTheme="majorHAnsi" w:eastAsia="Times New Roman" w:hAnsiTheme="majorHAnsi" w:cstheme="majorHAnsi"/>
          <w:color w:val="000000"/>
          <w:lang w:eastAsia="en-GB"/>
        </w:rPr>
        <w:t xml:space="preserve"> Summary of hypotheses testing</w:t>
      </w:r>
    </w:p>
    <w:tbl>
      <w:tblPr>
        <w:tblW w:w="10039" w:type="dxa"/>
        <w:tblInd w:w="-477" w:type="dxa"/>
        <w:tblLook w:val="04A0" w:firstRow="1" w:lastRow="0" w:firstColumn="1" w:lastColumn="0" w:noHBand="0" w:noVBand="1"/>
      </w:tblPr>
      <w:tblGrid>
        <w:gridCol w:w="1350"/>
        <w:gridCol w:w="1647"/>
        <w:gridCol w:w="1413"/>
        <w:gridCol w:w="5629"/>
      </w:tblGrid>
      <w:tr w:rsidR="00820F2D" w:rsidRPr="00820F2D" w14:paraId="500E3B31" w14:textId="77777777" w:rsidTr="00EA7C8E">
        <w:trPr>
          <w:trHeight w:val="422"/>
        </w:trPr>
        <w:tc>
          <w:tcPr>
            <w:tcW w:w="1350" w:type="dxa"/>
            <w:tcBorders>
              <w:top w:val="single" w:sz="4" w:space="0" w:color="auto"/>
              <w:left w:val="nil"/>
              <w:bottom w:val="single" w:sz="4" w:space="0" w:color="auto"/>
              <w:right w:val="nil"/>
            </w:tcBorders>
            <w:noWrap/>
            <w:vAlign w:val="bottom"/>
            <w:hideMark/>
          </w:tcPr>
          <w:p w14:paraId="779D1839"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Hypothesis</w:t>
            </w:r>
          </w:p>
        </w:tc>
        <w:tc>
          <w:tcPr>
            <w:tcW w:w="1647" w:type="dxa"/>
            <w:tcBorders>
              <w:top w:val="single" w:sz="4" w:space="0" w:color="auto"/>
              <w:left w:val="nil"/>
              <w:bottom w:val="single" w:sz="4" w:space="0" w:color="auto"/>
              <w:right w:val="nil"/>
            </w:tcBorders>
            <w:noWrap/>
            <w:vAlign w:val="bottom"/>
            <w:hideMark/>
          </w:tcPr>
          <w:p w14:paraId="60B736C5"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Studied relationship</w:t>
            </w:r>
          </w:p>
        </w:tc>
        <w:tc>
          <w:tcPr>
            <w:tcW w:w="1413" w:type="dxa"/>
            <w:tcBorders>
              <w:top w:val="single" w:sz="4" w:space="0" w:color="auto"/>
              <w:left w:val="nil"/>
              <w:bottom w:val="single" w:sz="4" w:space="0" w:color="auto"/>
              <w:right w:val="nil"/>
            </w:tcBorders>
            <w:noWrap/>
            <w:vAlign w:val="bottom"/>
            <w:hideMark/>
          </w:tcPr>
          <w:p w14:paraId="6FBD0B57"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Result (Accept / Reject)</w:t>
            </w:r>
          </w:p>
        </w:tc>
        <w:tc>
          <w:tcPr>
            <w:tcW w:w="5629" w:type="dxa"/>
            <w:tcBorders>
              <w:top w:val="single" w:sz="4" w:space="0" w:color="auto"/>
              <w:left w:val="nil"/>
              <w:bottom w:val="single" w:sz="4" w:space="0" w:color="auto"/>
              <w:right w:val="nil"/>
            </w:tcBorders>
            <w:noWrap/>
            <w:vAlign w:val="bottom"/>
            <w:hideMark/>
          </w:tcPr>
          <w:p w14:paraId="4268F866"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Justifications</w:t>
            </w:r>
          </w:p>
        </w:tc>
      </w:tr>
      <w:tr w:rsidR="00820F2D" w:rsidRPr="00820F2D" w14:paraId="1B0660E3" w14:textId="77777777" w:rsidTr="00EA7C8E">
        <w:trPr>
          <w:trHeight w:val="1556"/>
        </w:trPr>
        <w:tc>
          <w:tcPr>
            <w:tcW w:w="1350" w:type="dxa"/>
            <w:tcBorders>
              <w:top w:val="nil"/>
              <w:left w:val="nil"/>
              <w:bottom w:val="nil"/>
              <w:right w:val="nil"/>
            </w:tcBorders>
            <w:noWrap/>
            <w:hideMark/>
          </w:tcPr>
          <w:p w14:paraId="4D01B458"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5570833C"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H1</w:t>
            </w:r>
          </w:p>
        </w:tc>
        <w:tc>
          <w:tcPr>
            <w:tcW w:w="1647" w:type="dxa"/>
            <w:tcBorders>
              <w:top w:val="nil"/>
              <w:left w:val="nil"/>
              <w:bottom w:val="nil"/>
              <w:right w:val="nil"/>
            </w:tcBorders>
            <w:noWrap/>
            <w:hideMark/>
          </w:tcPr>
          <w:p w14:paraId="58678AE2"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1747E422"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BSIZE → SP</w:t>
            </w:r>
          </w:p>
        </w:tc>
        <w:tc>
          <w:tcPr>
            <w:tcW w:w="1413" w:type="dxa"/>
            <w:tcBorders>
              <w:top w:val="nil"/>
              <w:left w:val="nil"/>
              <w:bottom w:val="nil"/>
              <w:right w:val="nil"/>
            </w:tcBorders>
            <w:noWrap/>
            <w:hideMark/>
          </w:tcPr>
          <w:p w14:paraId="3C07B2A3" w14:textId="77777777" w:rsidR="00C018B1" w:rsidRDefault="00000000">
            <w:r>
              <w:t>Accepted</w:t>
            </w:r>
          </w:p>
        </w:tc>
        <w:tc>
          <w:tcPr>
            <w:tcW w:w="5629" w:type="dxa"/>
            <w:tcBorders>
              <w:top w:val="nil"/>
              <w:left w:val="nil"/>
              <w:bottom w:val="nil"/>
              <w:right w:val="nil"/>
            </w:tcBorders>
            <w:hideMark/>
          </w:tcPr>
          <w:p w14:paraId="0E5CD93B" w14:textId="77777777" w:rsidR="00C018B1" w:rsidRDefault="00000000">
            <w:r>
              <w:t>Board size is negatively and significantly associated with overall ESG performance, consistent with H1. The negative association is also present for ENV and SOC, while GOV is not statistically significant.</w:t>
            </w:r>
          </w:p>
        </w:tc>
      </w:tr>
      <w:tr w:rsidR="00820F2D" w:rsidRPr="00820F2D" w14:paraId="239F80E8" w14:textId="77777777" w:rsidTr="00EA7C8E">
        <w:trPr>
          <w:trHeight w:val="1881"/>
        </w:trPr>
        <w:tc>
          <w:tcPr>
            <w:tcW w:w="1350" w:type="dxa"/>
            <w:tcBorders>
              <w:top w:val="nil"/>
              <w:left w:val="nil"/>
              <w:bottom w:val="nil"/>
              <w:right w:val="nil"/>
            </w:tcBorders>
            <w:noWrap/>
            <w:hideMark/>
          </w:tcPr>
          <w:p w14:paraId="5EBF9DA2"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780F4064"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H2</w:t>
            </w:r>
          </w:p>
        </w:tc>
        <w:tc>
          <w:tcPr>
            <w:tcW w:w="1647" w:type="dxa"/>
            <w:tcBorders>
              <w:top w:val="nil"/>
              <w:left w:val="nil"/>
              <w:bottom w:val="nil"/>
              <w:right w:val="nil"/>
            </w:tcBorders>
            <w:noWrap/>
            <w:hideMark/>
          </w:tcPr>
          <w:p w14:paraId="7C2635C9"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60EA4ACA"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BIND → SP</w:t>
            </w:r>
          </w:p>
        </w:tc>
        <w:tc>
          <w:tcPr>
            <w:tcW w:w="1413" w:type="dxa"/>
            <w:tcBorders>
              <w:top w:val="nil"/>
              <w:left w:val="nil"/>
              <w:bottom w:val="nil"/>
              <w:right w:val="nil"/>
            </w:tcBorders>
            <w:noWrap/>
            <w:hideMark/>
          </w:tcPr>
          <w:p w14:paraId="17442172"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2BC3C1C5"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Accepted</w:t>
            </w:r>
          </w:p>
        </w:tc>
        <w:tc>
          <w:tcPr>
            <w:tcW w:w="5629" w:type="dxa"/>
            <w:tcBorders>
              <w:top w:val="nil"/>
              <w:left w:val="nil"/>
              <w:bottom w:val="nil"/>
              <w:right w:val="nil"/>
            </w:tcBorders>
            <w:hideMark/>
          </w:tcPr>
          <w:p w14:paraId="0FED749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hAnsiTheme="majorHAnsi" w:cstheme="majorHAnsi"/>
                <w:sz w:val="22"/>
              </w:rPr>
              <w:t>Board independence is positively and significantly related to sustainability performance, supporting the monitoring hypothesis that independent directors constrain managerial opportunism and promote substantive ESG engagement even in a highly regulated Asian context.</w:t>
            </w:r>
          </w:p>
        </w:tc>
      </w:tr>
      <w:tr w:rsidR="00820F2D" w:rsidRPr="00820F2D" w14:paraId="22553AA4" w14:textId="77777777" w:rsidTr="00EA7C8E">
        <w:trPr>
          <w:trHeight w:val="1345"/>
        </w:trPr>
        <w:tc>
          <w:tcPr>
            <w:tcW w:w="1350" w:type="dxa"/>
            <w:tcBorders>
              <w:top w:val="nil"/>
              <w:left w:val="nil"/>
              <w:bottom w:val="nil"/>
              <w:right w:val="nil"/>
            </w:tcBorders>
            <w:noWrap/>
            <w:hideMark/>
          </w:tcPr>
          <w:p w14:paraId="3920FDE7"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41B9548B"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H3</w:t>
            </w:r>
          </w:p>
        </w:tc>
        <w:tc>
          <w:tcPr>
            <w:tcW w:w="1647" w:type="dxa"/>
            <w:tcBorders>
              <w:top w:val="nil"/>
              <w:left w:val="nil"/>
              <w:bottom w:val="nil"/>
              <w:right w:val="nil"/>
            </w:tcBorders>
            <w:noWrap/>
            <w:hideMark/>
          </w:tcPr>
          <w:p w14:paraId="7DED393A"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10B95305"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CEOD → SP</w:t>
            </w:r>
          </w:p>
        </w:tc>
        <w:tc>
          <w:tcPr>
            <w:tcW w:w="1413" w:type="dxa"/>
            <w:tcBorders>
              <w:top w:val="nil"/>
              <w:left w:val="nil"/>
              <w:bottom w:val="nil"/>
              <w:right w:val="nil"/>
            </w:tcBorders>
            <w:noWrap/>
            <w:hideMark/>
          </w:tcPr>
          <w:p w14:paraId="30B29E7D" w14:textId="77777777" w:rsidR="00C018B1" w:rsidRDefault="00000000">
            <w:r>
              <w:t>Accepted</w:t>
            </w:r>
          </w:p>
        </w:tc>
        <w:tc>
          <w:tcPr>
            <w:tcW w:w="5629" w:type="dxa"/>
            <w:tcBorders>
              <w:top w:val="nil"/>
              <w:left w:val="nil"/>
              <w:bottom w:val="nil"/>
              <w:right w:val="nil"/>
            </w:tcBorders>
            <w:hideMark/>
          </w:tcPr>
          <w:p w14:paraId="4F76F9AD" w14:textId="77777777" w:rsidR="00C018B1" w:rsidRDefault="00000000">
            <w:r>
              <w:t>CEO duality is negatively and significantly associated with overall ESG performance and all three pillars, consistent with H3.</w:t>
            </w:r>
          </w:p>
        </w:tc>
      </w:tr>
      <w:tr w:rsidR="00820F2D" w:rsidRPr="00820F2D" w14:paraId="2B1D3CF2" w14:textId="77777777" w:rsidTr="00EA7C8E">
        <w:trPr>
          <w:trHeight w:val="1638"/>
        </w:trPr>
        <w:tc>
          <w:tcPr>
            <w:tcW w:w="1350" w:type="dxa"/>
            <w:tcBorders>
              <w:top w:val="nil"/>
              <w:left w:val="nil"/>
              <w:bottom w:val="nil"/>
              <w:right w:val="nil"/>
            </w:tcBorders>
            <w:noWrap/>
            <w:hideMark/>
          </w:tcPr>
          <w:p w14:paraId="3AB7626C"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28478F98"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H4</w:t>
            </w:r>
          </w:p>
        </w:tc>
        <w:tc>
          <w:tcPr>
            <w:tcW w:w="1647" w:type="dxa"/>
            <w:tcBorders>
              <w:top w:val="nil"/>
              <w:left w:val="nil"/>
              <w:bottom w:val="nil"/>
              <w:right w:val="nil"/>
            </w:tcBorders>
            <w:noWrap/>
            <w:hideMark/>
          </w:tcPr>
          <w:p w14:paraId="5C5C8333"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64221238"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BGD → SP</w:t>
            </w:r>
          </w:p>
        </w:tc>
        <w:tc>
          <w:tcPr>
            <w:tcW w:w="1413" w:type="dxa"/>
            <w:tcBorders>
              <w:top w:val="nil"/>
              <w:left w:val="nil"/>
              <w:bottom w:val="nil"/>
              <w:right w:val="nil"/>
            </w:tcBorders>
            <w:noWrap/>
            <w:hideMark/>
          </w:tcPr>
          <w:p w14:paraId="0A21CE41"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4DF25A45"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Accepted</w:t>
            </w:r>
          </w:p>
        </w:tc>
        <w:tc>
          <w:tcPr>
            <w:tcW w:w="5629" w:type="dxa"/>
            <w:tcBorders>
              <w:top w:val="nil"/>
              <w:left w:val="nil"/>
              <w:bottom w:val="nil"/>
              <w:right w:val="nil"/>
            </w:tcBorders>
            <w:hideMark/>
          </w:tcPr>
          <w:p w14:paraId="657DEDEB"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Board gender diversity is positively related to sustainability performance across ESG pillars, consistent with stakeholder and resource-dependence perspectives that diverse boards enhance stakeholder sensitivity and sustainability orientation.</w:t>
            </w:r>
          </w:p>
        </w:tc>
      </w:tr>
      <w:tr w:rsidR="00820F2D" w:rsidRPr="00820F2D" w14:paraId="62775EE7" w14:textId="77777777" w:rsidTr="00EA7C8E">
        <w:trPr>
          <w:trHeight w:val="1345"/>
        </w:trPr>
        <w:tc>
          <w:tcPr>
            <w:tcW w:w="1350" w:type="dxa"/>
            <w:tcBorders>
              <w:top w:val="nil"/>
              <w:left w:val="nil"/>
              <w:bottom w:val="single" w:sz="4" w:space="0" w:color="auto"/>
              <w:right w:val="nil"/>
            </w:tcBorders>
            <w:noWrap/>
            <w:hideMark/>
          </w:tcPr>
          <w:p w14:paraId="1BB7CAF6"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74F1F7EF"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H5</w:t>
            </w:r>
          </w:p>
        </w:tc>
        <w:tc>
          <w:tcPr>
            <w:tcW w:w="1647" w:type="dxa"/>
            <w:tcBorders>
              <w:top w:val="nil"/>
              <w:left w:val="nil"/>
              <w:bottom w:val="single" w:sz="4" w:space="0" w:color="auto"/>
              <w:right w:val="nil"/>
            </w:tcBorders>
            <w:noWrap/>
            <w:hideMark/>
          </w:tcPr>
          <w:p w14:paraId="01C1915A"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79F1D12E"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SC → SP</w:t>
            </w:r>
          </w:p>
        </w:tc>
        <w:tc>
          <w:tcPr>
            <w:tcW w:w="1413" w:type="dxa"/>
            <w:tcBorders>
              <w:top w:val="nil"/>
              <w:left w:val="nil"/>
              <w:bottom w:val="single" w:sz="4" w:space="0" w:color="auto"/>
              <w:right w:val="nil"/>
            </w:tcBorders>
            <w:noWrap/>
            <w:hideMark/>
          </w:tcPr>
          <w:p w14:paraId="4CF2C75A" w14:textId="77777777" w:rsidR="00820F2D" w:rsidRPr="00820F2D" w:rsidRDefault="00820F2D" w:rsidP="00EA7C8E">
            <w:pPr>
              <w:jc w:val="center"/>
              <w:rPr>
                <w:rFonts w:asciiTheme="majorHAnsi" w:eastAsia="Times New Roman" w:hAnsiTheme="majorHAnsi" w:cstheme="majorHAnsi"/>
                <w:b/>
                <w:bCs/>
                <w:color w:val="000000"/>
                <w:sz w:val="22"/>
                <w:lang w:eastAsia="en-GB"/>
              </w:rPr>
            </w:pPr>
          </w:p>
          <w:p w14:paraId="18D698FF" w14:textId="77777777" w:rsidR="00820F2D" w:rsidRPr="00820F2D" w:rsidRDefault="00820F2D" w:rsidP="00EA7C8E">
            <w:pPr>
              <w:jc w:val="center"/>
              <w:rPr>
                <w:rFonts w:asciiTheme="majorHAnsi" w:eastAsia="Times New Roman" w:hAnsiTheme="majorHAnsi" w:cstheme="majorHAnsi"/>
                <w:b/>
                <w:bCs/>
                <w:color w:val="000000"/>
                <w:sz w:val="22"/>
                <w:lang w:eastAsia="en-GB"/>
              </w:rPr>
            </w:pPr>
            <w:r w:rsidRPr="00820F2D">
              <w:rPr>
                <w:rFonts w:asciiTheme="majorHAnsi" w:eastAsia="Times New Roman" w:hAnsiTheme="majorHAnsi" w:cstheme="majorHAnsi"/>
                <w:b/>
                <w:bCs/>
                <w:color w:val="000000"/>
                <w:sz w:val="22"/>
                <w:lang w:eastAsia="en-GB"/>
              </w:rPr>
              <w:t>Accepted</w:t>
            </w:r>
          </w:p>
        </w:tc>
        <w:tc>
          <w:tcPr>
            <w:tcW w:w="5629" w:type="dxa"/>
            <w:tcBorders>
              <w:top w:val="nil"/>
              <w:left w:val="nil"/>
              <w:bottom w:val="single" w:sz="4" w:space="0" w:color="auto"/>
              <w:right w:val="nil"/>
            </w:tcBorders>
            <w:hideMark/>
          </w:tcPr>
          <w:p w14:paraId="7BB8252E" w14:textId="77777777" w:rsidR="00820F2D" w:rsidRPr="00820F2D" w:rsidRDefault="00820F2D" w:rsidP="00EA7C8E">
            <w:pPr>
              <w:rPr>
                <w:rFonts w:asciiTheme="majorHAnsi" w:eastAsia="Times New Roman" w:hAnsiTheme="majorHAnsi" w:cstheme="majorHAnsi"/>
                <w:color w:val="000000"/>
                <w:sz w:val="22"/>
                <w:lang w:eastAsia="en-GB"/>
              </w:rPr>
            </w:pPr>
            <w:r w:rsidRPr="00820F2D">
              <w:rPr>
                <w:rFonts w:asciiTheme="majorHAnsi" w:eastAsia="Times New Roman" w:hAnsiTheme="majorHAnsi" w:cstheme="majorHAnsi"/>
                <w:color w:val="000000"/>
                <w:sz w:val="22"/>
                <w:lang w:eastAsia="en-GB"/>
              </w:rPr>
              <w:t xml:space="preserve">Sustainability committees are positively associated with sustainability performance, indicating that </w:t>
            </w:r>
            <w:proofErr w:type="spellStart"/>
            <w:r w:rsidRPr="00820F2D">
              <w:rPr>
                <w:rFonts w:asciiTheme="majorHAnsi" w:eastAsia="Times New Roman" w:hAnsiTheme="majorHAnsi" w:cstheme="majorHAnsi"/>
                <w:color w:val="000000"/>
                <w:sz w:val="22"/>
                <w:lang w:eastAsia="en-GB"/>
              </w:rPr>
              <w:t>specialised</w:t>
            </w:r>
            <w:proofErr w:type="spellEnd"/>
            <w:r w:rsidRPr="00820F2D">
              <w:rPr>
                <w:rFonts w:asciiTheme="majorHAnsi" w:eastAsia="Times New Roman" w:hAnsiTheme="majorHAnsi" w:cstheme="majorHAnsi"/>
                <w:color w:val="000000"/>
                <w:sz w:val="22"/>
                <w:lang w:eastAsia="en-GB"/>
              </w:rPr>
              <w:t xml:space="preserve"> board structures enhance ESG oversight and help translate formal ESG mandates into substantive sustainability outcomes.</w:t>
            </w:r>
          </w:p>
        </w:tc>
      </w:tr>
      <w:tr w:rsidR="00C018B1" w14:paraId="6E8A8AC7" w14:textId="77777777">
        <w:tc>
          <w:tcPr>
            <w:tcW w:w="1350" w:type="dxa"/>
          </w:tcPr>
          <w:p w14:paraId="1880B43D" w14:textId="77777777" w:rsidR="00C018B1" w:rsidRDefault="00000000">
            <w:r>
              <w:t>H6</w:t>
            </w:r>
          </w:p>
        </w:tc>
        <w:tc>
          <w:tcPr>
            <w:tcW w:w="1647" w:type="dxa"/>
          </w:tcPr>
          <w:p w14:paraId="1C8F465A" w14:textId="77777777" w:rsidR="00C018B1" w:rsidRDefault="00000000">
            <w:r>
              <w:t>BGD × SC → SP</w:t>
            </w:r>
          </w:p>
        </w:tc>
        <w:tc>
          <w:tcPr>
            <w:tcW w:w="1413" w:type="dxa"/>
          </w:tcPr>
          <w:p w14:paraId="3F8ABB65" w14:textId="77777777" w:rsidR="00C018B1" w:rsidRDefault="00000000">
            <w:r>
              <w:t>Accepted</w:t>
            </w:r>
          </w:p>
        </w:tc>
        <w:tc>
          <w:tcPr>
            <w:tcW w:w="5629" w:type="dxa"/>
          </w:tcPr>
          <w:p w14:paraId="4843DD38" w14:textId="77777777" w:rsidR="00C018B1" w:rsidRDefault="00000000">
            <w:r>
              <w:t>The BGD × SC interaction is positive and statistically significant, indicating that the positive association between board gender diversity and sustainability performance is stronger when a sustainability committee is present.</w:t>
            </w:r>
          </w:p>
        </w:tc>
      </w:tr>
    </w:tbl>
    <w:p w14:paraId="53FAE18A" w14:textId="77777777" w:rsidR="00820F2D" w:rsidRPr="00820F2D" w:rsidRDefault="00820F2D" w:rsidP="00820F2D">
      <w:pPr>
        <w:rPr>
          <w:rFonts w:asciiTheme="majorHAnsi" w:hAnsiTheme="majorHAnsi" w:cstheme="majorHAnsi"/>
        </w:rPr>
      </w:pPr>
    </w:p>
    <w:p w14:paraId="5AAB3EAD"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5</w:t>
      </w:r>
      <w:r>
        <w:rPr>
          <w:rFonts w:asciiTheme="majorHAnsi" w:hAnsiTheme="majorHAnsi" w:cstheme="majorHAnsi"/>
          <w:b/>
          <w:bCs/>
        </w:rPr>
        <w:t>.</w:t>
      </w:r>
      <w:r w:rsidRPr="00820F2D">
        <w:rPr>
          <w:rFonts w:asciiTheme="majorHAnsi" w:hAnsiTheme="majorHAnsi" w:cstheme="majorHAnsi"/>
          <w:b/>
          <w:bCs/>
        </w:rPr>
        <w:t xml:space="preserve"> </w:t>
      </w:r>
      <w:r w:rsidR="009A220E" w:rsidRPr="00820F2D">
        <w:rPr>
          <w:rFonts w:asciiTheme="majorHAnsi" w:hAnsiTheme="majorHAnsi" w:cstheme="majorHAnsi"/>
          <w:b/>
          <w:bCs/>
        </w:rPr>
        <w:t>Discussion and Implications</w:t>
      </w:r>
    </w:p>
    <w:p w14:paraId="769060FD" w14:textId="77777777" w:rsidR="00820F2D" w:rsidRPr="00820F2D" w:rsidRDefault="00820F2D" w:rsidP="00820F2D">
      <w:pPr>
        <w:rPr>
          <w:rFonts w:asciiTheme="majorHAnsi" w:hAnsiTheme="majorHAnsi" w:cstheme="majorHAnsi"/>
        </w:rPr>
      </w:pPr>
      <w:r>
        <w:t xml:space="preserve">The results reveal a patterned set of governance-ESG associations rather than a uniform board effect. The negative coefficients for board size and CEO duality are consistent with the agency-theory concern that coordination costs and concentrated authority can weaken monitoring of long-horizon, information-intensive ESG decisions. By contrast, board independence is positively associated with each ESG dimension, which is consistent with stronger external monitoring and greater capacity to challenge managerial choices. These findings are broadly compatible with prior governance research, </w:t>
      </w:r>
      <w:r>
        <w:lastRenderedPageBreak/>
        <w:t>but the pillar results add nuance: some governance characteristics are more strongly associated with environmental and social scores than with the governance pillar, suggesting that formal governance practices may be more standardised while operational environmental and social outcomes retain greater firm-level variation.</w:t>
      </w:r>
    </w:p>
    <w:p w14:paraId="1BE5CA91" w14:textId="77777777" w:rsidR="00820F2D" w:rsidRPr="00820F2D" w:rsidRDefault="00820F2D" w:rsidP="00820F2D">
      <w:pPr>
        <w:rPr>
          <w:rFonts w:asciiTheme="majorHAnsi" w:hAnsiTheme="majorHAnsi" w:cstheme="majorHAnsi"/>
        </w:rPr>
      </w:pPr>
    </w:p>
    <w:p w14:paraId="5998CB81" w14:textId="77777777" w:rsidR="00820F2D" w:rsidRPr="00820F2D" w:rsidRDefault="00820F2D" w:rsidP="00820F2D">
      <w:pPr>
        <w:rPr>
          <w:rFonts w:asciiTheme="majorHAnsi" w:hAnsiTheme="majorHAnsi" w:cstheme="majorHAnsi"/>
        </w:rPr>
      </w:pPr>
      <w:r>
        <w:t>The strongest theoretical insight concerns the combination of board gender diversity and specialised sustainability oversight. Gender diversity is positively associated with ESG performance, and the positive BGD x SC interaction indicates that this relationship is stronger when a sustainability committee is present. One interpretation is that diversity expands the range of perspectives represented at board level, while a dedicated committee supplies the agenda-setting, information-processing, and accountability structure needed to connect those perspectives to ESG oversight. This complements recent evidence that sustainability committees can strengthen substantive ESG governance and condition diversity-related outcomes (Abdullah et al., 2024; Zampone et al., 2024; Abdullah, 2025). The interaction therefore supports a complementarity view of board governance rather than a model in which governance attributes operate independently.</w:t>
      </w:r>
    </w:p>
    <w:p w14:paraId="55C401DB" w14:textId="77777777" w:rsidR="00820F2D" w:rsidRPr="00820F2D" w:rsidRDefault="00820F2D" w:rsidP="00820F2D">
      <w:pPr>
        <w:rPr>
          <w:rFonts w:asciiTheme="majorHAnsi" w:hAnsiTheme="majorHAnsi" w:cstheme="majorHAnsi"/>
        </w:rPr>
      </w:pPr>
    </w:p>
    <w:p w14:paraId="5B882146" w14:textId="77777777" w:rsidR="00820F2D" w:rsidRPr="00820F2D" w:rsidRDefault="00820F2D" w:rsidP="00820F2D">
      <w:pPr>
        <w:rPr>
          <w:rFonts w:asciiTheme="majorHAnsi" w:hAnsiTheme="majorHAnsi" w:cstheme="majorHAnsi"/>
        </w:rPr>
      </w:pPr>
      <w:r>
        <w:t>The findings also help explain why prior studies sometimes report inconsistent board effects. Structural characteristics such as board size may bring additional expertise but can simultaneously increase coordination costs, so their net association is likely to depend on context and specification. Recent international evidence reporting nonlinear board-size and independence effects reinforces this caution (Kamarudin et al., 2025). Similarly, CEO duality may be more consequential for ESG domains requiring sustained monitoring because concentrated leadership can reduce the board's capacity to contest management priorities. The present estimates are consistent with these mechanisms, but they do not establish the causal channels directly.</w:t>
      </w:r>
    </w:p>
    <w:p w14:paraId="107157CB" w14:textId="77777777" w:rsidR="00820F2D" w:rsidRPr="00820F2D" w:rsidRDefault="00820F2D" w:rsidP="00820F2D">
      <w:pPr>
        <w:rPr>
          <w:rFonts w:asciiTheme="majorHAnsi" w:hAnsiTheme="majorHAnsi" w:cstheme="majorHAnsi"/>
        </w:rPr>
      </w:pPr>
    </w:p>
    <w:p w14:paraId="6741C6A8" w14:textId="77777777" w:rsidR="00820F2D" w:rsidRPr="00820F2D" w:rsidRDefault="00820F2D" w:rsidP="00820F2D">
      <w:pPr>
        <w:rPr>
          <w:rFonts w:asciiTheme="majorHAnsi" w:hAnsiTheme="majorHAnsi" w:cstheme="majorHAnsi"/>
        </w:rPr>
      </w:pPr>
      <w:r>
        <w:t>Taken together, the results support a complementary governance perspective in which monitoring structures and stakeholder-oriented structures are jointly associated with sustainability outcomes. They do not, however, establish that mandatory ESG regulation substitutes for or is complemented by internal governance because regulatory intensity is not measured directly. The defensible conclusion is narrower: governance characteristics continue to explain cross-sectional and temporal variation in ESG scores within this Asian panel during a period of increasingly formalised sustainability reporting.</w:t>
      </w:r>
    </w:p>
    <w:p w14:paraId="616F18E9" w14:textId="77777777" w:rsidR="00820F2D" w:rsidRPr="00820F2D" w:rsidRDefault="00820F2D" w:rsidP="00820F2D">
      <w:pPr>
        <w:rPr>
          <w:rFonts w:asciiTheme="majorHAnsi" w:hAnsiTheme="majorHAnsi" w:cstheme="majorHAnsi"/>
        </w:rPr>
      </w:pPr>
    </w:p>
    <w:p w14:paraId="7E1B8279"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5.1</w:t>
      </w:r>
      <w:r>
        <w:rPr>
          <w:rFonts w:asciiTheme="majorHAnsi" w:hAnsiTheme="majorHAnsi" w:cstheme="majorHAnsi"/>
          <w:b/>
          <w:bCs/>
        </w:rPr>
        <w:t xml:space="preserve">. </w:t>
      </w:r>
      <w:r w:rsidRPr="00820F2D">
        <w:rPr>
          <w:rFonts w:asciiTheme="majorHAnsi" w:hAnsiTheme="majorHAnsi" w:cstheme="majorHAnsi"/>
          <w:b/>
          <w:bCs/>
        </w:rPr>
        <w:t>Policy Implications</w:t>
      </w:r>
    </w:p>
    <w:p w14:paraId="00696860" w14:textId="77777777" w:rsidR="00820F2D" w:rsidRPr="00820F2D" w:rsidRDefault="00820F2D" w:rsidP="00820F2D">
      <w:pPr>
        <w:rPr>
          <w:rFonts w:asciiTheme="majorHAnsi" w:hAnsiTheme="majorHAnsi" w:cstheme="majorHAnsi"/>
        </w:rPr>
      </w:pPr>
      <w:r>
        <w:t>For policymakers, the results suggest that disclosure requirements and board-governance arrangements address different parts of the sustainability-governance problem. The study cannot estimate the effect of regulation itself, but the persistence of firm-level governance associations indicates that formal reporting requirements do not eliminate variation associated with board design. The negative board-size coefficient cautions against assuming that larger boards are necessarily more effective, while the positive board-independence coefficient is consistent with the value of monitoring capacity. These are associations and should inform governance review rather than be interpreted as causal prescriptions.</w:t>
      </w:r>
    </w:p>
    <w:p w14:paraId="66D5EDA2" w14:textId="77777777" w:rsidR="00820F2D" w:rsidRPr="00820F2D" w:rsidRDefault="00820F2D" w:rsidP="00820F2D">
      <w:pPr>
        <w:rPr>
          <w:rFonts w:asciiTheme="majorHAnsi" w:hAnsiTheme="majorHAnsi" w:cstheme="majorHAnsi"/>
        </w:rPr>
      </w:pPr>
    </w:p>
    <w:p w14:paraId="380A59FD" w14:textId="77777777" w:rsidR="00820F2D" w:rsidRPr="00820F2D" w:rsidRDefault="00820F2D" w:rsidP="00820F2D">
      <w:pPr>
        <w:rPr>
          <w:rFonts w:asciiTheme="majorHAnsi" w:hAnsiTheme="majorHAnsi" w:cstheme="majorHAnsi"/>
        </w:rPr>
      </w:pPr>
      <w:r>
        <w:t xml:space="preserve">The positive sustainability-committee coefficient and the BGD x SC interaction also suggest that regulators and listing authorities may benefit from focusing on clarity of ESG oversight responsibilities rather than on disclosure form alone. Nevertheless, whether mandating a committee would improve ESG outcomes cannot be inferred from these regressions. The evidence supports further evaluation </w:t>
      </w:r>
      <w:r>
        <w:lastRenderedPageBreak/>
        <w:t>of specialised board oversight, particularly in settings where boards are explicitly responsible for sustainability-related disclosure integrity.</w:t>
      </w:r>
    </w:p>
    <w:p w14:paraId="002B03A0" w14:textId="77777777" w:rsidR="00820F2D" w:rsidRPr="00820F2D" w:rsidRDefault="00820F2D" w:rsidP="00820F2D">
      <w:pPr>
        <w:rPr>
          <w:rFonts w:asciiTheme="majorHAnsi" w:hAnsiTheme="majorHAnsi" w:cstheme="majorHAnsi"/>
        </w:rPr>
      </w:pPr>
    </w:p>
    <w:p w14:paraId="0D36B3E5"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5.2</w:t>
      </w:r>
      <w:r>
        <w:rPr>
          <w:rFonts w:asciiTheme="majorHAnsi" w:hAnsiTheme="majorHAnsi" w:cstheme="majorHAnsi"/>
          <w:b/>
          <w:bCs/>
        </w:rPr>
        <w:t xml:space="preserve">. </w:t>
      </w:r>
      <w:r w:rsidRPr="00820F2D">
        <w:rPr>
          <w:rFonts w:asciiTheme="majorHAnsi" w:hAnsiTheme="majorHAnsi" w:cstheme="majorHAnsi"/>
          <w:b/>
          <w:bCs/>
        </w:rPr>
        <w:t>Managerial Implications</w:t>
      </w:r>
    </w:p>
    <w:p w14:paraId="06A01676" w14:textId="77777777" w:rsidR="00820F2D" w:rsidRDefault="00820F2D" w:rsidP="00820F2D">
      <w:pPr>
        <w:rPr>
          <w:rFonts w:asciiTheme="majorHAnsi" w:hAnsiTheme="majorHAnsi" w:cstheme="majorHAnsi"/>
        </w:rPr>
      </w:pPr>
      <w:r>
        <w:t>For boards and senior executives, the results favour attention to how governance mechanisms work together. Board independence is positively associated with ESG scores, whereas CEO duality and larger boards are negatively associated with overall ESG performance in the baseline models. Gender diversity shows a positive association that is stronger when a sustainability committee is present. This interaction suggests that representation may be most consequential when boards also possess a formal process for reviewing ESG information, assigning responsibility, and following up on sustainability priorities. Managers should therefore view committee design and board composition as potentially complementary governance features rather than as stand-alone compliance signals.</w:t>
      </w:r>
    </w:p>
    <w:p w14:paraId="468A6C8C" w14:textId="77777777" w:rsidR="00A22029" w:rsidRPr="009A220E" w:rsidRDefault="00A22029" w:rsidP="00820F2D">
      <w:pPr>
        <w:rPr>
          <w:rFonts w:asciiTheme="majorHAnsi" w:hAnsiTheme="majorHAnsi" w:cstheme="majorHAnsi"/>
        </w:rPr>
      </w:pPr>
    </w:p>
    <w:p w14:paraId="47731094"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5.3</w:t>
      </w:r>
      <w:r>
        <w:rPr>
          <w:rFonts w:asciiTheme="majorHAnsi" w:hAnsiTheme="majorHAnsi" w:cstheme="majorHAnsi"/>
          <w:b/>
          <w:bCs/>
        </w:rPr>
        <w:t xml:space="preserve">. </w:t>
      </w:r>
      <w:r w:rsidRPr="00820F2D">
        <w:rPr>
          <w:rFonts w:asciiTheme="majorHAnsi" w:hAnsiTheme="majorHAnsi" w:cstheme="majorHAnsi"/>
          <w:b/>
          <w:bCs/>
        </w:rPr>
        <w:t>Theoretical Implications</w:t>
      </w:r>
    </w:p>
    <w:p w14:paraId="244FC8EC" w14:textId="77777777" w:rsidR="00820F2D" w:rsidRPr="00820F2D" w:rsidRDefault="00820F2D" w:rsidP="00820F2D">
      <w:pPr>
        <w:rPr>
          <w:rFonts w:asciiTheme="majorHAnsi" w:hAnsiTheme="majorHAnsi" w:cstheme="majorHAnsi"/>
        </w:rPr>
      </w:pPr>
      <w:r>
        <w:t>The theoretical contribution is threefold. First, the joint significance of monitoring-oriented and stakeholder-oriented variables is consistent with combining agency and stakeholder explanations of sustainability governance. Second, H6 provides direct evidence of complementarity at the association level: the relationship between board gender diversity and ESG performance varies with the presence of a sustainability committee. Third, the pillar analysis shows that the strength of governance associations differs across environmental, social, and governance outcomes. The study therefore contributes to understanding heterogeneity in governance-ESG relationships. It does not test whether mandatory regulation substitutes for governance; that question requires an explicit regulatory measure or a design based on identifiable regulatory shocks.</w:t>
      </w:r>
    </w:p>
    <w:p w14:paraId="23DBC055" w14:textId="77777777" w:rsidR="00820F2D" w:rsidRPr="00820F2D" w:rsidRDefault="00820F2D" w:rsidP="00820F2D">
      <w:pPr>
        <w:rPr>
          <w:rFonts w:asciiTheme="majorHAnsi" w:hAnsiTheme="majorHAnsi" w:cstheme="majorHAnsi"/>
        </w:rPr>
      </w:pPr>
    </w:p>
    <w:p w14:paraId="406E3201" w14:textId="77777777" w:rsidR="00820F2D" w:rsidRPr="00820F2D" w:rsidRDefault="00820F2D" w:rsidP="00820F2D">
      <w:pPr>
        <w:rPr>
          <w:rFonts w:asciiTheme="majorHAnsi" w:hAnsiTheme="majorHAnsi" w:cstheme="majorHAnsi"/>
          <w:b/>
          <w:bCs/>
        </w:rPr>
      </w:pPr>
      <w:r w:rsidRPr="00820F2D">
        <w:rPr>
          <w:rFonts w:asciiTheme="majorHAnsi" w:hAnsiTheme="majorHAnsi" w:cstheme="majorHAnsi"/>
          <w:b/>
          <w:bCs/>
        </w:rPr>
        <w:t>6</w:t>
      </w:r>
      <w:r>
        <w:rPr>
          <w:rFonts w:asciiTheme="majorHAnsi" w:hAnsiTheme="majorHAnsi" w:cstheme="majorHAnsi"/>
          <w:b/>
          <w:bCs/>
        </w:rPr>
        <w:t xml:space="preserve">. </w:t>
      </w:r>
      <w:r w:rsidRPr="00820F2D">
        <w:rPr>
          <w:rFonts w:asciiTheme="majorHAnsi" w:hAnsiTheme="majorHAnsi" w:cstheme="majorHAnsi"/>
          <w:b/>
          <w:bCs/>
        </w:rPr>
        <w:t xml:space="preserve">Conclusion </w:t>
      </w:r>
    </w:p>
    <w:p w14:paraId="5E8121E2" w14:textId="77777777" w:rsidR="00820F2D" w:rsidRPr="00820F2D" w:rsidRDefault="00820F2D" w:rsidP="00820F2D">
      <w:pPr>
        <w:rPr>
          <w:rFonts w:asciiTheme="majorHAnsi" w:hAnsiTheme="majorHAnsi" w:cstheme="majorHAnsi"/>
        </w:rPr>
      </w:pPr>
      <w:r>
        <w:t>This study evaluates the association between corporate governance structures and Bloomberg ESG performance for 884 Asian-listed firms over 2015-2024. Industry- and year-fixed-effects models show a negative association for board size and CEO duality and positive associations for board independence, board gender diversity, and sustainability committees. The results are not identical across the environmental, social, and governance pillars, reinforcing the value of looking beyond the composite ESG score. A further contribution is the positive BGD x SC interaction: the association between board gender diversity and ESG performance is stronger among firms with a board-level sustainability committee, consistent with a governance-complementarity interpretation.</w:t>
      </w:r>
    </w:p>
    <w:p w14:paraId="1AFDCCEC" w14:textId="77777777" w:rsidR="00820F2D" w:rsidRPr="00820F2D" w:rsidRDefault="00820F2D" w:rsidP="00820F2D">
      <w:pPr>
        <w:rPr>
          <w:rFonts w:asciiTheme="majorHAnsi" w:hAnsiTheme="majorHAnsi" w:cstheme="majorHAnsi"/>
        </w:rPr>
      </w:pPr>
    </w:p>
    <w:p w14:paraId="15AB29D7" w14:textId="77777777" w:rsidR="00820F2D" w:rsidRPr="00820F2D" w:rsidRDefault="00820F2D" w:rsidP="00820F2D">
      <w:pPr>
        <w:rPr>
          <w:rFonts w:asciiTheme="majorHAnsi" w:hAnsiTheme="majorHAnsi" w:cstheme="majorHAnsi"/>
        </w:rPr>
      </w:pPr>
      <w:r>
        <w:t>These findings should be interpreted within the limits of the empirical design. The models establish robust associations, not causal effects, and the study does not include a country-level index of ESG regulatory intensity. It therefore cannot determine whether mandatory sustainability regulation substitutes for internal governance. A more defensible inference is that firm-level governance characteristics continue to be associated with ESG variation in an Asian sample observed during a period of progressively formalised sustainability reporting. This narrower conclusion preserves the institutional relevance of the study without attributing effects to a regulatory variable that is not directly estimated.</w:t>
      </w:r>
    </w:p>
    <w:p w14:paraId="6270E81B" w14:textId="77777777" w:rsidR="00820F2D" w:rsidRPr="00820F2D" w:rsidRDefault="00820F2D" w:rsidP="00820F2D">
      <w:pPr>
        <w:rPr>
          <w:rFonts w:asciiTheme="majorHAnsi" w:hAnsiTheme="majorHAnsi" w:cstheme="majorHAnsi"/>
        </w:rPr>
      </w:pPr>
    </w:p>
    <w:p w14:paraId="20854D32" w14:textId="77777777" w:rsidR="00820F2D" w:rsidRPr="00820F2D" w:rsidRDefault="00820F2D" w:rsidP="00820F2D">
      <w:pPr>
        <w:rPr>
          <w:rFonts w:asciiTheme="majorHAnsi" w:hAnsiTheme="majorHAnsi" w:cstheme="majorHAnsi"/>
        </w:rPr>
      </w:pPr>
      <w:r>
        <w:t xml:space="preserve">Several limitations indicate useful directions for future research. First, although the sample spans 15 Asian economies, regulatory requirements and enforcement intensity differ across jurisdictions. Future studies could construct time-varying country-level measures of sustainability-reporting mandates, assurance requirements, or enforcement intensity. Such measures would permit direct </w:t>
      </w:r>
      <w:r>
        <w:lastRenderedPageBreak/>
        <w:t>tests of whether regulation substitutes for or complements internal governance. Second, Bloomberg ESG scores provide a consistent cross-firm measure but do not capture every underlying environmental or social impact and should not be treated as equivalent to GRI reporting. Third, the observational panel design and lagged/firm-fixed-effects robustness checks reduce some specification concerns but do not establish causality; regulatory shocks or other quasi-experimental designs would strengthen identification. Finally, results for large listed firms may not generalise to smaller or privately held companies.</w:t>
      </w:r>
    </w:p>
    <w:p w14:paraId="34EF3488" w14:textId="77777777" w:rsidR="00322E43" w:rsidRPr="00820F2D" w:rsidRDefault="00322E43">
      <w:pPr>
        <w:rPr>
          <w:rFonts w:asciiTheme="majorHAnsi" w:hAnsiTheme="majorHAnsi" w:cstheme="majorHAnsi"/>
        </w:rPr>
      </w:pPr>
    </w:p>
    <w:p w14:paraId="57BF162E" w14:textId="77777777" w:rsidR="00322E43" w:rsidRPr="00322E43" w:rsidRDefault="00322E43">
      <w:pPr>
        <w:rPr>
          <w:b/>
          <w:bCs/>
          <w:szCs w:val="24"/>
        </w:rPr>
      </w:pPr>
      <w:r w:rsidRPr="00322E43">
        <w:rPr>
          <w:b/>
          <w:bCs/>
          <w:szCs w:val="24"/>
        </w:rPr>
        <w:t xml:space="preserve">Acknowledgement </w:t>
      </w:r>
    </w:p>
    <w:p w14:paraId="58C2B535" w14:textId="77777777" w:rsidR="00A1703F" w:rsidRDefault="00A1703F">
      <w:pPr>
        <w:rPr>
          <w:rFonts w:asciiTheme="majorHAnsi" w:hAnsiTheme="majorHAnsi" w:cs="Times New Roman"/>
        </w:rPr>
      </w:pPr>
      <w:r w:rsidRPr="00A1703F">
        <w:rPr>
          <w:rFonts w:asciiTheme="majorHAnsi" w:hAnsiTheme="majorHAnsi" w:cs="Times New Roman"/>
        </w:rPr>
        <w:t>This research was not funded by any grant.</w:t>
      </w:r>
    </w:p>
    <w:p w14:paraId="40AE8B92" w14:textId="77777777" w:rsidR="00A1703F" w:rsidRPr="00A1703F" w:rsidRDefault="00A1703F">
      <w:pPr>
        <w:rPr>
          <w:rFonts w:asciiTheme="majorHAnsi" w:hAnsiTheme="majorHAnsi" w:cs="Times New Roman"/>
        </w:rPr>
      </w:pPr>
    </w:p>
    <w:p w14:paraId="032D274D" w14:textId="77777777" w:rsidR="00C6593B" w:rsidRPr="001213FD" w:rsidRDefault="00C6593B" w:rsidP="00C6593B">
      <w:pPr>
        <w:rPr>
          <w:szCs w:val="24"/>
        </w:rPr>
      </w:pPr>
      <w:r w:rsidRPr="001213FD">
        <w:rPr>
          <w:b/>
          <w:bCs/>
          <w:szCs w:val="24"/>
        </w:rPr>
        <w:t>Conflicts of Interest</w:t>
      </w:r>
      <w:r w:rsidRPr="001213FD">
        <w:rPr>
          <w:szCs w:val="24"/>
        </w:rPr>
        <w:t xml:space="preserve"> </w:t>
      </w:r>
    </w:p>
    <w:p w14:paraId="76495E7B" w14:textId="77777777" w:rsidR="00C6593B" w:rsidRDefault="00C6593B" w:rsidP="00C6593B">
      <w:r>
        <w:t>The authors declare no conflicts of interest.</w:t>
      </w:r>
    </w:p>
    <w:p w14:paraId="77BA86A6" w14:textId="77777777" w:rsidR="00A1703F" w:rsidRDefault="00A1703F">
      <w:pPr>
        <w:rPr>
          <w:b/>
          <w:szCs w:val="24"/>
        </w:rPr>
      </w:pPr>
    </w:p>
    <w:p w14:paraId="49CC89B6" w14:textId="77777777" w:rsidR="00820F2D" w:rsidRPr="00A22029" w:rsidRDefault="00AD6294" w:rsidP="00AE640F">
      <w:pPr>
        <w:rPr>
          <w:b/>
          <w:szCs w:val="24"/>
        </w:rPr>
      </w:pPr>
      <w:r>
        <w:rPr>
          <w:b/>
          <w:szCs w:val="24"/>
        </w:rPr>
        <w:t xml:space="preserve">References </w:t>
      </w:r>
    </w:p>
    <w:p w14:paraId="46CBEB40" w14:textId="77777777" w:rsidR="00C018B1" w:rsidRDefault="00000000">
      <w:pPr>
        <w:pStyle w:val="NormalWeb"/>
      </w:pPr>
      <w:r>
        <w:t>[1] Abdullah, A. (2022). The impact of sustainability committee characteristics on corporate sustainability performance: Evidence from the FTSE 150 non-financial companies [Doctoral dissertation, University of Wolverhampton].</w:t>
      </w:r>
    </w:p>
    <w:p w14:paraId="180CD1D1" w14:textId="77777777" w:rsidR="00C018B1" w:rsidRDefault="00000000">
      <w:pPr>
        <w:pStyle w:val="NormalWeb"/>
      </w:pPr>
      <w:r>
        <w:t>[2] Abdullah, A. (2026a). Gender diversity and ESG performance: The moderating role of the sustainability committee. Business Strategy and the Environment, 35(3), 3878–3897. https://doi.org/10.1002/bse.70336</w:t>
      </w:r>
    </w:p>
    <w:p w14:paraId="3ED9F10E" w14:textId="77777777" w:rsidR="00C018B1" w:rsidRDefault="00000000">
      <w:pPr>
        <w:pStyle w:val="NormalWeb"/>
      </w:pPr>
      <w:r>
        <w:t>[3] Abdullah, A. (2026b). Sustainable development and executive incentives: Is ESG-linked compensation associated with carbon performance? Sustainable Development. Advance online publication. https://doi.org/10.1002/sd.71451</w:t>
      </w:r>
    </w:p>
    <w:p w14:paraId="4A016D6B" w14:textId="77777777" w:rsidR="00C018B1" w:rsidRDefault="00000000">
      <w:pPr>
        <w:pStyle w:val="NormalWeb"/>
      </w:pPr>
      <w:r>
        <w:t>[4] Abdullah, A., Islam, M. A., Abdel-Razzaq, A. I. M., Mamun, T. G. M., &amp; Islam, M. F. (2026). Board governance characteristics and ESG performance in GCC listed firms. Discover Sustainability. https://doi.org/10.1007/s43621-026-03273-y</w:t>
      </w:r>
    </w:p>
    <w:p w14:paraId="33CF78B7" w14:textId="77777777" w:rsidR="00C018B1" w:rsidRDefault="00000000">
      <w:pPr>
        <w:pStyle w:val="NormalWeb"/>
      </w:pPr>
      <w:r>
        <w:t>[5] Abdullah, A., Omhand, K., &amp; Islam, A. (2026). Board oversight architecture and ESG disclosure quality: Complementarity and substitution between audit and sustainability committees. Business Strategy and the Environment, 1–21. https://doi.org/10.1002/bse.71173</w:t>
      </w:r>
    </w:p>
    <w:p w14:paraId="3956CBF6" w14:textId="77777777" w:rsidR="00C018B1" w:rsidRDefault="00000000">
      <w:pPr>
        <w:pStyle w:val="NormalWeb"/>
      </w:pPr>
      <w:r>
        <w:t>[6] Abdullah, A., Oriade, A., &amp; Omhand, K. (2026). Sustainable development pressure and executive accountability: Adoption of sustainability compensation incentives in tourism and hospitality. Business Strategy and the Environment, 1–15. https://doi.org/10.1002/bse.71403</w:t>
      </w:r>
    </w:p>
    <w:p w14:paraId="51DB8125" w14:textId="77777777" w:rsidR="00C018B1" w:rsidRDefault="00000000">
      <w:pPr>
        <w:pStyle w:val="NormalWeb"/>
      </w:pPr>
      <w:r>
        <w:t>[7] Abdullah, A., Talha, M., &amp; Hadi, N. U. (2026). The effects of ESG performance on financial performance: Evidence from GCC countries. Corporate Social Responsibility and Environmental Management, 33(2), 2570–2587. https://doi.org/10.1002/csr.70301</w:t>
      </w:r>
    </w:p>
    <w:p w14:paraId="6CF64E0B" w14:textId="77777777" w:rsidR="00C018B1" w:rsidRDefault="00000000">
      <w:pPr>
        <w:pStyle w:val="NormalWeb"/>
      </w:pPr>
      <w:r>
        <w:t>[8] Abdullah, A., Yamak, S., Korzhenitskaya, A., Rahimi, R., &amp; McClellan, J. (2024). Sustainable development: The role of sustainability committees in achieving ESG targets. Business Strategy and the Environment, 33(3), 2250–2268. https://doi.org/10.1002/bse.3596</w:t>
      </w:r>
    </w:p>
    <w:p w14:paraId="401CE186" w14:textId="77777777" w:rsidR="00C018B1" w:rsidRDefault="00000000">
      <w:pPr>
        <w:pStyle w:val="NormalWeb"/>
      </w:pPr>
      <w:r>
        <w:lastRenderedPageBreak/>
        <w:t>[9] Abdullah, A., Yassen, A. O., &amp; Talha, M. (2026). Board governance structures and climate transition performance: The role of climate governance effectiveness. Business Strategy and the Environment, 1–21. https://doi.org/10.1002/bse.71250</w:t>
      </w:r>
    </w:p>
    <w:p w14:paraId="2F04B051" w14:textId="77777777" w:rsidR="00C018B1" w:rsidRDefault="00000000">
      <w:pPr>
        <w:pStyle w:val="NormalWeb"/>
      </w:pPr>
      <w:r>
        <w:t>[10] Agnese, P., Arduino, F. R., Bruno, E., &amp; Vento, G. A. (2024). On the road to sustainability: The role of board characteristics in driving ESG performance in Africa. Socio-Economic Planning Sciences, 95, 101994. https://doi.org/10.1016/j.seps.2024.101994</w:t>
      </w:r>
    </w:p>
    <w:p w14:paraId="61ECD6B6" w14:textId="77777777" w:rsidR="00C018B1" w:rsidRDefault="00000000">
      <w:pPr>
        <w:pStyle w:val="NormalWeb"/>
      </w:pPr>
      <w:r>
        <w:t>[11] Akhtar, T., &amp; Abdullah, M. (2025). An analysis of the influence of CEO duality on carbon emissions: Do board characteristics matter? Sustainability Accounting, Management and Policy Journal. Advance online publication. https://doi.org/10.1108/SAMPJ-10-2024-1163</w:t>
      </w:r>
    </w:p>
    <w:p w14:paraId="55F5E24D" w14:textId="77777777" w:rsidR="00C018B1" w:rsidRDefault="00000000">
      <w:pPr>
        <w:pStyle w:val="NormalWeb"/>
      </w:pPr>
      <w:r>
        <w:t>[12] Almaqtari, F. A., Elmashtawy, A., Farhan, N. H., Almasria, N. A., &amp; Alhajri, A. (2024). The moderating effect of board gender diversity in the environmental sustainability and financial performance nexus. Discover Sustainability, 5(1), 318. https://doi.org/10.1007/s43621-024-00517-7</w:t>
      </w:r>
    </w:p>
    <w:p w14:paraId="54F78A2D" w14:textId="77777777" w:rsidR="00C018B1" w:rsidRDefault="00000000">
      <w:pPr>
        <w:pStyle w:val="NormalWeb"/>
      </w:pPr>
      <w:r>
        <w:t>[13] Alodat, A. Y., &amp; Hao, Y. (2025). Environmental, social and governance (ESG) disclosure and firm performance: Moderating role of board gender diversity and sustainability committee. Sustainable Development, 33(1), 636–651. https://doi.org/10.1002/sd.3126</w:t>
      </w:r>
    </w:p>
    <w:p w14:paraId="377CB0E5" w14:textId="77777777" w:rsidR="00C018B1" w:rsidRDefault="00000000">
      <w:pPr>
        <w:pStyle w:val="NormalWeb"/>
      </w:pPr>
      <w:r>
        <w:t>[14] Arena, C., Bozzolan, S., &amp; Michelon, G. (2014). Environmental reporting: Transparency to stakeholders or stakeholder manipulation? An analysis of disclosure tone and the role of the board of directors. Corporate Social Responsibility and Environmental Management. https://doi.org/10.1002/csr.1350</w:t>
      </w:r>
    </w:p>
    <w:p w14:paraId="459B2525" w14:textId="77777777" w:rsidR="00C018B1" w:rsidRDefault="00000000">
      <w:pPr>
        <w:pStyle w:val="NormalWeb"/>
      </w:pPr>
      <w:r>
        <w:t>[15] Arici, H. E., Aladag, O. F., &amp; Koseoglu, M. A. (2025). How does CEO duality influence ESG scores in hospitality and tourism companies? Confounding roles of governance mechanisms and financial indicators. Journal of Hospitality &amp; Tourism Research, 49(5), 961–981. https://doi.org/10.1177/10963480241266154</w:t>
      </w:r>
    </w:p>
    <w:p w14:paraId="6BECE21E" w14:textId="77777777" w:rsidR="00C018B1" w:rsidRDefault="00000000">
      <w:pPr>
        <w:pStyle w:val="NormalWeb"/>
      </w:pPr>
      <w:r>
        <w:t>[16] Atif, M., Hossain, M., Alam, M. S., &amp; Goergen, M. (2021). Does board gender diversity affect renewable energy consumption? Journal of Corporate Finance, 66, 101665. https://doi.org/10.1016/j.jcorpfin.2020.101665</w:t>
      </w:r>
    </w:p>
    <w:p w14:paraId="79AB8564" w14:textId="77777777" w:rsidR="00C018B1" w:rsidRDefault="00000000">
      <w:pPr>
        <w:pStyle w:val="NormalWeb"/>
      </w:pPr>
      <w:r>
        <w:t>[17] Baldini, M., Dal Maso, L., Liberatore, G., Mazzi, F., &amp; Terzani, S. (2018). Role of country- and firm-level determinants in environmental, social, and governance disclosure. Journal of Business Ethics, 150, 79–98. https://doi.org/10.1007/s10551-016-3139-1</w:t>
      </w:r>
    </w:p>
    <w:p w14:paraId="44294E21" w14:textId="77777777" w:rsidR="00C018B1" w:rsidRDefault="00000000">
      <w:pPr>
        <w:pStyle w:val="NormalWeb"/>
      </w:pPr>
      <w:r>
        <w:t>[18] Baraibar-Díez, E., &amp; Odriozola, M. D. (2019). CSR committees and their effect on ESG performance in UK, France, Germany, and Spain. Sustainability, 11(18), 5077. https://doi.org/10.3390/su11185077</w:t>
      </w:r>
    </w:p>
    <w:p w14:paraId="7FA72B1D" w14:textId="77777777" w:rsidR="00C018B1" w:rsidRDefault="00000000">
      <w:pPr>
        <w:pStyle w:val="NormalWeb"/>
      </w:pPr>
      <w:r>
        <w:t>[19] Błach, J., Bukalska, E., Kaźmierska-Jóźwiak, B., &amp; Pesa, A. R. (2025). Sustainability performance, corporate governance, and financial performance: Evidence from Poland and Central European listed companies. Journal of Entrepreneurship, Management and Innovation, 21(1), 58–80. https://doi.org/10.7341/20252114</w:t>
      </w:r>
    </w:p>
    <w:p w14:paraId="4B2E03A7" w14:textId="77777777" w:rsidR="00C018B1" w:rsidRDefault="00000000">
      <w:pPr>
        <w:pStyle w:val="NormalWeb"/>
      </w:pPr>
      <w:r>
        <w:t>[20] Burke, J. J., Hoitash, R., &amp; Hoitash, U. (2019). The heterogeneity of board-level sustainability committees and corporate social performance. Journal of Business Ethics, 154, 1161–1186. https://doi.org/10.1007/s10551-017-3453-2</w:t>
      </w:r>
    </w:p>
    <w:p w14:paraId="3F4EEAEB" w14:textId="77777777" w:rsidR="00C018B1" w:rsidRDefault="00000000">
      <w:pPr>
        <w:pStyle w:val="NormalWeb"/>
      </w:pPr>
      <w:r>
        <w:lastRenderedPageBreak/>
        <w:t>[21] Chandrasena, S., Matthews, L., &amp; Gerged, A. M. (2025). Does the presence of a sustainability committee strengthen the impact of ESG disclosure on tax aggressiveness? Insights from North America. Review of Quantitative Finance and Accounting, 65, 1039–1065. https://doi.org/10.1007/s11156-024-01368-z</w:t>
      </w:r>
    </w:p>
    <w:p w14:paraId="51971DA0" w14:textId="77777777" w:rsidR="00C018B1" w:rsidRDefault="00000000">
      <w:pPr>
        <w:pStyle w:val="NormalWeb"/>
      </w:pPr>
      <w:r>
        <w:t>[22] Cucari, N., Esposito De Falco, S., &amp; Orlando, B. (2018). Diversity of board of directors and environmental social governance: Evidence from Italian listed companies. Corporate Social Responsibility and Environmental Management, 25(3), 250–266. https://doi.org/10.1002/csr.1452</w:t>
      </w:r>
    </w:p>
    <w:p w14:paraId="2D585E50" w14:textId="77777777" w:rsidR="00C018B1" w:rsidRDefault="00000000">
      <w:pPr>
        <w:pStyle w:val="NormalWeb"/>
      </w:pPr>
      <w:r>
        <w:t>[23] De Andres, P., Azofra, V., &amp; Lopez, F. (2005). Corporate boards in OECD countries: Size, composition, functioning and effectiveness. Corporate Governance: An International Review, 13(2), 197–210. https://doi.org/10.1111/j.1467-8683.2005.00418.x</w:t>
      </w:r>
    </w:p>
    <w:p w14:paraId="3226FF13" w14:textId="77777777" w:rsidR="00C018B1" w:rsidRDefault="00000000">
      <w:pPr>
        <w:pStyle w:val="NormalWeb"/>
      </w:pPr>
      <w:r>
        <w:t>[24] de Villiers, C., &amp; Dimes, R. (2021). Determinants, mechanisms and consequences of corporate governance reporting: A research framework. Journal of Management and Governance, 25(1), 7–26. https://doi.org/10.1007/s10997-020-09530-0</w:t>
      </w:r>
    </w:p>
    <w:p w14:paraId="1D1457D8" w14:textId="77777777" w:rsidR="00C018B1" w:rsidRDefault="00000000">
      <w:pPr>
        <w:pStyle w:val="NormalWeb"/>
      </w:pPr>
      <w:r>
        <w:t>[25] Deegan, C. (2000). Financial accounting theory. McGraw-Hill.</w:t>
      </w:r>
    </w:p>
    <w:p w14:paraId="307AA813" w14:textId="77777777" w:rsidR="00C018B1" w:rsidRDefault="00000000">
      <w:pPr>
        <w:pStyle w:val="NormalWeb"/>
      </w:pPr>
      <w:r>
        <w:t>[26] Dixit, K., Manna, R., &amp; Singh, A. (2024). The effects of CEO duality, board size, and informal social networks on sustainable innovation and firm performance. Corporate Ownership and Control, 21(2), 165–177. https://doi.org/10.22495/cocv21i2art13</w:t>
      </w:r>
    </w:p>
    <w:p w14:paraId="6C8EB9FD" w14:textId="77777777" w:rsidR="00C018B1" w:rsidRDefault="00000000">
      <w:pPr>
        <w:pStyle w:val="NormalWeb"/>
      </w:pPr>
      <w:r>
        <w:t>[27] Donaldson, T., &amp; Preston, L. E. (1995). The stakeholder theory of the corporation: Concepts, evidence, and implications. Academy of Management Review, 20(1), 65–91. https://doi.org/10.5465/amr.1995.9503271992</w:t>
      </w:r>
    </w:p>
    <w:p w14:paraId="3A821DFD" w14:textId="77777777" w:rsidR="00C018B1" w:rsidRDefault="00000000">
      <w:pPr>
        <w:pStyle w:val="NormalWeb"/>
      </w:pPr>
      <w:r>
        <w:t>[28] Dutordoir, M., Schoubben, F., Struyfs, K., &amp; Torsin, W. (2024). Environmental pressure and board gender diversity: Evidence from the European Union Emission Trading System. Business Strategy and the Environment, 33(5), 3911–3935. https://doi.org/10.1002/bse.3686</w:t>
      </w:r>
    </w:p>
    <w:p w14:paraId="2CC54F26" w14:textId="77777777" w:rsidR="00C018B1" w:rsidRDefault="00000000">
      <w:pPr>
        <w:pStyle w:val="NormalWeb"/>
      </w:pPr>
      <w:r>
        <w:t>[29] Eccles, R. G., Ioannou, I., &amp; Serafeim, G. (2014). The impact of corporate sustainability on organizational processes and performance. Management Science, 60(11), 2835–2857. https://doi.org/10.1287/mnsc.2014.1984</w:t>
      </w:r>
    </w:p>
    <w:p w14:paraId="287A2F49" w14:textId="77777777" w:rsidR="00C018B1" w:rsidRDefault="00000000">
      <w:pPr>
        <w:pStyle w:val="NormalWeb"/>
      </w:pPr>
      <w:r>
        <w:t>[30] Fama, E. F., &amp; Jensen, M. C. (1983). Separation of ownership and control. Journal of Law and Economics, 26(2), 301–325. https://doi.org/10.2307/725104</w:t>
      </w:r>
    </w:p>
    <w:p w14:paraId="7274CC1F" w14:textId="77777777" w:rsidR="00C018B1" w:rsidRDefault="00000000">
      <w:pPr>
        <w:pStyle w:val="NormalWeb"/>
      </w:pPr>
      <w:r>
        <w:t>[31] Filip, A., Labelle, R., &amp; Rousseau, S. (2015). Legal regime and financial reporting quality. Contemporary Accounting Research, 32(1), 280–307. https://doi.org/10.1111/1911-3846.12071</w:t>
      </w:r>
    </w:p>
    <w:p w14:paraId="05C7C1D8" w14:textId="77777777" w:rsidR="00C018B1" w:rsidRDefault="00000000">
      <w:pPr>
        <w:pStyle w:val="NormalWeb"/>
      </w:pPr>
      <w:r>
        <w:t>[32] Freeman, R. E. (1984). Strategic management: A stakeholder approach. Prentice-Hall.</w:t>
      </w:r>
    </w:p>
    <w:p w14:paraId="5B642341" w14:textId="77777777" w:rsidR="00C018B1" w:rsidRDefault="00000000">
      <w:pPr>
        <w:pStyle w:val="NormalWeb"/>
      </w:pPr>
      <w:r>
        <w:t>[33] Friede, G., Busch, T., &amp; Bassen, A. (2015). ESG and financial performance: Aggregated evidence from more than 2000 empirical studies. Journal of Sustainable Finance &amp; Investment, 5(4), 210–233. https://doi.org/10.1080/20430795.2015.1118917</w:t>
      </w:r>
    </w:p>
    <w:p w14:paraId="2BA95FC3" w14:textId="77777777" w:rsidR="00C018B1" w:rsidRDefault="00000000">
      <w:pPr>
        <w:pStyle w:val="NormalWeb"/>
      </w:pPr>
      <w:r>
        <w:t>[34] Guest, P. M. (2009). The impact of board size on firm performance: Evidence from the UK. The European Journal of Finance, 15(4), 385–404. https://doi.org/10.1080/13518470802466121</w:t>
      </w:r>
    </w:p>
    <w:p w14:paraId="1BCB8BF1" w14:textId="77777777" w:rsidR="00C018B1" w:rsidRDefault="00000000">
      <w:pPr>
        <w:pStyle w:val="NormalWeb"/>
      </w:pPr>
      <w:r>
        <w:lastRenderedPageBreak/>
        <w:t>[35] Gul, F. A., &amp; Leung, S. (2004). Board leadership, outside directors’ expertise and voluntary corporate disclosures. Journal of Accounting and Public Policy, 23(5), 351–379. https://doi.org/10.1016/j.jaccpubpol.2004.07.001</w:t>
      </w:r>
    </w:p>
    <w:p w14:paraId="6AC456B1" w14:textId="77777777" w:rsidR="00C018B1" w:rsidRDefault="00000000">
      <w:pPr>
        <w:pStyle w:val="NormalWeb"/>
      </w:pPr>
      <w:r>
        <w:t>[36] Hadi, N. U., Raza, M. A., Orole, F., Abdullah, A., &amp; Khan, M. I. (2026). Exnovation as a strategic enabler: Unlocking technological innovation through ambidexterity and capability reconfiguration. International Journal of Innovation Studies, 10(3), 100176. https://doi.org/10.1016/j.ijis.2026.01.001</w:t>
      </w:r>
    </w:p>
    <w:p w14:paraId="093EC2B5" w14:textId="77777777" w:rsidR="00C018B1" w:rsidRDefault="00000000">
      <w:pPr>
        <w:pStyle w:val="NormalWeb"/>
      </w:pPr>
      <w:r>
        <w:t>[37] Hahn, R., &amp; Lülfs, R. (2014). Legitimizing negative aspects in GRI-oriented sustainability reporting: A qualitative analysis of corporate disclosure strategies. Journal of Business Ethics, 123(3), 401–420. https://doi.org/10.1007/s10551-013-1801-4</w:t>
      </w:r>
    </w:p>
    <w:p w14:paraId="47C05DB7" w14:textId="77777777" w:rsidR="00C018B1" w:rsidRDefault="00000000">
      <w:pPr>
        <w:pStyle w:val="NormalWeb"/>
      </w:pPr>
      <w:r>
        <w:t>[38] Halme, M., &amp; Huse, M. (1997). The influence of corporate governance, industry and country factors on environmental reporting. Scandinavian Journal of Management, 13(2), 137–157. https://doi.org/10.1016/S0956-5221(97)00002-X</w:t>
      </w:r>
    </w:p>
    <w:p w14:paraId="39D805A8" w14:textId="77777777" w:rsidR="00C018B1" w:rsidRDefault="00000000">
      <w:pPr>
        <w:pStyle w:val="NormalWeb"/>
      </w:pPr>
      <w:r>
        <w:t>[39] Haniffa, R. M., &amp; Cooke, T. E. (2002). Culture, corporate governance and disclosure in Malaysian corporations. Abacus, 38(3), 317–349. https://doi.org/10.1111/1467-6281.00112</w:t>
      </w:r>
    </w:p>
    <w:p w14:paraId="2F5DBF25" w14:textId="77777777" w:rsidR="00C018B1" w:rsidRDefault="00000000">
      <w:pPr>
        <w:pStyle w:val="NormalWeb"/>
      </w:pPr>
      <w:r>
        <w:t>[40] Haque, F. (2017). The effects of board characteristics and sustainable compensation policy on carbon performance of UK firms. The British Accounting Review, 49(3), 347–364. https://doi.org/10.1016/j.bar.2017.01.001</w:t>
      </w:r>
    </w:p>
    <w:p w14:paraId="3A7AC25D" w14:textId="77777777" w:rsidR="00C018B1" w:rsidRDefault="00000000">
      <w:pPr>
        <w:pStyle w:val="NormalWeb"/>
      </w:pPr>
      <w:r>
        <w:t>[41] Hill, C. W. L., &amp; Jones, T. M. (1992). Stakeholder-agency theory. Journal of Management Studies, 29(2), 131–154. https://doi.org/10.1111/j.1467-6486.1992.tb00657.x</w:t>
      </w:r>
    </w:p>
    <w:p w14:paraId="127F2E0C" w14:textId="77777777" w:rsidR="00C018B1" w:rsidRDefault="00000000">
      <w:pPr>
        <w:pStyle w:val="NormalWeb"/>
      </w:pPr>
      <w:r>
        <w:t>[42] Hillman, A. J., &amp; Dalziel, T. (2003). Boards of directors and firm performance: Integrating agency and resource dependence perspectives. Academy of Management Review, 28(3), 383–396. https://doi.org/10.5465/amr.2003.10196729</w:t>
      </w:r>
    </w:p>
    <w:p w14:paraId="3416480B" w14:textId="77777777" w:rsidR="00C018B1" w:rsidRDefault="00000000">
      <w:pPr>
        <w:pStyle w:val="NormalWeb"/>
      </w:pPr>
      <w:r>
        <w:t>[43] Huang, H., Huang, J., Jiang, J., Lee, E., &amp; Zhao, Y. (2024). Effective or symbolic? The influence of board ESG committee on corporate ESG performance. Journal of Sustainable Finance and Accounting, 2, 100008. https://doi.org/10.1016/j.josfa.2024.100008</w:t>
      </w:r>
    </w:p>
    <w:p w14:paraId="55D6A4FD" w14:textId="77777777" w:rsidR="00C018B1" w:rsidRDefault="00000000">
      <w:pPr>
        <w:pStyle w:val="NormalWeb"/>
      </w:pPr>
      <w:r>
        <w:t>[44] Hussain, N., Rigoni, U., &amp; Cavezzali, E. (2018). Does it pay to be sustainable? Looking inside the black box of the relationship between sustainability performance and financial performance. Corporate Social Responsibility and Environmental Management, 25, 1198–1211. https://doi.org/10.1002/csr.1631</w:t>
      </w:r>
    </w:p>
    <w:p w14:paraId="26845355" w14:textId="77777777" w:rsidR="00C018B1" w:rsidRDefault="00000000">
      <w:pPr>
        <w:pStyle w:val="NormalWeb"/>
      </w:pPr>
      <w:r>
        <w:t>[45] Hussien, L. F., Alrawashedh, N. H., Deek, A., Alshaketheep, K., Zraqat, O., Al-Awamleh, H. K., &amp; Zureigat, Q. (2025). Corporate governance and energy sector sustainability performance disclosure. International Journal of Energy Sector Management. https://doi.org/10.1108/IJESM-07-2024-0015</w:t>
      </w:r>
    </w:p>
    <w:p w14:paraId="3D7D9A0D" w14:textId="77777777" w:rsidR="00C018B1" w:rsidRDefault="00000000">
      <w:pPr>
        <w:pStyle w:val="NormalWeb"/>
      </w:pPr>
      <w:r>
        <w:t>[46] Ioannou, I., &amp; Serafeim, G. (2012). What drives corporate social performance? The role of nation-level institutions. Journal of International Business Studies, 43(9), 834–864. https://doi.org/10.1057/jibs.2012.26</w:t>
      </w:r>
    </w:p>
    <w:p w14:paraId="168BCB14" w14:textId="77777777" w:rsidR="00C018B1" w:rsidRDefault="00000000">
      <w:pPr>
        <w:pStyle w:val="NormalWeb"/>
      </w:pPr>
      <w:r>
        <w:t>[47] Ismail, W. A. W., Kamarudin, K. A., &amp; Zainal, D. (2026). Board gender diversity and ESG performance: Do mandatory reporting rules reduce its influence? Sustainable Futures, 12, 102007. https://doi.org/10.1016/j.sftr.2026.102007</w:t>
      </w:r>
    </w:p>
    <w:p w14:paraId="0BFA7664" w14:textId="77777777" w:rsidR="00C018B1" w:rsidRDefault="00000000">
      <w:pPr>
        <w:pStyle w:val="NormalWeb"/>
      </w:pPr>
      <w:r>
        <w:lastRenderedPageBreak/>
        <w:t>[48] Jensen, M. C., &amp; Meckling, W. H. (1976). Theory of the firm: Managerial behavior, agency costs and ownership structure. Journal of Financial Economics, 3(4), 305–360. https://doi.org/10.1016/0304-405X(76)90026-X</w:t>
      </w:r>
    </w:p>
    <w:p w14:paraId="229C8FAE" w14:textId="77777777" w:rsidR="00C018B1" w:rsidRDefault="00000000">
      <w:pPr>
        <w:pStyle w:val="NormalWeb"/>
      </w:pPr>
      <w:r>
        <w:t>[49] Jo, H., &amp; Harjoto, M. (2011). Corporate governance and firm value: The impact of corporate social responsibility. Journal of Business Ethics, 103(3), 351–383. https://doi.org/10.1007/s10551-011-0869-y</w:t>
      </w:r>
    </w:p>
    <w:p w14:paraId="6B40C646" w14:textId="77777777" w:rsidR="00C018B1" w:rsidRDefault="00000000">
      <w:pPr>
        <w:pStyle w:val="NormalWeb"/>
      </w:pPr>
      <w:r>
        <w:t>[50] Kamarudin, K. A., Mohamad Ariff, A., Azmi, N. A., &amp; Mohd Suffian, M. T. (2025). Nonlinear effects of board size and board independence on corporate sustainability performance: International evidence. Corporate Governance: The International Journal of Business in Society, 25(4), 860–883. https://doi.org/10.1108/CG-12-2023-0544</w:t>
      </w:r>
    </w:p>
    <w:p w14:paraId="2F0350E2" w14:textId="77777777" w:rsidR="00C018B1" w:rsidRDefault="00000000">
      <w:pPr>
        <w:pStyle w:val="NormalWeb"/>
      </w:pPr>
      <w:r>
        <w:t>[51] Kolk, A. (2008). Sustainability, accountability and corporate governance: Exploring multinationals’ reporting practices. Business Strategy and the Environment, 17(1), 1–15. https://doi.org/10.1002/bse.511</w:t>
      </w:r>
    </w:p>
    <w:p w14:paraId="2D42C5D8" w14:textId="77777777" w:rsidR="00C018B1" w:rsidRDefault="00000000">
      <w:pPr>
        <w:pStyle w:val="NormalWeb"/>
      </w:pPr>
      <w:r>
        <w:t>[52] Liao, L., Luo, L., &amp; Tang, Q. (2015). Gender diversity, board independence, environmental committee and greenhouse gas disclosure. The British Accounting Review, 47(4), 409–424. https://doi.org/10.1016/j.bar.2014.01.002</w:t>
      </w:r>
    </w:p>
    <w:p w14:paraId="75ACBDD7" w14:textId="77777777" w:rsidR="00C018B1" w:rsidRDefault="00000000">
      <w:pPr>
        <w:pStyle w:val="NormalWeb"/>
      </w:pPr>
      <w:r>
        <w:t>[53] Lim, S., Matolcsy, Z., &amp; Chow, D. (2007). The association between board composition and different types of voluntary disclosure. European Accounting Review, 16(3), 555–583. https://doi.org/10.1080/09638180701507155</w:t>
      </w:r>
    </w:p>
    <w:p w14:paraId="7EFBE128" w14:textId="77777777" w:rsidR="00C018B1" w:rsidRDefault="00000000">
      <w:pPr>
        <w:pStyle w:val="NormalWeb"/>
      </w:pPr>
      <w:r>
        <w:t>[54] Lin, O., &amp; Guan, J. (2024). The impact of media attention, board independence on CEO power, and ESG in state-owned enterprises. Finance Research Letters, 62, 105180. https://doi.org/10.1016/j.frl.2024.105180</w:t>
      </w:r>
    </w:p>
    <w:p w14:paraId="1FF9A5B5" w14:textId="77777777" w:rsidR="00C018B1" w:rsidRDefault="00000000">
      <w:pPr>
        <w:pStyle w:val="NormalWeb"/>
      </w:pPr>
      <w:r>
        <w:t>[55] Lozano, R., &amp; Huisingh, D. (2011). Inter-linking issues and dimensions in sustainability reporting. Journal of Cleaner Production, 19(2–3), 99–107. https://doi.org/10.1016/j.jclepro.2010.01.004</w:t>
      </w:r>
    </w:p>
    <w:p w14:paraId="4756D311" w14:textId="77777777" w:rsidR="00C018B1" w:rsidRDefault="00000000">
      <w:pPr>
        <w:pStyle w:val="NormalWeb"/>
      </w:pPr>
      <w:r>
        <w:t>[56] Lu, J., &amp; Herremans, I. M. (2019). Board gender diversity and environmental performance: An industries perspective. Business Strategy and the Environment, 28(7), 1449–1464. https://doi.org/10.1002/bse.2326</w:t>
      </w:r>
    </w:p>
    <w:p w14:paraId="68EC037F" w14:textId="77777777" w:rsidR="00C018B1" w:rsidRDefault="00000000">
      <w:pPr>
        <w:pStyle w:val="NormalWeb"/>
      </w:pPr>
      <w:r>
        <w:t>[57] Mahran, K., &amp; Elamer, A. A. (2024). Chief executive officer (CEO) and corporate environmental sustainability: A systematic literature review and avenues for future research. Business Strategy and the Environment, 33(3), 1977–2003. https://doi.org/10.1002/bse.3577</w:t>
      </w:r>
    </w:p>
    <w:p w14:paraId="414F148D" w14:textId="77777777" w:rsidR="00C018B1" w:rsidRDefault="00000000">
      <w:pPr>
        <w:pStyle w:val="NormalWeb"/>
      </w:pPr>
      <w:r>
        <w:t>[58] Mallin, C., Michelon, G., &amp; Raggi, D. (2013). Monitoring intensity and stakeholders’ orientation: How does governance affect social and environmental disclosure? Journal of Business Ethics, 114(1), 29–43. https://doi.org/10.1007/s10551-012-1324-4</w:t>
      </w:r>
    </w:p>
    <w:p w14:paraId="11D430E7" w14:textId="77777777" w:rsidR="00C018B1" w:rsidRDefault="00000000">
      <w:pPr>
        <w:pStyle w:val="NormalWeb"/>
      </w:pPr>
      <w:r>
        <w:t>[59] Manita, R., Bruna, M. G., Dang, R., &amp; Houanti, L. (2018). Board gender diversity and ESG disclosure: Evidence from the USA. Journal of Applied Accounting Research, 19(2), 206–224. https://doi.org/10.1108/JAAR-01-2017-0024</w:t>
      </w:r>
    </w:p>
    <w:p w14:paraId="1464D2EE" w14:textId="77777777" w:rsidR="00C018B1" w:rsidRDefault="00000000">
      <w:pPr>
        <w:pStyle w:val="NormalWeb"/>
      </w:pPr>
      <w:r>
        <w:lastRenderedPageBreak/>
        <w:t>[60] Michelon, G., &amp; Parbonetti, A. (2012). The effect of corporate governance on sustainability disclosure. Journal of Management and Governance, 16(3), 477–509. https://doi.org/10.1007/s10997-010-9160-3</w:t>
      </w:r>
    </w:p>
    <w:p w14:paraId="7AFCB319" w14:textId="77777777" w:rsidR="00C018B1" w:rsidRDefault="00000000">
      <w:pPr>
        <w:pStyle w:val="NormalWeb"/>
      </w:pPr>
      <w:r>
        <w:t>[61] Naciti, V. (2019). Corporate governance and board of directors: The effect of a board composition on firm sustainability performance. Journal of Cleaner Production, 237, 117727. https://doi.org/10.1016/j.jclepro.2019.117727</w:t>
      </w:r>
    </w:p>
    <w:p w14:paraId="4B6FC097" w14:textId="77777777" w:rsidR="00C018B1" w:rsidRDefault="00000000">
      <w:pPr>
        <w:pStyle w:val="NormalWeb"/>
      </w:pPr>
      <w:r>
        <w:t>[62] OECD. (2025). Board Responsibility and Sustainability-Related Disclosure in Asia. OECD Publishing, Paris. https://doi.org/10.1787/8d2672e7-en</w:t>
      </w:r>
    </w:p>
    <w:p w14:paraId="193C3A19" w14:textId="77777777" w:rsidR="00C018B1" w:rsidRDefault="00000000">
      <w:pPr>
        <w:pStyle w:val="NormalWeb"/>
      </w:pPr>
      <w:r>
        <w:t>[63] Orazalin, N. S., Ntim, C. G., &amp; Malagila, J. K. (2024). Board sustainability committees, climate change initiatives, carbon performance, and market value. British Journal of Management, 35(1), 295–320. https://doi.org/10.1111/1467-8551.12715</w:t>
      </w:r>
    </w:p>
    <w:p w14:paraId="368D915F" w14:textId="77777777" w:rsidR="00C018B1" w:rsidRDefault="00000000">
      <w:pPr>
        <w:pStyle w:val="NormalWeb"/>
      </w:pPr>
      <w:r>
        <w:t>[64] Rashid, M. M., &amp; Kabir, M. R. (2025). Corporate governance and corporate sustainability performance: The mediating role of CSR expenditure. Asian Review of Accounting, 33(1), 1–17. https://doi.org/10.1108/ARA-12-2023-0350</w:t>
      </w:r>
    </w:p>
    <w:p w14:paraId="700EBD81" w14:textId="77777777" w:rsidR="00C018B1" w:rsidRDefault="00000000">
      <w:pPr>
        <w:pStyle w:val="NormalWeb"/>
      </w:pPr>
      <w:r>
        <w:t>[65] Rechner, P. L., &amp; Dalton, D. R. (1991). CEO duality and organizational performance: A longitudinal analysis. Strategic Management Journal, 12(2), 155–160. https://doi.org/10.1002/smj.4250120206</w:t>
      </w:r>
    </w:p>
    <w:p w14:paraId="0088EF75" w14:textId="77777777" w:rsidR="00C018B1" w:rsidRDefault="00000000">
      <w:pPr>
        <w:pStyle w:val="NormalWeb"/>
      </w:pPr>
      <w:r>
        <w:t>[66] Saggar, R., Arora, N., &amp; Singh, B. (2022). Gender diversity in corporate boardrooms and risk disclosure: Indian evidence. Gender in Management: An International Journal, 37(2), 182–201. https://doi.org/10.1108/GM-06-2020-0174</w:t>
      </w:r>
    </w:p>
    <w:p w14:paraId="20571D12" w14:textId="77777777" w:rsidR="00C018B1" w:rsidRDefault="00000000">
      <w:pPr>
        <w:pStyle w:val="NormalWeb"/>
      </w:pPr>
      <w:r>
        <w:t>[67] Shabbir, M. F., Hanaysha, J. R., Oon, E. Y. N., et al. (2024). Aligning CEO compensation with sustainability performance: The role of CEO duality, board size, and compensation committees. Discover Sustainability, 5, 447. https://doi.org/10.1007/s43621-024-00491-0</w:t>
      </w:r>
    </w:p>
    <w:p w14:paraId="4902EC8B" w14:textId="77777777" w:rsidR="00C018B1" w:rsidRDefault="00000000">
      <w:pPr>
        <w:pStyle w:val="NormalWeb"/>
      </w:pPr>
      <w:r>
        <w:t>[68] Soana, M.-G. (2024). Environmental strategies, environmental performance and board sustainability committees: Are financial and non-financial companies different? Research in International Business and Finance, 69, 102208. https://doi.org/10.1016/j.ribaf.2023.102208</w:t>
      </w:r>
    </w:p>
    <w:p w14:paraId="10396DE6" w14:textId="77777777" w:rsidR="00C018B1" w:rsidRDefault="00000000">
      <w:pPr>
        <w:pStyle w:val="NormalWeb"/>
      </w:pPr>
      <w:r>
        <w:t>[69] Spitzeck, H. (2009). The development of governance structures for corporate responsibility. Corporate Governance: The International Journal of Business in Society, 9(4), 495–505. https://doi.org/10.1108/14720700910985034</w:t>
      </w:r>
    </w:p>
    <w:p w14:paraId="0639C0D0" w14:textId="77777777" w:rsidR="00C018B1" w:rsidRDefault="00000000">
      <w:pPr>
        <w:pStyle w:val="NormalWeb"/>
      </w:pPr>
      <w:r>
        <w:t>[70] Stirling, A. (1998). On the economics and analysis of diversity (SPRU Electronic Working Paper Series, Paper No. 28). University of Sussex.</w:t>
      </w:r>
    </w:p>
    <w:p w14:paraId="70A69E23" w14:textId="77777777" w:rsidR="00C018B1" w:rsidRDefault="00000000">
      <w:pPr>
        <w:pStyle w:val="NormalWeb"/>
      </w:pPr>
      <w:r>
        <w:t>[71] Trireksani, T., Djajadikerta, H. G., Kamran, M., &amp; Butt, P. (2024). The impact of country characteristics on board gender diversity and sustainability performance: A global perspective. Sustainability, 16(7), 3057. https://doi.org/10.3390/su16073057</w:t>
      </w:r>
    </w:p>
    <w:p w14:paraId="430D95DB" w14:textId="77777777" w:rsidR="00C018B1" w:rsidRDefault="00000000">
      <w:pPr>
        <w:pStyle w:val="NormalWeb"/>
      </w:pPr>
      <w:r>
        <w:t>[72] Trumpp, C., Endrikat, J., Zopf, C., &amp; Guenther, E. (2015). Definition, conceptualization, and measurement of corporate environmental performance: A critical examination of a multidimensional construct. Journal of Business Ethics, 126(2), 185–204. https://doi.org/10.1007/s10551-013-1931-8</w:t>
      </w:r>
    </w:p>
    <w:p w14:paraId="7B3AD72F" w14:textId="77777777" w:rsidR="00C018B1" w:rsidRDefault="00000000">
      <w:pPr>
        <w:pStyle w:val="NormalWeb"/>
      </w:pPr>
      <w:r>
        <w:lastRenderedPageBreak/>
        <w:t>[73] Velte, P. (2024). Sustainable board governance and environmental performance: European evidence. Business Strategy and the Environment, 33(4), 3397–3421. https://doi.org/10.1002/bse.3654</w:t>
      </w:r>
    </w:p>
    <w:p w14:paraId="1B5E241B" w14:textId="77777777" w:rsidR="00C018B1" w:rsidRDefault="00000000">
      <w:pPr>
        <w:pStyle w:val="NormalWeb"/>
      </w:pPr>
      <w:r>
        <w:t>[74] Velte, P., &amp; Stawinoga, M. (2020). Do chief sustainability officers and CSR committees influence CSR-related outcomes? A structured literature review based on empirical-quantitative research findings. Journal of Management Control, 31(4), 333–377. https://doi.org/10.1007/s00187-020-00308-x</w:t>
      </w:r>
    </w:p>
    <w:p w14:paraId="059BE75E" w14:textId="77777777" w:rsidR="00C018B1" w:rsidRDefault="00000000">
      <w:pPr>
        <w:pStyle w:val="NormalWeb"/>
      </w:pPr>
      <w:r>
        <w:t>[75] Vigneau, L., Humphreys, M., &amp; Moon, J. (2014). How do firms comply with international sustainability standards? Processes and consequences of adopting the Global Reporting Initiative. Journal of Business Ethics. https://doi.org/10.1007/s10551-014-2278-5</w:t>
      </w:r>
    </w:p>
    <w:p w14:paraId="4907C688" w14:textId="77777777" w:rsidR="00C018B1" w:rsidRDefault="00000000">
      <w:pPr>
        <w:pStyle w:val="NormalWeb"/>
      </w:pPr>
      <w:r>
        <w:t>[76] Walls, J. L., Berrone, P., &amp; Phan, P. H. (2012). Corporate governance and environmental performance: Is there really a link? Strategic Management Journal, 33(8), 885–913. https://doi.org/10.1002/smj.1952</w:t>
      </w:r>
    </w:p>
    <w:p w14:paraId="4A5830E3" w14:textId="77777777" w:rsidR="00C018B1" w:rsidRDefault="00000000">
      <w:pPr>
        <w:pStyle w:val="NormalWeb"/>
      </w:pPr>
      <w:r>
        <w:t>[77] Zampone, G., Nicolò, G., Sannino, G., &amp; De Iorio, S. (2024). Gender diversity and SDG disclosure: The mediating role of the sustainability committee. Journal of Applied Accounting Research, 25(1), 171–193. https://doi.org/10.1108/JAAR-06-2022-0151</w:t>
      </w:r>
    </w:p>
    <w:p w14:paraId="34585A5E" w14:textId="77777777" w:rsidR="00C018B1" w:rsidRDefault="00000000">
      <w:pPr>
        <w:pStyle w:val="NormalWeb"/>
      </w:pPr>
      <w:r>
        <w:t>[78] Zhu, N., Yang, J., &amp; Agyemang, A. O. (2025). Unveiling sustainability: Tech-infused governance and ESG performance in textile industry. Business Ethics, the Environment &amp; Responsibility, 34(4), 1156–1170. https://doi.org/10.1111/beer.12690</w:t>
      </w:r>
    </w:p>
    <w:sectPr w:rsidR="00C018B1" w:rsidSect="001443E7">
      <w:headerReference w:type="default" r:id="rId12"/>
      <w:footerReference w:type="default" r:id="rId13"/>
      <w:headerReference w:type="first" r:id="rId14"/>
      <w:footerReference w:type="first" r:id="rId15"/>
      <w:pgSz w:w="11906" w:h="16838"/>
      <w:pgMar w:top="1440" w:right="1080" w:bottom="1440" w:left="1080" w:header="576" w:footer="36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D5A0C3" w14:textId="77777777" w:rsidR="0017330E" w:rsidRDefault="0017330E">
      <w:r>
        <w:separator/>
      </w:r>
    </w:p>
  </w:endnote>
  <w:endnote w:type="continuationSeparator" w:id="0">
    <w:p w14:paraId="130B5E8D" w14:textId="77777777" w:rsidR="0017330E" w:rsidRDefault="0017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AD542B" w14:textId="77777777" w:rsidR="00EA7C8E" w:rsidRDefault="00EA7C8E">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20</w:t>
    </w:r>
    <w:r>
      <w:rPr>
        <w:color w:val="000000"/>
      </w:rPr>
      <w:fldChar w:fldCharType="end"/>
    </w:r>
  </w:p>
  <w:p w14:paraId="3382C93E" w14:textId="77777777" w:rsidR="00EA7C8E" w:rsidRDefault="00EA7C8E">
    <w:pPr>
      <w:pBdr>
        <w:top w:val="nil"/>
        <w:left w:val="nil"/>
        <w:bottom w:val="nil"/>
        <w:right w:val="nil"/>
        <w:between w:val="nil"/>
      </w:pBdr>
      <w:tabs>
        <w:tab w:val="center" w:pos="4513"/>
        <w:tab w:val="right" w:pos="9026"/>
      </w:tabs>
      <w:rPr>
        <w:color w:val="000000"/>
      </w:rPr>
    </w:pPr>
  </w:p>
  <w:p w14:paraId="3B6F1E46" w14:textId="77777777" w:rsidR="00EA7C8E" w:rsidRDefault="00EA7C8E">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9B8B78" w14:textId="77777777" w:rsidR="00EA7C8E" w:rsidRDefault="00EA7C8E">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6424C6B" w14:textId="77777777" w:rsidR="00EA7C8E" w:rsidRDefault="00EA7C8E">
    <w:pPr>
      <w:pBdr>
        <w:top w:val="nil"/>
        <w:left w:val="nil"/>
        <w:bottom w:val="nil"/>
        <w:right w:val="nil"/>
        <w:between w:val="nil"/>
      </w:pBdr>
      <w:tabs>
        <w:tab w:val="center" w:pos="4513"/>
        <w:tab w:val="right" w:pos="9026"/>
      </w:tabs>
      <w:jc w:val="right"/>
      <w:rPr>
        <w:color w:val="000000"/>
      </w:rPr>
    </w:pPr>
  </w:p>
  <w:p w14:paraId="287A65D6" w14:textId="77777777" w:rsidR="00EA7C8E" w:rsidRDefault="00EA7C8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8D7A37" w14:textId="77777777" w:rsidR="0017330E" w:rsidRDefault="0017330E">
      <w:r>
        <w:separator/>
      </w:r>
    </w:p>
  </w:footnote>
  <w:footnote w:type="continuationSeparator" w:id="0">
    <w:p w14:paraId="139FEC61" w14:textId="77777777" w:rsidR="0017330E" w:rsidRDefault="00173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DF2CFA" w14:textId="77777777" w:rsidR="00EA7C8E" w:rsidRDefault="00EA7C8E">
    <w:pPr>
      <w:pBdr>
        <w:bottom w:val="single" w:sz="4" w:space="1" w:color="000000"/>
      </w:pBdr>
      <w:tabs>
        <w:tab w:val="center" w:pos="4680"/>
        <w:tab w:val="right" w:pos="9360"/>
      </w:tabs>
      <w:rPr>
        <w:rFonts w:ascii="Times New Roman" w:eastAsia="Times New Roman" w:hAnsi="Times New Roman" w:cs="Times New Roman"/>
        <w:i/>
        <w:color w:val="0070C0"/>
        <w:sz w:val="16"/>
        <w:szCs w:val="16"/>
      </w:rPr>
    </w:pPr>
    <w:r>
      <w:rPr>
        <w:rFonts w:ascii="Times New Roman" w:eastAsia="Times New Roman" w:hAnsi="Times New Roman" w:cs="Times New Roman"/>
        <w:i/>
        <w:sz w:val="16"/>
        <w:szCs w:val="16"/>
      </w:rPr>
      <w:t>Decision Making Advances</w:t>
    </w:r>
  </w:p>
  <w:p w14:paraId="51CD1FB4" w14:textId="77777777" w:rsidR="00EA7C8E" w:rsidRDefault="00EA7C8E">
    <w:pPr>
      <w:pBdr>
        <w:bottom w:val="single" w:sz="4" w:space="1" w:color="000000"/>
      </w:pBdr>
      <w:tabs>
        <w:tab w:val="center" w:pos="4680"/>
        <w:tab w:val="right" w:pos="9360"/>
      </w:tabs>
      <w:spacing w:line="480" w:lineRule="auto"/>
      <w:rPr>
        <w:rFonts w:ascii="Times New Roman" w:eastAsia="Times New Roman" w:hAnsi="Times New Roman" w:cs="Times New Roman"/>
        <w:sz w:val="14"/>
        <w:szCs w:val="14"/>
      </w:rPr>
    </w:pPr>
    <w:r>
      <w:rPr>
        <w:rFonts w:ascii="Times New Roman" w:eastAsia="Times New Roman" w:hAnsi="Times New Roman" w:cs="Times New Roman"/>
        <w:sz w:val="16"/>
        <w:szCs w:val="16"/>
      </w:rPr>
      <w:t>Volume 2, Issue 1 (2024) 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537812" w14:textId="77777777" w:rsidR="00EA7C8E" w:rsidRDefault="00EA7C8E">
    <w:pPr>
      <w:tabs>
        <w:tab w:val="center" w:pos="4680"/>
        <w:tab w:val="right" w:pos="9360"/>
      </w:tabs>
      <w:jc w:val="center"/>
      <w:rPr>
        <w:rFonts w:ascii="Times New Roman" w:eastAsia="Times New Roman" w:hAnsi="Times New Roman" w:cs="Times New Roman"/>
        <w:i/>
        <w:sz w:val="16"/>
        <w:szCs w:val="16"/>
      </w:rPr>
    </w:pPr>
  </w:p>
  <w:p w14:paraId="63325468" w14:textId="77777777" w:rsidR="00EA7C8E" w:rsidRDefault="00EA7C8E">
    <w:pPr>
      <w:tabs>
        <w:tab w:val="center" w:pos="4680"/>
        <w:tab w:val="right" w:pos="9360"/>
      </w:tabs>
      <w:jc w:val="center"/>
      <w:rPr>
        <w:rFonts w:ascii="Times New Roman" w:eastAsia="Times New Roman" w:hAnsi="Times New Roman" w:cs="Times New Roman"/>
        <w:i/>
        <w:szCs w:val="24"/>
      </w:rPr>
    </w:pPr>
    <w:r>
      <w:rPr>
        <w:rFonts w:ascii="Times New Roman" w:eastAsia="Times New Roman" w:hAnsi="Times New Roman" w:cs="Times New Roman"/>
        <w:i/>
        <w:sz w:val="16"/>
        <w:szCs w:val="16"/>
      </w:rPr>
      <w:t>Decision Making Advances</w:t>
    </w:r>
    <w:r>
      <w:rPr>
        <w:rFonts w:ascii="Times New Roman" w:eastAsia="Times New Roman" w:hAnsi="Times New Roman" w:cs="Times New Roman"/>
        <w:color w:val="000000"/>
        <w:sz w:val="16"/>
        <w:szCs w:val="16"/>
      </w:rPr>
      <w:t xml:space="preserve"> Volume 2, Issue 1 (2024) XX-XX</w:t>
    </w:r>
  </w:p>
  <w:p w14:paraId="1CDCFC04" w14:textId="77777777" w:rsidR="00EA7C8E" w:rsidRDefault="00EA7C8E">
    <w:pPr>
      <w:tabs>
        <w:tab w:val="center" w:pos="4680"/>
        <w:tab w:val="right" w:pos="9360"/>
      </w:tabs>
      <w:jc w:val="center"/>
      <w:rPr>
        <w:rFonts w:ascii="Times New Roman" w:eastAsia="Times New Roman" w:hAnsi="Times New Roman" w:cs="Times New Roman"/>
        <w:i/>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13837A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pt;height:19.15pt;visibility:visible" o:bullet="t">
        <v:imagedata r:id="rId1" o:title=""/>
      </v:shape>
    </w:pict>
  </w:numPicBullet>
  <w:abstractNum w:abstractNumId="0" w15:restartNumberingAfterBreak="0">
    <w:nsid w:val="01A83672"/>
    <w:multiLevelType w:val="multilevel"/>
    <w:tmpl w:val="0322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83C6F"/>
    <w:multiLevelType w:val="hybridMultilevel"/>
    <w:tmpl w:val="6EA07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E2E24"/>
    <w:multiLevelType w:val="hybridMultilevel"/>
    <w:tmpl w:val="6AB07CFC"/>
    <w:lvl w:ilvl="0" w:tplc="5030CBF6">
      <w:start w:val="1"/>
      <w:numFmt w:val="bullet"/>
      <w:lvlText w:val=""/>
      <w:lvlJc w:val="left"/>
      <w:pPr>
        <w:ind w:left="720" w:hanging="360"/>
      </w:pPr>
      <w:rPr>
        <w:rFonts w:ascii="Symbol" w:hAnsi="Symbol" w:hint="default"/>
        <w:sz w:val="22"/>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B4F9B"/>
    <w:multiLevelType w:val="multilevel"/>
    <w:tmpl w:val="82B6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24695"/>
    <w:multiLevelType w:val="multilevel"/>
    <w:tmpl w:val="E9AE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B56C2"/>
    <w:multiLevelType w:val="multilevel"/>
    <w:tmpl w:val="0CC65BDA"/>
    <w:lvl w:ilvl="0">
      <w:start w:val="1"/>
      <w:numFmt w:val="lowerRoman"/>
      <w:pStyle w:val="DMAlist-numbering"/>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D7758F7"/>
    <w:multiLevelType w:val="hybridMultilevel"/>
    <w:tmpl w:val="1352975C"/>
    <w:lvl w:ilvl="0" w:tplc="8F1EFB3C">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B33EA6"/>
    <w:multiLevelType w:val="hybridMultilevel"/>
    <w:tmpl w:val="6E065818"/>
    <w:lvl w:ilvl="0" w:tplc="079434D2">
      <w:start w:val="1"/>
      <w:numFmt w:val="bullet"/>
      <w:lvlText w:val=""/>
      <w:lvlJc w:val="left"/>
      <w:pPr>
        <w:ind w:left="720" w:hanging="360"/>
      </w:pPr>
      <w:rPr>
        <w:rFonts w:ascii="Symbol" w:hAnsi="Symbol" w:hint="default"/>
        <w:sz w:val="22"/>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BC7E93"/>
    <w:multiLevelType w:val="hybridMultilevel"/>
    <w:tmpl w:val="68CCB16A"/>
    <w:lvl w:ilvl="0" w:tplc="3976EF60">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26FDE"/>
    <w:multiLevelType w:val="hybridMultilevel"/>
    <w:tmpl w:val="450C4516"/>
    <w:lvl w:ilvl="0" w:tplc="B86A4A70">
      <w:start w:val="1"/>
      <w:numFmt w:val="bullet"/>
      <w:lvlText w:val=""/>
      <w:lvlJc w:val="left"/>
      <w:pPr>
        <w:ind w:left="720" w:hanging="360"/>
      </w:pPr>
      <w:rPr>
        <w:rFonts w:ascii="Symbol" w:hAnsi="Symbol" w:hint="default"/>
        <w:sz w:val="22"/>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6176378">
    <w:abstractNumId w:val="5"/>
  </w:num>
  <w:num w:numId="2" w16cid:durableId="783766015">
    <w:abstractNumId w:val="0"/>
  </w:num>
  <w:num w:numId="3" w16cid:durableId="968054213">
    <w:abstractNumId w:val="6"/>
  </w:num>
  <w:num w:numId="4" w16cid:durableId="313141622">
    <w:abstractNumId w:val="7"/>
  </w:num>
  <w:num w:numId="5" w16cid:durableId="705914678">
    <w:abstractNumId w:val="1"/>
  </w:num>
  <w:num w:numId="6" w16cid:durableId="1398550504">
    <w:abstractNumId w:val="2"/>
  </w:num>
  <w:num w:numId="7" w16cid:durableId="1926525289">
    <w:abstractNumId w:val="9"/>
  </w:num>
  <w:num w:numId="8" w16cid:durableId="736323062">
    <w:abstractNumId w:val="8"/>
  </w:num>
  <w:num w:numId="9" w16cid:durableId="1753775477">
    <w:abstractNumId w:val="3"/>
  </w:num>
  <w:num w:numId="10" w16cid:durableId="1650665865">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AwNzY2NzA0MzC2NLVQ0lEKTi0uzszPAykwrgUAfSNDpCwAAAA="/>
  </w:docVars>
  <w:rsids>
    <w:rsidRoot w:val="004704D8"/>
    <w:rsid w:val="00022C85"/>
    <w:rsid w:val="0003282E"/>
    <w:rsid w:val="00043CCB"/>
    <w:rsid w:val="00044859"/>
    <w:rsid w:val="00072288"/>
    <w:rsid w:val="00072C9E"/>
    <w:rsid w:val="00094527"/>
    <w:rsid w:val="000B2243"/>
    <w:rsid w:val="000D3816"/>
    <w:rsid w:val="00120B9D"/>
    <w:rsid w:val="001213FD"/>
    <w:rsid w:val="001240ED"/>
    <w:rsid w:val="001443E7"/>
    <w:rsid w:val="00144CCD"/>
    <w:rsid w:val="001534CF"/>
    <w:rsid w:val="0017330E"/>
    <w:rsid w:val="001B3F43"/>
    <w:rsid w:val="00264F01"/>
    <w:rsid w:val="00266074"/>
    <w:rsid w:val="00274FE6"/>
    <w:rsid w:val="00285E45"/>
    <w:rsid w:val="00290B3E"/>
    <w:rsid w:val="0029605A"/>
    <w:rsid w:val="002A6D05"/>
    <w:rsid w:val="002E0C7F"/>
    <w:rsid w:val="002F09E5"/>
    <w:rsid w:val="00316C9A"/>
    <w:rsid w:val="00322E43"/>
    <w:rsid w:val="00324804"/>
    <w:rsid w:val="003450D5"/>
    <w:rsid w:val="00374986"/>
    <w:rsid w:val="00374ECA"/>
    <w:rsid w:val="003769E3"/>
    <w:rsid w:val="00382AF4"/>
    <w:rsid w:val="00415E7E"/>
    <w:rsid w:val="00424F42"/>
    <w:rsid w:val="00452251"/>
    <w:rsid w:val="004544DB"/>
    <w:rsid w:val="004704D8"/>
    <w:rsid w:val="005036DF"/>
    <w:rsid w:val="0050752B"/>
    <w:rsid w:val="0052320B"/>
    <w:rsid w:val="005374E9"/>
    <w:rsid w:val="00546F39"/>
    <w:rsid w:val="00596E83"/>
    <w:rsid w:val="005A4C85"/>
    <w:rsid w:val="005C386B"/>
    <w:rsid w:val="005C6246"/>
    <w:rsid w:val="005E669B"/>
    <w:rsid w:val="005F0516"/>
    <w:rsid w:val="00625CBE"/>
    <w:rsid w:val="00626CA4"/>
    <w:rsid w:val="006418FE"/>
    <w:rsid w:val="00652342"/>
    <w:rsid w:val="00681EB1"/>
    <w:rsid w:val="006968B4"/>
    <w:rsid w:val="006B49B1"/>
    <w:rsid w:val="006B58F8"/>
    <w:rsid w:val="006C7481"/>
    <w:rsid w:val="006D6BC6"/>
    <w:rsid w:val="00726FCC"/>
    <w:rsid w:val="007331D1"/>
    <w:rsid w:val="00756BBB"/>
    <w:rsid w:val="00756C61"/>
    <w:rsid w:val="007576DA"/>
    <w:rsid w:val="00765AE1"/>
    <w:rsid w:val="00767DB1"/>
    <w:rsid w:val="00773E37"/>
    <w:rsid w:val="007811DB"/>
    <w:rsid w:val="007A23EE"/>
    <w:rsid w:val="007A3E58"/>
    <w:rsid w:val="007A3F1F"/>
    <w:rsid w:val="007B2F86"/>
    <w:rsid w:val="007E1410"/>
    <w:rsid w:val="007E520C"/>
    <w:rsid w:val="00815A65"/>
    <w:rsid w:val="00820CDA"/>
    <w:rsid w:val="00820F2D"/>
    <w:rsid w:val="00844030"/>
    <w:rsid w:val="008618EB"/>
    <w:rsid w:val="00862AF2"/>
    <w:rsid w:val="00871E8D"/>
    <w:rsid w:val="00876975"/>
    <w:rsid w:val="008829C5"/>
    <w:rsid w:val="008A5AAE"/>
    <w:rsid w:val="008C7557"/>
    <w:rsid w:val="008C7AD2"/>
    <w:rsid w:val="00904CD5"/>
    <w:rsid w:val="00930D93"/>
    <w:rsid w:val="00930FE8"/>
    <w:rsid w:val="0095393F"/>
    <w:rsid w:val="00964D11"/>
    <w:rsid w:val="00987A74"/>
    <w:rsid w:val="009936B6"/>
    <w:rsid w:val="009A220E"/>
    <w:rsid w:val="009B26CF"/>
    <w:rsid w:val="009F6A4D"/>
    <w:rsid w:val="00A1703F"/>
    <w:rsid w:val="00A22029"/>
    <w:rsid w:val="00A65C3F"/>
    <w:rsid w:val="00A7260B"/>
    <w:rsid w:val="00A811CA"/>
    <w:rsid w:val="00A81E70"/>
    <w:rsid w:val="00A97319"/>
    <w:rsid w:val="00AA27E9"/>
    <w:rsid w:val="00AA3FFA"/>
    <w:rsid w:val="00AC02C9"/>
    <w:rsid w:val="00AC3566"/>
    <w:rsid w:val="00AC4986"/>
    <w:rsid w:val="00AD6294"/>
    <w:rsid w:val="00AD6ACD"/>
    <w:rsid w:val="00AE640F"/>
    <w:rsid w:val="00B2149D"/>
    <w:rsid w:val="00B31346"/>
    <w:rsid w:val="00B362A7"/>
    <w:rsid w:val="00B92FFA"/>
    <w:rsid w:val="00BD7306"/>
    <w:rsid w:val="00BE003A"/>
    <w:rsid w:val="00BE1E6B"/>
    <w:rsid w:val="00C018B1"/>
    <w:rsid w:val="00C309DB"/>
    <w:rsid w:val="00C33932"/>
    <w:rsid w:val="00C42DC5"/>
    <w:rsid w:val="00C43A3E"/>
    <w:rsid w:val="00C54725"/>
    <w:rsid w:val="00C6593B"/>
    <w:rsid w:val="00C704FE"/>
    <w:rsid w:val="00C801D6"/>
    <w:rsid w:val="00C85225"/>
    <w:rsid w:val="00C96285"/>
    <w:rsid w:val="00CC1A9B"/>
    <w:rsid w:val="00CD74FE"/>
    <w:rsid w:val="00D01139"/>
    <w:rsid w:val="00D2374F"/>
    <w:rsid w:val="00D55DEA"/>
    <w:rsid w:val="00D604B9"/>
    <w:rsid w:val="00D6068B"/>
    <w:rsid w:val="00D713EE"/>
    <w:rsid w:val="00D846B3"/>
    <w:rsid w:val="00D9212D"/>
    <w:rsid w:val="00DA3E38"/>
    <w:rsid w:val="00DB2189"/>
    <w:rsid w:val="00DC74BB"/>
    <w:rsid w:val="00E317C6"/>
    <w:rsid w:val="00E4338C"/>
    <w:rsid w:val="00E7547E"/>
    <w:rsid w:val="00EA7C8E"/>
    <w:rsid w:val="00EE5ABE"/>
    <w:rsid w:val="00F434C7"/>
    <w:rsid w:val="00F44200"/>
    <w:rsid w:val="00F80EB9"/>
    <w:rsid w:val="00FA3D12"/>
    <w:rsid w:val="00FB0C00"/>
    <w:rsid w:val="00FB32DF"/>
    <w:rsid w:val="00FD499B"/>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C8CA6"/>
  <w15:docId w15:val="{4FD0E389-E233-432D-9865-F307CC94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sr-Latn-R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13FD"/>
    <w:pPr>
      <w:spacing w:after="0" w:line="240" w:lineRule="auto"/>
      <w:jc w:val="both"/>
    </w:pPr>
    <w:rPr>
      <w:sz w:val="24"/>
    </w:rPr>
  </w:style>
  <w:style w:type="paragraph" w:styleId="Heading1">
    <w:name w:val="heading 1"/>
    <w:basedOn w:val="Normal"/>
    <w:next w:val="Normal"/>
    <w:link w:val="Heading1Char"/>
    <w:uiPriority w:val="9"/>
    <w:qFormat/>
    <w:pPr>
      <w:keepNext/>
      <w:outlineLvl w:val="0"/>
    </w:pPr>
    <w:rPr>
      <w:rFonts w:ascii="Times New Roman" w:eastAsia="Times New Roman" w:hAnsi="Times New Roman" w:cs="Times New Roman"/>
      <w:b/>
      <w:sz w:val="20"/>
      <w:szCs w:val="20"/>
    </w:rPr>
  </w:style>
  <w:style w:type="paragraph" w:styleId="Heading2">
    <w:name w:val="heading 2"/>
    <w:basedOn w:val="Normal"/>
    <w:next w:val="Normal"/>
    <w:link w:val="Heading2Char"/>
    <w:uiPriority w:val="9"/>
    <w:qFormat/>
    <w:pPr>
      <w:outlineLvl w:val="1"/>
    </w:pPr>
    <w:rPr>
      <w:rFonts w:ascii="Times New Roman" w:eastAsia="Times New Roman" w:hAnsi="Times New Roman" w:cs="Times New Roman"/>
      <w:b/>
      <w:sz w:val="36"/>
      <w:szCs w:val="36"/>
    </w:rPr>
  </w:style>
  <w:style w:type="paragraph" w:styleId="Heading3">
    <w:name w:val="heading 3"/>
    <w:basedOn w:val="Normal"/>
    <w:next w:val="Normal"/>
    <w:link w:val="Heading3Char"/>
    <w:uiPriority w:val="9"/>
    <w:qFormat/>
    <w:pPr>
      <w:keepNext/>
      <w:keepLines/>
      <w:spacing w:before="40"/>
      <w:outlineLvl w:val="2"/>
    </w:pPr>
    <w:rPr>
      <w:rFonts w:ascii="Cambria" w:eastAsia="Cambria" w:hAnsi="Cambria" w:cs="Cambria"/>
      <w:color w:val="243F61"/>
      <w:szCs w:val="24"/>
    </w:rPr>
  </w:style>
  <w:style w:type="paragraph" w:styleId="Heading4">
    <w:name w:val="heading 4"/>
    <w:basedOn w:val="Normal"/>
    <w:next w:val="Normal"/>
    <w:link w:val="Heading4Char"/>
    <w:uiPriority w:val="9"/>
    <w:qFormat/>
    <w:pPr>
      <w:widowControl w:val="0"/>
      <w:spacing w:before="280" w:after="280" w:line="360" w:lineRule="auto"/>
      <w:ind w:left="1008" w:hanging="720"/>
      <w:outlineLvl w:val="3"/>
    </w:pPr>
    <w:rPr>
      <w:rFonts w:ascii="Times New Roman" w:eastAsia="Times New Roman" w:hAnsi="Times New Roman" w:cs="Times New Roman"/>
      <w:b/>
      <w:szCs w:val="24"/>
    </w:rPr>
  </w:style>
  <w:style w:type="paragraph" w:styleId="Heading5">
    <w:name w:val="heading 5"/>
    <w:basedOn w:val="Normal"/>
    <w:next w:val="Normal"/>
    <w:link w:val="Heading5Char"/>
    <w:uiPriority w:val="9"/>
    <w:qFormat/>
    <w:pPr>
      <w:spacing w:before="240" w:after="60" w:line="360" w:lineRule="auto"/>
      <w:outlineLvl w:val="4"/>
    </w:pPr>
    <w:rPr>
      <w:rFonts w:ascii="Times New Roman" w:eastAsia="Times New Roman" w:hAnsi="Times New Roman" w:cs="Times New Roman"/>
      <w:sz w:val="18"/>
      <w:szCs w:val="18"/>
    </w:rPr>
  </w:style>
  <w:style w:type="paragraph" w:styleId="Heading6">
    <w:name w:val="heading 6"/>
    <w:basedOn w:val="Normal"/>
    <w:next w:val="Normal"/>
    <w:link w:val="Heading6Char"/>
    <w:uiPriority w:val="9"/>
    <w:qFormat/>
    <w:pPr>
      <w:spacing w:before="240" w:after="60" w:line="360" w:lineRule="auto"/>
      <w:outlineLvl w:val="5"/>
    </w:pPr>
    <w:rPr>
      <w:rFonts w:ascii="Times New Roman" w:eastAsia="Times New Roman" w:hAnsi="Times New Roman" w:cs="Times New Roman"/>
      <w:i/>
      <w:sz w:val="16"/>
      <w:szCs w:val="16"/>
    </w:rPr>
  </w:style>
  <w:style w:type="paragraph" w:styleId="Heading7">
    <w:name w:val="heading 7"/>
    <w:basedOn w:val="Normal"/>
    <w:next w:val="Normal"/>
    <w:link w:val="Heading7Char"/>
    <w:uiPriority w:val="9"/>
    <w:semiHidden/>
    <w:unhideWhenUsed/>
    <w:qFormat/>
    <w:rsid w:val="001534CF"/>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Heading8">
    <w:name w:val="heading 8"/>
    <w:basedOn w:val="Normal"/>
    <w:next w:val="Normal"/>
    <w:link w:val="Heading8Char"/>
    <w:uiPriority w:val="9"/>
    <w:semiHidden/>
    <w:unhideWhenUsed/>
    <w:qFormat/>
    <w:rsid w:val="001534CF"/>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1534CF"/>
    <w:pPr>
      <w:keepNext/>
      <w:keepLines/>
      <w:spacing w:line="278" w:lineRule="auto"/>
      <w:jc w:val="left"/>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line="360" w:lineRule="auto"/>
      <w:jc w:val="center"/>
    </w:pPr>
    <w:rPr>
      <w:rFonts w:ascii="Times New Roman" w:eastAsia="Times New Roman" w:hAnsi="Times New Roman" w:cs="Times New Roman"/>
      <w:sz w:val="28"/>
      <w:szCs w:val="28"/>
    </w:rPr>
  </w:style>
  <w:style w:type="paragraph" w:styleId="Subtitle">
    <w:name w:val="Subtitle"/>
    <w:basedOn w:val="Normal"/>
    <w:next w:val="Normal"/>
    <w:link w:val="SubtitleChar"/>
    <w:uiPriority w:val="11"/>
    <w:qFormat/>
    <w:pPr>
      <w:spacing w:line="288" w:lineRule="auto"/>
    </w:pPr>
    <w:rPr>
      <w:rFonts w:ascii="Cambria" w:eastAsia="Cambria" w:hAnsi="Cambria" w:cs="Cambria"/>
      <w:smallCaps/>
      <w:color w:val="1F497D"/>
      <w:sz w:val="36"/>
      <w:szCs w:val="36"/>
    </w:rPr>
  </w:style>
  <w:style w:type="table" w:customStyle="1" w:styleId="a">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0">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1">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2">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3">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4">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customStyle="1" w:styleId="a5">
    <w:basedOn w:val="TableNormal"/>
    <w:pPr>
      <w:bidi/>
      <w:spacing w:after="0" w:line="240" w:lineRule="auto"/>
      <w:ind w:left="-692" w:hanging="446"/>
      <w:jc w:val="both"/>
    </w:pPr>
    <w:rPr>
      <w:b/>
      <w:color w:val="000080"/>
      <w:sz w:val="20"/>
      <w:szCs w:val="20"/>
    </w:rPr>
    <w:tblPr>
      <w:tblStyleRowBandSize w:val="1"/>
      <w:tblStyleColBandSize w:val="1"/>
      <w:tblCellMar>
        <w:left w:w="115" w:type="dxa"/>
        <w:right w:w="115" w:type="dxa"/>
      </w:tblCellMar>
    </w:tblPr>
    <w:tcPr>
      <w:shd w:val="clear" w:color="auto" w:fill="auto"/>
    </w:tcPr>
  </w:style>
  <w:style w:type="table" w:styleId="TableGrid">
    <w:name w:val="Table Grid"/>
    <w:aliases w:val="Table UUM"/>
    <w:basedOn w:val="TableNormal"/>
    <w:uiPriority w:val="59"/>
    <w:rsid w:val="006C7481"/>
    <w:pPr>
      <w:spacing w:after="0"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nhideWhenUsed/>
    <w:rsid w:val="006C7481"/>
    <w:rPr>
      <w:rFonts w:ascii="Times New Roman" w:eastAsiaTheme="minorHAnsi" w:hAnsi="Times New Roman" w:cstheme="minorBidi"/>
      <w:sz w:val="20"/>
      <w:szCs w:val="20"/>
      <w:lang w:val="en-GB" w:eastAsia="en-US"/>
    </w:rPr>
  </w:style>
  <w:style w:type="character" w:customStyle="1" w:styleId="FootnoteTextChar">
    <w:name w:val="Footnote Text Char"/>
    <w:basedOn w:val="DefaultParagraphFont"/>
    <w:link w:val="FootnoteText"/>
    <w:rsid w:val="006C7481"/>
    <w:rPr>
      <w:rFonts w:ascii="Times New Roman" w:eastAsiaTheme="minorHAnsi" w:hAnsi="Times New Roman" w:cstheme="minorBidi"/>
      <w:sz w:val="20"/>
      <w:szCs w:val="20"/>
      <w:lang w:val="en-GB" w:eastAsia="en-US"/>
    </w:rPr>
  </w:style>
  <w:style w:type="character" w:styleId="FootnoteReference">
    <w:name w:val="footnote reference"/>
    <w:basedOn w:val="DefaultParagraphFont"/>
    <w:uiPriority w:val="99"/>
    <w:semiHidden/>
    <w:unhideWhenUsed/>
    <w:rsid w:val="006C7481"/>
    <w:rPr>
      <w:vertAlign w:val="superscript"/>
    </w:rPr>
  </w:style>
  <w:style w:type="paragraph" w:styleId="Header">
    <w:name w:val="header"/>
    <w:basedOn w:val="Normal"/>
    <w:link w:val="HeaderChar"/>
    <w:uiPriority w:val="99"/>
    <w:unhideWhenUsed/>
    <w:rsid w:val="008A5AAE"/>
    <w:pPr>
      <w:tabs>
        <w:tab w:val="center" w:pos="4536"/>
        <w:tab w:val="right" w:pos="9072"/>
      </w:tabs>
    </w:pPr>
  </w:style>
  <w:style w:type="character" w:customStyle="1" w:styleId="HeaderChar">
    <w:name w:val="Header Char"/>
    <w:basedOn w:val="DefaultParagraphFont"/>
    <w:link w:val="Header"/>
    <w:uiPriority w:val="99"/>
    <w:rsid w:val="008A5AAE"/>
  </w:style>
  <w:style w:type="paragraph" w:styleId="Footer">
    <w:name w:val="footer"/>
    <w:basedOn w:val="Normal"/>
    <w:link w:val="FooterChar"/>
    <w:uiPriority w:val="99"/>
    <w:unhideWhenUsed/>
    <w:rsid w:val="008A5AAE"/>
    <w:pPr>
      <w:tabs>
        <w:tab w:val="center" w:pos="4536"/>
        <w:tab w:val="right" w:pos="9072"/>
      </w:tabs>
    </w:pPr>
  </w:style>
  <w:style w:type="character" w:customStyle="1" w:styleId="FooterChar">
    <w:name w:val="Footer Char"/>
    <w:basedOn w:val="DefaultParagraphFont"/>
    <w:link w:val="Footer"/>
    <w:uiPriority w:val="99"/>
    <w:rsid w:val="008A5AAE"/>
  </w:style>
  <w:style w:type="character" w:styleId="Hyperlink">
    <w:name w:val="Hyperlink"/>
    <w:basedOn w:val="DefaultParagraphFont"/>
    <w:uiPriority w:val="99"/>
    <w:unhideWhenUsed/>
    <w:rsid w:val="00E4338C"/>
    <w:rPr>
      <w:color w:val="0000FF" w:themeColor="hyperlink"/>
      <w:u w:val="single"/>
    </w:rPr>
  </w:style>
  <w:style w:type="character" w:customStyle="1" w:styleId="UnresolvedMention1">
    <w:name w:val="Unresolved Mention1"/>
    <w:basedOn w:val="DefaultParagraphFont"/>
    <w:uiPriority w:val="99"/>
    <w:semiHidden/>
    <w:unhideWhenUsed/>
    <w:rsid w:val="00E4338C"/>
    <w:rPr>
      <w:color w:val="605E5C"/>
      <w:shd w:val="clear" w:color="auto" w:fill="E1DFDD"/>
    </w:rPr>
  </w:style>
  <w:style w:type="paragraph" w:styleId="NormalWeb">
    <w:name w:val="Normal (Web)"/>
    <w:basedOn w:val="Normal"/>
    <w:uiPriority w:val="99"/>
    <w:unhideWhenUsed/>
    <w:rsid w:val="00C6593B"/>
    <w:pPr>
      <w:spacing w:before="100" w:beforeAutospacing="1" w:after="100" w:afterAutospacing="1"/>
    </w:pPr>
    <w:rPr>
      <w:rFonts w:ascii="Times New Roman" w:eastAsia="Times New Roman" w:hAnsi="Times New Roman" w:cs="Times New Roman"/>
      <w:szCs w:val="24"/>
      <w:lang w:eastAsia="en-US"/>
    </w:rPr>
  </w:style>
  <w:style w:type="character" w:styleId="Emphasis">
    <w:name w:val="Emphasis"/>
    <w:basedOn w:val="DefaultParagraphFont"/>
    <w:uiPriority w:val="20"/>
    <w:qFormat/>
    <w:rsid w:val="00C6593B"/>
    <w:rPr>
      <w:i/>
      <w:iCs/>
    </w:rPr>
  </w:style>
  <w:style w:type="paragraph" w:customStyle="1" w:styleId="DMAtitle">
    <w:name w:val="DMA title"/>
    <w:basedOn w:val="Normal"/>
    <w:link w:val="DMAtitleChar"/>
    <w:qFormat/>
    <w:rsid w:val="00930D93"/>
    <w:pPr>
      <w:ind w:left="-113"/>
      <w:jc w:val="left"/>
    </w:pPr>
    <w:rPr>
      <w:rFonts w:asciiTheme="minorHAnsi" w:eastAsiaTheme="minorHAnsi" w:hAnsiTheme="minorHAnsi"/>
      <w:color w:val="000080"/>
      <w:sz w:val="32"/>
      <w:szCs w:val="32"/>
      <w:lang w:val="en-GB" w:eastAsia="en-US"/>
    </w:rPr>
  </w:style>
  <w:style w:type="character" w:customStyle="1" w:styleId="DMAtitleChar">
    <w:name w:val="DMA title Char"/>
    <w:basedOn w:val="DefaultParagraphFont"/>
    <w:link w:val="DMAtitle"/>
    <w:rsid w:val="00930D93"/>
    <w:rPr>
      <w:rFonts w:asciiTheme="minorHAnsi" w:eastAsiaTheme="minorHAnsi" w:hAnsiTheme="minorHAnsi"/>
      <w:color w:val="000080"/>
      <w:sz w:val="32"/>
      <w:szCs w:val="32"/>
      <w:lang w:val="en-GB" w:eastAsia="en-US"/>
    </w:rPr>
  </w:style>
  <w:style w:type="paragraph" w:customStyle="1" w:styleId="DMAauthorname">
    <w:name w:val="DMA author name"/>
    <w:basedOn w:val="Normal"/>
    <w:link w:val="DMAauthornameChar"/>
    <w:qFormat/>
    <w:rsid w:val="00285E45"/>
    <w:pPr>
      <w:ind w:left="-115"/>
    </w:pPr>
    <w:rPr>
      <w:rFonts w:asciiTheme="minorHAnsi" w:eastAsia="Times New Roman" w:hAnsiTheme="minorHAnsi"/>
      <w:iCs/>
      <w:szCs w:val="24"/>
      <w:lang w:val="en-GB" w:eastAsia="en-US"/>
    </w:rPr>
  </w:style>
  <w:style w:type="character" w:customStyle="1" w:styleId="DMAauthornameChar">
    <w:name w:val="DMA author name Char"/>
    <w:basedOn w:val="DefaultParagraphFont"/>
    <w:link w:val="DMAauthorname"/>
    <w:rsid w:val="00285E45"/>
    <w:rPr>
      <w:rFonts w:asciiTheme="minorHAnsi" w:eastAsia="Times New Roman" w:hAnsiTheme="minorHAnsi"/>
      <w:iCs/>
      <w:sz w:val="24"/>
      <w:szCs w:val="24"/>
      <w:lang w:val="en-GB" w:eastAsia="en-US"/>
    </w:rPr>
  </w:style>
  <w:style w:type="paragraph" w:customStyle="1" w:styleId="DMAaffiliation">
    <w:name w:val="DMA affiliation"/>
    <w:basedOn w:val="Normal"/>
    <w:link w:val="DMAaffiliationChar"/>
    <w:qFormat/>
    <w:rsid w:val="00285E45"/>
    <w:pPr>
      <w:ind w:left="-115"/>
    </w:pPr>
    <w:rPr>
      <w:rFonts w:asciiTheme="minorHAnsi" w:eastAsia="Times New Roman" w:hAnsiTheme="minorHAnsi"/>
      <w:sz w:val="16"/>
      <w:szCs w:val="16"/>
      <w:lang w:val="en-GB" w:eastAsia="en-US"/>
    </w:rPr>
  </w:style>
  <w:style w:type="character" w:customStyle="1" w:styleId="DMAaffiliationChar">
    <w:name w:val="DMA affiliation Char"/>
    <w:basedOn w:val="DefaultParagraphFont"/>
    <w:link w:val="DMAaffiliation"/>
    <w:rsid w:val="00285E45"/>
    <w:rPr>
      <w:rFonts w:asciiTheme="minorHAnsi" w:eastAsia="Times New Roman" w:hAnsiTheme="minorHAnsi"/>
      <w:sz w:val="16"/>
      <w:szCs w:val="16"/>
      <w:lang w:val="en-GB" w:eastAsia="en-US"/>
    </w:rPr>
  </w:style>
  <w:style w:type="paragraph" w:customStyle="1" w:styleId="DMAarticlehistory">
    <w:name w:val="DMA article history"/>
    <w:basedOn w:val="Normal"/>
    <w:link w:val="DMAarticlehistoryChar"/>
    <w:qFormat/>
    <w:rsid w:val="00285E45"/>
    <w:rPr>
      <w:rFonts w:asciiTheme="minorHAnsi" w:eastAsiaTheme="minorHAnsi" w:hAnsiTheme="minorHAnsi" w:cstheme="minorBidi"/>
      <w:color w:val="000000" w:themeColor="text1"/>
      <w:sz w:val="16"/>
      <w:szCs w:val="16"/>
      <w:lang w:eastAsia="en-US"/>
    </w:rPr>
  </w:style>
  <w:style w:type="character" w:customStyle="1" w:styleId="DMAarticlehistoryChar">
    <w:name w:val="DMA article history Char"/>
    <w:basedOn w:val="DefaultParagraphFont"/>
    <w:link w:val="DMAarticlehistory"/>
    <w:rsid w:val="00285E45"/>
    <w:rPr>
      <w:rFonts w:asciiTheme="minorHAnsi" w:eastAsiaTheme="minorHAnsi" w:hAnsiTheme="minorHAnsi" w:cstheme="minorBidi"/>
      <w:color w:val="000000" w:themeColor="text1"/>
      <w:sz w:val="16"/>
      <w:szCs w:val="16"/>
      <w:lang w:eastAsia="en-US"/>
    </w:rPr>
  </w:style>
  <w:style w:type="paragraph" w:customStyle="1" w:styleId="DMAkeywords">
    <w:name w:val="DMA keywords"/>
    <w:basedOn w:val="Normal"/>
    <w:link w:val="DMAkeywordsChar"/>
    <w:qFormat/>
    <w:rsid w:val="00285E45"/>
    <w:pPr>
      <w:spacing w:after="120"/>
    </w:pPr>
    <w:rPr>
      <w:rFonts w:asciiTheme="minorHAnsi" w:eastAsiaTheme="minorHAnsi" w:hAnsiTheme="minorHAnsi" w:cstheme="majorBidi"/>
      <w:color w:val="000000" w:themeColor="text1"/>
      <w:sz w:val="18"/>
      <w:szCs w:val="18"/>
      <w:lang w:eastAsia="en-US"/>
    </w:rPr>
  </w:style>
  <w:style w:type="character" w:customStyle="1" w:styleId="DMAkeywordsChar">
    <w:name w:val="DMA keywords Char"/>
    <w:basedOn w:val="DefaultParagraphFont"/>
    <w:link w:val="DMAkeywords"/>
    <w:rsid w:val="00285E45"/>
    <w:rPr>
      <w:rFonts w:asciiTheme="minorHAnsi" w:eastAsiaTheme="minorHAnsi" w:hAnsiTheme="minorHAnsi" w:cstheme="majorBidi"/>
      <w:color w:val="000000" w:themeColor="text1"/>
      <w:sz w:val="18"/>
      <w:szCs w:val="18"/>
      <w:lang w:eastAsia="en-US"/>
    </w:rPr>
  </w:style>
  <w:style w:type="paragraph" w:customStyle="1" w:styleId="DMAabstract">
    <w:name w:val="DMA abstract"/>
    <w:basedOn w:val="Normal"/>
    <w:link w:val="DMAabstractChar"/>
    <w:qFormat/>
    <w:rsid w:val="00285E45"/>
    <w:pPr>
      <w:spacing w:before="120"/>
    </w:pPr>
    <w:rPr>
      <w:rFonts w:asciiTheme="minorHAnsi" w:eastAsiaTheme="minorHAnsi" w:hAnsiTheme="minorHAnsi"/>
      <w:sz w:val="18"/>
      <w:szCs w:val="18"/>
      <w:lang w:val="en-GB" w:eastAsia="en-US"/>
    </w:rPr>
  </w:style>
  <w:style w:type="character" w:customStyle="1" w:styleId="DMAabstractChar">
    <w:name w:val="DMA abstract Char"/>
    <w:basedOn w:val="DefaultParagraphFont"/>
    <w:link w:val="DMAabstract"/>
    <w:rsid w:val="00285E45"/>
    <w:rPr>
      <w:rFonts w:asciiTheme="minorHAnsi" w:eastAsiaTheme="minorHAnsi" w:hAnsiTheme="minorHAnsi"/>
      <w:sz w:val="18"/>
      <w:szCs w:val="18"/>
      <w:lang w:val="en-GB" w:eastAsia="en-US"/>
    </w:rPr>
  </w:style>
  <w:style w:type="paragraph" w:customStyle="1" w:styleId="DMAheading1">
    <w:name w:val="DMA heading 1"/>
    <w:basedOn w:val="Normal"/>
    <w:link w:val="DMAheading1Char"/>
    <w:qFormat/>
    <w:rsid w:val="00285E45"/>
    <w:rPr>
      <w:b/>
      <w:szCs w:val="24"/>
    </w:rPr>
  </w:style>
  <w:style w:type="character" w:customStyle="1" w:styleId="DMAheading1Char">
    <w:name w:val="DMA heading 1 Char"/>
    <w:basedOn w:val="DefaultParagraphFont"/>
    <w:link w:val="DMAheading1"/>
    <w:rsid w:val="00285E45"/>
    <w:rPr>
      <w:b/>
      <w:sz w:val="24"/>
      <w:szCs w:val="24"/>
    </w:rPr>
  </w:style>
  <w:style w:type="paragraph" w:customStyle="1" w:styleId="DMAheading2">
    <w:name w:val="DMA heading 2"/>
    <w:basedOn w:val="Normal"/>
    <w:link w:val="DMAheading2Char"/>
    <w:qFormat/>
    <w:rsid w:val="00285E45"/>
    <w:rPr>
      <w:i/>
      <w:szCs w:val="24"/>
    </w:rPr>
  </w:style>
  <w:style w:type="character" w:customStyle="1" w:styleId="DMAheading2Char">
    <w:name w:val="DMA heading 2 Char"/>
    <w:basedOn w:val="DefaultParagraphFont"/>
    <w:link w:val="DMAheading2"/>
    <w:rsid w:val="00285E45"/>
    <w:rPr>
      <w:i/>
      <w:sz w:val="24"/>
      <w:szCs w:val="24"/>
    </w:rPr>
  </w:style>
  <w:style w:type="paragraph" w:customStyle="1" w:styleId="DMAtext">
    <w:name w:val="DMA text"/>
    <w:basedOn w:val="Normal"/>
    <w:link w:val="DMAtextChar"/>
    <w:qFormat/>
    <w:rsid w:val="00285E45"/>
    <w:pPr>
      <w:ind w:firstLine="357"/>
    </w:pPr>
    <w:rPr>
      <w:szCs w:val="24"/>
    </w:rPr>
  </w:style>
  <w:style w:type="character" w:customStyle="1" w:styleId="DMAtextChar">
    <w:name w:val="DMA text Char"/>
    <w:basedOn w:val="DefaultParagraphFont"/>
    <w:link w:val="DMAtext"/>
    <w:rsid w:val="00285E45"/>
    <w:rPr>
      <w:sz w:val="24"/>
      <w:szCs w:val="24"/>
    </w:rPr>
  </w:style>
  <w:style w:type="paragraph" w:customStyle="1" w:styleId="DMAlist-numbering">
    <w:name w:val="DMA list-numbering"/>
    <w:basedOn w:val="Normal"/>
    <w:link w:val="DMAlist-numberingChar"/>
    <w:qFormat/>
    <w:rsid w:val="00285E45"/>
    <w:pPr>
      <w:numPr>
        <w:numId w:val="1"/>
      </w:numPr>
      <w:pBdr>
        <w:top w:val="nil"/>
        <w:left w:val="nil"/>
        <w:bottom w:val="nil"/>
        <w:right w:val="nil"/>
        <w:between w:val="nil"/>
      </w:pBdr>
    </w:pPr>
    <w:rPr>
      <w:color w:val="000000"/>
      <w:szCs w:val="24"/>
    </w:rPr>
  </w:style>
  <w:style w:type="character" w:customStyle="1" w:styleId="DMAlist-numberingChar">
    <w:name w:val="DMA list-numbering Char"/>
    <w:basedOn w:val="DefaultParagraphFont"/>
    <w:link w:val="DMAlist-numbering"/>
    <w:rsid w:val="00285E45"/>
    <w:rPr>
      <w:color w:val="000000"/>
      <w:sz w:val="24"/>
      <w:szCs w:val="24"/>
    </w:rPr>
  </w:style>
  <w:style w:type="paragraph" w:customStyle="1" w:styleId="DMAfiguretitle">
    <w:name w:val="DMA figure title"/>
    <w:basedOn w:val="Normal"/>
    <w:link w:val="DMAfiguretitleChar"/>
    <w:qFormat/>
    <w:rsid w:val="00285E45"/>
    <w:pPr>
      <w:jc w:val="center"/>
    </w:pPr>
  </w:style>
  <w:style w:type="character" w:customStyle="1" w:styleId="DMAfiguretitleChar">
    <w:name w:val="DMA figure title Char"/>
    <w:basedOn w:val="DefaultParagraphFont"/>
    <w:link w:val="DMAfiguretitle"/>
    <w:rsid w:val="00285E45"/>
  </w:style>
  <w:style w:type="paragraph" w:customStyle="1" w:styleId="DMAfigure">
    <w:name w:val="DMA figure"/>
    <w:basedOn w:val="Normal"/>
    <w:link w:val="DMAfigureChar"/>
    <w:qFormat/>
    <w:rsid w:val="00285E45"/>
    <w:pPr>
      <w:jc w:val="center"/>
    </w:pPr>
    <w:rPr>
      <w:noProof/>
      <w:lang w:val="sr-Latn-RS"/>
    </w:rPr>
  </w:style>
  <w:style w:type="character" w:customStyle="1" w:styleId="DMAfigureChar">
    <w:name w:val="DMA figure Char"/>
    <w:basedOn w:val="DefaultParagraphFont"/>
    <w:link w:val="DMAfigure"/>
    <w:rsid w:val="00285E45"/>
    <w:rPr>
      <w:noProof/>
      <w:lang w:val="sr-Latn-RS"/>
    </w:rPr>
  </w:style>
  <w:style w:type="paragraph" w:customStyle="1" w:styleId="DMAtabletitle">
    <w:name w:val="DMA table title"/>
    <w:basedOn w:val="Normal"/>
    <w:link w:val="DMAtabletitleChar"/>
    <w:qFormat/>
    <w:rsid w:val="00285E45"/>
    <w:pPr>
      <w:ind w:left="3119" w:right="3083"/>
    </w:pPr>
  </w:style>
  <w:style w:type="character" w:customStyle="1" w:styleId="DMAtabletitleChar">
    <w:name w:val="DMA table title Char"/>
    <w:basedOn w:val="DefaultParagraphFont"/>
    <w:link w:val="DMAtabletitle"/>
    <w:rsid w:val="00285E45"/>
  </w:style>
  <w:style w:type="paragraph" w:customStyle="1" w:styleId="DMAheading3">
    <w:name w:val="DMA heading 3"/>
    <w:basedOn w:val="Normal"/>
    <w:link w:val="DMAheading3Char"/>
    <w:qFormat/>
    <w:rsid w:val="00285E45"/>
    <w:rPr>
      <w:i/>
      <w:szCs w:val="24"/>
    </w:rPr>
  </w:style>
  <w:style w:type="character" w:customStyle="1" w:styleId="DMAheading3Char">
    <w:name w:val="DMA heading 3 Char"/>
    <w:basedOn w:val="DefaultParagraphFont"/>
    <w:link w:val="DMAheading3"/>
    <w:rsid w:val="00285E45"/>
    <w:rPr>
      <w:i/>
      <w:sz w:val="24"/>
      <w:szCs w:val="24"/>
    </w:rPr>
  </w:style>
  <w:style w:type="paragraph" w:customStyle="1" w:styleId="DMAtexttable">
    <w:name w:val="DMA text table"/>
    <w:basedOn w:val="DMAtext"/>
    <w:link w:val="DMAtexttableChar"/>
    <w:qFormat/>
    <w:rsid w:val="001213FD"/>
    <w:pPr>
      <w:bidi/>
      <w:ind w:firstLine="0"/>
      <w:jc w:val="center"/>
    </w:pPr>
    <w:rPr>
      <w:bCs/>
      <w:sz w:val="22"/>
      <w:szCs w:val="20"/>
    </w:rPr>
  </w:style>
  <w:style w:type="character" w:customStyle="1" w:styleId="DMAtexttableChar">
    <w:name w:val="DMA text table Char"/>
    <w:basedOn w:val="DMAtextChar"/>
    <w:link w:val="DMAtexttable"/>
    <w:rsid w:val="001213FD"/>
    <w:rPr>
      <w:bCs/>
      <w:sz w:val="24"/>
      <w:szCs w:val="20"/>
    </w:rPr>
  </w:style>
  <w:style w:type="paragraph" w:customStyle="1" w:styleId="DMAreferencelist">
    <w:name w:val="DMA reference list"/>
    <w:basedOn w:val="Normal"/>
    <w:link w:val="DMAreferencelistChar"/>
    <w:qFormat/>
    <w:rsid w:val="001213FD"/>
    <w:pPr>
      <w:ind w:left="490" w:hanging="490"/>
    </w:pPr>
    <w:rPr>
      <w:color w:val="000000"/>
      <w:sz w:val="20"/>
      <w:szCs w:val="20"/>
    </w:rPr>
  </w:style>
  <w:style w:type="character" w:customStyle="1" w:styleId="DMAreferencelistChar">
    <w:name w:val="DMA reference list Char"/>
    <w:basedOn w:val="DefaultParagraphFont"/>
    <w:link w:val="DMAreferencelist"/>
    <w:rsid w:val="001213FD"/>
    <w:rPr>
      <w:color w:val="000000"/>
      <w:sz w:val="20"/>
      <w:szCs w:val="20"/>
    </w:rPr>
  </w:style>
  <w:style w:type="paragraph" w:customStyle="1" w:styleId="Default">
    <w:name w:val="Default"/>
    <w:rsid w:val="005C386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7Char">
    <w:name w:val="Heading 7 Char"/>
    <w:basedOn w:val="DefaultParagraphFont"/>
    <w:link w:val="Heading7"/>
    <w:uiPriority w:val="9"/>
    <w:semiHidden/>
    <w:rsid w:val="001534CF"/>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1534CF"/>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1534CF"/>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1534CF"/>
    <w:rPr>
      <w:rFonts w:ascii="Times New Roman" w:eastAsia="Times New Roman" w:hAnsi="Times New Roman" w:cs="Times New Roman"/>
      <w:b/>
      <w:sz w:val="20"/>
      <w:szCs w:val="20"/>
    </w:rPr>
  </w:style>
  <w:style w:type="character" w:customStyle="1" w:styleId="Heading2Char">
    <w:name w:val="Heading 2 Char"/>
    <w:basedOn w:val="DefaultParagraphFont"/>
    <w:link w:val="Heading2"/>
    <w:uiPriority w:val="9"/>
    <w:rsid w:val="001534CF"/>
    <w:rPr>
      <w:rFonts w:ascii="Times New Roman" w:eastAsia="Times New Roman" w:hAnsi="Times New Roman" w:cs="Times New Roman"/>
      <w:b/>
      <w:sz w:val="36"/>
      <w:szCs w:val="36"/>
    </w:rPr>
  </w:style>
  <w:style w:type="character" w:customStyle="1" w:styleId="Heading3Char">
    <w:name w:val="Heading 3 Char"/>
    <w:basedOn w:val="DefaultParagraphFont"/>
    <w:link w:val="Heading3"/>
    <w:uiPriority w:val="9"/>
    <w:rsid w:val="001534CF"/>
    <w:rPr>
      <w:rFonts w:ascii="Cambria" w:eastAsia="Cambria" w:hAnsi="Cambria" w:cs="Cambria"/>
      <w:color w:val="243F61"/>
      <w:sz w:val="24"/>
      <w:szCs w:val="24"/>
    </w:rPr>
  </w:style>
  <w:style w:type="character" w:customStyle="1" w:styleId="Heading4Char">
    <w:name w:val="Heading 4 Char"/>
    <w:basedOn w:val="DefaultParagraphFont"/>
    <w:link w:val="Heading4"/>
    <w:uiPriority w:val="9"/>
    <w:rsid w:val="001534CF"/>
    <w:rPr>
      <w:rFonts w:ascii="Times New Roman" w:eastAsia="Times New Roman" w:hAnsi="Times New Roman" w:cs="Times New Roman"/>
      <w:b/>
      <w:sz w:val="24"/>
      <w:szCs w:val="24"/>
    </w:rPr>
  </w:style>
  <w:style w:type="character" w:customStyle="1" w:styleId="Heading5Char">
    <w:name w:val="Heading 5 Char"/>
    <w:basedOn w:val="DefaultParagraphFont"/>
    <w:link w:val="Heading5"/>
    <w:uiPriority w:val="9"/>
    <w:rsid w:val="001534CF"/>
    <w:rPr>
      <w:rFonts w:ascii="Times New Roman" w:eastAsia="Times New Roman" w:hAnsi="Times New Roman" w:cs="Times New Roman"/>
      <w:sz w:val="18"/>
      <w:szCs w:val="18"/>
    </w:rPr>
  </w:style>
  <w:style w:type="character" w:customStyle="1" w:styleId="Heading6Char">
    <w:name w:val="Heading 6 Char"/>
    <w:basedOn w:val="DefaultParagraphFont"/>
    <w:link w:val="Heading6"/>
    <w:uiPriority w:val="9"/>
    <w:rsid w:val="001534CF"/>
    <w:rPr>
      <w:rFonts w:ascii="Times New Roman" w:eastAsia="Times New Roman" w:hAnsi="Times New Roman" w:cs="Times New Roman"/>
      <w:i/>
      <w:sz w:val="16"/>
      <w:szCs w:val="16"/>
    </w:rPr>
  </w:style>
  <w:style w:type="character" w:customStyle="1" w:styleId="TitleChar">
    <w:name w:val="Title Char"/>
    <w:basedOn w:val="DefaultParagraphFont"/>
    <w:link w:val="Title"/>
    <w:uiPriority w:val="10"/>
    <w:rsid w:val="001534CF"/>
    <w:rPr>
      <w:rFonts w:ascii="Times New Roman" w:eastAsia="Times New Roman" w:hAnsi="Times New Roman" w:cs="Times New Roman"/>
      <w:sz w:val="28"/>
      <w:szCs w:val="28"/>
    </w:rPr>
  </w:style>
  <w:style w:type="character" w:customStyle="1" w:styleId="SubtitleChar">
    <w:name w:val="Subtitle Char"/>
    <w:basedOn w:val="DefaultParagraphFont"/>
    <w:link w:val="Subtitle"/>
    <w:uiPriority w:val="11"/>
    <w:rsid w:val="001534CF"/>
    <w:rPr>
      <w:rFonts w:ascii="Cambria" w:eastAsia="Cambria" w:hAnsi="Cambria" w:cs="Cambria"/>
      <w:smallCaps/>
      <w:color w:val="1F497D"/>
      <w:sz w:val="36"/>
      <w:szCs w:val="36"/>
    </w:rPr>
  </w:style>
  <w:style w:type="paragraph" w:styleId="Quote">
    <w:name w:val="Quote"/>
    <w:basedOn w:val="Normal"/>
    <w:next w:val="Normal"/>
    <w:link w:val="QuoteChar"/>
    <w:uiPriority w:val="29"/>
    <w:qFormat/>
    <w:rsid w:val="001534CF"/>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1534CF"/>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1534CF"/>
    <w:pPr>
      <w:spacing w:after="160" w:line="278" w:lineRule="auto"/>
      <w:ind w:left="720"/>
      <w:contextualSpacing/>
      <w:jc w:val="left"/>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1534CF"/>
    <w:rPr>
      <w:i/>
      <w:iCs/>
      <w:color w:val="365F91" w:themeColor="accent1" w:themeShade="BF"/>
    </w:rPr>
  </w:style>
  <w:style w:type="paragraph" w:styleId="IntenseQuote">
    <w:name w:val="Intense Quote"/>
    <w:basedOn w:val="Normal"/>
    <w:next w:val="Normal"/>
    <w:link w:val="IntenseQuoteChar"/>
    <w:uiPriority w:val="30"/>
    <w:qFormat/>
    <w:rsid w:val="001534C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1534CF"/>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1534CF"/>
    <w:rPr>
      <w:b/>
      <w:bCs/>
      <w:smallCaps/>
      <w:color w:val="365F91" w:themeColor="accent1" w:themeShade="BF"/>
      <w:spacing w:val="5"/>
    </w:rPr>
  </w:style>
  <w:style w:type="paragraph" w:customStyle="1" w:styleId="TableText">
    <w:name w:val="Table Text"/>
    <w:basedOn w:val="Normal"/>
    <w:qFormat/>
    <w:rsid w:val="001534CF"/>
    <w:pPr>
      <w:snapToGrid w:val="0"/>
      <w:spacing w:line="300" w:lineRule="auto"/>
      <w:jc w:val="center"/>
    </w:pPr>
    <w:rPr>
      <w:rFonts w:ascii="Times New Roman" w:eastAsia="SimSun" w:hAnsi="Times New Roman" w:cs="Times New Roman"/>
      <w:sz w:val="22"/>
      <w:lang w:eastAsia="zh-CN" w:bidi="en-US"/>
    </w:rPr>
  </w:style>
  <w:style w:type="character" w:styleId="Strong">
    <w:name w:val="Strong"/>
    <w:basedOn w:val="DefaultParagraphFont"/>
    <w:uiPriority w:val="22"/>
    <w:qFormat/>
    <w:rsid w:val="001534CF"/>
    <w:rPr>
      <w:b/>
      <w:bCs/>
    </w:rPr>
  </w:style>
  <w:style w:type="table" w:customStyle="1" w:styleId="TableGrid1">
    <w:name w:val="Table Grid1"/>
    <w:basedOn w:val="TableNormal"/>
    <w:next w:val="TableGrid"/>
    <w:rsid w:val="001534CF"/>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adio-button-label-text">
    <w:name w:val="radio-button-label-text"/>
    <w:basedOn w:val="DefaultParagraphFont"/>
    <w:rsid w:val="001534CF"/>
  </w:style>
  <w:style w:type="paragraph" w:customStyle="1" w:styleId="buttons">
    <w:name w:val="buttons"/>
    <w:basedOn w:val="Normal"/>
    <w:rsid w:val="001534CF"/>
    <w:pPr>
      <w:spacing w:before="100" w:beforeAutospacing="1" w:after="100" w:afterAutospacing="1"/>
      <w:jc w:val="left"/>
    </w:pPr>
    <w:rPr>
      <w:rFonts w:ascii="Times New Roman" w:eastAsia="Times New Roman" w:hAnsi="Times New Roman" w:cs="Times New Roman"/>
      <w:szCs w:val="24"/>
      <w:lang w:eastAsia="en-US"/>
    </w:rPr>
  </w:style>
  <w:style w:type="character" w:styleId="UnresolvedMention">
    <w:name w:val="Unresolved Mention"/>
    <w:basedOn w:val="DefaultParagraphFont"/>
    <w:uiPriority w:val="99"/>
    <w:semiHidden/>
    <w:unhideWhenUsed/>
    <w:rsid w:val="00A81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79286681">
      <w:bodyDiv w:val="1"/>
      <w:marLeft w:val="0"/>
      <w:marRight w:val="0"/>
      <w:marTop w:val="0"/>
      <w:marBottom w:val="0"/>
      <w:divBdr>
        <w:top w:val="none" w:sz="0" w:space="0" w:color="auto"/>
        <w:left w:val="none" w:sz="0" w:space="0" w:color="auto"/>
        <w:bottom w:val="none" w:sz="0" w:space="0" w:color="auto"/>
        <w:right w:val="none" w:sz="0" w:space="0" w:color="auto"/>
      </w:divBdr>
    </w:div>
    <w:div w:id="380204675">
      <w:bodyDiv w:val="1"/>
      <w:marLeft w:val="0"/>
      <w:marRight w:val="0"/>
      <w:marTop w:val="0"/>
      <w:marBottom w:val="0"/>
      <w:divBdr>
        <w:top w:val="none" w:sz="0" w:space="0" w:color="auto"/>
        <w:left w:val="none" w:sz="0" w:space="0" w:color="auto"/>
        <w:bottom w:val="none" w:sz="0" w:space="0" w:color="auto"/>
        <w:right w:val="none" w:sz="0" w:space="0" w:color="auto"/>
      </w:divBdr>
    </w:div>
    <w:div w:id="1533377322">
      <w:bodyDiv w:val="1"/>
      <w:marLeft w:val="0"/>
      <w:marRight w:val="0"/>
      <w:marTop w:val="0"/>
      <w:marBottom w:val="0"/>
      <w:divBdr>
        <w:top w:val="none" w:sz="0" w:space="0" w:color="auto"/>
        <w:left w:val="none" w:sz="0" w:space="0" w:color="auto"/>
        <w:bottom w:val="none" w:sz="0" w:space="0" w:color="auto"/>
        <w:right w:val="none" w:sz="0" w:space="0" w:color="auto"/>
      </w:divBdr>
    </w:div>
    <w:div w:id="2126802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1181/dma0101xxxx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dma-journal.org"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FDDF7-A982-46B1-A4BD-864B91906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12029</Words>
  <Characters>74104</Characters>
  <Application>Microsoft Office Word</Application>
  <DocSecurity>0</DocSecurity>
  <Lines>2117</Lines>
  <Paragraphs>1063</Paragraphs>
  <ScaleCrop>false</ScaleCrop>
  <HeadingPairs>
    <vt:vector size="2" baseType="variant">
      <vt:variant>
        <vt:lpstr>Title</vt:lpstr>
      </vt:variant>
      <vt:variant>
        <vt:i4>1</vt:i4>
      </vt:variant>
    </vt:vector>
  </HeadingPairs>
  <TitlesOfParts>
    <vt:vector size="1" baseType="lpstr">
      <vt:lpstr/>
    </vt:vector>
  </TitlesOfParts>
  <Company>Faculty of Transport and Traffic Engineering</Company>
  <LinksUpToDate>false</LinksUpToDate>
  <CharactersWithSpaces>85070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Simic Vladimir</dc:creator>
  <cp:lastModifiedBy>Aso Abdullah</cp:lastModifiedBy>
  <cp:revision>2</cp:revision>
  <dcterms:created xsi:type="dcterms:W3CDTF">2026-08-17T22:46:00Z</dcterms:created>
  <dcterms:modified xsi:type="dcterms:W3CDTF">2026-08-17T22:46:00Z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6a4a22a0-2aa6-4620-9cd7-15a72124d770</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http://www.zotero.org/styles/ieee-access</vt:lpwstr>
  </property>
  <property fmtid="{D5CDD505-2E9C-101B-9397-08002B2CF9AE}" pid="16" name="Mendeley Recent Style Name 6_1">
    <vt:lpwstr>IEEE Access</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4th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Citation Style_1">
    <vt:lpwstr>http://www.zotero.org/styles/ieee-access</vt:lpwstr>
  </property>
  <property fmtid="{D5CDD505-2E9C-101B-9397-08002B2CF9AE}" pid="25" name="Mendeley Unique User Id_1">
    <vt:lpwstr>d330fcde-c0fc-3467-a11d-da0692209c51</vt:lpwstr>
  </property>
</Properties>
</file>