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C5F02" w14:textId="5EB3E4EC" w:rsidR="00D1423D" w:rsidRDefault="00212510" w:rsidP="00DB5203">
      <w:pPr>
        <w:spacing w:line="360" w:lineRule="auto"/>
        <w:rPr>
          <w:rFonts w:ascii="Times New Roman" w:hAnsi="Times New Roman" w:cs="Times New Roman"/>
        </w:rPr>
      </w:pPr>
      <w:r w:rsidRPr="00DB5203">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17216A27" wp14:editId="68AB2B9A">
                <wp:simplePos x="0" y="0"/>
                <wp:positionH relativeFrom="page">
                  <wp:posOffset>222885</wp:posOffset>
                </wp:positionH>
                <wp:positionV relativeFrom="page">
                  <wp:posOffset>288192</wp:posOffset>
                </wp:positionV>
                <wp:extent cx="7315200" cy="9601200"/>
                <wp:effectExtent l="0" t="0" r="0" b="0"/>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3102781" id="Rectangle 127" o:spid="_x0000_s1026" alt="Title: Color background" style="position:absolute;margin-left:17.55pt;margin-top:22.7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" fillcolor="#e8e8e8 [3214]" stroked="f">
                <w10:wrap anchorx="page" anchory="page"/>
              </v:rect>
            </w:pict>
          </mc:Fallback>
        </mc:AlternateContent>
      </w:r>
      <w:r w:rsidR="00D1423D">
        <w:rPr>
          <w:rFonts w:ascii="Times New Roman" w:hAnsi="Times New Roman" w:cs="Times New Roman"/>
        </w:rPr>
        <w:t>w</w:t>
      </w:r>
    </w:p>
    <w:sdt>
      <w:sdtPr>
        <w:rPr>
          <w:rFonts w:ascii="Times New Roman" w:hAnsi="Times New Roman" w:cs="Times New Roman"/>
        </w:rPr>
        <w:id w:val="848912683"/>
        <w:docPartObj>
          <w:docPartGallery w:val="Cover Pages"/>
          <w:docPartUnique/>
        </w:docPartObj>
      </w:sdtPr>
      <w:sdtEndPr>
        <w:rPr>
          <w:rFonts w:eastAsia="Times New Roman"/>
          <w:b/>
          <w:bCs/>
          <w:color w:val="000000"/>
          <w:kern w:val="0"/>
          <w:lang w:eastAsia="en-GB"/>
          <w14:ligatures w14:val="none"/>
        </w:rPr>
      </w:sdtEndPr>
      <w:sdtContent>
        <w:p w14:paraId="1EC295B4" w14:textId="5862BB2F" w:rsidR="003E0C39" w:rsidRPr="00DB5203" w:rsidRDefault="003E0C39" w:rsidP="00DB5203">
          <w:pPr>
            <w:spacing w:line="360" w:lineRule="auto"/>
            <w:rPr>
              <w:rFonts w:ascii="Times New Roman" w:hAnsi="Times New Roman" w:cs="Times New Roman"/>
            </w:rPr>
          </w:pPr>
          <w:r w:rsidRPr="00DB5203">
            <w:rPr>
              <w:rFonts w:ascii="Times New Roman" w:hAnsi="Times New Roman" w:cs="Times New Roman"/>
              <w:noProof/>
            </w:rPr>
            <mc:AlternateContent>
              <mc:Choice Requires="wpg">
                <w:drawing>
                  <wp:anchor distT="0" distB="0" distL="114300" distR="114300" simplePos="0" relativeHeight="251660288" behindDoc="0" locked="0" layoutInCell="1" allowOverlap="1" wp14:anchorId="74335056" wp14:editId="21B1CE23">
                    <wp:simplePos x="0" y="0"/>
                    <wp:positionH relativeFrom="page">
                      <wp:align>left</wp:align>
                    </wp:positionH>
                    <wp:positionV relativeFrom="page">
                      <wp:align>top</wp:align>
                    </wp:positionV>
                    <wp:extent cx="6611110" cy="3401060"/>
                    <wp:effectExtent l="0" t="0" r="5715" b="254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611110" cy="3401568"/>
                              <a:chOff x="0" y="0"/>
                              <a:chExt cx="6610322"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000097" y="762000"/>
                                <a:ext cx="5610225" cy="2591435"/>
                              </a:xfrm>
                              <a:prstGeom prst="rect">
                                <a:avLst/>
                              </a:prstGeom>
                              <a:noFill/>
                              <a:ln w="6350">
                                <a:noFill/>
                              </a:ln>
                            </wps:spPr>
                            <wps:txbx>
                              <w:txbxContent>
                                <w:sdt>
                                  <w:sdtPr>
                                    <w:rPr>
                                      <w:rFonts w:ascii="Arial" w:hAnsi="Arial" w:cs="Arial"/>
                                      <w:color w:val="0E2841" w:themeColor="text2"/>
                                      <w:spacing w:val="10"/>
                                      <w:sz w:val="72"/>
                                      <w:szCs w:val="7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25B0EF0" w14:textId="53005DA3" w:rsidR="003E0C39" w:rsidRPr="003E0C39" w:rsidRDefault="003E0C39">
                                      <w:pPr>
                                        <w:pStyle w:val="NoSpacing"/>
                                        <w:spacing w:after="240" w:line="216" w:lineRule="auto"/>
                                        <w:rPr>
                                          <w:rFonts w:ascii="Arial" w:hAnsi="Arial" w:cs="Arial"/>
                                          <w:color w:val="0E2841" w:themeColor="text2"/>
                                          <w:spacing w:val="10"/>
                                          <w:sz w:val="72"/>
                                          <w:szCs w:val="72"/>
                                        </w:rPr>
                                      </w:pPr>
                                      <w:r w:rsidRPr="003E0C39">
                                        <w:rPr>
                                          <w:rFonts w:ascii="Arial" w:hAnsi="Arial" w:cs="Arial"/>
                                          <w:color w:val="0E2841" w:themeColor="text2"/>
                                          <w:spacing w:val="10"/>
                                          <w:sz w:val="72"/>
                                          <w:szCs w:val="72"/>
                                        </w:rPr>
                                        <w:t>Portfolio</w:t>
                                      </w:r>
                                    </w:p>
                                  </w:sdtContent>
                                </w:sdt>
                                <w:sdt>
                                  <w:sdtPr>
                                    <w:rPr>
                                      <w:rFonts w:ascii="Arial" w:hAnsi="Arial" w:cs="Arial"/>
                                      <w:b/>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A5911E3" w14:textId="2182CFAD" w:rsidR="003E0C39" w:rsidRPr="003E0C39" w:rsidRDefault="003E0C39" w:rsidP="003E0C39">
                                      <w:pPr>
                                        <w:pStyle w:val="NoSpacing"/>
                                        <w:spacing w:line="216" w:lineRule="auto"/>
                                        <w:rPr>
                                          <w:rFonts w:asciiTheme="majorHAnsi" w:hAnsiTheme="majorHAnsi"/>
                                          <w:caps/>
                                          <w:color w:val="0E2841" w:themeColor="text2"/>
                                          <w:sz w:val="40"/>
                                          <w:szCs w:val="40"/>
                                        </w:rPr>
                                      </w:pPr>
                                      <w:r w:rsidRPr="003E0C39">
                                        <w:rPr>
                                          <w:rFonts w:ascii="Arial" w:hAnsi="Arial" w:cs="Arial"/>
                                          <w:b/>
                                          <w:sz w:val="40"/>
                                          <w:szCs w:val="40"/>
                                        </w:rPr>
                                        <w:t>Children and Young People’s Health, Wellbeing and Community Engagement (BMHP5018)</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335056" id="Group 125" o:spid="_x0000_s1026" alt="Title: Title and subtitle with crop mark graphic" style="position:absolute;margin-left:0;margin-top:0;width:520.55pt;height:267.8pt;z-index:251660288;mso-position-horizontal:left;mso-position-horizontal-relative:page;mso-position-vertical:top;mso-position-vertical-relative:page;mso-width-relative:margin;mso-height-relative:margin" coordsize="66103,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0000;top:7620;width:56103;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color w:val="0E2841" w:themeColor="text2"/>
                                <w:spacing w:val="10"/>
                                <w:sz w:val="72"/>
                                <w:szCs w:val="7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25B0EF0" w14:textId="53005DA3" w:rsidR="003E0C39" w:rsidRPr="003E0C39" w:rsidRDefault="003E0C39">
                                <w:pPr>
                                  <w:pStyle w:val="NoSpacing"/>
                                  <w:spacing w:after="240" w:line="216" w:lineRule="auto"/>
                                  <w:rPr>
                                    <w:rFonts w:ascii="Arial" w:hAnsi="Arial" w:cs="Arial"/>
                                    <w:color w:val="0E2841" w:themeColor="text2"/>
                                    <w:spacing w:val="10"/>
                                    <w:sz w:val="72"/>
                                    <w:szCs w:val="72"/>
                                  </w:rPr>
                                </w:pPr>
                                <w:r w:rsidRPr="003E0C39">
                                  <w:rPr>
                                    <w:rFonts w:ascii="Arial" w:hAnsi="Arial" w:cs="Arial"/>
                                    <w:color w:val="0E2841" w:themeColor="text2"/>
                                    <w:spacing w:val="10"/>
                                    <w:sz w:val="72"/>
                                    <w:szCs w:val="72"/>
                                  </w:rPr>
                                  <w:t>Portfolio</w:t>
                                </w:r>
                              </w:p>
                            </w:sdtContent>
                          </w:sdt>
                          <w:sdt>
                            <w:sdtPr>
                              <w:rPr>
                                <w:rFonts w:ascii="Arial" w:hAnsi="Arial" w:cs="Arial"/>
                                <w:b/>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A5911E3" w14:textId="2182CFAD" w:rsidR="003E0C39" w:rsidRPr="003E0C39" w:rsidRDefault="003E0C39" w:rsidP="003E0C39">
                                <w:pPr>
                                  <w:pStyle w:val="NoSpacing"/>
                                  <w:spacing w:line="216" w:lineRule="auto"/>
                                  <w:rPr>
                                    <w:rFonts w:asciiTheme="majorHAnsi" w:hAnsiTheme="majorHAnsi"/>
                                    <w:caps/>
                                    <w:color w:val="0E2841" w:themeColor="text2"/>
                                    <w:sz w:val="40"/>
                                    <w:szCs w:val="40"/>
                                  </w:rPr>
                                </w:pPr>
                                <w:r w:rsidRPr="003E0C39">
                                  <w:rPr>
                                    <w:rFonts w:ascii="Arial" w:hAnsi="Arial" w:cs="Arial"/>
                                    <w:b/>
                                    <w:sz w:val="40"/>
                                    <w:szCs w:val="40"/>
                                  </w:rPr>
                                  <w:t>Children and Young People’s Health, Wellbeing and Community Engagement (BMHP5018)</w:t>
                                </w:r>
                              </w:p>
                            </w:sdtContent>
                          </w:sdt>
                        </w:txbxContent>
                      </v:textbox>
                    </v:shape>
                    <w10:wrap anchorx="page" anchory="page"/>
                  </v:group>
                </w:pict>
              </mc:Fallback>
            </mc:AlternateContent>
          </w:r>
          <w:r w:rsidRPr="00DB5203">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29F5D49D" wp14:editId="36620C53">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F1DC30E" w14:textId="5D7A6BE9" w:rsidR="003E0C39" w:rsidRDefault="003E0C39">
                                      <w:pPr>
                                        <w:pStyle w:val="NoSpacing"/>
                                        <w:spacing w:after="240"/>
                                        <w:jc w:val="right"/>
                                        <w:rPr>
                                          <w:color w:val="0E2841" w:themeColor="text2"/>
                                          <w:spacing w:val="10"/>
                                          <w:sz w:val="36"/>
                                          <w:szCs w:val="36"/>
                                        </w:rPr>
                                      </w:pPr>
                                      <w:r>
                                        <w:rPr>
                                          <w:color w:val="0E2841" w:themeColor="text2"/>
                                          <w:spacing w:val="10"/>
                                          <w:sz w:val="36"/>
                                          <w:szCs w:val="36"/>
                                        </w:rPr>
                                        <w:t xml:space="preserve">Katarzyna </w:t>
                                      </w:r>
                                      <w:proofErr w:type="spellStart"/>
                                      <w:r>
                                        <w:rPr>
                                          <w:color w:val="0E2841" w:themeColor="text2"/>
                                          <w:spacing w:val="10"/>
                                          <w:sz w:val="36"/>
                                          <w:szCs w:val="36"/>
                                        </w:rPr>
                                        <w:t>Traczewska</w:t>
                                      </w:r>
                                      <w:proofErr w:type="spellEnd"/>
                                      <w:r>
                                        <w:rPr>
                                          <w:color w:val="0E2841" w:themeColor="text2"/>
                                          <w:spacing w:val="10"/>
                                          <w:sz w:val="36"/>
                                          <w:szCs w:val="36"/>
                                        </w:rPr>
                                        <w:t xml:space="preserve"> (2215838)</w:t>
                                      </w:r>
                                    </w:p>
                                  </w:sdtContent>
                                </w:sdt>
                                <w:p w14:paraId="63D0F455" w14:textId="26F5827A" w:rsidR="003E0C39"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3E0C39">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F5D49D" id="Group 121"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F1DC30E" w14:textId="5D7A6BE9" w:rsidR="003E0C39" w:rsidRDefault="003E0C39">
                                <w:pPr>
                                  <w:pStyle w:val="NoSpacing"/>
                                  <w:spacing w:after="240"/>
                                  <w:jc w:val="right"/>
                                  <w:rPr>
                                    <w:color w:val="0E2841" w:themeColor="text2"/>
                                    <w:spacing w:val="10"/>
                                    <w:sz w:val="36"/>
                                    <w:szCs w:val="36"/>
                                  </w:rPr>
                                </w:pPr>
                                <w:r>
                                  <w:rPr>
                                    <w:color w:val="0E2841" w:themeColor="text2"/>
                                    <w:spacing w:val="10"/>
                                    <w:sz w:val="36"/>
                                    <w:szCs w:val="36"/>
                                  </w:rPr>
                                  <w:t xml:space="preserve">Katarzyna </w:t>
                                </w:r>
                                <w:proofErr w:type="spellStart"/>
                                <w:r>
                                  <w:rPr>
                                    <w:color w:val="0E2841" w:themeColor="text2"/>
                                    <w:spacing w:val="10"/>
                                    <w:sz w:val="36"/>
                                    <w:szCs w:val="36"/>
                                  </w:rPr>
                                  <w:t>Traczewska</w:t>
                                </w:r>
                                <w:proofErr w:type="spellEnd"/>
                                <w:r>
                                  <w:rPr>
                                    <w:color w:val="0E2841" w:themeColor="text2"/>
                                    <w:spacing w:val="10"/>
                                    <w:sz w:val="36"/>
                                    <w:szCs w:val="36"/>
                                  </w:rPr>
                                  <w:t xml:space="preserve"> (2215838)</w:t>
                                </w:r>
                              </w:p>
                            </w:sdtContent>
                          </w:sdt>
                          <w:p w14:paraId="63D0F455" w14:textId="26F5827A" w:rsidR="003E0C39"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3E0C39">
                                  <w:rPr>
                                    <w:color w:val="0E2841" w:themeColor="text2"/>
                                    <w:spacing w:val="10"/>
                                    <w:sz w:val="28"/>
                                    <w:szCs w:val="28"/>
                                  </w:rPr>
                                  <w:t xml:space="preserve">     </w:t>
                                </w:r>
                              </w:sdtContent>
                            </w:sdt>
                          </w:p>
                        </w:txbxContent>
                      </v:textbox>
                    </v:shape>
                    <w10:wrap anchorx="page" anchory="page"/>
                  </v:group>
                </w:pict>
              </mc:Fallback>
            </mc:AlternateContent>
          </w:r>
        </w:p>
        <w:p w14:paraId="649A6DBE" w14:textId="3F77A70D" w:rsidR="003E0C39" w:rsidRPr="00DB5203" w:rsidRDefault="003E0C39" w:rsidP="00DB5203">
          <w:pPr>
            <w:spacing w:line="360" w:lineRule="auto"/>
            <w:rPr>
              <w:rFonts w:ascii="Times New Roman" w:eastAsia="Times New Roman" w:hAnsi="Times New Roman" w:cs="Times New Roman"/>
              <w:b/>
              <w:bCs/>
              <w:color w:val="000000"/>
              <w:kern w:val="0"/>
              <w:lang w:eastAsia="en-GB"/>
              <w14:ligatures w14:val="none"/>
            </w:rPr>
          </w:pPr>
          <w:r w:rsidRPr="00DB5203">
            <w:rPr>
              <w:rFonts w:ascii="Times New Roman" w:eastAsia="Times New Roman" w:hAnsi="Times New Roman" w:cs="Times New Roman"/>
              <w:b/>
              <w:bCs/>
              <w:color w:val="000000"/>
              <w:kern w:val="0"/>
              <w:lang w:eastAsia="en-GB"/>
              <w14:ligatures w14:val="none"/>
            </w:rPr>
            <w:br w:type="page"/>
          </w:r>
        </w:p>
      </w:sdtContent>
    </w:sdt>
    <w:sdt>
      <w:sdtPr>
        <w:rPr>
          <w:rFonts w:ascii="Times New Roman" w:eastAsiaTheme="minorHAnsi" w:hAnsi="Times New Roman" w:cs="Times New Roman"/>
          <w:b w:val="0"/>
          <w:bCs w:val="0"/>
          <w:color w:val="auto"/>
          <w:kern w:val="2"/>
          <w:sz w:val="24"/>
          <w:szCs w:val="24"/>
          <w:lang w:val="en-GB"/>
          <w14:ligatures w14:val="standardContextual"/>
        </w:rPr>
        <w:id w:val="1357851368"/>
        <w:docPartObj>
          <w:docPartGallery w:val="Table of Contents"/>
          <w:docPartUnique/>
        </w:docPartObj>
      </w:sdtPr>
      <w:sdtEndPr>
        <w:rPr>
          <w:noProof/>
        </w:rPr>
      </w:sdtEndPr>
      <w:sdtContent>
        <w:p w14:paraId="5C382B0F" w14:textId="7427731B" w:rsidR="00887A1F" w:rsidRPr="00DB5203" w:rsidRDefault="00887A1F" w:rsidP="00DB5203">
          <w:pPr>
            <w:pStyle w:val="TOCHeading"/>
            <w:spacing w:line="360" w:lineRule="auto"/>
            <w:rPr>
              <w:rFonts w:ascii="Times New Roman" w:hAnsi="Times New Roman" w:cs="Times New Roman"/>
            </w:rPr>
          </w:pPr>
          <w:r w:rsidRPr="00DB5203">
            <w:rPr>
              <w:rFonts w:ascii="Times New Roman" w:hAnsi="Times New Roman" w:cs="Times New Roman"/>
            </w:rPr>
            <w:t>Table of Contents</w:t>
          </w:r>
        </w:p>
        <w:p w14:paraId="1FF4841C" w14:textId="1DCAC9D8" w:rsidR="00887A1F" w:rsidRPr="00DB5203" w:rsidRDefault="00887A1F" w:rsidP="00DB520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r w:rsidRPr="00DB5203">
            <w:rPr>
              <w:rFonts w:ascii="Times New Roman" w:hAnsi="Times New Roman" w:cs="Times New Roman"/>
              <w:b w:val="0"/>
              <w:bCs w:val="0"/>
            </w:rPr>
            <w:fldChar w:fldCharType="begin"/>
          </w:r>
          <w:r w:rsidRPr="00DB5203">
            <w:rPr>
              <w:rFonts w:ascii="Times New Roman" w:hAnsi="Times New Roman" w:cs="Times New Roman"/>
            </w:rPr>
            <w:instrText xml:space="preserve"> TOC \o "1-3" \h \z \u </w:instrText>
          </w:r>
          <w:r w:rsidRPr="00DB5203">
            <w:rPr>
              <w:rFonts w:ascii="Times New Roman" w:hAnsi="Times New Roman" w:cs="Times New Roman"/>
              <w:b w:val="0"/>
              <w:bCs w:val="0"/>
            </w:rPr>
            <w:fldChar w:fldCharType="separate"/>
          </w:r>
          <w:hyperlink w:anchor="_Toc196752499" w:history="1">
            <w:r w:rsidRPr="00DB5203">
              <w:rPr>
                <w:rStyle w:val="Hyperlink"/>
                <w:rFonts w:ascii="Times New Roman" w:hAnsi="Times New Roman" w:cs="Times New Roman"/>
                <w:noProof/>
              </w:rPr>
              <w:t>1.Critique of CAMHS Video</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_Toc196752499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w:t>
            </w:r>
            <w:r w:rsidRPr="00DB5203">
              <w:rPr>
                <w:rFonts w:ascii="Times New Roman" w:hAnsi="Times New Roman" w:cs="Times New Roman"/>
                <w:noProof/>
                <w:webHidden/>
              </w:rPr>
              <w:fldChar w:fldCharType="end"/>
            </w:r>
          </w:hyperlink>
        </w:p>
        <w:p w14:paraId="027CF719" w14:textId="3674C2F1"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00" w:history="1">
            <w:r w:rsidRPr="00DB5203">
              <w:rPr>
                <w:rStyle w:val="Hyperlink"/>
                <w:rFonts w:ascii="Times New Roman" w:eastAsia="Times New Roman" w:hAnsi="Times New Roman" w:cs="Times New Roman"/>
                <w:b/>
                <w:bCs/>
                <w:noProof/>
                <w:kern w:val="0"/>
                <w:lang w:eastAsia="en-GB"/>
                <w14:ligatures w14:val="none"/>
              </w:rPr>
              <w:t>The CAMHS care pathway: From referral to discharge</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_Toc196752500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w:t>
            </w:r>
            <w:r w:rsidRPr="00DB5203">
              <w:rPr>
                <w:rFonts w:ascii="Times New Roman" w:hAnsi="Times New Roman" w:cs="Times New Roman"/>
                <w:noProof/>
                <w:webHidden/>
              </w:rPr>
              <w:fldChar w:fldCharType="end"/>
            </w:r>
          </w:hyperlink>
        </w:p>
        <w:p w14:paraId="0F203428" w14:textId="7F799B93"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01" w:history="1">
            <w:r w:rsidRPr="00DB5203">
              <w:rPr>
                <w:rStyle w:val="Hyperlink"/>
                <w:rFonts w:ascii="Times New Roman" w:eastAsia="Times New Roman" w:hAnsi="Times New Roman" w:cs="Times New Roman"/>
                <w:b/>
                <w:bCs/>
                <w:noProof/>
                <w:kern w:val="0"/>
                <w:lang w:eastAsia="en-GB"/>
                <w14:ligatures w14:val="none"/>
              </w:rPr>
              <w:t>Strengths and limitations of the CAMHS video</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_Toc196752501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2</w:t>
            </w:r>
            <w:r w:rsidRPr="00DB5203">
              <w:rPr>
                <w:rFonts w:ascii="Times New Roman" w:hAnsi="Times New Roman" w:cs="Times New Roman"/>
                <w:noProof/>
                <w:webHidden/>
              </w:rPr>
              <w:fldChar w:fldCharType="end"/>
            </w:r>
          </w:hyperlink>
        </w:p>
        <w:p w14:paraId="617D8D3E" w14:textId="623A284D"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02" w:history="1">
            <w:r w:rsidRPr="00DB5203">
              <w:rPr>
                <w:rStyle w:val="Hyperlink"/>
                <w:rFonts w:ascii="Times New Roman" w:eastAsia="Times New Roman" w:hAnsi="Times New Roman" w:cs="Times New Roman"/>
                <w:b/>
                <w:bCs/>
                <w:noProof/>
                <w:kern w:val="0"/>
                <w:lang w:eastAsia="en-GB"/>
                <w14:ligatures w14:val="none"/>
              </w:rPr>
              <w:t>Biopsychosocial factors influencing child and adolescent mental health</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_Toc196752502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3</w:t>
            </w:r>
            <w:r w:rsidRPr="00DB5203">
              <w:rPr>
                <w:rFonts w:ascii="Times New Roman" w:hAnsi="Times New Roman" w:cs="Times New Roman"/>
                <w:noProof/>
                <w:webHidden/>
              </w:rPr>
              <w:fldChar w:fldCharType="end"/>
            </w:r>
          </w:hyperlink>
        </w:p>
        <w:p w14:paraId="28A06289" w14:textId="38D45DF9"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03" w:history="1">
            <w:r w:rsidRPr="00DB5203">
              <w:rPr>
                <w:rStyle w:val="Hyperlink"/>
                <w:rFonts w:ascii="Times New Roman" w:eastAsia="Times New Roman" w:hAnsi="Times New Roman" w:cs="Times New Roman"/>
                <w:b/>
                <w:bCs/>
                <w:noProof/>
                <w:kern w:val="0"/>
                <w:lang w:eastAsia="en-GB"/>
                <w14:ligatures w14:val="none"/>
              </w:rPr>
              <w:t>Legal and ethical considerations</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_Toc196752503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3</w:t>
            </w:r>
            <w:r w:rsidRPr="00DB5203">
              <w:rPr>
                <w:rFonts w:ascii="Times New Roman" w:hAnsi="Times New Roman" w:cs="Times New Roman"/>
                <w:noProof/>
                <w:webHidden/>
              </w:rPr>
              <w:fldChar w:fldCharType="end"/>
            </w:r>
          </w:hyperlink>
        </w:p>
        <w:p w14:paraId="2BF0E189" w14:textId="527369BB"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04" w:history="1">
            <w:r w:rsidRPr="00DB5203">
              <w:rPr>
                <w:rStyle w:val="Hyperlink"/>
                <w:rFonts w:ascii="Times New Roman" w:eastAsia="Times New Roman" w:hAnsi="Times New Roman" w:cs="Times New Roman"/>
                <w:b/>
                <w:bCs/>
                <w:noProof/>
                <w:kern w:val="0"/>
                <w:lang w:eastAsia="en-GB"/>
                <w14:ligatures w14:val="none"/>
              </w:rPr>
              <w:t>Conclusion</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_Toc196752504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3</w:t>
            </w:r>
            <w:r w:rsidRPr="00DB5203">
              <w:rPr>
                <w:rFonts w:ascii="Times New Roman" w:hAnsi="Times New Roman" w:cs="Times New Roman"/>
                <w:noProof/>
                <w:webHidden/>
              </w:rPr>
              <w:fldChar w:fldCharType="end"/>
            </w:r>
          </w:hyperlink>
        </w:p>
        <w:p w14:paraId="53090E59" w14:textId="2ED4C83D" w:rsidR="00887A1F" w:rsidRPr="00DB5203" w:rsidRDefault="00887A1F" w:rsidP="00DB520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96752505" w:history="1">
            <w:r w:rsidRPr="00DB5203">
              <w:rPr>
                <w:rStyle w:val="Hyperlink"/>
                <w:rFonts w:ascii="Times New Roman" w:hAnsi="Times New Roman" w:cs="Times New Roman"/>
                <w:noProof/>
              </w:rPr>
              <w:t>2.Poster: Health and Wellbeing for Children, Young People and Families</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_Toc196752505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5</w:t>
            </w:r>
            <w:r w:rsidRPr="00DB5203">
              <w:rPr>
                <w:rFonts w:ascii="Times New Roman" w:hAnsi="Times New Roman" w:cs="Times New Roman"/>
                <w:noProof/>
                <w:webHidden/>
              </w:rPr>
              <w:fldChar w:fldCharType="end"/>
            </w:r>
          </w:hyperlink>
        </w:p>
        <w:p w14:paraId="1D785469" w14:textId="735AF343" w:rsidR="00887A1F" w:rsidRPr="00DB5203" w:rsidRDefault="00887A1F" w:rsidP="00DB520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96752506" w:history="1">
            <w:r w:rsidRPr="00DB5203">
              <w:rPr>
                <w:rStyle w:val="Hyperlink"/>
                <w:rFonts w:ascii="Times New Roman" w:hAnsi="Times New Roman" w:cs="Times New Roman"/>
                <w:noProof/>
              </w:rPr>
              <w:t>3.Blogs: Children’s Rights</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_Toc196752506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6</w:t>
            </w:r>
            <w:r w:rsidRPr="00DB5203">
              <w:rPr>
                <w:rFonts w:ascii="Times New Roman" w:hAnsi="Times New Roman" w:cs="Times New Roman"/>
                <w:noProof/>
                <w:webHidden/>
              </w:rPr>
              <w:fldChar w:fldCharType="end"/>
            </w:r>
          </w:hyperlink>
        </w:p>
        <w:p w14:paraId="2C4AFF16" w14:textId="465986FE" w:rsidR="00887A1F" w:rsidRPr="00DB5203" w:rsidRDefault="00887A1F" w:rsidP="00DB520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96752507" w:history="1">
            <w:r w:rsidRPr="00DB5203">
              <w:rPr>
                <w:rStyle w:val="Hyperlink"/>
                <w:rFonts w:ascii="Times New Roman" w:hAnsi="Times New Roman" w:cs="Times New Roman"/>
                <w:noProof/>
              </w:rPr>
              <w:t>Blog 1: The Right to Protection from Violence (UNCRC Article 19)</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_Toc196752507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6</w:t>
            </w:r>
            <w:r w:rsidRPr="00DB5203">
              <w:rPr>
                <w:rFonts w:ascii="Times New Roman" w:hAnsi="Times New Roman" w:cs="Times New Roman"/>
                <w:noProof/>
                <w:webHidden/>
              </w:rPr>
              <w:fldChar w:fldCharType="end"/>
            </w:r>
          </w:hyperlink>
        </w:p>
        <w:p w14:paraId="5428B8A5" w14:textId="3AF1B504" w:rsidR="00887A1F" w:rsidRPr="00DB5203" w:rsidRDefault="00887A1F" w:rsidP="00DB520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96752508" w:history="1">
            <w:r w:rsidRPr="00DB5203">
              <w:rPr>
                <w:rStyle w:val="Hyperlink"/>
                <w:rFonts w:ascii="Times New Roman" w:hAnsi="Times New Roman" w:cs="Times New Roman"/>
                <w:noProof/>
              </w:rPr>
              <w:t>Blog 2: The Right to Education (UNCRC Article 28)</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_Toc196752508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6</w:t>
            </w:r>
            <w:r w:rsidRPr="00DB5203">
              <w:rPr>
                <w:rFonts w:ascii="Times New Roman" w:hAnsi="Times New Roman" w:cs="Times New Roman"/>
                <w:noProof/>
                <w:webHidden/>
              </w:rPr>
              <w:fldChar w:fldCharType="end"/>
            </w:r>
          </w:hyperlink>
        </w:p>
        <w:p w14:paraId="394080FC" w14:textId="38A8E705" w:rsidR="00887A1F" w:rsidRPr="00DB5203" w:rsidRDefault="00887A1F" w:rsidP="00DB520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96752509" w:history="1">
            <w:r w:rsidRPr="00DB5203">
              <w:rPr>
                <w:rStyle w:val="Hyperlink"/>
                <w:rFonts w:ascii="Times New Roman" w:hAnsi="Times New Roman" w:cs="Times New Roman"/>
                <w:noProof/>
              </w:rPr>
              <w:t>Blog 3: The Right to Health (UNCRC Article 24)</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_Toc196752509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7</w:t>
            </w:r>
            <w:r w:rsidRPr="00DB5203">
              <w:rPr>
                <w:rFonts w:ascii="Times New Roman" w:hAnsi="Times New Roman" w:cs="Times New Roman"/>
                <w:noProof/>
                <w:webHidden/>
              </w:rPr>
              <w:fldChar w:fldCharType="end"/>
            </w:r>
          </w:hyperlink>
        </w:p>
        <w:p w14:paraId="7AA124BA" w14:textId="2469CD11" w:rsidR="00887A1F" w:rsidRPr="00DB5203" w:rsidRDefault="00887A1F" w:rsidP="00DB5203">
          <w:pPr>
            <w:pStyle w:val="TOC2"/>
            <w:tabs>
              <w:tab w:val="right" w:leader="dot" w:pos="9016"/>
            </w:tabs>
            <w:spacing w:line="360" w:lineRule="auto"/>
            <w:rPr>
              <w:rFonts w:ascii="Times New Roman" w:eastAsiaTheme="minorEastAsia" w:hAnsi="Times New Roman" w:cs="Times New Roman"/>
              <w:b w:val="0"/>
              <w:bCs w:val="0"/>
              <w:noProof/>
              <w:sz w:val="24"/>
              <w:szCs w:val="24"/>
              <w:lang w:eastAsia="en-GB"/>
            </w:rPr>
          </w:pPr>
          <w:hyperlink w:anchor="_Toc196752510" w:history="1">
            <w:r w:rsidRPr="00DB5203">
              <w:rPr>
                <w:rStyle w:val="Hyperlink"/>
                <w:rFonts w:ascii="Times New Roman" w:hAnsi="Times New Roman" w:cs="Times New Roman"/>
                <w:noProof/>
              </w:rPr>
              <w:t>Blog 4: The Right to Be Heard (UNCRC Article 12)</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_Toc196752510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7</w:t>
            </w:r>
            <w:r w:rsidRPr="00DB5203">
              <w:rPr>
                <w:rFonts w:ascii="Times New Roman" w:hAnsi="Times New Roman" w:cs="Times New Roman"/>
                <w:noProof/>
                <w:webHidden/>
              </w:rPr>
              <w:fldChar w:fldCharType="end"/>
            </w:r>
          </w:hyperlink>
        </w:p>
        <w:p w14:paraId="130AE3F7" w14:textId="5104713F" w:rsidR="00887A1F" w:rsidRPr="00DB5203" w:rsidRDefault="00887A1F" w:rsidP="00DB520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96752511" w:history="1">
            <w:r w:rsidRPr="00DB5203">
              <w:rPr>
                <w:rStyle w:val="Hyperlink"/>
                <w:rFonts w:ascii="Times New Roman" w:hAnsi="Times New Roman" w:cs="Times New Roman"/>
                <w:noProof/>
              </w:rPr>
              <w:t>4. Timeline of Key Legislation Safeguarding Children, Young People and Families (1960s–2020s)</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_Toc196752511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8</w:t>
            </w:r>
            <w:r w:rsidRPr="00DB5203">
              <w:rPr>
                <w:rFonts w:ascii="Times New Roman" w:hAnsi="Times New Roman" w:cs="Times New Roman"/>
                <w:noProof/>
                <w:webHidden/>
              </w:rPr>
              <w:fldChar w:fldCharType="end"/>
            </w:r>
          </w:hyperlink>
        </w:p>
        <w:p w14:paraId="23D83FE4" w14:textId="5403BA1D"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2" w:history="1">
            <w:r w:rsidRPr="00DB5203">
              <w:rPr>
                <w:rStyle w:val="Hyperlink"/>
                <w:rFonts w:ascii="Times New Roman" w:hAnsi="Times New Roman" w:cs="Times New Roman"/>
                <w:noProof/>
              </w:rPr>
              <w:t>Children and Young Persons Act 1969</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_Toc196752512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8</w:t>
            </w:r>
            <w:r w:rsidRPr="00DB5203">
              <w:rPr>
                <w:rFonts w:ascii="Times New Roman" w:hAnsi="Times New Roman" w:cs="Times New Roman"/>
                <w:noProof/>
                <w:webHidden/>
              </w:rPr>
              <w:fldChar w:fldCharType="end"/>
            </w:r>
          </w:hyperlink>
        </w:p>
        <w:p w14:paraId="3A17DA68" w14:textId="58952A37"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3" w:history="1">
            <w:r w:rsidRPr="00DB5203">
              <w:rPr>
                <w:rStyle w:val="Hyperlink"/>
                <w:rFonts w:ascii="Times New Roman" w:hAnsi="Times New Roman" w:cs="Times New Roman"/>
                <w:noProof/>
              </w:rPr>
              <w:t>Children Act 1989</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_Toc196752513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8</w:t>
            </w:r>
            <w:r w:rsidRPr="00DB5203">
              <w:rPr>
                <w:rFonts w:ascii="Times New Roman" w:hAnsi="Times New Roman" w:cs="Times New Roman"/>
                <w:noProof/>
                <w:webHidden/>
              </w:rPr>
              <w:fldChar w:fldCharType="end"/>
            </w:r>
          </w:hyperlink>
        </w:p>
        <w:p w14:paraId="402293AF" w14:textId="5F18F774"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4" w:history="1">
            <w:r w:rsidRPr="00DB5203">
              <w:rPr>
                <w:rStyle w:val="Hyperlink"/>
                <w:rFonts w:ascii="Times New Roman" w:hAnsi="Times New Roman" w:cs="Times New Roman"/>
                <w:noProof/>
              </w:rPr>
              <w:t>UN Convention on the Rights of the Child (1989, ratified by UK in 1991)</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_Toc196752514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8</w:t>
            </w:r>
            <w:r w:rsidRPr="00DB5203">
              <w:rPr>
                <w:rFonts w:ascii="Times New Roman" w:hAnsi="Times New Roman" w:cs="Times New Roman"/>
                <w:noProof/>
                <w:webHidden/>
              </w:rPr>
              <w:fldChar w:fldCharType="end"/>
            </w:r>
          </w:hyperlink>
        </w:p>
        <w:p w14:paraId="09887A7E" w14:textId="65DC5F58"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5" w:history="1">
            <w:r w:rsidRPr="00DB5203">
              <w:rPr>
                <w:rStyle w:val="Hyperlink"/>
                <w:rFonts w:ascii="Times New Roman" w:hAnsi="Times New Roman" w:cs="Times New Roman"/>
                <w:noProof/>
              </w:rPr>
              <w:t>Education Act 1996</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_Toc196752515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9</w:t>
            </w:r>
            <w:r w:rsidRPr="00DB5203">
              <w:rPr>
                <w:rFonts w:ascii="Times New Roman" w:hAnsi="Times New Roman" w:cs="Times New Roman"/>
                <w:noProof/>
                <w:webHidden/>
              </w:rPr>
              <w:fldChar w:fldCharType="end"/>
            </w:r>
          </w:hyperlink>
        </w:p>
        <w:p w14:paraId="53CFE60D" w14:textId="19700351"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6" w:history="1">
            <w:r w:rsidRPr="00DB5203">
              <w:rPr>
                <w:rStyle w:val="Hyperlink"/>
                <w:rFonts w:ascii="Times New Roman" w:hAnsi="Times New Roman" w:cs="Times New Roman"/>
                <w:noProof/>
              </w:rPr>
              <w:t>Children Act 2004 (following the Laming Report)</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_Toc196752516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9</w:t>
            </w:r>
            <w:r w:rsidRPr="00DB5203">
              <w:rPr>
                <w:rFonts w:ascii="Times New Roman" w:hAnsi="Times New Roman" w:cs="Times New Roman"/>
                <w:noProof/>
                <w:webHidden/>
              </w:rPr>
              <w:fldChar w:fldCharType="end"/>
            </w:r>
          </w:hyperlink>
        </w:p>
        <w:p w14:paraId="69B955FD" w14:textId="2F3265CE"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7" w:history="1">
            <w:r w:rsidRPr="00DB5203">
              <w:rPr>
                <w:rStyle w:val="Hyperlink"/>
                <w:rFonts w:ascii="Times New Roman" w:hAnsi="Times New Roman" w:cs="Times New Roman"/>
                <w:noProof/>
              </w:rPr>
              <w:t>Working Together to Safeguard Children (First introduced 1999, updated regularly)</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_Toc196752517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9</w:t>
            </w:r>
            <w:r w:rsidRPr="00DB5203">
              <w:rPr>
                <w:rFonts w:ascii="Times New Roman" w:hAnsi="Times New Roman" w:cs="Times New Roman"/>
                <w:noProof/>
                <w:webHidden/>
              </w:rPr>
              <w:fldChar w:fldCharType="end"/>
            </w:r>
          </w:hyperlink>
        </w:p>
        <w:p w14:paraId="0624BFE1" w14:textId="7B0B2AE8"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8" w:history="1">
            <w:r w:rsidRPr="00DB5203">
              <w:rPr>
                <w:rStyle w:val="Hyperlink"/>
                <w:rFonts w:ascii="Times New Roman" w:hAnsi="Times New Roman" w:cs="Times New Roman"/>
                <w:noProof/>
              </w:rPr>
              <w:t>Children and Families Act 2014</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_Toc196752518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9</w:t>
            </w:r>
            <w:r w:rsidRPr="00DB5203">
              <w:rPr>
                <w:rFonts w:ascii="Times New Roman" w:hAnsi="Times New Roman" w:cs="Times New Roman"/>
                <w:noProof/>
                <w:webHidden/>
              </w:rPr>
              <w:fldChar w:fldCharType="end"/>
            </w:r>
          </w:hyperlink>
        </w:p>
        <w:p w14:paraId="4AE1BC9B" w14:textId="17359028"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19" w:history="1">
            <w:r w:rsidRPr="00DB5203">
              <w:rPr>
                <w:rStyle w:val="Hyperlink"/>
                <w:rFonts w:ascii="Times New Roman" w:hAnsi="Times New Roman" w:cs="Times New Roman"/>
                <w:noProof/>
              </w:rPr>
              <w:t>Counter-Terrorism and Security Act 2015 (Prevent Duty)</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_Toc196752519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10</w:t>
            </w:r>
            <w:r w:rsidRPr="00DB5203">
              <w:rPr>
                <w:rFonts w:ascii="Times New Roman" w:hAnsi="Times New Roman" w:cs="Times New Roman"/>
                <w:noProof/>
                <w:webHidden/>
              </w:rPr>
              <w:fldChar w:fldCharType="end"/>
            </w:r>
          </w:hyperlink>
        </w:p>
        <w:p w14:paraId="510D640B" w14:textId="333CED28"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20" w:history="1">
            <w:r w:rsidRPr="00DB5203">
              <w:rPr>
                <w:rStyle w:val="Hyperlink"/>
                <w:rFonts w:ascii="Times New Roman" w:hAnsi="Times New Roman" w:cs="Times New Roman"/>
                <w:noProof/>
              </w:rPr>
              <w:t>Children and Social Work Act 2017</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_Toc196752520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10</w:t>
            </w:r>
            <w:r w:rsidRPr="00DB5203">
              <w:rPr>
                <w:rFonts w:ascii="Times New Roman" w:hAnsi="Times New Roman" w:cs="Times New Roman"/>
                <w:noProof/>
                <w:webHidden/>
              </w:rPr>
              <w:fldChar w:fldCharType="end"/>
            </w:r>
          </w:hyperlink>
        </w:p>
        <w:p w14:paraId="09C3DCC1" w14:textId="6CB8F373"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21" w:history="1">
            <w:r w:rsidRPr="00DB5203">
              <w:rPr>
                <w:rStyle w:val="Hyperlink"/>
                <w:rFonts w:ascii="Times New Roman" w:hAnsi="Times New Roman" w:cs="Times New Roman"/>
                <w:noProof/>
              </w:rPr>
              <w:t>Domestic Abuse Act 2021</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_Toc196752521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10</w:t>
            </w:r>
            <w:r w:rsidRPr="00DB5203">
              <w:rPr>
                <w:rFonts w:ascii="Times New Roman" w:hAnsi="Times New Roman" w:cs="Times New Roman"/>
                <w:noProof/>
                <w:webHidden/>
              </w:rPr>
              <w:fldChar w:fldCharType="end"/>
            </w:r>
          </w:hyperlink>
        </w:p>
        <w:p w14:paraId="39F89B06" w14:textId="24C46DAE" w:rsidR="00887A1F" w:rsidRPr="00DB5203" w:rsidRDefault="00887A1F" w:rsidP="00DB5203">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96752522" w:history="1">
            <w:r w:rsidRPr="00DB5203">
              <w:rPr>
                <w:rStyle w:val="Hyperlink"/>
                <w:rFonts w:ascii="Times New Roman" w:hAnsi="Times New Roman" w:cs="Times New Roman"/>
                <w:noProof/>
              </w:rPr>
              <w:t>Summary and Reflection</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_Toc196752522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10</w:t>
            </w:r>
            <w:r w:rsidRPr="00DB5203">
              <w:rPr>
                <w:rFonts w:ascii="Times New Roman" w:hAnsi="Times New Roman" w:cs="Times New Roman"/>
                <w:noProof/>
                <w:webHidden/>
              </w:rPr>
              <w:fldChar w:fldCharType="end"/>
            </w:r>
          </w:hyperlink>
        </w:p>
        <w:p w14:paraId="116016E4" w14:textId="7889EF6B" w:rsidR="00887A1F" w:rsidRPr="00DB5203" w:rsidRDefault="00887A1F" w:rsidP="00DB5203">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196752523" w:history="1">
            <w:r w:rsidRPr="00DB5203">
              <w:rPr>
                <w:rStyle w:val="Hyperlink"/>
                <w:rFonts w:ascii="Times New Roman" w:eastAsia="Times New Roman" w:hAnsi="Times New Roman" w:cs="Times New Roman"/>
                <w:noProof/>
                <w:kern w:val="0"/>
                <w:lang w:eastAsia="en-GB"/>
                <w14:ligatures w14:val="none"/>
              </w:rPr>
              <w:t>References</w:t>
            </w:r>
            <w:r w:rsidRPr="00DB5203">
              <w:rPr>
                <w:rFonts w:ascii="Times New Roman" w:hAnsi="Times New Roman" w:cs="Times New Roman"/>
                <w:noProof/>
                <w:webHidden/>
              </w:rPr>
              <w:tab/>
            </w:r>
            <w:r w:rsidRPr="00DB5203">
              <w:rPr>
                <w:rFonts w:ascii="Times New Roman" w:hAnsi="Times New Roman" w:cs="Times New Roman"/>
                <w:noProof/>
                <w:webHidden/>
              </w:rPr>
              <w:fldChar w:fldCharType="begin"/>
            </w:r>
            <w:r w:rsidRPr="00DB5203">
              <w:rPr>
                <w:rFonts w:ascii="Times New Roman" w:hAnsi="Times New Roman" w:cs="Times New Roman"/>
                <w:noProof/>
                <w:webHidden/>
              </w:rPr>
              <w:instrText xml:space="preserve"> PAGEREF _Toc196752523 \h </w:instrText>
            </w:r>
            <w:r w:rsidRPr="00DB5203">
              <w:rPr>
                <w:rFonts w:ascii="Times New Roman" w:hAnsi="Times New Roman" w:cs="Times New Roman"/>
                <w:noProof/>
                <w:webHidden/>
              </w:rPr>
            </w:r>
            <w:r w:rsidRPr="00DB5203">
              <w:rPr>
                <w:rFonts w:ascii="Times New Roman" w:hAnsi="Times New Roman" w:cs="Times New Roman"/>
                <w:noProof/>
                <w:webHidden/>
              </w:rPr>
              <w:fldChar w:fldCharType="separate"/>
            </w:r>
            <w:r w:rsidRPr="00DB5203">
              <w:rPr>
                <w:rFonts w:ascii="Times New Roman" w:hAnsi="Times New Roman" w:cs="Times New Roman"/>
                <w:noProof/>
                <w:webHidden/>
              </w:rPr>
              <w:t>12</w:t>
            </w:r>
            <w:r w:rsidRPr="00DB5203">
              <w:rPr>
                <w:rFonts w:ascii="Times New Roman" w:hAnsi="Times New Roman" w:cs="Times New Roman"/>
                <w:noProof/>
                <w:webHidden/>
              </w:rPr>
              <w:fldChar w:fldCharType="end"/>
            </w:r>
          </w:hyperlink>
        </w:p>
        <w:p w14:paraId="71D8B7C3" w14:textId="2E5AD6E9" w:rsidR="00887A1F" w:rsidRPr="00DB5203" w:rsidRDefault="00887A1F" w:rsidP="00DB5203">
          <w:pPr>
            <w:spacing w:line="360" w:lineRule="auto"/>
            <w:rPr>
              <w:rFonts w:ascii="Times New Roman" w:hAnsi="Times New Roman" w:cs="Times New Roman"/>
            </w:rPr>
          </w:pPr>
          <w:r w:rsidRPr="00DB5203">
            <w:rPr>
              <w:rFonts w:ascii="Times New Roman" w:hAnsi="Times New Roman" w:cs="Times New Roman"/>
              <w:b/>
              <w:bCs/>
              <w:noProof/>
            </w:rPr>
            <w:fldChar w:fldCharType="end"/>
          </w:r>
        </w:p>
      </w:sdtContent>
    </w:sdt>
    <w:p w14:paraId="056FAC3F" w14:textId="77777777" w:rsidR="00887A1F" w:rsidRPr="00DB5203" w:rsidRDefault="00887A1F" w:rsidP="00DB5203">
      <w:pPr>
        <w:pStyle w:val="Heading1"/>
        <w:spacing w:line="360" w:lineRule="auto"/>
        <w:rPr>
          <w:rFonts w:ascii="Times New Roman" w:hAnsi="Times New Roman" w:cs="Times New Roman"/>
          <w:color w:val="000000"/>
          <w:sz w:val="27"/>
          <w:szCs w:val="27"/>
        </w:rPr>
        <w:sectPr w:rsidR="00887A1F" w:rsidRPr="00DB5203" w:rsidSect="003E0C39">
          <w:pgSz w:w="11906" w:h="16838"/>
          <w:pgMar w:top="1440" w:right="1440" w:bottom="1440" w:left="1440" w:header="708" w:footer="708" w:gutter="0"/>
          <w:pgNumType w:start="0"/>
          <w:cols w:space="708"/>
          <w:titlePg/>
          <w:docGrid w:linePitch="360"/>
        </w:sectPr>
      </w:pPr>
      <w:bookmarkStart w:id="0" w:name="_Toc196752499"/>
    </w:p>
    <w:p w14:paraId="69CAA0A8" w14:textId="190BB9E2" w:rsidR="00887A1F" w:rsidRPr="00DB5203" w:rsidRDefault="00887A1F" w:rsidP="00DB5203">
      <w:pPr>
        <w:pStyle w:val="Heading1"/>
        <w:spacing w:line="360" w:lineRule="auto"/>
        <w:rPr>
          <w:rFonts w:ascii="Times New Roman" w:eastAsia="Times New Roman" w:hAnsi="Times New Roman" w:cs="Times New Roman"/>
          <w:b/>
          <w:bCs/>
          <w:color w:val="000000"/>
          <w:kern w:val="0"/>
          <w:lang w:eastAsia="en-GB"/>
          <w14:ligatures w14:val="none"/>
        </w:rPr>
      </w:pPr>
      <w:r w:rsidRPr="00DB5203">
        <w:rPr>
          <w:rFonts w:ascii="Times New Roman" w:hAnsi="Times New Roman" w:cs="Times New Roman"/>
          <w:color w:val="000000"/>
          <w:sz w:val="27"/>
          <w:szCs w:val="27"/>
        </w:rPr>
        <w:lastRenderedPageBreak/>
        <w:t>1.Critique of CAMHS Video</w:t>
      </w:r>
      <w:bookmarkEnd w:id="0"/>
    </w:p>
    <w:p w14:paraId="4918DA84" w14:textId="15D364B1" w:rsidR="00A628FC" w:rsidRPr="00DB5203" w:rsidRDefault="00A628FC" w:rsidP="00DB5203">
      <w:pPr>
        <w:spacing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b/>
          <w:bCs/>
          <w:color w:val="000000"/>
          <w:kern w:val="0"/>
          <w:lang w:eastAsia="en-GB"/>
          <w14:ligatures w14:val="none"/>
        </w:rPr>
        <w:t>An analysis of the role of CAMHS in supporting the mental health of children and young people</w:t>
      </w:r>
    </w:p>
    <w:p w14:paraId="3324301D" w14:textId="5802069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 xml:space="preserve">Child and Adolescent Mental Health Services (CAMHS) in the United Kingdom represent a critical component of the National Health Service (NHS) in supporting the psychological wellbeing of children and young people. CAMHS offers a range of services including therapeutic assessment, early intervention, and structured treatments aimed at improving mental health outcomes for service users and their families. This </w:t>
      </w:r>
      <w:r w:rsidR="00212510">
        <w:rPr>
          <w:rFonts w:ascii="Times New Roman" w:eastAsia="Times New Roman" w:hAnsi="Times New Roman" w:cs="Times New Roman"/>
          <w:color w:val="000000"/>
          <w:kern w:val="0"/>
          <w:lang w:eastAsia="en-GB"/>
          <w14:ligatures w14:val="none"/>
        </w:rPr>
        <w:t xml:space="preserve">critique </w:t>
      </w:r>
      <w:r w:rsidRPr="00DB5203">
        <w:rPr>
          <w:rFonts w:ascii="Times New Roman" w:eastAsia="Times New Roman" w:hAnsi="Times New Roman" w:cs="Times New Roman"/>
          <w:color w:val="000000"/>
          <w:kern w:val="0"/>
          <w:lang w:eastAsia="en-GB"/>
          <w14:ligatures w14:val="none"/>
        </w:rPr>
        <w:t>explores the full process of care as provided by CAMHS, from referral to discharge, drawing on evidence from the CAMHS information video as well as relevant academic literature and UK policy. Furthermore, the paper evaluates the strengths and weaknesses of the CAMHS video, discusses biopsychosocial factors influencing mental health, and considers legal and ethical frameworks such as the Children Act 2004.</w:t>
      </w:r>
    </w:p>
    <w:p w14:paraId="0E56A719" w14:textId="77777777" w:rsidR="00A628FC" w:rsidRPr="00DB5203" w:rsidRDefault="00A628FC"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1" w:name="_Toc196752500"/>
      <w:r w:rsidRPr="00DB5203">
        <w:rPr>
          <w:rFonts w:ascii="Times New Roman" w:eastAsia="Times New Roman" w:hAnsi="Times New Roman" w:cs="Times New Roman"/>
          <w:b/>
          <w:bCs/>
          <w:color w:val="000000"/>
          <w:kern w:val="0"/>
          <w:sz w:val="27"/>
          <w:szCs w:val="27"/>
          <w:lang w:eastAsia="en-GB"/>
          <w14:ligatures w14:val="none"/>
        </w:rPr>
        <w:t>The CAMHS care pathway: From referral to discharge</w:t>
      </w:r>
      <w:bookmarkEnd w:id="1"/>
    </w:p>
    <w:p w14:paraId="2D552667"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The CAMHS video outlines a structured yet person-centred approach to care, beginning with referrals often made by general practitioners (GPs) or schools. Initial contact typically involves a telephone triage with the parent or carer, where the clinician evaluates the urgency and appropriateness of the case (NHS, 2023). The choice of setting for the assessment – in clinic, at home, or online – reflects a flexible and inclusive practice model. This is important as engagement levels are higher when young people and their families feel comfortable with the care environment (Dogra et al., 2012).</w:t>
      </w:r>
    </w:p>
    <w:p w14:paraId="36AEF95D"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Once the initial triage is complete, families receive questionnaires and an information pack. The first formal assessment explores the child or young person's mental health, emotional wellbeing, family context, and the reasons for the referral. These assessments are comprehensive, lasting approximately an hour, and incorporate both individual and family perspectives. There is an emphasis on collaborative decision-making and confidentiality, which is crucial in building trust and therapeutic alliances (Fonagy et al., 2015).</w:t>
      </w:r>
    </w:p>
    <w:p w14:paraId="71A1243F"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 xml:space="preserve">Treatment commonly begins with Stage One interventions, focusing on psychoeducation and basic coping strategies. The video outlines a standard six-session model where children learn </w:t>
      </w:r>
      <w:r w:rsidRPr="00DB5203">
        <w:rPr>
          <w:rFonts w:ascii="Times New Roman" w:eastAsia="Times New Roman" w:hAnsi="Times New Roman" w:cs="Times New Roman"/>
          <w:color w:val="000000"/>
          <w:kern w:val="0"/>
          <w:lang w:eastAsia="en-GB"/>
          <w14:ligatures w14:val="none"/>
        </w:rPr>
        <w:lastRenderedPageBreak/>
        <w:t>about their mental health condition—such as anxiety—and work toward defined goals. For many, this is sufficient to return to normal functioning. For others, further specialist therapy is offered, including cognitive behavioural therapy (CBT), occupational therapy, art therapy, or play therapy, depending on the individual's needs (NICE, 2019).</w:t>
      </w:r>
    </w:p>
    <w:p w14:paraId="51393EFC" w14:textId="283B8E36"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Discharge planning is a gradual process, with patients and families kept fully informed. Even after discharge, support continues through signposting to other services, including voluntary sector organisations and school-based pastoral care. Should the young person’s condition deteriorate, re-referral is possible, ensuring continuity of care (Department of Health and Social Care, 2017).</w:t>
      </w:r>
    </w:p>
    <w:p w14:paraId="487DC68F" w14:textId="77777777" w:rsidR="00887A1F" w:rsidRPr="00DB5203" w:rsidRDefault="00887A1F"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2" w:name="_Toc196752501"/>
    </w:p>
    <w:p w14:paraId="0B0C2F98" w14:textId="77777777" w:rsidR="00887A1F" w:rsidRPr="00DB5203" w:rsidRDefault="00887A1F"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p>
    <w:p w14:paraId="1C322D5B" w14:textId="1C372827" w:rsidR="00A628FC" w:rsidRPr="00DB5203" w:rsidRDefault="00A628FC"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r w:rsidRPr="00DB5203">
        <w:rPr>
          <w:rFonts w:ascii="Times New Roman" w:eastAsia="Times New Roman" w:hAnsi="Times New Roman" w:cs="Times New Roman"/>
          <w:b/>
          <w:bCs/>
          <w:color w:val="000000"/>
          <w:kern w:val="0"/>
          <w:sz w:val="27"/>
          <w:szCs w:val="27"/>
          <w:lang w:eastAsia="en-GB"/>
          <w14:ligatures w14:val="none"/>
        </w:rPr>
        <w:t>Strengths and limitations of the CAMHS video</w:t>
      </w:r>
      <w:bookmarkEnd w:id="2"/>
    </w:p>
    <w:p w14:paraId="4C02AD70"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The CAMHS video successfully communicates the therapeutic and person-centred ethos of the service. One of its strengths is the emphasis on multidisciplinary collaboration. The presence of professionals from various disciplines—including family therapists, occupational therapists, and mental health nurses—ensures a holistic approach to treatment (Royal College of Psychiatrists, 2021). This aligns with research suggesting that multidisciplinary teams enhance care outcomes through shared knowledge and diverse clinical perspectives (Hughes et al., 2018).</w:t>
      </w:r>
    </w:p>
    <w:p w14:paraId="1DC47011"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Another key strength is the flexibility offered to service users, both in terms of appointment setting and treatment choice. The video also highlights the empowerment of young people in making decisions about their care, which has been shown to improve engagement and satisfaction (</w:t>
      </w:r>
      <w:proofErr w:type="spellStart"/>
      <w:r w:rsidRPr="00DB5203">
        <w:rPr>
          <w:rFonts w:ascii="Times New Roman" w:eastAsia="Times New Roman" w:hAnsi="Times New Roman" w:cs="Times New Roman"/>
          <w:color w:val="000000"/>
          <w:kern w:val="0"/>
          <w:lang w:eastAsia="en-GB"/>
          <w14:ligatures w14:val="none"/>
        </w:rPr>
        <w:t>Rickwood</w:t>
      </w:r>
      <w:proofErr w:type="spellEnd"/>
      <w:r w:rsidRPr="00DB5203">
        <w:rPr>
          <w:rFonts w:ascii="Times New Roman" w:eastAsia="Times New Roman" w:hAnsi="Times New Roman" w:cs="Times New Roman"/>
          <w:color w:val="000000"/>
          <w:kern w:val="0"/>
          <w:lang w:eastAsia="en-GB"/>
          <w14:ligatures w14:val="none"/>
        </w:rPr>
        <w:t xml:space="preserve"> et al., 2007).</w:t>
      </w:r>
    </w:p>
    <w:p w14:paraId="140BEF81"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However, a notable weakness is the omission of systemic barriers, particularly the </w:t>
      </w:r>
      <w:r w:rsidRPr="00DB5203">
        <w:rPr>
          <w:rFonts w:ascii="Times New Roman" w:eastAsia="Times New Roman" w:hAnsi="Times New Roman" w:cs="Times New Roman"/>
          <w:b/>
          <w:bCs/>
          <w:color w:val="000000"/>
          <w:kern w:val="0"/>
          <w:lang w:eastAsia="en-GB"/>
          <w14:ligatures w14:val="none"/>
        </w:rPr>
        <w:t>long waiting times</w:t>
      </w:r>
      <w:r w:rsidRPr="00DB5203">
        <w:rPr>
          <w:rFonts w:ascii="Times New Roman" w:eastAsia="Times New Roman" w:hAnsi="Times New Roman" w:cs="Times New Roman"/>
          <w:color w:val="000000"/>
          <w:kern w:val="0"/>
          <w:lang w:eastAsia="en-GB"/>
          <w14:ligatures w14:val="none"/>
        </w:rPr>
        <w:t> that plague CAMHS. The Children’s Commissioner (2021) reported that the average waiting time for treatment after referral was over eight weeks, with regional variation and some cases exceeding 12 months. These delays can result in worsening symptoms and increased pressure on crisis services (Mental Health Foundation, 2023).</w:t>
      </w:r>
    </w:p>
    <w:p w14:paraId="172E2E37" w14:textId="0A35D1ED"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lastRenderedPageBreak/>
        <w:t>The video also lacks clarity regarding the transition from CAMHS to adult services, which is often poorly managed and can disrupt care continuity (Singh et al., 2010). Furthermore, the video does not address issues of equality, diversity, and inclusion. Research has shown that children from ethnic minority backgrounds are often underrepresented in mental health services and face barriers such as cultural stigma and language difficulties (</w:t>
      </w:r>
      <w:proofErr w:type="spellStart"/>
      <w:r w:rsidRPr="00DB5203">
        <w:rPr>
          <w:rFonts w:ascii="Times New Roman" w:eastAsia="Times New Roman" w:hAnsi="Times New Roman" w:cs="Times New Roman"/>
          <w:color w:val="000000"/>
          <w:kern w:val="0"/>
          <w:lang w:eastAsia="en-GB"/>
          <w14:ligatures w14:val="none"/>
        </w:rPr>
        <w:t>Bywaters</w:t>
      </w:r>
      <w:proofErr w:type="spellEnd"/>
      <w:r w:rsidRPr="00DB5203">
        <w:rPr>
          <w:rFonts w:ascii="Times New Roman" w:eastAsia="Times New Roman" w:hAnsi="Times New Roman" w:cs="Times New Roman"/>
          <w:color w:val="000000"/>
          <w:kern w:val="0"/>
          <w:lang w:eastAsia="en-GB"/>
          <w14:ligatures w14:val="none"/>
        </w:rPr>
        <w:t xml:space="preserve"> et al., 2016).</w:t>
      </w:r>
    </w:p>
    <w:p w14:paraId="61AFC174" w14:textId="77777777" w:rsidR="00A628FC" w:rsidRPr="00DB5203" w:rsidRDefault="00A628FC"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3" w:name="_Toc196752502"/>
      <w:r w:rsidRPr="00DB5203">
        <w:rPr>
          <w:rFonts w:ascii="Times New Roman" w:eastAsia="Times New Roman" w:hAnsi="Times New Roman" w:cs="Times New Roman"/>
          <w:b/>
          <w:bCs/>
          <w:color w:val="000000"/>
          <w:kern w:val="0"/>
          <w:sz w:val="27"/>
          <w:szCs w:val="27"/>
          <w:lang w:eastAsia="en-GB"/>
          <w14:ligatures w14:val="none"/>
        </w:rPr>
        <w:t>Biopsychosocial factors influencing child and adolescent mental health</w:t>
      </w:r>
      <w:bookmarkEnd w:id="3"/>
    </w:p>
    <w:p w14:paraId="2E9D784D"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Mental health in children and young people is influenced by an interplay of </w:t>
      </w:r>
      <w:r w:rsidRPr="00DB5203">
        <w:rPr>
          <w:rFonts w:ascii="Times New Roman" w:eastAsia="Times New Roman" w:hAnsi="Times New Roman" w:cs="Times New Roman"/>
          <w:b/>
          <w:bCs/>
          <w:color w:val="000000"/>
          <w:kern w:val="0"/>
          <w:lang w:eastAsia="en-GB"/>
          <w14:ligatures w14:val="none"/>
        </w:rPr>
        <w:t>biological, psychological, and social</w:t>
      </w:r>
      <w:r w:rsidRPr="00DB5203">
        <w:rPr>
          <w:rFonts w:ascii="Times New Roman" w:eastAsia="Times New Roman" w:hAnsi="Times New Roman" w:cs="Times New Roman"/>
          <w:color w:val="000000"/>
          <w:kern w:val="0"/>
          <w:lang w:eastAsia="en-GB"/>
          <w14:ligatures w14:val="none"/>
        </w:rPr>
        <w:t> factors. Biologically, genetic predisposition plays a major role; for instance, children with a family history of depression or schizophrenia are at higher risk of developing these conditions themselves (Plomin et al., 2016). Neurodevelopmental factors, such as ADHD or autism spectrum disorder, can also contribute to emotional and behavioural difficulties (Green et al., 2005).</w:t>
      </w:r>
    </w:p>
    <w:p w14:paraId="6A1CF0CC"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Psychologically, stressors such as academic pressure, family breakdown, bullying, and exposure to trauma can significantly affect emotional regulation and mental wellbeing. The COVID-19 pandemic, for example, exacerbated feelings of isolation, anxiety, and depression in young people (</w:t>
      </w:r>
      <w:proofErr w:type="spellStart"/>
      <w:r w:rsidRPr="00DB5203">
        <w:rPr>
          <w:rFonts w:ascii="Times New Roman" w:eastAsia="Times New Roman" w:hAnsi="Times New Roman" w:cs="Times New Roman"/>
          <w:color w:val="000000"/>
          <w:kern w:val="0"/>
          <w:lang w:eastAsia="en-GB"/>
          <w14:ligatures w14:val="none"/>
        </w:rPr>
        <w:t>YoungMinds</w:t>
      </w:r>
      <w:proofErr w:type="spellEnd"/>
      <w:r w:rsidRPr="00DB5203">
        <w:rPr>
          <w:rFonts w:ascii="Times New Roman" w:eastAsia="Times New Roman" w:hAnsi="Times New Roman" w:cs="Times New Roman"/>
          <w:color w:val="000000"/>
          <w:kern w:val="0"/>
          <w:lang w:eastAsia="en-GB"/>
          <w14:ligatures w14:val="none"/>
        </w:rPr>
        <w:t>, 2021).</w:t>
      </w:r>
    </w:p>
    <w:p w14:paraId="2A400543" w14:textId="5344E2BA"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Socially, factors such as </w:t>
      </w:r>
      <w:r w:rsidRPr="00DB5203">
        <w:rPr>
          <w:rFonts w:ascii="Times New Roman" w:eastAsia="Times New Roman" w:hAnsi="Times New Roman" w:cs="Times New Roman"/>
          <w:b/>
          <w:bCs/>
          <w:color w:val="000000"/>
          <w:kern w:val="0"/>
          <w:lang w:eastAsia="en-GB"/>
          <w14:ligatures w14:val="none"/>
        </w:rPr>
        <w:t>poverty, social exclusion, and discrimination</w:t>
      </w:r>
      <w:r w:rsidRPr="00DB5203">
        <w:rPr>
          <w:rFonts w:ascii="Times New Roman" w:eastAsia="Times New Roman" w:hAnsi="Times New Roman" w:cs="Times New Roman"/>
          <w:color w:val="000000"/>
          <w:kern w:val="0"/>
          <w:lang w:eastAsia="en-GB"/>
          <w14:ligatures w14:val="none"/>
        </w:rPr>
        <w:t> increase the risk of mental health problems. Children living in low-income households are four times more likely to experience mental health issues than their wealthier peers (Marmot, 2010). Stigma related to mental illness also acts as a barrier to seeking help, especially among teenagers who fear being judged or misunderstood (Corrigan et al., 2012).</w:t>
      </w:r>
    </w:p>
    <w:p w14:paraId="7A8413A4" w14:textId="77777777" w:rsidR="00887A1F" w:rsidRPr="00DB5203" w:rsidRDefault="00887A1F"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4" w:name="_Toc196752503"/>
    </w:p>
    <w:p w14:paraId="751698DA" w14:textId="6D8AA25F" w:rsidR="00A628FC" w:rsidRPr="00DB5203" w:rsidRDefault="00A628FC"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r w:rsidRPr="00DB5203">
        <w:rPr>
          <w:rFonts w:ascii="Times New Roman" w:eastAsia="Times New Roman" w:hAnsi="Times New Roman" w:cs="Times New Roman"/>
          <w:b/>
          <w:bCs/>
          <w:color w:val="000000"/>
          <w:kern w:val="0"/>
          <w:sz w:val="27"/>
          <w:szCs w:val="27"/>
          <w:lang w:eastAsia="en-GB"/>
          <w14:ligatures w14:val="none"/>
        </w:rPr>
        <w:t>Legal and ethical considerations</w:t>
      </w:r>
      <w:bookmarkEnd w:id="4"/>
    </w:p>
    <w:p w14:paraId="7EF2E844"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The work of CAMHS is underpinned by the </w:t>
      </w:r>
      <w:r w:rsidRPr="00DB5203">
        <w:rPr>
          <w:rFonts w:ascii="Times New Roman" w:eastAsia="Times New Roman" w:hAnsi="Times New Roman" w:cs="Times New Roman"/>
          <w:b/>
          <w:bCs/>
          <w:color w:val="000000"/>
          <w:kern w:val="0"/>
          <w:lang w:eastAsia="en-GB"/>
          <w14:ligatures w14:val="none"/>
        </w:rPr>
        <w:t>Children Act 2004</w:t>
      </w:r>
      <w:r w:rsidRPr="00DB5203">
        <w:rPr>
          <w:rFonts w:ascii="Times New Roman" w:eastAsia="Times New Roman" w:hAnsi="Times New Roman" w:cs="Times New Roman"/>
          <w:color w:val="000000"/>
          <w:kern w:val="0"/>
          <w:lang w:eastAsia="en-GB"/>
          <w14:ligatures w14:val="none"/>
        </w:rPr>
        <w:t xml:space="preserve">, which introduced the "Every Child Matters" framework and places a duty on agencies to cooperate in safeguarding and promoting the welfare of children. This is reflected in CAMHS' commitment to involving </w:t>
      </w:r>
      <w:r w:rsidRPr="00DB5203">
        <w:rPr>
          <w:rFonts w:ascii="Times New Roman" w:eastAsia="Times New Roman" w:hAnsi="Times New Roman" w:cs="Times New Roman"/>
          <w:color w:val="000000"/>
          <w:kern w:val="0"/>
          <w:lang w:eastAsia="en-GB"/>
          <w14:ligatures w14:val="none"/>
        </w:rPr>
        <w:lastRenderedPageBreak/>
        <w:t>families, working collaboratively with schools and other professionals, and respecting the voice of the child (HM Government, 2004).</w:t>
      </w:r>
    </w:p>
    <w:p w14:paraId="47C56952"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The </w:t>
      </w:r>
      <w:r w:rsidRPr="00DB5203">
        <w:rPr>
          <w:rFonts w:ascii="Times New Roman" w:eastAsia="Times New Roman" w:hAnsi="Times New Roman" w:cs="Times New Roman"/>
          <w:b/>
          <w:bCs/>
          <w:color w:val="000000"/>
          <w:kern w:val="0"/>
          <w:lang w:eastAsia="en-GB"/>
          <w14:ligatures w14:val="none"/>
        </w:rPr>
        <w:t>Mental Health Act 1983 (amended 2007)</w:t>
      </w:r>
      <w:r w:rsidRPr="00DB5203">
        <w:rPr>
          <w:rFonts w:ascii="Times New Roman" w:eastAsia="Times New Roman" w:hAnsi="Times New Roman" w:cs="Times New Roman"/>
          <w:color w:val="000000"/>
          <w:kern w:val="0"/>
          <w:lang w:eastAsia="en-GB"/>
          <w14:ligatures w14:val="none"/>
        </w:rPr>
        <w:t> provides further legal guidelines for the care and treatment of individuals with mental health disorders, including provisions for consent, confidentiality, and treatment rights. For young people under 16, the concept of Gillick competence is used to assess whether they can make informed decisions about their care (NSPCC, 2022).</w:t>
      </w:r>
    </w:p>
    <w:p w14:paraId="1E0899A5" w14:textId="6091DAB1"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In practice, CAMHS clinicians must balance </w:t>
      </w:r>
      <w:r w:rsidRPr="00DB5203">
        <w:rPr>
          <w:rFonts w:ascii="Times New Roman" w:eastAsia="Times New Roman" w:hAnsi="Times New Roman" w:cs="Times New Roman"/>
          <w:b/>
          <w:bCs/>
          <w:color w:val="000000"/>
          <w:kern w:val="0"/>
          <w:lang w:eastAsia="en-GB"/>
          <w14:ligatures w14:val="none"/>
        </w:rPr>
        <w:t>autonomy</w:t>
      </w:r>
      <w:r w:rsidRPr="00DB5203">
        <w:rPr>
          <w:rFonts w:ascii="Times New Roman" w:eastAsia="Times New Roman" w:hAnsi="Times New Roman" w:cs="Times New Roman"/>
          <w:color w:val="000000"/>
          <w:kern w:val="0"/>
          <w:lang w:eastAsia="en-GB"/>
          <w14:ligatures w14:val="none"/>
        </w:rPr>
        <w:t> and </w:t>
      </w:r>
      <w:r w:rsidRPr="00DB5203">
        <w:rPr>
          <w:rFonts w:ascii="Times New Roman" w:eastAsia="Times New Roman" w:hAnsi="Times New Roman" w:cs="Times New Roman"/>
          <w:b/>
          <w:bCs/>
          <w:color w:val="000000"/>
          <w:kern w:val="0"/>
          <w:lang w:eastAsia="en-GB"/>
          <w14:ligatures w14:val="none"/>
        </w:rPr>
        <w:t>safeguarding</w:t>
      </w:r>
      <w:r w:rsidRPr="00DB5203">
        <w:rPr>
          <w:rFonts w:ascii="Times New Roman" w:eastAsia="Times New Roman" w:hAnsi="Times New Roman" w:cs="Times New Roman"/>
          <w:color w:val="000000"/>
          <w:kern w:val="0"/>
          <w:lang w:eastAsia="en-GB"/>
          <w14:ligatures w14:val="none"/>
        </w:rPr>
        <w:t>, ensuring young people have a say in their treatment while protecting them from harm. Confidentiality must be upheld unless there are safeguarding concerns, in which case information may be shared in accordance with statutory guidelines.</w:t>
      </w:r>
    </w:p>
    <w:p w14:paraId="4AFB17D9" w14:textId="77777777" w:rsidR="00A628FC" w:rsidRPr="00DB5203" w:rsidRDefault="00A628FC" w:rsidP="00DB5203">
      <w:pPr>
        <w:spacing w:before="100" w:beforeAutospacing="1" w:after="100" w:afterAutospacing="1" w:line="360" w:lineRule="auto"/>
        <w:outlineLvl w:val="2"/>
        <w:rPr>
          <w:rFonts w:ascii="Times New Roman" w:eastAsia="Times New Roman" w:hAnsi="Times New Roman" w:cs="Times New Roman"/>
          <w:b/>
          <w:bCs/>
          <w:color w:val="000000"/>
          <w:kern w:val="0"/>
          <w:sz w:val="27"/>
          <w:szCs w:val="27"/>
          <w:lang w:eastAsia="en-GB"/>
          <w14:ligatures w14:val="none"/>
        </w:rPr>
      </w:pPr>
      <w:bookmarkStart w:id="5" w:name="_Toc196752504"/>
      <w:r w:rsidRPr="00DB5203">
        <w:rPr>
          <w:rFonts w:ascii="Times New Roman" w:eastAsia="Times New Roman" w:hAnsi="Times New Roman" w:cs="Times New Roman"/>
          <w:b/>
          <w:bCs/>
          <w:color w:val="000000"/>
          <w:kern w:val="0"/>
          <w:sz w:val="27"/>
          <w:szCs w:val="27"/>
          <w:lang w:eastAsia="en-GB"/>
          <w14:ligatures w14:val="none"/>
        </w:rPr>
        <w:t>Conclusion</w:t>
      </w:r>
      <w:bookmarkEnd w:id="5"/>
    </w:p>
    <w:p w14:paraId="1DCEAF8F"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CAMHS provides a vital service to children and young people experiencing mental health challenges in the UK. The care pathway—from referral through assessment, treatment, and discharge—is comprehensive, flexible, and rooted in a person-centred approach. The service’s multidisciplinary teams, goal-oriented interventions, and family involvement align well with both policy expectations and best clinical practices.</w:t>
      </w:r>
    </w:p>
    <w:p w14:paraId="1D31BE9E" w14:textId="77777777"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However, the CAMHS video, while informative and optimistic, overlooks significant challenges such as long waiting times, lack of diversity representation, and the difficulties associated with transitioning to adult mental health services. Addressing these systemic issues is essential to ensuring equitable and effective support for all young people.</w:t>
      </w:r>
    </w:p>
    <w:p w14:paraId="47CAF096" w14:textId="78BFAD9B" w:rsidR="00A628FC" w:rsidRPr="00DB5203" w:rsidRDefault="00A628FC" w:rsidP="00DB520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B5203">
        <w:rPr>
          <w:rFonts w:ascii="Times New Roman" w:eastAsia="Times New Roman" w:hAnsi="Times New Roman" w:cs="Times New Roman"/>
          <w:color w:val="000000"/>
          <w:kern w:val="0"/>
          <w:lang w:eastAsia="en-GB"/>
          <w14:ligatures w14:val="none"/>
        </w:rPr>
        <w:t>Understanding the biopsychosocial influences on mental health and recognising the legislative frameworks that guide services like CAMHS helps build a clearer picture of how care is delivered and how it can be improved. With ongoing policy investment and a focus on early intervention, CAMHS remains a cornerstone of child and adolescent mental health care in the UK.</w:t>
      </w:r>
    </w:p>
    <w:p w14:paraId="0EFF700B" w14:textId="57CA59D3" w:rsidR="00653CE7" w:rsidRPr="00DB5203" w:rsidRDefault="00653CE7" w:rsidP="00DB5203">
      <w:pPr>
        <w:spacing w:line="360" w:lineRule="auto"/>
        <w:rPr>
          <w:rFonts w:ascii="Times New Roman" w:hAnsi="Times New Roman" w:cs="Times New Roman"/>
        </w:rPr>
      </w:pPr>
      <w:r w:rsidRPr="00DB5203">
        <w:rPr>
          <w:rFonts w:ascii="Times New Roman" w:hAnsi="Times New Roman" w:cs="Times New Roman"/>
        </w:rPr>
        <w:br w:type="page"/>
      </w:r>
    </w:p>
    <w:p w14:paraId="402D45D4" w14:textId="77777777" w:rsidR="00887A1F" w:rsidRPr="00DB5203" w:rsidRDefault="00887A1F" w:rsidP="00DB5203">
      <w:pPr>
        <w:pStyle w:val="Heading1"/>
        <w:spacing w:line="360" w:lineRule="auto"/>
        <w:rPr>
          <w:rFonts w:ascii="Times New Roman" w:hAnsi="Times New Roman" w:cs="Times New Roman"/>
          <w:color w:val="000000"/>
          <w:sz w:val="27"/>
          <w:szCs w:val="27"/>
        </w:rPr>
      </w:pPr>
      <w:bookmarkStart w:id="6" w:name="_Toc196752505"/>
      <w:r w:rsidRPr="00DB5203">
        <w:rPr>
          <w:rFonts w:ascii="Times New Roman" w:hAnsi="Times New Roman" w:cs="Times New Roman"/>
          <w:color w:val="000000"/>
          <w:sz w:val="27"/>
          <w:szCs w:val="27"/>
        </w:rPr>
        <w:lastRenderedPageBreak/>
        <w:t>2.Poster: Health and Wellbeing for Children, Young People and Families</w:t>
      </w:r>
      <w:bookmarkEnd w:id="6"/>
    </w:p>
    <w:p w14:paraId="1055E20C" w14:textId="52451B18" w:rsidR="00653CE7" w:rsidRPr="00DB5203" w:rsidRDefault="00194F5E" w:rsidP="00DB5203">
      <w:pPr>
        <w:spacing w:line="360" w:lineRule="auto"/>
        <w:rPr>
          <w:rFonts w:ascii="Times New Roman" w:eastAsia="Times New Roman" w:hAnsi="Times New Roman" w:cs="Times New Roman"/>
          <w:kern w:val="0"/>
          <w:lang w:eastAsia="en-GB"/>
          <w14:ligatures w14:val="none"/>
        </w:rPr>
      </w:pPr>
      <w:r w:rsidRPr="00DB5203">
        <w:rPr>
          <w:rFonts w:ascii="Times New Roman" w:eastAsia="Times New Roman" w:hAnsi="Times New Roman" w:cs="Times New Roman"/>
          <w:b/>
          <w:bCs/>
          <w:noProof/>
          <w:color w:val="000000"/>
          <w:kern w:val="0"/>
          <w:sz w:val="27"/>
          <w:szCs w:val="27"/>
          <w:lang w:eastAsia="en-GB"/>
        </w:rPr>
        <w:drawing>
          <wp:inline distT="0" distB="0" distL="0" distR="0" wp14:anchorId="328C2C2B" wp14:editId="407DB7C8">
            <wp:extent cx="5731510" cy="8110855"/>
            <wp:effectExtent l="0" t="0" r="0" b="4445"/>
            <wp:docPr id="6964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6896" name="Picture 69646896"/>
                    <pic:cNvPicPr/>
                  </pic:nvPicPr>
                  <pic:blipFill>
                    <a:blip r:embed="rId6"/>
                    <a:stretch>
                      <a:fillRect/>
                    </a:stretch>
                  </pic:blipFill>
                  <pic:spPr>
                    <a:xfrm>
                      <a:off x="0" y="0"/>
                      <a:ext cx="5731510" cy="8110855"/>
                    </a:xfrm>
                    <a:prstGeom prst="rect">
                      <a:avLst/>
                    </a:prstGeom>
                  </pic:spPr>
                </pic:pic>
              </a:graphicData>
            </a:graphic>
          </wp:inline>
        </w:drawing>
      </w:r>
    </w:p>
    <w:p w14:paraId="27030B65" w14:textId="0D1033FB" w:rsidR="00887A1F" w:rsidRPr="00DB5203" w:rsidRDefault="00887A1F" w:rsidP="00DB5203">
      <w:pPr>
        <w:pStyle w:val="Heading1"/>
        <w:spacing w:line="360" w:lineRule="auto"/>
        <w:rPr>
          <w:rStyle w:val="Strong"/>
          <w:rFonts w:ascii="Times New Roman" w:hAnsi="Times New Roman" w:cs="Times New Roman"/>
          <w:b w:val="0"/>
          <w:bCs w:val="0"/>
          <w:color w:val="000000"/>
        </w:rPr>
      </w:pPr>
      <w:bookmarkStart w:id="7" w:name="_Toc196752506"/>
      <w:r w:rsidRPr="00DB5203">
        <w:rPr>
          <w:rFonts w:ascii="Times New Roman" w:hAnsi="Times New Roman" w:cs="Times New Roman"/>
          <w:color w:val="000000"/>
          <w:sz w:val="27"/>
          <w:szCs w:val="27"/>
        </w:rPr>
        <w:lastRenderedPageBreak/>
        <w:t>3.Blogs: Children’s Rights</w:t>
      </w:r>
      <w:bookmarkEnd w:id="7"/>
    </w:p>
    <w:p w14:paraId="0E6D901D" w14:textId="4B6CC65F" w:rsidR="00194F5E" w:rsidRPr="00DB5203" w:rsidRDefault="00194F5E" w:rsidP="00DB5203">
      <w:pPr>
        <w:pStyle w:val="Heading2"/>
        <w:spacing w:line="360" w:lineRule="auto"/>
        <w:rPr>
          <w:rFonts w:ascii="Times New Roman" w:hAnsi="Times New Roman" w:cs="Times New Roman"/>
          <w:color w:val="000000"/>
        </w:rPr>
      </w:pPr>
      <w:bookmarkStart w:id="8" w:name="_Toc196752507"/>
      <w:r w:rsidRPr="00DB5203">
        <w:rPr>
          <w:rStyle w:val="Strong"/>
          <w:rFonts w:ascii="Times New Roman" w:hAnsi="Times New Roman" w:cs="Times New Roman"/>
          <w:b w:val="0"/>
          <w:bCs w:val="0"/>
          <w:color w:val="000000"/>
        </w:rPr>
        <w:t>Blog 1: The Right to Protection from Violence (UNCRC Article 19)</w:t>
      </w:r>
      <w:bookmarkEnd w:id="8"/>
    </w:p>
    <w:p w14:paraId="1C3E5AD1"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As a student of health and social care, I’ve come to recognise that one of the most vital rights for children is the right to protection from all forms of violence. Article 19 of the United Nations Convention on the Rights of the Child (UNCRC, 1989) obliges states to protect children from physical, emotional, and mental abuse. In the UK, this is reflected in the Children Act 1989, which ensures local authorities intervene where children are at risk.</w:t>
      </w:r>
    </w:p>
    <w:p w14:paraId="1F2EB2D5"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right is fundamental to children’s overall wellbeing. Exposure to abuse or neglect can cause long-term trauma, impacting their mental health, educational attainment, and relationships later in life (NSPCC, 2023). Services such as CAMHS (Child and Adolescent Mental Health Services) play a key role in safeguarding children and supporting recovery.</w:t>
      </w:r>
    </w:p>
    <w:p w14:paraId="5D8F63FA" w14:textId="4E1CC79C"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Bowlby’s attachment theory (</w:t>
      </w:r>
      <w:r w:rsidR="003A6636" w:rsidRPr="00DB5203">
        <w:rPr>
          <w:color w:val="000000"/>
        </w:rPr>
        <w:t>Bowlby,</w:t>
      </w:r>
      <w:r w:rsidR="003A6636">
        <w:rPr>
          <w:color w:val="000000"/>
        </w:rPr>
        <w:t xml:space="preserve"> </w:t>
      </w:r>
      <w:r w:rsidRPr="00DB5203">
        <w:rPr>
          <w:rFonts w:ascii="Times New Roman" w:hAnsi="Times New Roman" w:cs="Times New Roman"/>
          <w:color w:val="000000"/>
        </w:rPr>
        <w:t>1969) supports this by showing that children need secure attachments to thrive emotionally. When children are subjected to violence, it disrupts their sense of safety, making healthy development difficult.</w:t>
      </w:r>
    </w:p>
    <w:p w14:paraId="26152C3F" w14:textId="2CD13301"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In practical terms, protecting children from violence isn’t just a legal duty—it’s a moral one. Supporting children to live free from harm allows them to develop resilience, trust, and confidence—cornerstones of both mental health and future success.</w:t>
      </w:r>
    </w:p>
    <w:p w14:paraId="154F2948" w14:textId="77777777" w:rsidR="00194F5E" w:rsidRPr="00DB5203" w:rsidRDefault="00194F5E" w:rsidP="00DB5203">
      <w:pPr>
        <w:pStyle w:val="Heading2"/>
        <w:spacing w:line="360" w:lineRule="auto"/>
        <w:rPr>
          <w:rFonts w:ascii="Times New Roman" w:hAnsi="Times New Roman" w:cs="Times New Roman"/>
          <w:color w:val="000000"/>
        </w:rPr>
      </w:pPr>
      <w:bookmarkStart w:id="9" w:name="_Toc196752508"/>
      <w:r w:rsidRPr="00DB5203">
        <w:rPr>
          <w:rStyle w:val="Strong"/>
          <w:rFonts w:ascii="Times New Roman" w:hAnsi="Times New Roman" w:cs="Times New Roman"/>
          <w:b w:val="0"/>
          <w:bCs w:val="0"/>
          <w:color w:val="000000"/>
        </w:rPr>
        <w:t>Blog 2: The Right to Education (UNCRC Article 28)</w:t>
      </w:r>
      <w:bookmarkEnd w:id="9"/>
    </w:p>
    <w:p w14:paraId="18EF7212"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Education is not just a right—it’s a powerful tool for change. Article 28 of the UNCRC (1989) asserts that all children have the right to free and accessible education. In the UK, this right is implemented through the Education Act 1996, guaranteeing access to primary and secondary schooling.</w:t>
      </w:r>
    </w:p>
    <w:p w14:paraId="34F7D7E2"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From a personal perspective as a student, I understand how essential education is to long-term wellbeing. School is more than a place of learning; it’s a safe space where children access support networks, routine, and emotional guidance. It’s a setting where safeguarding systems are often the first to detect signs of abuse or mental health challenges (Children’s Society, 2022).</w:t>
      </w:r>
    </w:p>
    <w:p w14:paraId="2321CD8C" w14:textId="7AB0BCC0"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lastRenderedPageBreak/>
        <w:t>Jean Piaget’s theory of cognitive development (</w:t>
      </w:r>
      <w:r w:rsidR="00D31793" w:rsidRPr="00DB5203">
        <w:rPr>
          <w:color w:val="000000"/>
        </w:rPr>
        <w:t xml:space="preserve">Piaget, </w:t>
      </w:r>
      <w:r w:rsidRPr="00DB5203">
        <w:rPr>
          <w:rFonts w:ascii="Times New Roman" w:hAnsi="Times New Roman" w:cs="Times New Roman"/>
          <w:color w:val="000000"/>
        </w:rPr>
        <w:t>1952) argues that education helps children develop logical thinking, problem-solving skills, and social understanding. These developmental stages are supported through structured education systems, especially when delivered inclusively.</w:t>
      </w:r>
    </w:p>
    <w:p w14:paraId="62D74288"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Moreover, education empowers children by helping them understand their rights and responsibilities. It contributes to better health outcomes by teaching about hygiene, nutrition, and mental wellbeing. It also reduces inequality by breaking the cycle of poverty and marginalisation.</w:t>
      </w:r>
    </w:p>
    <w:p w14:paraId="2DCF13B6" w14:textId="0C652B30"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Without access to education, children’s future opportunities are limited. Their confidence and ability to make informed choices are hindered. Ensuring the right to education, therefore, safeguards not just their intellectual growth, but also their emotional and physical health.</w:t>
      </w:r>
    </w:p>
    <w:p w14:paraId="7C33E9E1" w14:textId="77777777" w:rsidR="00194F5E" w:rsidRPr="00DB5203" w:rsidRDefault="00194F5E" w:rsidP="00DB5203">
      <w:pPr>
        <w:pStyle w:val="Heading2"/>
        <w:spacing w:line="360" w:lineRule="auto"/>
        <w:rPr>
          <w:rFonts w:ascii="Times New Roman" w:hAnsi="Times New Roman" w:cs="Times New Roman"/>
          <w:color w:val="000000"/>
        </w:rPr>
      </w:pPr>
      <w:bookmarkStart w:id="10" w:name="_Toc196752509"/>
      <w:r w:rsidRPr="00DB5203">
        <w:rPr>
          <w:rStyle w:val="Strong"/>
          <w:rFonts w:ascii="Times New Roman" w:hAnsi="Times New Roman" w:cs="Times New Roman"/>
          <w:b w:val="0"/>
          <w:bCs w:val="0"/>
          <w:color w:val="000000"/>
        </w:rPr>
        <w:t>Blog 3: The Right to Health (UNCRC Article 24)</w:t>
      </w:r>
      <w:bookmarkEnd w:id="10"/>
    </w:p>
    <w:p w14:paraId="6EA068DA"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As someone studying towards a BSc in health and social care, I’ve come to deeply appreciate the importance of Article 24 of the UNCRC, which grants every child the right to “the enjoyment of the highest attainable standard of health.” This includes access to preventative care, treatment of illness, and health education.</w:t>
      </w:r>
    </w:p>
    <w:p w14:paraId="1AE366AA"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In the UK, this right is enforced through services provided by the NHS, including free access to GPs, vaccinations, and specialist care such as CAMHS for mental health needs. However, access remains unequal in some communities, with children in deprived areas facing higher risks of chronic illness and developmental delays (Public Health England, 2020).</w:t>
      </w:r>
    </w:p>
    <w:p w14:paraId="20E637CA" w14:textId="6CB3FE14"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Maslow’s hierarchy of needs (</w:t>
      </w:r>
      <w:r w:rsidR="003A6636" w:rsidRPr="00DB5203">
        <w:rPr>
          <w:color w:val="000000"/>
        </w:rPr>
        <w:t xml:space="preserve">Maslow, </w:t>
      </w:r>
      <w:r w:rsidRPr="00DB5203">
        <w:rPr>
          <w:rFonts w:ascii="Times New Roman" w:hAnsi="Times New Roman" w:cs="Times New Roman"/>
          <w:color w:val="000000"/>
        </w:rPr>
        <w:t>1943) places physical health at the base of the pyramid. Without this foundation, children cannot thrive academically, emotionally, or socially. When health needs are unmet, everything from concentration to sleep and mood is affected.</w:t>
      </w:r>
    </w:p>
    <w:p w14:paraId="3AF7046B"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Furthermore, education around health—such as healthy eating, exercise, and emotional regulation—helps children make informed lifestyle choices. Schools and community services must work together to promote health equity and ensure that no child is left behind due to poverty, discrimination or neglect.</w:t>
      </w:r>
    </w:p>
    <w:p w14:paraId="63B0DA71" w14:textId="6669B9F0"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lastRenderedPageBreak/>
        <w:t>The right to health is central to wellbeing. Protecting this right means giving every child the chance to grow up happy, healthy, and empowered.</w:t>
      </w:r>
    </w:p>
    <w:p w14:paraId="12B91BB6" w14:textId="77777777" w:rsidR="00194F5E" w:rsidRPr="00DB5203" w:rsidRDefault="00194F5E" w:rsidP="00DB5203">
      <w:pPr>
        <w:pStyle w:val="Heading2"/>
        <w:spacing w:line="360" w:lineRule="auto"/>
        <w:rPr>
          <w:rFonts w:ascii="Times New Roman" w:hAnsi="Times New Roman" w:cs="Times New Roman"/>
          <w:color w:val="000000"/>
        </w:rPr>
      </w:pPr>
      <w:bookmarkStart w:id="11" w:name="_Toc196752510"/>
      <w:r w:rsidRPr="00DB5203">
        <w:rPr>
          <w:rStyle w:val="Strong"/>
          <w:rFonts w:ascii="Times New Roman" w:hAnsi="Times New Roman" w:cs="Times New Roman"/>
          <w:b w:val="0"/>
          <w:bCs w:val="0"/>
          <w:color w:val="000000"/>
        </w:rPr>
        <w:t>Blog 4: The Right to Be Heard (UNCRC Article 12)</w:t>
      </w:r>
      <w:bookmarkEnd w:id="11"/>
    </w:p>
    <w:p w14:paraId="6268D5DA"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One of the most progressive rights outlined in the UNCRC is Article 12: the right of children to express their views freely in all matters affecting them. This right recognises that children are not passive recipients of care, but active participants in their own lives.</w:t>
      </w:r>
    </w:p>
    <w:p w14:paraId="6AE109FF"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In British practice, this right is reflected in the Children and Families Act 2014, which emphasises involving children in decision-making—particularly within education, healthcare, and social care. Allowing children to express their opinions not only respects their dignity but also leads to better outcomes.</w:t>
      </w:r>
    </w:p>
    <w:p w14:paraId="56497ADD" w14:textId="23984CEE"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3A6636">
        <w:rPr>
          <w:rFonts w:ascii="Times New Roman" w:hAnsi="Times New Roman" w:cs="Times New Roman"/>
          <w:color w:val="000000"/>
        </w:rPr>
        <w:t>Erik Erikson’s psychosocial development theory</w:t>
      </w:r>
      <w:r w:rsidRPr="00DB5203">
        <w:rPr>
          <w:rFonts w:ascii="Times New Roman" w:hAnsi="Times New Roman" w:cs="Times New Roman"/>
          <w:color w:val="000000"/>
        </w:rPr>
        <w:t xml:space="preserve"> (</w:t>
      </w:r>
      <w:r w:rsidR="003A6636" w:rsidRPr="00DB5203">
        <w:rPr>
          <w:color w:val="000000"/>
        </w:rPr>
        <w:t xml:space="preserve">Erikson, </w:t>
      </w:r>
      <w:r w:rsidRPr="00DB5203">
        <w:rPr>
          <w:rFonts w:ascii="Times New Roman" w:hAnsi="Times New Roman" w:cs="Times New Roman"/>
          <w:color w:val="000000"/>
        </w:rPr>
        <w:t>1950) argues that the sense of autonomy and identity begins in early childhood. When children feel heard, they develop self-esteem and trust in adults, which strengthens their resilience and mental health.</w:t>
      </w:r>
    </w:p>
    <w:p w14:paraId="5BFB5A75" w14:textId="64FBF64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 xml:space="preserve">Listening to children also helps professionals spot early warning signs of abuse, neglect or emotional distress. Services like </w:t>
      </w:r>
      <w:r w:rsidR="003A6636" w:rsidRPr="00DB5203">
        <w:rPr>
          <w:rFonts w:ascii="Times New Roman" w:hAnsi="Times New Roman" w:cs="Times New Roman"/>
          <w:color w:val="000000"/>
        </w:rPr>
        <w:t xml:space="preserve">Barnardo’s </w:t>
      </w:r>
      <w:r w:rsidR="003A6636">
        <w:rPr>
          <w:rFonts w:ascii="Times New Roman" w:hAnsi="Times New Roman" w:cs="Times New Roman"/>
          <w:color w:val="000000"/>
        </w:rPr>
        <w:t>advocate</w:t>
      </w:r>
      <w:r w:rsidRPr="00DB5203">
        <w:rPr>
          <w:rFonts w:ascii="Times New Roman" w:hAnsi="Times New Roman" w:cs="Times New Roman"/>
          <w:color w:val="000000"/>
        </w:rPr>
        <w:t xml:space="preserve"> for child-centred approaches in all care planning and safeguarding processes.</w:t>
      </w:r>
      <w:r w:rsidR="003A6636" w:rsidRPr="003A6636">
        <w:rPr>
          <w:rFonts w:ascii="Times New Roman" w:hAnsi="Times New Roman" w:cs="Times New Roman"/>
          <w:color w:val="000000"/>
        </w:rPr>
        <w:t xml:space="preserve"> </w:t>
      </w:r>
      <w:r w:rsidR="003A6636" w:rsidRPr="00DB5203">
        <w:rPr>
          <w:rFonts w:ascii="Times New Roman" w:hAnsi="Times New Roman" w:cs="Times New Roman"/>
          <w:color w:val="000000"/>
        </w:rPr>
        <w:t>(Barnardo’s</w:t>
      </w:r>
      <w:r w:rsidR="003A6636">
        <w:rPr>
          <w:rFonts w:ascii="Times New Roman" w:hAnsi="Times New Roman" w:cs="Times New Roman"/>
          <w:color w:val="000000"/>
        </w:rPr>
        <w:t>,</w:t>
      </w:r>
      <w:r w:rsidR="003A6636" w:rsidRPr="00DB5203">
        <w:rPr>
          <w:rFonts w:ascii="Times New Roman" w:hAnsi="Times New Roman" w:cs="Times New Roman"/>
          <w:color w:val="000000"/>
        </w:rPr>
        <w:t xml:space="preserve"> </w:t>
      </w:r>
      <w:r w:rsidR="003A6636" w:rsidRPr="00DB5203">
        <w:rPr>
          <w:rFonts w:ascii="Times New Roman" w:hAnsi="Times New Roman" w:cs="Times New Roman"/>
          <w:color w:val="000000"/>
        </w:rPr>
        <w:t>2023)</w:t>
      </w:r>
    </w:p>
    <w:p w14:paraId="69B18C29" w14:textId="3991FEC4"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Respecting children’s voices can make a real difference in their lives. Whether it’s deciding where they live, how they’re treated, or what support they receive—being heard makes children feel safe, valued, and empowered. This right isn’t just about speech—it’s about recognition.</w:t>
      </w:r>
    </w:p>
    <w:p w14:paraId="2174820D" w14:textId="60E4BE00" w:rsidR="00194F5E" w:rsidRPr="00DB5203" w:rsidRDefault="00887A1F" w:rsidP="00DB5203">
      <w:pPr>
        <w:pStyle w:val="Heading1"/>
        <w:spacing w:line="360" w:lineRule="auto"/>
        <w:rPr>
          <w:rFonts w:ascii="Times New Roman" w:hAnsi="Times New Roman" w:cs="Times New Roman"/>
          <w:color w:val="000000"/>
        </w:rPr>
      </w:pPr>
      <w:bookmarkStart w:id="12" w:name="_Toc196752511"/>
      <w:r w:rsidRPr="00DB5203">
        <w:rPr>
          <w:rStyle w:val="Strong"/>
          <w:rFonts w:ascii="Times New Roman" w:hAnsi="Times New Roman" w:cs="Times New Roman"/>
          <w:b w:val="0"/>
          <w:bCs w:val="0"/>
          <w:color w:val="000000"/>
        </w:rPr>
        <w:t xml:space="preserve">4. </w:t>
      </w:r>
      <w:r w:rsidR="00194F5E" w:rsidRPr="00DB5203">
        <w:rPr>
          <w:rStyle w:val="Strong"/>
          <w:rFonts w:ascii="Times New Roman" w:hAnsi="Times New Roman" w:cs="Times New Roman"/>
          <w:b w:val="0"/>
          <w:bCs w:val="0"/>
          <w:color w:val="000000"/>
        </w:rPr>
        <w:t>Timeline of Key Legislation Safeguarding Children, Young People and Families (1960s–2020s)</w:t>
      </w:r>
      <w:bookmarkEnd w:id="12"/>
    </w:p>
    <w:p w14:paraId="0DADF28F" w14:textId="77777777" w:rsidR="00194F5E" w:rsidRPr="00DB5203" w:rsidRDefault="00194F5E" w:rsidP="00DB5203">
      <w:pPr>
        <w:pStyle w:val="Heading3"/>
        <w:spacing w:line="360" w:lineRule="auto"/>
        <w:rPr>
          <w:rFonts w:ascii="Times New Roman" w:hAnsi="Times New Roman" w:cs="Times New Roman"/>
          <w:color w:val="000000"/>
        </w:rPr>
      </w:pPr>
      <w:bookmarkStart w:id="13" w:name="_Toc196752512"/>
      <w:r w:rsidRPr="00DB5203">
        <w:rPr>
          <w:rStyle w:val="Strong"/>
          <w:rFonts w:ascii="Times New Roman" w:hAnsi="Times New Roman" w:cs="Times New Roman"/>
          <w:b w:val="0"/>
          <w:bCs w:val="0"/>
          <w:color w:val="000000"/>
        </w:rPr>
        <w:t>Children and Young Persons Act 1969</w:t>
      </w:r>
      <w:bookmarkEnd w:id="13"/>
    </w:p>
    <w:p w14:paraId="653F1683"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legislation marked a significant move towards treating child offenders through care rather than punishment. The Act introduced supervision orders and reduced the use of juvenile detention, promoting social work intervention instead.</w:t>
      </w:r>
    </w:p>
    <w:p w14:paraId="47CC3646" w14:textId="1F85A5A5"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lastRenderedPageBreak/>
        <w:t>Evaluation:</w:t>
      </w:r>
      <w:r w:rsidRPr="00DB5203">
        <w:rPr>
          <w:rFonts w:ascii="Times New Roman" w:hAnsi="Times New Roman" w:cs="Times New Roman"/>
          <w:color w:val="000000"/>
        </w:rPr>
        <w:br/>
        <w:t>While progressive for its time, the Act was criticised for lacking clear safeguarding procedures and underestimating the complexity of youth offending. It laid the foundation for modern youth justice, but its implementation was inconsistent (Corby, 2012).</w:t>
      </w:r>
    </w:p>
    <w:p w14:paraId="004AFABE" w14:textId="77777777" w:rsidR="00194F5E" w:rsidRPr="00DB5203" w:rsidRDefault="00194F5E" w:rsidP="00DB5203">
      <w:pPr>
        <w:pStyle w:val="Heading3"/>
        <w:spacing w:line="360" w:lineRule="auto"/>
        <w:rPr>
          <w:rFonts w:ascii="Times New Roman" w:hAnsi="Times New Roman" w:cs="Times New Roman"/>
          <w:color w:val="000000"/>
        </w:rPr>
      </w:pPr>
      <w:bookmarkStart w:id="14" w:name="_Toc196752513"/>
      <w:r w:rsidRPr="00DB5203">
        <w:rPr>
          <w:rStyle w:val="Strong"/>
          <w:rFonts w:ascii="Times New Roman" w:hAnsi="Times New Roman" w:cs="Times New Roman"/>
          <w:b w:val="0"/>
          <w:bCs w:val="0"/>
          <w:color w:val="000000"/>
        </w:rPr>
        <w:t>Children Act 1989</w:t>
      </w:r>
      <w:bookmarkEnd w:id="14"/>
    </w:p>
    <w:p w14:paraId="5782004C"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A major milestone, the Children Act 1989 redefined how children's welfare is protected in the UK. It introduced the principle that "the child’s welfare shall be the paramount consideration" (Section 1) and encouraged partnership between families and local authorities.</w:t>
      </w:r>
    </w:p>
    <w:p w14:paraId="3BE3DB23" w14:textId="12A937FD"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This Act remains a cornerstone of child protection. It recognises children as individuals with rights and clarifies the responsibilities of parents and the state. However, critics argue that underfunding of local services has hindered its full implementation (Parton, 2014). Nevertheless, it created a legal framework that prioritised prevention and early intervention.</w:t>
      </w:r>
    </w:p>
    <w:p w14:paraId="2F5AA023" w14:textId="77777777" w:rsidR="00194F5E" w:rsidRPr="00DB5203" w:rsidRDefault="00194F5E" w:rsidP="00DB5203">
      <w:pPr>
        <w:pStyle w:val="Heading3"/>
        <w:spacing w:line="360" w:lineRule="auto"/>
        <w:rPr>
          <w:rFonts w:ascii="Times New Roman" w:hAnsi="Times New Roman" w:cs="Times New Roman"/>
          <w:color w:val="000000"/>
        </w:rPr>
      </w:pPr>
      <w:bookmarkStart w:id="15" w:name="_Toc196752514"/>
      <w:r w:rsidRPr="00DB5203">
        <w:rPr>
          <w:rStyle w:val="Strong"/>
          <w:rFonts w:ascii="Times New Roman" w:hAnsi="Times New Roman" w:cs="Times New Roman"/>
          <w:b w:val="0"/>
          <w:bCs w:val="0"/>
          <w:color w:val="000000"/>
        </w:rPr>
        <w:t>UN Convention on the Rights of the Child (1989, ratified by UK in 1991)</w:t>
      </w:r>
      <w:bookmarkEnd w:id="15"/>
    </w:p>
    <w:p w14:paraId="42BE3110"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Though not UK legislation, the UNCRC greatly influenced domestic policy. It outlines children's rights to survival, protection, development and participation.</w:t>
      </w:r>
    </w:p>
    <w:p w14:paraId="11606D4E" w14:textId="5D8B68A8"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The UNCRC transformed the global understanding of childhood. In the UK, it inspired legislation that values children's voices. Article 12</w:t>
      </w:r>
      <w:proofErr w:type="gramStart"/>
      <w:r w:rsidRPr="00DB5203">
        <w:rPr>
          <w:rFonts w:ascii="Times New Roman" w:hAnsi="Times New Roman" w:cs="Times New Roman"/>
          <w:color w:val="000000"/>
        </w:rPr>
        <w:t>, in particular, led</w:t>
      </w:r>
      <w:proofErr w:type="gramEnd"/>
      <w:r w:rsidRPr="00DB5203">
        <w:rPr>
          <w:rFonts w:ascii="Times New Roman" w:hAnsi="Times New Roman" w:cs="Times New Roman"/>
          <w:color w:val="000000"/>
        </w:rPr>
        <w:t xml:space="preserve"> to legal recognition of the child’s right to be heard. However, the UK has been criticised for not fully incorporating the Convention into domestic law (Lundy, 2007).</w:t>
      </w:r>
    </w:p>
    <w:p w14:paraId="3B4DF219" w14:textId="77777777" w:rsidR="00194F5E" w:rsidRPr="00DB5203" w:rsidRDefault="00194F5E" w:rsidP="00DB5203">
      <w:pPr>
        <w:pStyle w:val="Heading3"/>
        <w:spacing w:line="360" w:lineRule="auto"/>
        <w:rPr>
          <w:rFonts w:ascii="Times New Roman" w:hAnsi="Times New Roman" w:cs="Times New Roman"/>
          <w:color w:val="000000"/>
        </w:rPr>
      </w:pPr>
      <w:bookmarkStart w:id="16" w:name="_Toc196752515"/>
      <w:r w:rsidRPr="00DB5203">
        <w:rPr>
          <w:rStyle w:val="Strong"/>
          <w:rFonts w:ascii="Times New Roman" w:hAnsi="Times New Roman" w:cs="Times New Roman"/>
          <w:b w:val="0"/>
          <w:bCs w:val="0"/>
          <w:color w:val="000000"/>
        </w:rPr>
        <w:t>Education Act 1996</w:t>
      </w:r>
      <w:bookmarkEnd w:id="16"/>
    </w:p>
    <w:p w14:paraId="384D7BBB" w14:textId="57CBBB72"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legislation made education compulsory and emphasised children’s right to access education regardless of background. It also included provisions for children with special educational needs (SEN</w:t>
      </w:r>
      <w:r w:rsidR="003A6636">
        <w:rPr>
          <w:rFonts w:ascii="Times New Roman" w:hAnsi="Times New Roman" w:cs="Times New Roman"/>
          <w:color w:val="000000"/>
        </w:rPr>
        <w:t>,</w:t>
      </w:r>
      <w:r w:rsidR="003A6636" w:rsidRPr="003A6636">
        <w:rPr>
          <w:color w:val="000000"/>
        </w:rPr>
        <w:t xml:space="preserve"> </w:t>
      </w:r>
      <w:r w:rsidR="003A6636" w:rsidRPr="00DB5203">
        <w:rPr>
          <w:color w:val="000000"/>
        </w:rPr>
        <w:t>2022)</w:t>
      </w:r>
      <w:r w:rsidRPr="00DB5203">
        <w:rPr>
          <w:rFonts w:ascii="Times New Roman" w:hAnsi="Times New Roman" w:cs="Times New Roman"/>
          <w:color w:val="000000"/>
        </w:rPr>
        <w:t>.</w:t>
      </w:r>
    </w:p>
    <w:p w14:paraId="3404DEAB" w14:textId="6E9775D1"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 xml:space="preserve">The Act formalised inclusion, which is central to safeguarding in education. However, some </w:t>
      </w:r>
      <w:r w:rsidRPr="00DB5203">
        <w:rPr>
          <w:rFonts w:ascii="Times New Roman" w:hAnsi="Times New Roman" w:cs="Times New Roman"/>
          <w:color w:val="000000"/>
        </w:rPr>
        <w:lastRenderedPageBreak/>
        <w:t>scholars argue that access does not always guarantee equality, particularly for children from disadvantaged or minority backgrounds (Gillborn and Mirza, 2000)</w:t>
      </w:r>
    </w:p>
    <w:p w14:paraId="39DF16BF" w14:textId="77777777" w:rsidR="00194F5E" w:rsidRPr="00DB5203" w:rsidRDefault="00194F5E" w:rsidP="00DB5203">
      <w:pPr>
        <w:pStyle w:val="Heading3"/>
        <w:spacing w:line="360" w:lineRule="auto"/>
        <w:rPr>
          <w:rFonts w:ascii="Times New Roman" w:hAnsi="Times New Roman" w:cs="Times New Roman"/>
          <w:color w:val="000000"/>
        </w:rPr>
      </w:pPr>
      <w:bookmarkStart w:id="17" w:name="_Toc196752516"/>
      <w:r w:rsidRPr="00DB5203">
        <w:rPr>
          <w:rStyle w:val="Strong"/>
          <w:rFonts w:ascii="Times New Roman" w:hAnsi="Times New Roman" w:cs="Times New Roman"/>
          <w:b w:val="0"/>
          <w:bCs w:val="0"/>
          <w:color w:val="000000"/>
        </w:rPr>
        <w:t>Children Act 2004 (following the Laming Report)</w:t>
      </w:r>
      <w:bookmarkEnd w:id="17"/>
    </w:p>
    <w:p w14:paraId="3E7861F2" w14:textId="2C788200"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Act followed the death of Victoria Climbié and the subsequent Laming Report, which exposed severe systemic failures. The Act introduced key concepts such as</w:t>
      </w:r>
      <w:r w:rsidRPr="00DB5203">
        <w:rPr>
          <w:rStyle w:val="apple-converted-space"/>
          <w:rFonts w:ascii="Times New Roman" w:hAnsi="Times New Roman" w:cs="Times New Roman"/>
          <w:color w:val="000000"/>
        </w:rPr>
        <w:t> </w:t>
      </w:r>
      <w:r w:rsidRPr="00DB5203">
        <w:rPr>
          <w:rStyle w:val="Strong"/>
          <w:rFonts w:ascii="Times New Roman" w:hAnsi="Times New Roman" w:cs="Times New Roman"/>
          <w:color w:val="000000"/>
        </w:rPr>
        <w:t>Every Child Matters (ECM)</w:t>
      </w:r>
      <w:r w:rsidRPr="00DB5203">
        <w:rPr>
          <w:rStyle w:val="apple-converted-space"/>
          <w:rFonts w:ascii="Times New Roman" w:hAnsi="Times New Roman" w:cs="Times New Roman"/>
          <w:color w:val="000000"/>
        </w:rPr>
        <w:t> </w:t>
      </w:r>
      <w:r w:rsidRPr="00DB5203">
        <w:rPr>
          <w:rFonts w:ascii="Times New Roman" w:hAnsi="Times New Roman" w:cs="Times New Roman"/>
          <w:color w:val="000000"/>
        </w:rPr>
        <w:t>and created the role of Director of Children’s Services in each local authority.</w:t>
      </w:r>
    </w:p>
    <w:p w14:paraId="12988278" w14:textId="13FE01CA"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The Children Act 2004 significantly strengthened multi-agency cooperation. Initiatives like Common Assessment Framework (CAF) and Integrated Working encouraged collaboration. However, ECM was later de-emphasised under changing political leadership, raising concerns about continuity in safeguarding policy (Garner, 2010).</w:t>
      </w:r>
    </w:p>
    <w:p w14:paraId="7FD1E625" w14:textId="77777777" w:rsidR="00194F5E" w:rsidRPr="00DB5203" w:rsidRDefault="00194F5E" w:rsidP="00DB5203">
      <w:pPr>
        <w:pStyle w:val="Heading3"/>
        <w:spacing w:line="360" w:lineRule="auto"/>
        <w:rPr>
          <w:rFonts w:ascii="Times New Roman" w:hAnsi="Times New Roman" w:cs="Times New Roman"/>
          <w:color w:val="000000"/>
        </w:rPr>
      </w:pPr>
      <w:bookmarkStart w:id="18" w:name="_Toc196752517"/>
      <w:r w:rsidRPr="00DB5203">
        <w:rPr>
          <w:rStyle w:val="Strong"/>
          <w:rFonts w:ascii="Times New Roman" w:hAnsi="Times New Roman" w:cs="Times New Roman"/>
          <w:b w:val="0"/>
          <w:bCs w:val="0"/>
          <w:color w:val="000000"/>
        </w:rPr>
        <w:t>Working Together to Safeguard Children (First introduced 1999, updated regularly)</w:t>
      </w:r>
      <w:bookmarkEnd w:id="18"/>
    </w:p>
    <w:p w14:paraId="32770E41"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non-statutory guidance outlines how professionals should collaborate to safeguard children. It has been updated several times, most recently in 2018, reflecting current standards in child protection.</w:t>
      </w:r>
    </w:p>
    <w:p w14:paraId="449580EA" w14:textId="1CA2DD06"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Although not a legislative act,</w:t>
      </w:r>
      <w:r w:rsidRPr="00DB5203">
        <w:rPr>
          <w:rStyle w:val="apple-converted-space"/>
          <w:rFonts w:ascii="Times New Roman" w:hAnsi="Times New Roman" w:cs="Times New Roman"/>
          <w:color w:val="000000"/>
        </w:rPr>
        <w:t> </w:t>
      </w:r>
      <w:r w:rsidRPr="00DB5203">
        <w:rPr>
          <w:rStyle w:val="Emphasis"/>
          <w:rFonts w:ascii="Times New Roman" w:hAnsi="Times New Roman" w:cs="Times New Roman"/>
          <w:color w:val="000000"/>
        </w:rPr>
        <w:t>Working Together</w:t>
      </w:r>
      <w:r w:rsidRPr="00DB5203">
        <w:rPr>
          <w:rStyle w:val="apple-converted-space"/>
          <w:rFonts w:ascii="Times New Roman" w:hAnsi="Times New Roman" w:cs="Times New Roman"/>
          <w:color w:val="000000"/>
        </w:rPr>
        <w:t> </w:t>
      </w:r>
      <w:r w:rsidRPr="00DB5203">
        <w:rPr>
          <w:rFonts w:ascii="Times New Roman" w:hAnsi="Times New Roman" w:cs="Times New Roman"/>
          <w:color w:val="000000"/>
        </w:rPr>
        <w:t>is vital in shaping safeguarding culture. It has improved inter-agency cooperation and emphasised the importance of early intervention. However, repeated updates and restructuring can lead to confusion or inconsistent practice (DfE, 2018).</w:t>
      </w:r>
    </w:p>
    <w:p w14:paraId="367F6EE5" w14:textId="77777777" w:rsidR="00194F5E" w:rsidRPr="00DB5203" w:rsidRDefault="00194F5E" w:rsidP="00DB5203">
      <w:pPr>
        <w:pStyle w:val="Heading3"/>
        <w:spacing w:line="360" w:lineRule="auto"/>
        <w:rPr>
          <w:rFonts w:ascii="Times New Roman" w:hAnsi="Times New Roman" w:cs="Times New Roman"/>
          <w:color w:val="000000"/>
        </w:rPr>
      </w:pPr>
      <w:bookmarkStart w:id="19" w:name="_Toc196752518"/>
      <w:r w:rsidRPr="00DB5203">
        <w:rPr>
          <w:rStyle w:val="Strong"/>
          <w:rFonts w:ascii="Times New Roman" w:hAnsi="Times New Roman" w:cs="Times New Roman"/>
          <w:b w:val="0"/>
          <w:bCs w:val="0"/>
          <w:color w:val="000000"/>
        </w:rPr>
        <w:t>Children and Families Act 2014</w:t>
      </w:r>
      <w:bookmarkEnd w:id="19"/>
    </w:p>
    <w:p w14:paraId="51CE1185"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Act extended safeguarding by reforming adoption processes, SEN provision, and family justice. It introduced Education, Health and Care Plans (EHCPs) to replace the old SEN statements.</w:t>
      </w:r>
    </w:p>
    <w:p w14:paraId="6117C4C9" w14:textId="00D18D4E"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lastRenderedPageBreak/>
        <w:t>Evaluation:</w:t>
      </w:r>
      <w:r w:rsidRPr="00DB5203">
        <w:rPr>
          <w:rFonts w:ascii="Times New Roman" w:hAnsi="Times New Roman" w:cs="Times New Roman"/>
          <w:color w:val="000000"/>
        </w:rPr>
        <w:br/>
        <w:t>The Act promoted a more holistic view of children’s needs. EHCPs aim to place the child at the centre of planning. However, implementation has been slow and inconsistent, with many families facing delays and legal battles (SEND Review, 2022).</w:t>
      </w:r>
    </w:p>
    <w:p w14:paraId="67E546C8" w14:textId="77777777" w:rsidR="00194F5E" w:rsidRPr="00DB5203" w:rsidRDefault="00194F5E" w:rsidP="00DB5203">
      <w:pPr>
        <w:pStyle w:val="Heading3"/>
        <w:spacing w:line="360" w:lineRule="auto"/>
        <w:rPr>
          <w:rFonts w:ascii="Times New Roman" w:hAnsi="Times New Roman" w:cs="Times New Roman"/>
          <w:color w:val="000000"/>
        </w:rPr>
      </w:pPr>
      <w:bookmarkStart w:id="20" w:name="_Toc196752519"/>
      <w:r w:rsidRPr="00DB5203">
        <w:rPr>
          <w:rStyle w:val="Strong"/>
          <w:rFonts w:ascii="Times New Roman" w:hAnsi="Times New Roman" w:cs="Times New Roman"/>
          <w:b w:val="0"/>
          <w:bCs w:val="0"/>
          <w:color w:val="000000"/>
        </w:rPr>
        <w:t>Counter-Terrorism and Security Act 2015 (Prevent Duty)</w:t>
      </w:r>
      <w:bookmarkEnd w:id="20"/>
    </w:p>
    <w:p w14:paraId="61D958D8"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Act placed a duty on schools and local authorities to prevent children from being drawn into terrorism, known as the</w:t>
      </w:r>
      <w:r w:rsidRPr="00DB5203">
        <w:rPr>
          <w:rStyle w:val="apple-converted-space"/>
          <w:rFonts w:ascii="Times New Roman" w:hAnsi="Times New Roman" w:cs="Times New Roman"/>
          <w:color w:val="000000"/>
        </w:rPr>
        <w:t> </w:t>
      </w:r>
      <w:r w:rsidRPr="00DB5203">
        <w:rPr>
          <w:rStyle w:val="Strong"/>
          <w:rFonts w:ascii="Times New Roman" w:hAnsi="Times New Roman" w:cs="Times New Roman"/>
          <w:color w:val="000000"/>
        </w:rPr>
        <w:t>Prevent duty</w:t>
      </w:r>
      <w:r w:rsidRPr="00DB5203">
        <w:rPr>
          <w:rFonts w:ascii="Times New Roman" w:hAnsi="Times New Roman" w:cs="Times New Roman"/>
          <w:color w:val="000000"/>
        </w:rPr>
        <w:t>.</w:t>
      </w:r>
    </w:p>
    <w:p w14:paraId="272B620E" w14:textId="04D2CA72"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Though intended to safeguard, Prevent has been controversial. Critics argue that it risks stigmatising Muslim children and undermines trust between students and educators (Heath-Kelly, 2016). While it aims to protect, the way it is perceived by communities matters deeply in assessing its real impact.</w:t>
      </w:r>
    </w:p>
    <w:p w14:paraId="465D87FB" w14:textId="77777777" w:rsidR="00194F5E" w:rsidRPr="00DB5203" w:rsidRDefault="00194F5E" w:rsidP="00DB5203">
      <w:pPr>
        <w:pStyle w:val="Heading3"/>
        <w:spacing w:line="360" w:lineRule="auto"/>
        <w:rPr>
          <w:rFonts w:ascii="Times New Roman" w:hAnsi="Times New Roman" w:cs="Times New Roman"/>
          <w:color w:val="000000"/>
        </w:rPr>
      </w:pPr>
      <w:bookmarkStart w:id="21" w:name="_Toc196752520"/>
      <w:r w:rsidRPr="00DB5203">
        <w:rPr>
          <w:rStyle w:val="Strong"/>
          <w:rFonts w:ascii="Times New Roman" w:hAnsi="Times New Roman" w:cs="Times New Roman"/>
          <w:b w:val="0"/>
          <w:bCs w:val="0"/>
          <w:color w:val="000000"/>
        </w:rPr>
        <w:t>Children and Social Work Act 2017</w:t>
      </w:r>
      <w:bookmarkEnd w:id="21"/>
    </w:p>
    <w:p w14:paraId="0D367A4F"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Act aimed to improve outcomes for looked-after children and care leavers. It introduced the</w:t>
      </w:r>
      <w:r w:rsidRPr="00DB5203">
        <w:rPr>
          <w:rStyle w:val="apple-converted-space"/>
          <w:rFonts w:ascii="Times New Roman" w:hAnsi="Times New Roman" w:cs="Times New Roman"/>
          <w:color w:val="000000"/>
        </w:rPr>
        <w:t> </w:t>
      </w:r>
      <w:r w:rsidRPr="00DB5203">
        <w:rPr>
          <w:rStyle w:val="Strong"/>
          <w:rFonts w:ascii="Times New Roman" w:hAnsi="Times New Roman" w:cs="Times New Roman"/>
          <w:color w:val="000000"/>
        </w:rPr>
        <w:t>corporate parenting principle</w:t>
      </w:r>
      <w:r w:rsidRPr="00DB5203">
        <w:rPr>
          <w:rStyle w:val="apple-converted-space"/>
          <w:rFonts w:ascii="Times New Roman" w:hAnsi="Times New Roman" w:cs="Times New Roman"/>
          <w:color w:val="000000"/>
        </w:rPr>
        <w:t> </w:t>
      </w:r>
      <w:r w:rsidRPr="00DB5203">
        <w:rPr>
          <w:rFonts w:ascii="Times New Roman" w:hAnsi="Times New Roman" w:cs="Times New Roman"/>
          <w:color w:val="000000"/>
        </w:rPr>
        <w:t>and strengthened regulation of social work.</w:t>
      </w:r>
    </w:p>
    <w:p w14:paraId="35C476D9" w14:textId="7EA5EA8C"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The Act acknowledged the state’s duty to act as a parent to children in care. However, critics note that without adequate funding and workforce stability, many provisions are aspirational rather than effective (</w:t>
      </w:r>
      <w:proofErr w:type="spellStart"/>
      <w:r w:rsidRPr="00DB5203">
        <w:rPr>
          <w:rFonts w:ascii="Times New Roman" w:hAnsi="Times New Roman" w:cs="Times New Roman"/>
          <w:color w:val="000000"/>
        </w:rPr>
        <w:t>Baginsky</w:t>
      </w:r>
      <w:proofErr w:type="spellEnd"/>
      <w:r w:rsidRPr="00DB5203">
        <w:rPr>
          <w:rFonts w:ascii="Times New Roman" w:hAnsi="Times New Roman" w:cs="Times New Roman"/>
          <w:color w:val="000000"/>
        </w:rPr>
        <w:t xml:space="preserve"> et al., 2019).</w:t>
      </w:r>
    </w:p>
    <w:p w14:paraId="4D1030D5" w14:textId="77777777" w:rsidR="00194F5E" w:rsidRPr="00DB5203" w:rsidRDefault="00194F5E" w:rsidP="00DB5203">
      <w:pPr>
        <w:pStyle w:val="Heading3"/>
        <w:spacing w:line="360" w:lineRule="auto"/>
        <w:rPr>
          <w:rFonts w:ascii="Times New Roman" w:hAnsi="Times New Roman" w:cs="Times New Roman"/>
          <w:color w:val="000000"/>
        </w:rPr>
      </w:pPr>
      <w:bookmarkStart w:id="22" w:name="_Toc196752521"/>
      <w:r w:rsidRPr="00DB5203">
        <w:rPr>
          <w:rStyle w:val="Strong"/>
          <w:rFonts w:ascii="Times New Roman" w:hAnsi="Times New Roman" w:cs="Times New Roman"/>
          <w:b w:val="0"/>
          <w:bCs w:val="0"/>
          <w:color w:val="000000"/>
        </w:rPr>
        <w:t>Domestic Abuse Act 2021</w:t>
      </w:r>
      <w:bookmarkEnd w:id="22"/>
    </w:p>
    <w:p w14:paraId="012E3898"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This Act formally recognises children as victims of domestic abuse if they see, hear, or experience its effects. It introduces new protections and creates a duty for local authorities to provide support.</w:t>
      </w:r>
    </w:p>
    <w:p w14:paraId="0F8F4AED" w14:textId="3A37DCCB"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Evaluation:</w:t>
      </w:r>
      <w:r w:rsidRPr="00DB5203">
        <w:rPr>
          <w:rFonts w:ascii="Times New Roman" w:hAnsi="Times New Roman" w:cs="Times New Roman"/>
          <w:color w:val="000000"/>
        </w:rPr>
        <w:br/>
        <w:t>This was a landmark shift. By recognising the psychological impact of witnessing abuse, the Act expands the safeguarding lens. However, service capacity to meet the new responsibilities remains a challenge, especially post-COVID (Women's Aid, 2022).</w:t>
      </w:r>
    </w:p>
    <w:p w14:paraId="073A2A49" w14:textId="77777777" w:rsidR="00194F5E" w:rsidRPr="00DB5203" w:rsidRDefault="00194F5E" w:rsidP="00DB5203">
      <w:pPr>
        <w:pStyle w:val="Heading3"/>
        <w:spacing w:line="360" w:lineRule="auto"/>
        <w:rPr>
          <w:rFonts w:ascii="Times New Roman" w:hAnsi="Times New Roman" w:cs="Times New Roman"/>
          <w:color w:val="000000"/>
        </w:rPr>
      </w:pPr>
      <w:bookmarkStart w:id="23" w:name="_Toc196752522"/>
      <w:r w:rsidRPr="00DB5203">
        <w:rPr>
          <w:rStyle w:val="Strong"/>
          <w:rFonts w:ascii="Times New Roman" w:hAnsi="Times New Roman" w:cs="Times New Roman"/>
          <w:b w:val="0"/>
          <w:bCs w:val="0"/>
          <w:color w:val="000000"/>
        </w:rPr>
        <w:lastRenderedPageBreak/>
        <w:t>Summary and Reflection</w:t>
      </w:r>
      <w:bookmarkEnd w:id="23"/>
    </w:p>
    <w:p w14:paraId="5D74F13C" w14:textId="77777777"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Over the past six decades, legislation has gradually moved from reactive measures to proactive, child-centred frameworks. From the foundational Children Act 1989 to modern policies addressing mental health, domestic abuse, and radicalisation, the UK legal landscape has adapted to societal changes. However, several themes remain:</w:t>
      </w:r>
    </w:p>
    <w:p w14:paraId="6A5765E8" w14:textId="77777777" w:rsidR="00194F5E" w:rsidRPr="00DB5203" w:rsidRDefault="00194F5E" w:rsidP="00DB5203">
      <w:pPr>
        <w:numPr>
          <w:ilvl w:val="0"/>
          <w:numId w:val="1"/>
        </w:num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Implementation gaps</w:t>
      </w:r>
      <w:r w:rsidRPr="00DB5203">
        <w:rPr>
          <w:rFonts w:ascii="Times New Roman" w:hAnsi="Times New Roman" w:cs="Times New Roman"/>
          <w:color w:val="000000"/>
        </w:rPr>
        <w:t>, often due to funding or workforce shortages.</w:t>
      </w:r>
    </w:p>
    <w:p w14:paraId="35ED70B0" w14:textId="77777777" w:rsidR="00194F5E" w:rsidRPr="00DB5203" w:rsidRDefault="00194F5E" w:rsidP="00DB5203">
      <w:pPr>
        <w:numPr>
          <w:ilvl w:val="0"/>
          <w:numId w:val="1"/>
        </w:num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Inconsistent inter-agency collaboration</w:t>
      </w:r>
      <w:r w:rsidRPr="00DB5203">
        <w:rPr>
          <w:rFonts w:ascii="Times New Roman" w:hAnsi="Times New Roman" w:cs="Times New Roman"/>
          <w:color w:val="000000"/>
        </w:rPr>
        <w:t>, despite clear frameworks.</w:t>
      </w:r>
    </w:p>
    <w:p w14:paraId="7108EFFE" w14:textId="77777777" w:rsidR="00194F5E" w:rsidRPr="00DB5203" w:rsidRDefault="00194F5E" w:rsidP="00DB5203">
      <w:pPr>
        <w:numPr>
          <w:ilvl w:val="0"/>
          <w:numId w:val="1"/>
        </w:numPr>
        <w:spacing w:before="100" w:beforeAutospacing="1" w:after="100" w:afterAutospacing="1" w:line="360" w:lineRule="auto"/>
        <w:rPr>
          <w:rFonts w:ascii="Times New Roman" w:hAnsi="Times New Roman" w:cs="Times New Roman"/>
          <w:color w:val="000000"/>
        </w:rPr>
      </w:pPr>
      <w:r w:rsidRPr="00DB5203">
        <w:rPr>
          <w:rStyle w:val="Strong"/>
          <w:rFonts w:ascii="Times New Roman" w:hAnsi="Times New Roman" w:cs="Times New Roman"/>
          <w:color w:val="000000"/>
        </w:rPr>
        <w:t>Children’s voices</w:t>
      </w:r>
      <w:r w:rsidRPr="00DB5203">
        <w:rPr>
          <w:rStyle w:val="apple-converted-space"/>
          <w:rFonts w:ascii="Times New Roman" w:hAnsi="Times New Roman" w:cs="Times New Roman"/>
          <w:color w:val="000000"/>
        </w:rPr>
        <w:t> </w:t>
      </w:r>
      <w:r w:rsidRPr="00DB5203">
        <w:rPr>
          <w:rFonts w:ascii="Times New Roman" w:hAnsi="Times New Roman" w:cs="Times New Roman"/>
          <w:color w:val="000000"/>
        </w:rPr>
        <w:t>are increasingly acknowledged, but not always prioritised in practice.</w:t>
      </w:r>
    </w:p>
    <w:p w14:paraId="39B95A1F" w14:textId="143D5A70" w:rsidR="00194F5E" w:rsidRPr="00DB5203" w:rsidRDefault="00194F5E" w:rsidP="00DB5203">
      <w:pPr>
        <w:spacing w:before="100" w:beforeAutospacing="1" w:after="100" w:afterAutospacing="1" w:line="360" w:lineRule="auto"/>
        <w:rPr>
          <w:rFonts w:ascii="Times New Roman" w:hAnsi="Times New Roman" w:cs="Times New Roman"/>
          <w:color w:val="000000"/>
        </w:rPr>
      </w:pPr>
      <w:r w:rsidRPr="00DB5203">
        <w:rPr>
          <w:rFonts w:ascii="Times New Roman" w:hAnsi="Times New Roman" w:cs="Times New Roman"/>
          <w:color w:val="000000"/>
        </w:rPr>
        <w:t>As a student aiming to work in health and social care, understanding this legislative timeline deepens my appreciation of how law not only protects but empowers children and families. To be truly effective, legislation must be backed by commitment, resources, and respect for children's rights at every level.</w:t>
      </w:r>
    </w:p>
    <w:p w14:paraId="4D6AC4CD" w14:textId="77777777" w:rsidR="00887A1F" w:rsidRPr="00DB5203" w:rsidRDefault="00887A1F" w:rsidP="00DB5203">
      <w:pPr>
        <w:spacing w:line="360" w:lineRule="auto"/>
        <w:rPr>
          <w:rFonts w:ascii="Times New Roman" w:eastAsia="Times New Roman" w:hAnsi="Times New Roman" w:cs="Times New Roman"/>
          <w:b/>
          <w:bCs/>
          <w:color w:val="000000"/>
          <w:kern w:val="0"/>
          <w:sz w:val="40"/>
          <w:szCs w:val="40"/>
          <w:lang w:eastAsia="en-GB"/>
          <w14:ligatures w14:val="none"/>
        </w:rPr>
      </w:pPr>
      <w:r w:rsidRPr="00DB5203">
        <w:rPr>
          <w:rFonts w:ascii="Times New Roman" w:eastAsia="Times New Roman" w:hAnsi="Times New Roman" w:cs="Times New Roman"/>
          <w:b/>
          <w:bCs/>
          <w:color w:val="000000"/>
          <w:kern w:val="0"/>
          <w:lang w:eastAsia="en-GB"/>
          <w14:ligatures w14:val="none"/>
        </w:rPr>
        <w:br w:type="page"/>
      </w:r>
    </w:p>
    <w:p w14:paraId="21E43D1B" w14:textId="68959465" w:rsidR="003E0C39" w:rsidRPr="00DB5203" w:rsidRDefault="003E0C39" w:rsidP="00DB5203">
      <w:pPr>
        <w:pStyle w:val="Heading1"/>
        <w:spacing w:line="360" w:lineRule="auto"/>
        <w:rPr>
          <w:rFonts w:ascii="Times New Roman" w:eastAsia="Times New Roman" w:hAnsi="Times New Roman" w:cs="Times New Roman"/>
          <w:b/>
          <w:bCs/>
          <w:color w:val="000000"/>
          <w:kern w:val="0"/>
          <w:lang w:eastAsia="en-GB"/>
          <w14:ligatures w14:val="none"/>
        </w:rPr>
      </w:pPr>
      <w:bookmarkStart w:id="24" w:name="_Toc196752523"/>
      <w:r w:rsidRPr="00DB5203">
        <w:rPr>
          <w:rFonts w:ascii="Times New Roman" w:eastAsia="Times New Roman" w:hAnsi="Times New Roman" w:cs="Times New Roman"/>
          <w:b/>
          <w:bCs/>
          <w:color w:val="000000"/>
          <w:kern w:val="0"/>
          <w:lang w:eastAsia="en-GB"/>
          <w14:ligatures w14:val="none"/>
        </w:rPr>
        <w:lastRenderedPageBreak/>
        <w:t>References</w:t>
      </w:r>
      <w:bookmarkEnd w:id="24"/>
      <w:r w:rsidRPr="00DB5203">
        <w:rPr>
          <w:rFonts w:ascii="Times New Roman" w:eastAsia="Times New Roman" w:hAnsi="Times New Roman" w:cs="Times New Roman"/>
          <w:b/>
          <w:bCs/>
          <w:color w:val="000000"/>
          <w:kern w:val="0"/>
          <w:lang w:eastAsia="en-GB"/>
          <w14:ligatures w14:val="none"/>
        </w:rPr>
        <w:t xml:space="preserve"> </w:t>
      </w:r>
    </w:p>
    <w:p w14:paraId="7DB8F74B" w14:textId="77777777" w:rsidR="00887A1F" w:rsidRPr="00DB5203" w:rsidRDefault="00887A1F" w:rsidP="00DB5203">
      <w:pPr>
        <w:pStyle w:val="NormalWeb"/>
        <w:spacing w:line="360" w:lineRule="auto"/>
        <w:rPr>
          <w:color w:val="000000"/>
        </w:rPr>
      </w:pPr>
      <w:r w:rsidRPr="00DB5203">
        <w:rPr>
          <w:color w:val="000000"/>
        </w:rPr>
        <w:t>Barnardo’s (2023) Listening to children. Available at:</w:t>
      </w:r>
      <w:r w:rsidRPr="00DB5203">
        <w:rPr>
          <w:rStyle w:val="apple-converted-space"/>
          <w:rFonts w:eastAsiaTheme="majorEastAsia"/>
          <w:color w:val="000000"/>
        </w:rPr>
        <w:t> </w:t>
      </w:r>
      <w:r w:rsidRPr="00DB5203">
        <w:rPr>
          <w:color w:val="000000"/>
        </w:rPr>
        <w:t>https://www.barnardos.org.uk</w:t>
      </w:r>
      <w:r w:rsidRPr="00DB5203">
        <w:rPr>
          <w:rStyle w:val="apple-converted-space"/>
          <w:rFonts w:eastAsiaTheme="majorEastAsia"/>
          <w:color w:val="000000"/>
        </w:rPr>
        <w:t> </w:t>
      </w:r>
      <w:r w:rsidRPr="00DB5203">
        <w:rPr>
          <w:color w:val="000000"/>
        </w:rPr>
        <w:t>(Accessed: 10 April 2025).</w:t>
      </w:r>
    </w:p>
    <w:p w14:paraId="3BF405B6" w14:textId="77777777" w:rsidR="00887A1F" w:rsidRPr="00DB5203" w:rsidRDefault="00887A1F" w:rsidP="00DB5203">
      <w:pPr>
        <w:pStyle w:val="NormalWeb"/>
        <w:spacing w:line="360" w:lineRule="auto"/>
        <w:rPr>
          <w:color w:val="000000"/>
        </w:rPr>
      </w:pPr>
      <w:proofErr w:type="spellStart"/>
      <w:r w:rsidRPr="00DB5203">
        <w:rPr>
          <w:color w:val="000000"/>
        </w:rPr>
        <w:t>Baginsky</w:t>
      </w:r>
      <w:proofErr w:type="spellEnd"/>
      <w:r w:rsidRPr="00DB5203">
        <w:rPr>
          <w:color w:val="000000"/>
        </w:rPr>
        <w:t xml:space="preserve">, M., Moriarty, J. and </w:t>
      </w:r>
      <w:proofErr w:type="spellStart"/>
      <w:r w:rsidRPr="00DB5203">
        <w:rPr>
          <w:color w:val="000000"/>
        </w:rPr>
        <w:t>Manthorpe</w:t>
      </w:r>
      <w:proofErr w:type="spellEnd"/>
      <w:r w:rsidRPr="00DB5203">
        <w:rPr>
          <w:color w:val="000000"/>
        </w:rPr>
        <w:t>, J. (2019) ‘Social workers' perceptions of the Children and Social Work Act 2017’, British Journal of Social Work, 49(7), pp. 1920–1937.</w:t>
      </w:r>
    </w:p>
    <w:p w14:paraId="1B8BEE90" w14:textId="77777777" w:rsidR="00887A1F" w:rsidRPr="00DB5203" w:rsidRDefault="00887A1F" w:rsidP="00DB5203">
      <w:pPr>
        <w:pStyle w:val="NormalWeb"/>
        <w:spacing w:line="360" w:lineRule="auto"/>
        <w:rPr>
          <w:color w:val="000000"/>
        </w:rPr>
      </w:pPr>
      <w:r w:rsidRPr="00DB5203">
        <w:rPr>
          <w:color w:val="000000"/>
        </w:rPr>
        <w:t>Bowlby, J. (1969) Attachment and Loss: Volume I. Attachment. London: Hogarth Press.</w:t>
      </w:r>
    </w:p>
    <w:p w14:paraId="624BBCD0" w14:textId="77777777" w:rsidR="00887A1F" w:rsidRPr="00DB5203" w:rsidRDefault="00887A1F" w:rsidP="00DB5203">
      <w:pPr>
        <w:pStyle w:val="NormalWeb"/>
        <w:spacing w:line="360" w:lineRule="auto"/>
        <w:rPr>
          <w:color w:val="000000"/>
        </w:rPr>
      </w:pPr>
      <w:proofErr w:type="spellStart"/>
      <w:r w:rsidRPr="00DB5203">
        <w:rPr>
          <w:color w:val="000000"/>
        </w:rPr>
        <w:t>Bywaters</w:t>
      </w:r>
      <w:proofErr w:type="spellEnd"/>
      <w:r w:rsidRPr="00DB5203">
        <w:rPr>
          <w:color w:val="000000"/>
        </w:rPr>
        <w:t xml:space="preserve">, P., Bunting, L., Davidson, G., Hanratty, J., Mason, W., McCartan, C. and </w:t>
      </w:r>
      <w:proofErr w:type="spellStart"/>
      <w:r w:rsidRPr="00DB5203">
        <w:rPr>
          <w:color w:val="000000"/>
        </w:rPr>
        <w:t>Steils</w:t>
      </w:r>
      <w:proofErr w:type="spellEnd"/>
      <w:r w:rsidRPr="00DB5203">
        <w:rPr>
          <w:color w:val="000000"/>
        </w:rPr>
        <w:t>, N. (2016) The relationship between poverty, child abuse and neglect: An evidence review. York: Joseph Rowntree Foundation.</w:t>
      </w:r>
    </w:p>
    <w:p w14:paraId="0E9761BD" w14:textId="77777777" w:rsidR="00887A1F" w:rsidRPr="00DB5203" w:rsidRDefault="00887A1F" w:rsidP="00DB5203">
      <w:pPr>
        <w:pStyle w:val="NormalWeb"/>
        <w:spacing w:line="360" w:lineRule="auto"/>
        <w:rPr>
          <w:color w:val="000000"/>
        </w:rPr>
      </w:pPr>
      <w:r w:rsidRPr="00DB5203">
        <w:rPr>
          <w:color w:val="000000"/>
        </w:rPr>
        <w:t>Children’s Society (2022) Education and wellbeing. Available at:</w:t>
      </w:r>
      <w:r w:rsidRPr="00DB5203">
        <w:rPr>
          <w:rStyle w:val="apple-converted-space"/>
          <w:rFonts w:eastAsiaTheme="majorEastAsia"/>
          <w:color w:val="000000"/>
        </w:rPr>
        <w:t> </w:t>
      </w:r>
      <w:r w:rsidRPr="00DB5203">
        <w:rPr>
          <w:color w:val="000000"/>
        </w:rPr>
        <w:t>https://www.childrenssociety.org.uk</w:t>
      </w:r>
      <w:r w:rsidRPr="00DB5203">
        <w:rPr>
          <w:rStyle w:val="apple-converted-space"/>
          <w:rFonts w:eastAsiaTheme="majorEastAsia"/>
          <w:color w:val="000000"/>
        </w:rPr>
        <w:t> </w:t>
      </w:r>
      <w:r w:rsidRPr="00DB5203">
        <w:rPr>
          <w:color w:val="000000"/>
        </w:rPr>
        <w:t>(Accessed: 10 April 2025).</w:t>
      </w:r>
    </w:p>
    <w:p w14:paraId="608D51E5" w14:textId="77777777" w:rsidR="00887A1F" w:rsidRPr="00DB5203" w:rsidRDefault="00887A1F" w:rsidP="00DB5203">
      <w:pPr>
        <w:pStyle w:val="NormalWeb"/>
        <w:spacing w:line="360" w:lineRule="auto"/>
        <w:rPr>
          <w:color w:val="000000"/>
        </w:rPr>
      </w:pPr>
      <w:r w:rsidRPr="00DB5203">
        <w:rPr>
          <w:color w:val="000000"/>
        </w:rPr>
        <w:t xml:space="preserve">Corby, B. (2012) Child Abuse: Towards a Knowledge Base. 4th </w:t>
      </w:r>
      <w:proofErr w:type="spellStart"/>
      <w:r w:rsidRPr="00DB5203">
        <w:rPr>
          <w:color w:val="000000"/>
        </w:rPr>
        <w:t>edn</w:t>
      </w:r>
      <w:proofErr w:type="spellEnd"/>
      <w:r w:rsidRPr="00DB5203">
        <w:rPr>
          <w:color w:val="000000"/>
        </w:rPr>
        <w:t>. Maidenhead: Open University Press.</w:t>
      </w:r>
    </w:p>
    <w:p w14:paraId="288BADE9" w14:textId="77777777" w:rsidR="00887A1F" w:rsidRPr="00DB5203" w:rsidRDefault="00887A1F" w:rsidP="00DB5203">
      <w:pPr>
        <w:pStyle w:val="NormalWeb"/>
        <w:spacing w:line="360" w:lineRule="auto"/>
        <w:rPr>
          <w:color w:val="000000"/>
        </w:rPr>
      </w:pPr>
      <w:r w:rsidRPr="00DB5203">
        <w:rPr>
          <w:color w:val="000000"/>
        </w:rPr>
        <w:t xml:space="preserve">Corrigan, P.W., </w:t>
      </w:r>
      <w:proofErr w:type="spellStart"/>
      <w:r w:rsidRPr="00DB5203">
        <w:rPr>
          <w:color w:val="000000"/>
        </w:rPr>
        <w:t>Druss</w:t>
      </w:r>
      <w:proofErr w:type="spellEnd"/>
      <w:r w:rsidRPr="00DB5203">
        <w:rPr>
          <w:color w:val="000000"/>
        </w:rPr>
        <w:t>, B.G. and Perlick, D.A. (2012) ‘The impact of mental illness stigma on seeking and participating in mental health care’, Psychological Science in the Public Interest, 15(2), pp. 37–70.</w:t>
      </w:r>
    </w:p>
    <w:p w14:paraId="119B96D1" w14:textId="77777777" w:rsidR="00887A1F" w:rsidRPr="00DB5203" w:rsidRDefault="00887A1F" w:rsidP="00DB5203">
      <w:pPr>
        <w:pStyle w:val="NormalWeb"/>
        <w:spacing w:line="360" w:lineRule="auto"/>
        <w:rPr>
          <w:color w:val="000000"/>
        </w:rPr>
      </w:pPr>
      <w:r w:rsidRPr="00DB5203">
        <w:rPr>
          <w:color w:val="000000"/>
        </w:rPr>
        <w:t>Department for Education (DfE) (2018) Working Together to Safeguard Children: A guide to inter-agency working. Available at:</w:t>
      </w:r>
      <w:r w:rsidRPr="00DB5203">
        <w:rPr>
          <w:rStyle w:val="apple-converted-space"/>
          <w:rFonts w:eastAsiaTheme="majorEastAsia"/>
          <w:color w:val="000000"/>
        </w:rPr>
        <w:t> </w:t>
      </w:r>
      <w:r w:rsidRPr="00DB5203">
        <w:rPr>
          <w:color w:val="000000"/>
        </w:rPr>
        <w:t>https://www.gov.uk</w:t>
      </w:r>
      <w:r w:rsidRPr="00DB5203">
        <w:rPr>
          <w:rStyle w:val="apple-converted-space"/>
          <w:rFonts w:eastAsiaTheme="majorEastAsia"/>
          <w:color w:val="000000"/>
        </w:rPr>
        <w:t> </w:t>
      </w:r>
      <w:r w:rsidRPr="00DB5203">
        <w:rPr>
          <w:color w:val="000000"/>
        </w:rPr>
        <w:t>(Accessed: 12 April 2025).</w:t>
      </w:r>
    </w:p>
    <w:p w14:paraId="18F59B3B" w14:textId="77777777" w:rsidR="00887A1F" w:rsidRPr="00DB5203" w:rsidRDefault="00887A1F" w:rsidP="00DB5203">
      <w:pPr>
        <w:pStyle w:val="NormalWeb"/>
        <w:spacing w:line="360" w:lineRule="auto"/>
        <w:rPr>
          <w:color w:val="000000"/>
        </w:rPr>
      </w:pPr>
      <w:r w:rsidRPr="00DB5203">
        <w:rPr>
          <w:color w:val="000000"/>
        </w:rPr>
        <w:t>Department for Education (2021) Family hubs and start for life programme. Available at:</w:t>
      </w:r>
      <w:r w:rsidRPr="00DB5203">
        <w:rPr>
          <w:rStyle w:val="apple-converted-space"/>
          <w:rFonts w:eastAsiaTheme="majorEastAsia"/>
          <w:color w:val="000000"/>
        </w:rPr>
        <w:t> </w:t>
      </w:r>
      <w:r w:rsidRPr="00DB5203">
        <w:rPr>
          <w:color w:val="000000"/>
        </w:rPr>
        <w:t>https://www.gov.uk</w:t>
      </w:r>
      <w:r w:rsidRPr="00DB5203">
        <w:rPr>
          <w:rStyle w:val="apple-converted-space"/>
          <w:rFonts w:eastAsiaTheme="majorEastAsia"/>
          <w:color w:val="000000"/>
        </w:rPr>
        <w:t> </w:t>
      </w:r>
      <w:r w:rsidRPr="00DB5203">
        <w:rPr>
          <w:color w:val="000000"/>
        </w:rPr>
        <w:t>(Accessed: 10 April 2025).</w:t>
      </w:r>
    </w:p>
    <w:p w14:paraId="2150EEF7" w14:textId="77777777" w:rsidR="00887A1F" w:rsidRPr="00DB5203" w:rsidRDefault="00887A1F" w:rsidP="00DB5203">
      <w:pPr>
        <w:pStyle w:val="NormalWeb"/>
        <w:spacing w:line="360" w:lineRule="auto"/>
        <w:rPr>
          <w:color w:val="000000"/>
        </w:rPr>
      </w:pPr>
      <w:r w:rsidRPr="00DB5203">
        <w:rPr>
          <w:color w:val="000000"/>
        </w:rPr>
        <w:t>Department of Health and Social Care (2017) Transforming children and young people’s mental health provision: A green paper. London: DHSC.</w:t>
      </w:r>
    </w:p>
    <w:p w14:paraId="38EC4CFA" w14:textId="77777777" w:rsidR="00887A1F" w:rsidRPr="00DB5203" w:rsidRDefault="00887A1F" w:rsidP="00DB5203">
      <w:pPr>
        <w:pStyle w:val="NormalWeb"/>
        <w:spacing w:line="360" w:lineRule="auto"/>
        <w:rPr>
          <w:color w:val="000000"/>
        </w:rPr>
      </w:pPr>
      <w:r w:rsidRPr="00DB5203">
        <w:rPr>
          <w:color w:val="000000"/>
        </w:rPr>
        <w:t>Department of Health and Social Care (2019) UK Chief Medical Officers’ Physical Activity Guidelines. Available at:</w:t>
      </w:r>
      <w:r w:rsidRPr="00DB5203">
        <w:rPr>
          <w:rStyle w:val="apple-converted-space"/>
          <w:rFonts w:eastAsiaTheme="majorEastAsia"/>
          <w:color w:val="000000"/>
        </w:rPr>
        <w:t> </w:t>
      </w:r>
      <w:r w:rsidRPr="00DB5203">
        <w:rPr>
          <w:color w:val="000000"/>
        </w:rPr>
        <w:t>https://www.gov.uk/government/publications</w:t>
      </w:r>
      <w:r w:rsidRPr="00DB5203">
        <w:rPr>
          <w:rStyle w:val="apple-converted-space"/>
          <w:rFonts w:eastAsiaTheme="majorEastAsia"/>
          <w:color w:val="000000"/>
        </w:rPr>
        <w:t> </w:t>
      </w:r>
      <w:r w:rsidRPr="00DB5203">
        <w:rPr>
          <w:color w:val="000000"/>
        </w:rPr>
        <w:t>(Accessed: 10 April 2025).</w:t>
      </w:r>
    </w:p>
    <w:p w14:paraId="5C51E517" w14:textId="77777777" w:rsidR="00887A1F" w:rsidRPr="00DB5203" w:rsidRDefault="00887A1F" w:rsidP="00DB5203">
      <w:pPr>
        <w:pStyle w:val="NormalWeb"/>
        <w:spacing w:line="360" w:lineRule="auto"/>
        <w:rPr>
          <w:color w:val="000000"/>
        </w:rPr>
      </w:pPr>
      <w:r w:rsidRPr="00DB5203">
        <w:rPr>
          <w:color w:val="000000"/>
        </w:rPr>
        <w:lastRenderedPageBreak/>
        <w:t xml:space="preserve">Dogra, N., Parkin, A., Gale, F. and </w:t>
      </w:r>
      <w:proofErr w:type="spellStart"/>
      <w:r w:rsidRPr="00DB5203">
        <w:rPr>
          <w:color w:val="000000"/>
        </w:rPr>
        <w:t>Frake</w:t>
      </w:r>
      <w:proofErr w:type="spellEnd"/>
      <w:r w:rsidRPr="00DB5203">
        <w:rPr>
          <w:color w:val="000000"/>
        </w:rPr>
        <w:t>, C. (2012) A multicultural handbook for delivering evidence-based psychological therapies. London: Routledge.</w:t>
      </w:r>
    </w:p>
    <w:p w14:paraId="4CCE8E21" w14:textId="77777777" w:rsidR="00887A1F" w:rsidRPr="00DB5203" w:rsidRDefault="00887A1F" w:rsidP="00DB5203">
      <w:pPr>
        <w:pStyle w:val="NormalWeb"/>
        <w:spacing w:line="360" w:lineRule="auto"/>
        <w:rPr>
          <w:color w:val="000000"/>
        </w:rPr>
      </w:pPr>
      <w:proofErr w:type="spellStart"/>
      <w:r w:rsidRPr="00DB5203">
        <w:rPr>
          <w:color w:val="000000"/>
        </w:rPr>
        <w:t>Durlak</w:t>
      </w:r>
      <w:proofErr w:type="spellEnd"/>
      <w:r w:rsidRPr="00DB5203">
        <w:rPr>
          <w:color w:val="000000"/>
        </w:rPr>
        <w:t>, J.A. et al. (2011) ‘The impact of enhancing students’ social and emotional learning’, Child Development, 82(1), pp. 405–432.</w:t>
      </w:r>
    </w:p>
    <w:p w14:paraId="2B2F5B9C" w14:textId="77777777" w:rsidR="00887A1F" w:rsidRPr="00DB5203" w:rsidRDefault="00887A1F" w:rsidP="00DB5203">
      <w:pPr>
        <w:pStyle w:val="NormalWeb"/>
        <w:spacing w:line="360" w:lineRule="auto"/>
        <w:rPr>
          <w:color w:val="000000"/>
        </w:rPr>
      </w:pPr>
      <w:r w:rsidRPr="00DB5203">
        <w:rPr>
          <w:color w:val="000000"/>
        </w:rPr>
        <w:t>Erikson, E.H. (1950) Childhood and Society. New York: Norton.</w:t>
      </w:r>
    </w:p>
    <w:p w14:paraId="52DA3E6C" w14:textId="77777777" w:rsidR="00887A1F" w:rsidRPr="00DB5203" w:rsidRDefault="00887A1F" w:rsidP="00DB5203">
      <w:pPr>
        <w:pStyle w:val="NormalWeb"/>
        <w:spacing w:line="360" w:lineRule="auto"/>
        <w:rPr>
          <w:color w:val="000000"/>
        </w:rPr>
      </w:pPr>
      <w:r w:rsidRPr="00DB5203">
        <w:rPr>
          <w:color w:val="000000"/>
        </w:rPr>
        <w:t>Fonagy, P., Rost, F., Carlyle, J.A., McPherson, S., Thomas, R., Pasco Fearon, R.M. and Goldberg, D. (2015) ‘Pragmatic randomized controlled trial of long-term psychoanalytic psychotherapy for treatment-resistant depression: The Tavistock Adult Depression Study (TADS)’, World Psychiatry, 14(3), pp. 312–321.</w:t>
      </w:r>
    </w:p>
    <w:p w14:paraId="19998B68" w14:textId="77777777" w:rsidR="00887A1F" w:rsidRPr="00DB5203" w:rsidRDefault="00887A1F" w:rsidP="00DB5203">
      <w:pPr>
        <w:pStyle w:val="NormalWeb"/>
        <w:spacing w:line="360" w:lineRule="auto"/>
        <w:rPr>
          <w:color w:val="000000"/>
        </w:rPr>
      </w:pPr>
      <w:r w:rsidRPr="00DB5203">
        <w:rPr>
          <w:color w:val="000000"/>
        </w:rPr>
        <w:t>Gillborn, D. and Mirza, H. (2000) Educational Inequality: Mapping Race, Class and Gender. London: Ofsted.</w:t>
      </w:r>
    </w:p>
    <w:p w14:paraId="3285C3EA" w14:textId="77777777" w:rsidR="00887A1F" w:rsidRPr="00DB5203" w:rsidRDefault="00887A1F" w:rsidP="00DB5203">
      <w:pPr>
        <w:pStyle w:val="NormalWeb"/>
        <w:spacing w:line="360" w:lineRule="auto"/>
        <w:rPr>
          <w:color w:val="000000"/>
        </w:rPr>
      </w:pPr>
      <w:r w:rsidRPr="00DB5203">
        <w:rPr>
          <w:color w:val="000000"/>
        </w:rPr>
        <w:t xml:space="preserve">Green, H., </w:t>
      </w:r>
      <w:proofErr w:type="spellStart"/>
      <w:r w:rsidRPr="00DB5203">
        <w:rPr>
          <w:color w:val="000000"/>
        </w:rPr>
        <w:t>McGinnity</w:t>
      </w:r>
      <w:proofErr w:type="spellEnd"/>
      <w:r w:rsidRPr="00DB5203">
        <w:rPr>
          <w:color w:val="000000"/>
        </w:rPr>
        <w:t>, Á., Meltzer, H., Ford, T. and Goodman, R. (2005) Mental health of children and young people in Great Britain, 2004. London: Office for National Statistics.</w:t>
      </w:r>
    </w:p>
    <w:p w14:paraId="50B9A526" w14:textId="77777777" w:rsidR="00887A1F" w:rsidRPr="00DB5203" w:rsidRDefault="00887A1F" w:rsidP="00DB5203">
      <w:pPr>
        <w:pStyle w:val="NormalWeb"/>
        <w:spacing w:line="360" w:lineRule="auto"/>
        <w:rPr>
          <w:color w:val="000000"/>
        </w:rPr>
      </w:pPr>
      <w:r w:rsidRPr="00DB5203">
        <w:rPr>
          <w:color w:val="000000"/>
        </w:rPr>
        <w:t>Heath-Kelly, C. (2016) ‘The politics of precaution: The UK Prevent strategy and the countering of non-violent extremism’, British Journal of Politics and International Relations, 19(2), pp. 329–345.</w:t>
      </w:r>
    </w:p>
    <w:p w14:paraId="7D018508" w14:textId="77777777" w:rsidR="00887A1F" w:rsidRPr="00DB5203" w:rsidRDefault="00887A1F" w:rsidP="00DB5203">
      <w:pPr>
        <w:pStyle w:val="NormalWeb"/>
        <w:spacing w:line="360" w:lineRule="auto"/>
        <w:rPr>
          <w:color w:val="000000"/>
        </w:rPr>
      </w:pPr>
      <w:r w:rsidRPr="00DB5203">
        <w:rPr>
          <w:color w:val="000000"/>
        </w:rPr>
        <w:t>HM Government (2004) Children Act 2004. London: The Stationery Office.</w:t>
      </w:r>
    </w:p>
    <w:p w14:paraId="3E598921" w14:textId="77777777" w:rsidR="00887A1F" w:rsidRPr="00DB5203" w:rsidRDefault="00887A1F" w:rsidP="00DB5203">
      <w:pPr>
        <w:pStyle w:val="NormalWeb"/>
        <w:spacing w:line="360" w:lineRule="auto"/>
        <w:rPr>
          <w:color w:val="000000"/>
        </w:rPr>
      </w:pPr>
      <w:r w:rsidRPr="00DB5203">
        <w:rPr>
          <w:color w:val="000000"/>
        </w:rPr>
        <w:t xml:space="preserve">Hughes, L., Mughal, F. and </w:t>
      </w:r>
      <w:proofErr w:type="spellStart"/>
      <w:r w:rsidRPr="00DB5203">
        <w:rPr>
          <w:color w:val="000000"/>
        </w:rPr>
        <w:t>Molodynski</w:t>
      </w:r>
      <w:proofErr w:type="spellEnd"/>
      <w:r w:rsidRPr="00DB5203">
        <w:rPr>
          <w:color w:val="000000"/>
        </w:rPr>
        <w:t>, A. (2018) ‘Use of the multidisciplinary team in mental health care’, BMJ, 363, pp. 1–3.</w:t>
      </w:r>
    </w:p>
    <w:p w14:paraId="0BEE8F2F" w14:textId="77777777" w:rsidR="00887A1F" w:rsidRPr="00DB5203" w:rsidRDefault="00887A1F" w:rsidP="00DB5203">
      <w:pPr>
        <w:pStyle w:val="NormalWeb"/>
        <w:spacing w:line="360" w:lineRule="auto"/>
        <w:rPr>
          <w:color w:val="000000"/>
        </w:rPr>
      </w:pPr>
      <w:r w:rsidRPr="00DB5203">
        <w:rPr>
          <w:color w:val="000000"/>
        </w:rPr>
        <w:t>Lundy, L. (2007) ‘Voice is not enough: Conceptualising Article 12 of the United Nations Convention on the Rights of the Child’, British Educational Research Journal, 33(6), pp. 927–942.</w:t>
      </w:r>
    </w:p>
    <w:p w14:paraId="59F7A988" w14:textId="77777777" w:rsidR="00887A1F" w:rsidRPr="00DB5203" w:rsidRDefault="00887A1F" w:rsidP="00DB5203">
      <w:pPr>
        <w:pStyle w:val="NormalWeb"/>
        <w:spacing w:line="360" w:lineRule="auto"/>
        <w:rPr>
          <w:color w:val="000000"/>
        </w:rPr>
      </w:pPr>
      <w:r w:rsidRPr="00DB5203">
        <w:rPr>
          <w:color w:val="000000"/>
        </w:rPr>
        <w:t>Maslow, A.H. (1943) 'A theory of human motivation', Psychological Review, 50(4), pp. 370–396.</w:t>
      </w:r>
    </w:p>
    <w:p w14:paraId="0D2FADBC" w14:textId="77777777" w:rsidR="00887A1F" w:rsidRPr="00DB5203" w:rsidRDefault="00887A1F" w:rsidP="00DB5203">
      <w:pPr>
        <w:pStyle w:val="NormalWeb"/>
        <w:spacing w:line="360" w:lineRule="auto"/>
        <w:rPr>
          <w:color w:val="000000"/>
        </w:rPr>
      </w:pPr>
      <w:r w:rsidRPr="00DB5203">
        <w:rPr>
          <w:color w:val="000000"/>
        </w:rPr>
        <w:t>Mental Health Foundation (2023) Children and young people’s mental health. Available at:</w:t>
      </w:r>
      <w:r w:rsidRPr="00DB5203">
        <w:rPr>
          <w:rStyle w:val="apple-converted-space"/>
          <w:rFonts w:eastAsiaTheme="majorEastAsia"/>
          <w:color w:val="000000"/>
        </w:rPr>
        <w:t> </w:t>
      </w:r>
      <w:r w:rsidRPr="00DB5203">
        <w:rPr>
          <w:color w:val="000000"/>
        </w:rPr>
        <w:t>https://www.mentalhealth.org.uk</w:t>
      </w:r>
      <w:r w:rsidRPr="00DB5203">
        <w:rPr>
          <w:rStyle w:val="apple-converted-space"/>
          <w:rFonts w:eastAsiaTheme="majorEastAsia"/>
          <w:color w:val="000000"/>
        </w:rPr>
        <w:t> </w:t>
      </w:r>
      <w:r w:rsidRPr="00DB5203">
        <w:rPr>
          <w:color w:val="000000"/>
        </w:rPr>
        <w:t>(Accessed: 10 April 2025).</w:t>
      </w:r>
    </w:p>
    <w:p w14:paraId="7928CB47" w14:textId="77777777" w:rsidR="00887A1F" w:rsidRPr="00DB5203" w:rsidRDefault="00887A1F" w:rsidP="00DB5203">
      <w:pPr>
        <w:pStyle w:val="NormalWeb"/>
        <w:spacing w:line="360" w:lineRule="auto"/>
        <w:rPr>
          <w:color w:val="000000"/>
        </w:rPr>
      </w:pPr>
      <w:r w:rsidRPr="00DB5203">
        <w:rPr>
          <w:color w:val="000000"/>
        </w:rPr>
        <w:lastRenderedPageBreak/>
        <w:t>NHS (2023) Child and adolescent mental health services (CAMHS). Available at:</w:t>
      </w:r>
      <w:r w:rsidRPr="00DB5203">
        <w:rPr>
          <w:rStyle w:val="apple-converted-space"/>
          <w:rFonts w:eastAsiaTheme="majorEastAsia"/>
          <w:color w:val="000000"/>
        </w:rPr>
        <w:t> </w:t>
      </w:r>
      <w:r w:rsidRPr="00DB5203">
        <w:rPr>
          <w:color w:val="000000"/>
        </w:rPr>
        <w:t>https://www.nhs.uk/mental-health/nhs-voluntary-charity-services/nhs-services/children-young-people-mental-health-services-camhs</w:t>
      </w:r>
      <w:r w:rsidRPr="00DB5203">
        <w:rPr>
          <w:rStyle w:val="apple-converted-space"/>
          <w:rFonts w:eastAsiaTheme="majorEastAsia"/>
          <w:color w:val="000000"/>
        </w:rPr>
        <w:t> </w:t>
      </w:r>
      <w:r w:rsidRPr="00DB5203">
        <w:rPr>
          <w:color w:val="000000"/>
        </w:rPr>
        <w:t>(Accessed: 10 April 2025).</w:t>
      </w:r>
    </w:p>
    <w:p w14:paraId="2D0B55A9" w14:textId="77777777" w:rsidR="00887A1F" w:rsidRPr="00DB5203" w:rsidRDefault="00887A1F" w:rsidP="00DB5203">
      <w:pPr>
        <w:pStyle w:val="NormalWeb"/>
        <w:spacing w:line="360" w:lineRule="auto"/>
        <w:rPr>
          <w:color w:val="000000"/>
        </w:rPr>
      </w:pPr>
      <w:r w:rsidRPr="00DB5203">
        <w:rPr>
          <w:color w:val="000000"/>
        </w:rPr>
        <w:t>NSPCC (2023) Child abuse and neglect. Available at:</w:t>
      </w:r>
      <w:r w:rsidRPr="00DB5203">
        <w:rPr>
          <w:rStyle w:val="apple-converted-space"/>
          <w:rFonts w:eastAsiaTheme="majorEastAsia"/>
          <w:color w:val="000000"/>
        </w:rPr>
        <w:t> </w:t>
      </w:r>
      <w:r w:rsidRPr="00DB5203">
        <w:rPr>
          <w:color w:val="000000"/>
        </w:rPr>
        <w:t>https://www.nspcc.org.uk</w:t>
      </w:r>
      <w:r w:rsidRPr="00DB5203">
        <w:rPr>
          <w:rStyle w:val="apple-converted-space"/>
          <w:rFonts w:eastAsiaTheme="majorEastAsia"/>
          <w:color w:val="000000"/>
        </w:rPr>
        <w:t> </w:t>
      </w:r>
      <w:r w:rsidRPr="00DB5203">
        <w:rPr>
          <w:color w:val="000000"/>
        </w:rPr>
        <w:t>(Accessed: 9 April 2025).</w:t>
      </w:r>
    </w:p>
    <w:p w14:paraId="26E1F968" w14:textId="77777777" w:rsidR="00887A1F" w:rsidRPr="00DB5203" w:rsidRDefault="00887A1F" w:rsidP="00DB5203">
      <w:pPr>
        <w:pStyle w:val="NormalWeb"/>
        <w:spacing w:line="360" w:lineRule="auto"/>
        <w:rPr>
          <w:color w:val="000000"/>
        </w:rPr>
      </w:pPr>
      <w:r w:rsidRPr="00DB5203">
        <w:rPr>
          <w:color w:val="000000"/>
        </w:rPr>
        <w:t>Parton, N. (2014) The Politics of Child Protection: Contemporary Developments and Future Directions. Basingstoke: Palgrave Macmillan.</w:t>
      </w:r>
    </w:p>
    <w:p w14:paraId="4629C96C" w14:textId="77777777" w:rsidR="00887A1F" w:rsidRPr="00DB5203" w:rsidRDefault="00887A1F" w:rsidP="00DB5203">
      <w:pPr>
        <w:pStyle w:val="NormalWeb"/>
        <w:spacing w:line="360" w:lineRule="auto"/>
        <w:rPr>
          <w:color w:val="000000"/>
        </w:rPr>
      </w:pPr>
      <w:r w:rsidRPr="00DB5203">
        <w:rPr>
          <w:color w:val="000000"/>
        </w:rPr>
        <w:t>Piaget, J. (1952) The Origins of Intelligence in Children. New York: International Universities Press.</w:t>
      </w:r>
    </w:p>
    <w:p w14:paraId="4C210861" w14:textId="77777777" w:rsidR="00887A1F" w:rsidRPr="00DB5203" w:rsidRDefault="00887A1F" w:rsidP="00DB5203">
      <w:pPr>
        <w:pStyle w:val="NormalWeb"/>
        <w:spacing w:line="360" w:lineRule="auto"/>
        <w:rPr>
          <w:color w:val="000000"/>
        </w:rPr>
      </w:pPr>
      <w:r w:rsidRPr="00DB5203">
        <w:rPr>
          <w:color w:val="000000"/>
        </w:rPr>
        <w:t>Place2Be (2022) Mental health support in schools. Available at:</w:t>
      </w:r>
      <w:r w:rsidRPr="00DB5203">
        <w:rPr>
          <w:rStyle w:val="apple-converted-space"/>
          <w:rFonts w:eastAsiaTheme="majorEastAsia"/>
          <w:color w:val="000000"/>
        </w:rPr>
        <w:t> </w:t>
      </w:r>
      <w:r w:rsidRPr="00DB5203">
        <w:rPr>
          <w:color w:val="000000"/>
        </w:rPr>
        <w:t>https://www.place2be.org.uk/our-services/services-in-schools/mental-health-support-in-schools/</w:t>
      </w:r>
      <w:r w:rsidRPr="00DB5203">
        <w:rPr>
          <w:rStyle w:val="apple-converted-space"/>
          <w:rFonts w:eastAsiaTheme="majorEastAsia"/>
          <w:color w:val="000000"/>
        </w:rPr>
        <w:t> </w:t>
      </w:r>
      <w:r w:rsidRPr="00DB5203">
        <w:rPr>
          <w:color w:val="000000"/>
        </w:rPr>
        <w:t>(Accessed: 10 April 2025).</w:t>
      </w:r>
    </w:p>
    <w:p w14:paraId="2A4B4A68" w14:textId="77777777" w:rsidR="00887A1F" w:rsidRPr="00DB5203" w:rsidRDefault="00887A1F" w:rsidP="00DB5203">
      <w:pPr>
        <w:pStyle w:val="NormalWeb"/>
        <w:spacing w:line="360" w:lineRule="auto"/>
        <w:rPr>
          <w:color w:val="000000"/>
        </w:rPr>
      </w:pPr>
      <w:r w:rsidRPr="00DB5203">
        <w:rPr>
          <w:color w:val="000000"/>
        </w:rPr>
        <w:t xml:space="preserve">Plomin, R., </w:t>
      </w:r>
      <w:proofErr w:type="spellStart"/>
      <w:r w:rsidRPr="00DB5203">
        <w:rPr>
          <w:color w:val="000000"/>
        </w:rPr>
        <w:t>DeFries</w:t>
      </w:r>
      <w:proofErr w:type="spellEnd"/>
      <w:r w:rsidRPr="00DB5203">
        <w:rPr>
          <w:color w:val="000000"/>
        </w:rPr>
        <w:t xml:space="preserve">, J.C., </w:t>
      </w:r>
      <w:proofErr w:type="spellStart"/>
      <w:r w:rsidRPr="00DB5203">
        <w:rPr>
          <w:color w:val="000000"/>
        </w:rPr>
        <w:t>Knopik</w:t>
      </w:r>
      <w:proofErr w:type="spellEnd"/>
      <w:r w:rsidRPr="00DB5203">
        <w:rPr>
          <w:color w:val="000000"/>
        </w:rPr>
        <w:t xml:space="preserve">, V.S. and </w:t>
      </w:r>
      <w:proofErr w:type="spellStart"/>
      <w:r w:rsidRPr="00DB5203">
        <w:rPr>
          <w:color w:val="000000"/>
        </w:rPr>
        <w:t>Neiderhiser</w:t>
      </w:r>
      <w:proofErr w:type="spellEnd"/>
      <w:r w:rsidRPr="00DB5203">
        <w:rPr>
          <w:color w:val="000000"/>
        </w:rPr>
        <w:t xml:space="preserve">, J.M. (2016) ‘Top 10 replicated findings from </w:t>
      </w:r>
      <w:proofErr w:type="spellStart"/>
      <w:r w:rsidRPr="00DB5203">
        <w:rPr>
          <w:color w:val="000000"/>
        </w:rPr>
        <w:t>behavioral</w:t>
      </w:r>
      <w:proofErr w:type="spellEnd"/>
      <w:r w:rsidRPr="00DB5203">
        <w:rPr>
          <w:color w:val="000000"/>
        </w:rPr>
        <w:t xml:space="preserve"> genetics’, Perspectives on Psychological Science, 11(1), pp. 3–23.</w:t>
      </w:r>
    </w:p>
    <w:p w14:paraId="2572311A" w14:textId="77777777" w:rsidR="00887A1F" w:rsidRPr="00DB5203" w:rsidRDefault="00887A1F" w:rsidP="00DB5203">
      <w:pPr>
        <w:pStyle w:val="NormalWeb"/>
        <w:spacing w:line="360" w:lineRule="auto"/>
        <w:rPr>
          <w:color w:val="000000"/>
        </w:rPr>
      </w:pPr>
      <w:proofErr w:type="spellStart"/>
      <w:r w:rsidRPr="00DB5203">
        <w:rPr>
          <w:color w:val="000000"/>
        </w:rPr>
        <w:t>Rickwood</w:t>
      </w:r>
      <w:proofErr w:type="spellEnd"/>
      <w:r w:rsidRPr="00DB5203">
        <w:rPr>
          <w:color w:val="000000"/>
        </w:rPr>
        <w:t>, D., Deane, F.P. and Wilson, C.J. (2007) ‘When and how do young people seek professional help for mental health problems?’, Medical Journal of Australia, 187(S7), pp. S35–S39.</w:t>
      </w:r>
    </w:p>
    <w:p w14:paraId="28D28A90" w14:textId="77777777" w:rsidR="00887A1F" w:rsidRPr="00DB5203" w:rsidRDefault="00887A1F" w:rsidP="00DB5203">
      <w:pPr>
        <w:pStyle w:val="NormalWeb"/>
        <w:spacing w:line="360" w:lineRule="auto"/>
        <w:rPr>
          <w:color w:val="000000"/>
        </w:rPr>
      </w:pPr>
      <w:r w:rsidRPr="00DB5203">
        <w:rPr>
          <w:color w:val="000000"/>
        </w:rPr>
        <w:t>SEND Review (2022) Special Educational Needs and Disabilities Review. Department for Education.</w:t>
      </w:r>
    </w:p>
    <w:p w14:paraId="301A812B" w14:textId="77777777" w:rsidR="00887A1F" w:rsidRPr="00DB5203" w:rsidRDefault="00887A1F" w:rsidP="00DB5203">
      <w:pPr>
        <w:pStyle w:val="NormalWeb"/>
        <w:spacing w:line="360" w:lineRule="auto"/>
        <w:rPr>
          <w:color w:val="000000"/>
        </w:rPr>
      </w:pPr>
      <w:r w:rsidRPr="00DB5203">
        <w:rPr>
          <w:color w:val="000000"/>
        </w:rPr>
        <w:t>Singh, S.P., Paul, M., Ford, T., Kramer, T. and Weaver, T. (2010) ‘Transitions of care from child and adolescent mental health services to adult mental health services (TRACK study): a study of protocols in Greater London’, BMC Health Services Research, 10(1), p. 316.</w:t>
      </w:r>
    </w:p>
    <w:p w14:paraId="03DA13B5" w14:textId="77777777" w:rsidR="00887A1F" w:rsidRPr="00DB5203" w:rsidRDefault="00887A1F" w:rsidP="00DB5203">
      <w:pPr>
        <w:pStyle w:val="NormalWeb"/>
        <w:spacing w:line="360" w:lineRule="auto"/>
        <w:rPr>
          <w:color w:val="000000"/>
        </w:rPr>
      </w:pPr>
      <w:r w:rsidRPr="00DB5203">
        <w:rPr>
          <w:color w:val="000000"/>
        </w:rPr>
        <w:t>UK Government (2014) Children and Families Act 2014. Available at:</w:t>
      </w:r>
      <w:r w:rsidRPr="00DB5203">
        <w:rPr>
          <w:rStyle w:val="apple-converted-space"/>
          <w:rFonts w:eastAsiaTheme="majorEastAsia"/>
          <w:color w:val="000000"/>
        </w:rPr>
        <w:t> </w:t>
      </w:r>
      <w:r w:rsidRPr="00DB5203">
        <w:rPr>
          <w:color w:val="000000"/>
        </w:rPr>
        <w:t>https://www.legislation.gov.uk</w:t>
      </w:r>
      <w:r w:rsidRPr="00DB5203">
        <w:rPr>
          <w:rStyle w:val="apple-converted-space"/>
          <w:rFonts w:eastAsiaTheme="majorEastAsia"/>
          <w:color w:val="000000"/>
        </w:rPr>
        <w:t> </w:t>
      </w:r>
      <w:r w:rsidRPr="00DB5203">
        <w:rPr>
          <w:color w:val="000000"/>
        </w:rPr>
        <w:t>(Accessed: 10 April 2025).</w:t>
      </w:r>
    </w:p>
    <w:p w14:paraId="6032CC5C" w14:textId="77777777" w:rsidR="00887A1F" w:rsidRPr="00DB5203" w:rsidRDefault="00887A1F" w:rsidP="00DB5203">
      <w:pPr>
        <w:pStyle w:val="NormalWeb"/>
        <w:spacing w:line="360" w:lineRule="auto"/>
        <w:rPr>
          <w:color w:val="000000"/>
        </w:rPr>
      </w:pPr>
      <w:r w:rsidRPr="00DB5203">
        <w:rPr>
          <w:color w:val="000000"/>
        </w:rPr>
        <w:t>Welsh Government (2015) Well-being of Future Generations (Wales) Act 2015. Available at:</w:t>
      </w:r>
      <w:r w:rsidRPr="00DB5203">
        <w:rPr>
          <w:rStyle w:val="apple-converted-space"/>
          <w:rFonts w:eastAsiaTheme="majorEastAsia"/>
          <w:color w:val="000000"/>
        </w:rPr>
        <w:t> </w:t>
      </w:r>
      <w:r w:rsidRPr="00DB5203">
        <w:rPr>
          <w:color w:val="000000"/>
        </w:rPr>
        <w:t>https://www.gov.wales(Accessed: 10 April 2025).</w:t>
      </w:r>
    </w:p>
    <w:p w14:paraId="17D6DBD0" w14:textId="77777777" w:rsidR="00887A1F" w:rsidRPr="00DB5203" w:rsidRDefault="00887A1F" w:rsidP="00DB5203">
      <w:pPr>
        <w:pStyle w:val="NormalWeb"/>
        <w:spacing w:line="360" w:lineRule="auto"/>
        <w:rPr>
          <w:color w:val="000000"/>
        </w:rPr>
      </w:pPr>
      <w:r w:rsidRPr="00DB5203">
        <w:rPr>
          <w:color w:val="000000"/>
        </w:rPr>
        <w:lastRenderedPageBreak/>
        <w:t>YMCA (2021) Youth services and community engagement. Available at:</w:t>
      </w:r>
      <w:r w:rsidRPr="00DB5203">
        <w:rPr>
          <w:rStyle w:val="apple-converted-space"/>
          <w:rFonts w:eastAsiaTheme="majorEastAsia"/>
          <w:color w:val="000000"/>
        </w:rPr>
        <w:t> </w:t>
      </w:r>
      <w:r w:rsidRPr="00DB5203">
        <w:rPr>
          <w:color w:val="000000"/>
        </w:rPr>
        <w:t>https://www.ymca.org.uk</w:t>
      </w:r>
      <w:r w:rsidRPr="00DB5203">
        <w:rPr>
          <w:rStyle w:val="apple-converted-space"/>
          <w:rFonts w:eastAsiaTheme="majorEastAsia"/>
          <w:color w:val="000000"/>
        </w:rPr>
        <w:t> </w:t>
      </w:r>
      <w:r w:rsidRPr="00DB5203">
        <w:rPr>
          <w:color w:val="000000"/>
        </w:rPr>
        <w:t>(Accessed: 10 April 2025).</w:t>
      </w:r>
    </w:p>
    <w:p w14:paraId="28BB6DBE" w14:textId="77777777" w:rsidR="00887A1F" w:rsidRPr="00DB5203" w:rsidRDefault="00887A1F" w:rsidP="00DB5203">
      <w:pPr>
        <w:pStyle w:val="NormalWeb"/>
        <w:spacing w:line="360" w:lineRule="auto"/>
        <w:rPr>
          <w:color w:val="000000"/>
        </w:rPr>
      </w:pPr>
      <w:proofErr w:type="spellStart"/>
      <w:r w:rsidRPr="00DB5203">
        <w:rPr>
          <w:color w:val="000000"/>
        </w:rPr>
        <w:t>YoungMinds</w:t>
      </w:r>
      <w:proofErr w:type="spellEnd"/>
      <w:r w:rsidRPr="00DB5203">
        <w:rPr>
          <w:color w:val="000000"/>
        </w:rPr>
        <w:t xml:space="preserve"> (2021) Coronavirus: Impact on young people with mental health needs. Available at:</w:t>
      </w:r>
      <w:r w:rsidRPr="00DB5203">
        <w:rPr>
          <w:rStyle w:val="apple-converted-space"/>
          <w:rFonts w:eastAsiaTheme="majorEastAsia"/>
          <w:color w:val="000000"/>
        </w:rPr>
        <w:t> </w:t>
      </w:r>
      <w:r w:rsidRPr="00DB5203">
        <w:rPr>
          <w:color w:val="000000"/>
        </w:rPr>
        <w:t>https://www.youngminds.org.uk/about-us/reports-and-impact/coronavirus-impact-on-young-people-with-mental-health-needs/</w:t>
      </w:r>
      <w:r w:rsidRPr="00DB5203">
        <w:rPr>
          <w:rStyle w:val="apple-converted-space"/>
          <w:rFonts w:eastAsiaTheme="majorEastAsia"/>
          <w:color w:val="000000"/>
        </w:rPr>
        <w:t> </w:t>
      </w:r>
      <w:r w:rsidRPr="00DB5203">
        <w:rPr>
          <w:color w:val="000000"/>
        </w:rPr>
        <w:t>(Accessed: 10 April 2025).</w:t>
      </w:r>
    </w:p>
    <w:p w14:paraId="7BA74B7D" w14:textId="77777777" w:rsidR="0044430E" w:rsidRPr="00DB5203" w:rsidRDefault="0044430E" w:rsidP="00DB5203">
      <w:pPr>
        <w:spacing w:before="100" w:beforeAutospacing="1" w:after="100" w:afterAutospacing="1" w:line="360" w:lineRule="auto"/>
        <w:rPr>
          <w:rFonts w:ascii="Times New Roman" w:hAnsi="Times New Roman" w:cs="Times New Roman"/>
          <w:lang w:eastAsia="en-GB"/>
        </w:rPr>
      </w:pPr>
    </w:p>
    <w:sectPr w:rsidR="0044430E" w:rsidRPr="00DB5203" w:rsidSect="003E0C3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02E67"/>
    <w:multiLevelType w:val="multilevel"/>
    <w:tmpl w:val="C66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330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8FC"/>
    <w:rsid w:val="00192398"/>
    <w:rsid w:val="00194F5E"/>
    <w:rsid w:val="00212510"/>
    <w:rsid w:val="00335461"/>
    <w:rsid w:val="003A6636"/>
    <w:rsid w:val="003E0C39"/>
    <w:rsid w:val="0044430E"/>
    <w:rsid w:val="00544A69"/>
    <w:rsid w:val="005E6F97"/>
    <w:rsid w:val="00653CE7"/>
    <w:rsid w:val="00683AD7"/>
    <w:rsid w:val="00712137"/>
    <w:rsid w:val="00770327"/>
    <w:rsid w:val="00887A1F"/>
    <w:rsid w:val="009B4D7E"/>
    <w:rsid w:val="009D68C5"/>
    <w:rsid w:val="00A628FC"/>
    <w:rsid w:val="00CF723B"/>
    <w:rsid w:val="00D1423D"/>
    <w:rsid w:val="00D31793"/>
    <w:rsid w:val="00D70549"/>
    <w:rsid w:val="00DB5203"/>
    <w:rsid w:val="00ED316E"/>
    <w:rsid w:val="00FF0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F8D56"/>
  <w15:chartTrackingRefBased/>
  <w15:docId w15:val="{5B622B22-8EB0-694B-A661-9EB853D1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C39"/>
  </w:style>
  <w:style w:type="paragraph" w:styleId="Heading1">
    <w:name w:val="heading 1"/>
    <w:basedOn w:val="Normal"/>
    <w:next w:val="Normal"/>
    <w:link w:val="Heading1Char"/>
    <w:uiPriority w:val="9"/>
    <w:qFormat/>
    <w:rsid w:val="00A62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2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8F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8F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8F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8F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2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2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8FC"/>
    <w:rPr>
      <w:rFonts w:eastAsiaTheme="majorEastAsia" w:cstheme="majorBidi"/>
      <w:color w:val="272727" w:themeColor="text1" w:themeTint="D8"/>
    </w:rPr>
  </w:style>
  <w:style w:type="paragraph" w:styleId="Title">
    <w:name w:val="Title"/>
    <w:basedOn w:val="Normal"/>
    <w:next w:val="Normal"/>
    <w:link w:val="TitleChar"/>
    <w:uiPriority w:val="10"/>
    <w:qFormat/>
    <w:rsid w:val="00A628F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8F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8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28FC"/>
    <w:rPr>
      <w:i/>
      <w:iCs/>
      <w:color w:val="404040" w:themeColor="text1" w:themeTint="BF"/>
    </w:rPr>
  </w:style>
  <w:style w:type="paragraph" w:styleId="ListParagraph">
    <w:name w:val="List Paragraph"/>
    <w:basedOn w:val="Normal"/>
    <w:uiPriority w:val="34"/>
    <w:qFormat/>
    <w:rsid w:val="00A628FC"/>
    <w:pPr>
      <w:ind w:left="720"/>
      <w:contextualSpacing/>
    </w:pPr>
  </w:style>
  <w:style w:type="character" w:styleId="IntenseEmphasis">
    <w:name w:val="Intense Emphasis"/>
    <w:basedOn w:val="DefaultParagraphFont"/>
    <w:uiPriority w:val="21"/>
    <w:qFormat/>
    <w:rsid w:val="00A628FC"/>
    <w:rPr>
      <w:i/>
      <w:iCs/>
      <w:color w:val="0F4761" w:themeColor="accent1" w:themeShade="BF"/>
    </w:rPr>
  </w:style>
  <w:style w:type="paragraph" w:styleId="IntenseQuote">
    <w:name w:val="Intense Quote"/>
    <w:basedOn w:val="Normal"/>
    <w:next w:val="Normal"/>
    <w:link w:val="IntenseQuoteChar"/>
    <w:uiPriority w:val="30"/>
    <w:qFormat/>
    <w:rsid w:val="00A62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8FC"/>
    <w:rPr>
      <w:i/>
      <w:iCs/>
      <w:color w:val="0F4761" w:themeColor="accent1" w:themeShade="BF"/>
    </w:rPr>
  </w:style>
  <w:style w:type="character" w:styleId="IntenseReference">
    <w:name w:val="Intense Reference"/>
    <w:basedOn w:val="DefaultParagraphFont"/>
    <w:uiPriority w:val="32"/>
    <w:qFormat/>
    <w:rsid w:val="00A628FC"/>
    <w:rPr>
      <w:b/>
      <w:bCs/>
      <w:smallCaps/>
      <w:color w:val="0F4761" w:themeColor="accent1" w:themeShade="BF"/>
      <w:spacing w:val="5"/>
    </w:rPr>
  </w:style>
  <w:style w:type="character" w:styleId="Strong">
    <w:name w:val="Strong"/>
    <w:basedOn w:val="DefaultParagraphFont"/>
    <w:uiPriority w:val="22"/>
    <w:qFormat/>
    <w:rsid w:val="00A628FC"/>
    <w:rPr>
      <w:b/>
      <w:bCs/>
    </w:rPr>
  </w:style>
  <w:style w:type="character" w:customStyle="1" w:styleId="apple-converted-space">
    <w:name w:val="apple-converted-space"/>
    <w:basedOn w:val="DefaultParagraphFont"/>
    <w:rsid w:val="00A628FC"/>
  </w:style>
  <w:style w:type="character" w:styleId="Emphasis">
    <w:name w:val="Emphasis"/>
    <w:basedOn w:val="DefaultParagraphFont"/>
    <w:uiPriority w:val="20"/>
    <w:qFormat/>
    <w:rsid w:val="00A628FC"/>
    <w:rPr>
      <w:i/>
      <w:iCs/>
    </w:rPr>
  </w:style>
  <w:style w:type="character" w:styleId="Hyperlink">
    <w:name w:val="Hyperlink"/>
    <w:basedOn w:val="DefaultParagraphFont"/>
    <w:uiPriority w:val="99"/>
    <w:unhideWhenUsed/>
    <w:rsid w:val="00A628FC"/>
    <w:rPr>
      <w:color w:val="0000FF"/>
      <w:u w:val="single"/>
    </w:rPr>
  </w:style>
  <w:style w:type="paragraph" w:styleId="NoSpacing">
    <w:name w:val="No Spacing"/>
    <w:link w:val="NoSpacingChar"/>
    <w:uiPriority w:val="1"/>
    <w:qFormat/>
    <w:rsid w:val="003E0C3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E0C39"/>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887A1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887A1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87A1F"/>
    <w:pPr>
      <w:spacing w:before="120"/>
    </w:pPr>
    <w:rPr>
      <w:b/>
      <w:bCs/>
      <w:i/>
      <w:iCs/>
    </w:rPr>
  </w:style>
  <w:style w:type="paragraph" w:styleId="TOC3">
    <w:name w:val="toc 3"/>
    <w:basedOn w:val="Normal"/>
    <w:next w:val="Normal"/>
    <w:autoRedefine/>
    <w:uiPriority w:val="39"/>
    <w:unhideWhenUsed/>
    <w:rsid w:val="00887A1F"/>
    <w:pPr>
      <w:ind w:left="480"/>
    </w:pPr>
    <w:rPr>
      <w:sz w:val="20"/>
      <w:szCs w:val="20"/>
    </w:rPr>
  </w:style>
  <w:style w:type="paragraph" w:styleId="TOC2">
    <w:name w:val="toc 2"/>
    <w:basedOn w:val="Normal"/>
    <w:next w:val="Normal"/>
    <w:autoRedefine/>
    <w:uiPriority w:val="39"/>
    <w:unhideWhenUsed/>
    <w:rsid w:val="00887A1F"/>
    <w:pPr>
      <w:spacing w:before="120"/>
      <w:ind w:left="240"/>
    </w:pPr>
    <w:rPr>
      <w:b/>
      <w:bCs/>
      <w:sz w:val="22"/>
      <w:szCs w:val="22"/>
    </w:rPr>
  </w:style>
  <w:style w:type="paragraph" w:styleId="TOC4">
    <w:name w:val="toc 4"/>
    <w:basedOn w:val="Normal"/>
    <w:next w:val="Normal"/>
    <w:autoRedefine/>
    <w:uiPriority w:val="39"/>
    <w:semiHidden/>
    <w:unhideWhenUsed/>
    <w:rsid w:val="00887A1F"/>
    <w:pPr>
      <w:ind w:left="720"/>
    </w:pPr>
    <w:rPr>
      <w:sz w:val="20"/>
      <w:szCs w:val="20"/>
    </w:rPr>
  </w:style>
  <w:style w:type="paragraph" w:styleId="TOC5">
    <w:name w:val="toc 5"/>
    <w:basedOn w:val="Normal"/>
    <w:next w:val="Normal"/>
    <w:autoRedefine/>
    <w:uiPriority w:val="39"/>
    <w:semiHidden/>
    <w:unhideWhenUsed/>
    <w:rsid w:val="00887A1F"/>
    <w:pPr>
      <w:ind w:left="960"/>
    </w:pPr>
    <w:rPr>
      <w:sz w:val="20"/>
      <w:szCs w:val="20"/>
    </w:rPr>
  </w:style>
  <w:style w:type="paragraph" w:styleId="TOC6">
    <w:name w:val="toc 6"/>
    <w:basedOn w:val="Normal"/>
    <w:next w:val="Normal"/>
    <w:autoRedefine/>
    <w:uiPriority w:val="39"/>
    <w:semiHidden/>
    <w:unhideWhenUsed/>
    <w:rsid w:val="00887A1F"/>
    <w:pPr>
      <w:ind w:left="1200"/>
    </w:pPr>
    <w:rPr>
      <w:sz w:val="20"/>
      <w:szCs w:val="20"/>
    </w:rPr>
  </w:style>
  <w:style w:type="paragraph" w:styleId="TOC7">
    <w:name w:val="toc 7"/>
    <w:basedOn w:val="Normal"/>
    <w:next w:val="Normal"/>
    <w:autoRedefine/>
    <w:uiPriority w:val="39"/>
    <w:semiHidden/>
    <w:unhideWhenUsed/>
    <w:rsid w:val="00887A1F"/>
    <w:pPr>
      <w:ind w:left="1440"/>
    </w:pPr>
    <w:rPr>
      <w:sz w:val="20"/>
      <w:szCs w:val="20"/>
    </w:rPr>
  </w:style>
  <w:style w:type="paragraph" w:styleId="TOC8">
    <w:name w:val="toc 8"/>
    <w:basedOn w:val="Normal"/>
    <w:next w:val="Normal"/>
    <w:autoRedefine/>
    <w:uiPriority w:val="39"/>
    <w:semiHidden/>
    <w:unhideWhenUsed/>
    <w:rsid w:val="00887A1F"/>
    <w:pPr>
      <w:ind w:left="1680"/>
    </w:pPr>
    <w:rPr>
      <w:sz w:val="20"/>
      <w:szCs w:val="20"/>
    </w:rPr>
  </w:style>
  <w:style w:type="paragraph" w:styleId="TOC9">
    <w:name w:val="toc 9"/>
    <w:basedOn w:val="Normal"/>
    <w:next w:val="Normal"/>
    <w:autoRedefine/>
    <w:uiPriority w:val="39"/>
    <w:semiHidden/>
    <w:unhideWhenUsed/>
    <w:rsid w:val="00887A1F"/>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9851">
      <w:bodyDiv w:val="1"/>
      <w:marLeft w:val="0"/>
      <w:marRight w:val="0"/>
      <w:marTop w:val="0"/>
      <w:marBottom w:val="0"/>
      <w:divBdr>
        <w:top w:val="none" w:sz="0" w:space="0" w:color="auto"/>
        <w:left w:val="none" w:sz="0" w:space="0" w:color="auto"/>
        <w:bottom w:val="none" w:sz="0" w:space="0" w:color="auto"/>
        <w:right w:val="none" w:sz="0" w:space="0" w:color="auto"/>
      </w:divBdr>
    </w:div>
    <w:div w:id="615677374">
      <w:bodyDiv w:val="1"/>
      <w:marLeft w:val="0"/>
      <w:marRight w:val="0"/>
      <w:marTop w:val="0"/>
      <w:marBottom w:val="0"/>
      <w:divBdr>
        <w:top w:val="none" w:sz="0" w:space="0" w:color="auto"/>
        <w:left w:val="none" w:sz="0" w:space="0" w:color="auto"/>
        <w:bottom w:val="none" w:sz="0" w:space="0" w:color="auto"/>
        <w:right w:val="none" w:sz="0" w:space="0" w:color="auto"/>
      </w:divBdr>
    </w:div>
    <w:div w:id="1441801748">
      <w:bodyDiv w:val="1"/>
      <w:marLeft w:val="0"/>
      <w:marRight w:val="0"/>
      <w:marTop w:val="0"/>
      <w:marBottom w:val="0"/>
      <w:divBdr>
        <w:top w:val="none" w:sz="0" w:space="0" w:color="auto"/>
        <w:left w:val="none" w:sz="0" w:space="0" w:color="auto"/>
        <w:bottom w:val="none" w:sz="0" w:space="0" w:color="auto"/>
        <w:right w:val="none" w:sz="0" w:space="0" w:color="auto"/>
      </w:divBdr>
    </w:div>
    <w:div w:id="1461654562">
      <w:bodyDiv w:val="1"/>
      <w:marLeft w:val="0"/>
      <w:marRight w:val="0"/>
      <w:marTop w:val="0"/>
      <w:marBottom w:val="0"/>
      <w:divBdr>
        <w:top w:val="none" w:sz="0" w:space="0" w:color="auto"/>
        <w:left w:val="none" w:sz="0" w:space="0" w:color="auto"/>
        <w:bottom w:val="none" w:sz="0" w:space="0" w:color="auto"/>
        <w:right w:val="none" w:sz="0" w:space="0" w:color="auto"/>
      </w:divBdr>
    </w:div>
    <w:div w:id="1852835862">
      <w:bodyDiv w:val="1"/>
      <w:marLeft w:val="0"/>
      <w:marRight w:val="0"/>
      <w:marTop w:val="0"/>
      <w:marBottom w:val="0"/>
      <w:divBdr>
        <w:top w:val="none" w:sz="0" w:space="0" w:color="auto"/>
        <w:left w:val="none" w:sz="0" w:space="0" w:color="auto"/>
        <w:bottom w:val="none" w:sz="0" w:space="0" w:color="auto"/>
        <w:right w:val="none" w:sz="0" w:space="0" w:color="auto"/>
      </w:divBdr>
    </w:div>
    <w:div w:id="2059818011">
      <w:bodyDiv w:val="1"/>
      <w:marLeft w:val="0"/>
      <w:marRight w:val="0"/>
      <w:marTop w:val="0"/>
      <w:marBottom w:val="0"/>
      <w:divBdr>
        <w:top w:val="none" w:sz="0" w:space="0" w:color="auto"/>
        <w:left w:val="none" w:sz="0" w:space="0" w:color="auto"/>
        <w:bottom w:val="none" w:sz="0" w:space="0" w:color="auto"/>
        <w:right w:val="none" w:sz="0" w:space="0" w:color="auto"/>
      </w:divBdr>
    </w:div>
    <w:div w:id="207349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AD8BC-EF30-E24D-864B-81DE57448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1600</TotalTime>
  <Pages>18</Pages>
  <Words>4329</Words>
  <Characters>24676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Children and Young People’s Health, Wellbeing and Community Engagement (BMHP5018)</vt:lpstr>
    </vt:vector>
  </TitlesOfParts>
  <Company/>
  <LinksUpToDate>false</LinksUpToDate>
  <CharactersWithSpaces>28948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Young People’s Health, Wellbeing and Community Engagement (BMHP5018)</dc:title>
  <dc:subject>Portfolio</dc:subject>
  <dc:creator>Katarzyna Traczewska (2215838)</dc:creator>
  <cp:keywords/>
  <dc:description/>
  <cp:lastModifiedBy>Katarzyna Traczewska (2215838)</cp:lastModifiedBy>
  <cp:revision>8</cp:revision>
  <dcterms:created xsi:type="dcterms:W3CDTF">2025-04-12T15:26:00Z</dcterms:created>
  <dcterms:modified xsi:type="dcterms:W3CDTF">2025-05-06T10:26:00Z</dcterms:modified>
</cp:coreProperties>
</file>