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463C6" w:rsidRPr="000B56DC" w:rsidRDefault="00F463C6">
      <w:pPr>
        <w:pStyle w:val="Title"/>
        <w:rPr>
          <w:rFonts w:cs="Arial"/>
        </w:rPr>
      </w:pPr>
      <w:bookmarkStart w:id="0" w:name="_tohnz215phe5" w:colFirst="0" w:colLast="0"/>
      <w:bookmarkEnd w:id="0"/>
    </w:p>
    <w:p w:rsidR="00F463C6" w:rsidRPr="000B56DC" w:rsidRDefault="00F463C6">
      <w:pPr>
        <w:pStyle w:val="Title"/>
        <w:rPr>
          <w:rFonts w:cs="Arial"/>
        </w:rPr>
      </w:pPr>
      <w:bookmarkStart w:id="1" w:name="_wsia8hyx54mg" w:colFirst="0" w:colLast="0"/>
      <w:bookmarkEnd w:id="1"/>
    </w:p>
    <w:p w:rsidR="00F463C6" w:rsidRPr="000B56DC" w:rsidRDefault="00F463C6">
      <w:pPr>
        <w:pStyle w:val="Title"/>
        <w:rPr>
          <w:rFonts w:cs="Arial"/>
        </w:rPr>
      </w:pPr>
      <w:bookmarkStart w:id="2" w:name="_fyc1ieauf8gi" w:colFirst="0" w:colLast="0"/>
      <w:bookmarkEnd w:id="2"/>
    </w:p>
    <w:p w:rsidR="00F463C6" w:rsidRPr="000B56DC" w:rsidRDefault="00F463C6">
      <w:pPr>
        <w:pStyle w:val="Title"/>
        <w:rPr>
          <w:rFonts w:cs="Arial"/>
        </w:rPr>
      </w:pPr>
      <w:bookmarkStart w:id="3" w:name="_55m4apmicevx" w:colFirst="0" w:colLast="0"/>
      <w:bookmarkEnd w:id="3"/>
    </w:p>
    <w:p w:rsidR="00F463C6" w:rsidRPr="000B56DC" w:rsidRDefault="00F463C6">
      <w:pPr>
        <w:pStyle w:val="Title"/>
        <w:rPr>
          <w:rFonts w:cs="Arial"/>
        </w:rPr>
      </w:pPr>
      <w:bookmarkStart w:id="4" w:name="_nv9u434jud8w" w:colFirst="0" w:colLast="0"/>
      <w:bookmarkEnd w:id="4"/>
    </w:p>
    <w:p w:rsidR="00F463C6" w:rsidRPr="000B56DC" w:rsidRDefault="00F463C6">
      <w:pPr>
        <w:pStyle w:val="Title"/>
        <w:rPr>
          <w:rFonts w:cs="Arial"/>
        </w:rPr>
      </w:pPr>
      <w:bookmarkStart w:id="5" w:name="_fe51nrfj0lxc" w:colFirst="0" w:colLast="0"/>
      <w:bookmarkEnd w:id="5"/>
    </w:p>
    <w:p w:rsidR="00F463C6" w:rsidRPr="000B56DC" w:rsidRDefault="00F463C6">
      <w:pPr>
        <w:pStyle w:val="Title"/>
        <w:rPr>
          <w:rFonts w:cs="Arial"/>
        </w:rPr>
      </w:pPr>
      <w:bookmarkStart w:id="6" w:name="_eddhqvehtmff" w:colFirst="0" w:colLast="0"/>
      <w:bookmarkEnd w:id="6"/>
    </w:p>
    <w:p w:rsidR="00F463C6" w:rsidRPr="000B56DC" w:rsidRDefault="00F463C6">
      <w:pPr>
        <w:pStyle w:val="Title"/>
        <w:rPr>
          <w:rFonts w:cs="Arial"/>
        </w:rPr>
      </w:pPr>
      <w:bookmarkStart w:id="7" w:name="_xsiti6orgvh2" w:colFirst="0" w:colLast="0"/>
      <w:bookmarkEnd w:id="7"/>
    </w:p>
    <w:p w:rsidR="00F463C6" w:rsidRPr="000B56DC" w:rsidRDefault="00F463C6">
      <w:pPr>
        <w:pStyle w:val="Title"/>
        <w:rPr>
          <w:rFonts w:cs="Arial"/>
        </w:rPr>
      </w:pPr>
      <w:bookmarkStart w:id="8" w:name="_1jkicpkwurhh" w:colFirst="0" w:colLast="0"/>
      <w:bookmarkEnd w:id="8"/>
    </w:p>
    <w:p w:rsidR="00F463C6" w:rsidRPr="000B56DC" w:rsidRDefault="00F463C6">
      <w:pPr>
        <w:pStyle w:val="Title"/>
        <w:rPr>
          <w:rFonts w:cs="Arial"/>
        </w:rPr>
      </w:pPr>
      <w:bookmarkStart w:id="9" w:name="_fvqjkyjd1443" w:colFirst="0" w:colLast="0"/>
      <w:bookmarkEnd w:id="9"/>
    </w:p>
    <w:p w:rsidR="000B56DC" w:rsidRDefault="00F31C61">
      <w:pPr>
        <w:pStyle w:val="Title"/>
        <w:rPr>
          <w:rFonts w:cs="Arial"/>
        </w:rPr>
      </w:pPr>
      <w:bookmarkStart w:id="10" w:name="_pmx2gy85o0rs" w:colFirst="0" w:colLast="0"/>
      <w:bookmarkEnd w:id="10"/>
      <w:r w:rsidRPr="000B56DC">
        <w:rPr>
          <w:rFonts w:cs="Arial"/>
        </w:rPr>
        <w:t>EVALUATING TESCO PLC'S BUSINESS ENVIRONMENT AND COMPETITIVE POSITION: A PESTLE AND SWOT ANALYSIS APPROACH</w:t>
      </w:r>
    </w:p>
    <w:p w:rsidR="00F31C61" w:rsidRDefault="00F31C61" w:rsidP="00F31C61">
      <w:pPr>
        <w:pBdr>
          <w:top w:val="single" w:sz="4" w:space="1" w:color="auto"/>
        </w:pBdr>
        <w:jc w:val="center"/>
        <w:rPr>
          <w:rFonts w:cs="Arial"/>
          <w:b/>
          <w:sz w:val="24"/>
        </w:rPr>
      </w:pPr>
    </w:p>
    <w:p w:rsidR="00F31C61" w:rsidRPr="00F31C61" w:rsidRDefault="00F31C61" w:rsidP="00F31C61">
      <w:pPr>
        <w:pBdr>
          <w:top w:val="single" w:sz="4" w:space="1" w:color="auto"/>
        </w:pBdr>
        <w:jc w:val="center"/>
        <w:rPr>
          <w:rFonts w:cs="Arial"/>
          <w:b/>
          <w:sz w:val="24"/>
        </w:rPr>
      </w:pPr>
      <w:r w:rsidRPr="00F31C61">
        <w:rPr>
          <w:rFonts w:cs="Arial"/>
          <w:b/>
          <w:sz w:val="24"/>
        </w:rPr>
        <w:t>STUDENT ID: 2325517</w:t>
      </w:r>
    </w:p>
    <w:p w:rsidR="00F31C61" w:rsidRPr="00F31C61" w:rsidRDefault="00F31C61" w:rsidP="00F31C61"/>
    <w:p w:rsidR="000B56DC" w:rsidRPr="000B56DC" w:rsidRDefault="000B56DC">
      <w:pPr>
        <w:rPr>
          <w:rFonts w:cs="Arial"/>
          <w:b/>
          <w:sz w:val="32"/>
          <w:szCs w:val="32"/>
        </w:rPr>
      </w:pPr>
      <w:r w:rsidRPr="000B56DC">
        <w:rPr>
          <w:rFonts w:cs="Arial"/>
        </w:rPr>
        <w:br w:type="page"/>
      </w:r>
    </w:p>
    <w:sdt>
      <w:sdtPr>
        <w:rPr>
          <w:rFonts w:ascii="Arial" w:eastAsia="Times New Roman" w:hAnsi="Arial" w:cs="Arial"/>
          <w:color w:val="000000" w:themeColor="text1"/>
          <w:sz w:val="22"/>
          <w:szCs w:val="24"/>
          <w:lang w:val="en-GB" w:eastAsia="en-IN"/>
        </w:rPr>
        <w:id w:val="-388648861"/>
        <w:docPartObj>
          <w:docPartGallery w:val="Table of Contents"/>
          <w:docPartUnique/>
        </w:docPartObj>
      </w:sdtPr>
      <w:sdtEndPr>
        <w:rPr>
          <w:b/>
          <w:bCs/>
          <w:noProof/>
        </w:rPr>
      </w:sdtEndPr>
      <w:sdtContent>
        <w:p w:rsidR="000B56DC" w:rsidRPr="000B56DC" w:rsidRDefault="000B56DC" w:rsidP="000B56DC">
          <w:pPr>
            <w:pStyle w:val="TOCHeading"/>
            <w:jc w:val="center"/>
            <w:rPr>
              <w:rFonts w:ascii="Arial" w:hAnsi="Arial" w:cs="Arial"/>
              <w:b/>
              <w:bCs/>
              <w:color w:val="000000" w:themeColor="text1"/>
              <w:sz w:val="28"/>
              <w:szCs w:val="28"/>
            </w:rPr>
          </w:pPr>
          <w:r w:rsidRPr="000B56DC">
            <w:rPr>
              <w:rFonts w:ascii="Arial" w:hAnsi="Arial" w:cs="Arial"/>
              <w:b/>
              <w:bCs/>
              <w:color w:val="000000" w:themeColor="text1"/>
              <w:sz w:val="28"/>
              <w:szCs w:val="28"/>
            </w:rPr>
            <w:t>TABLE OF CONTENTS</w:t>
          </w:r>
        </w:p>
        <w:p w:rsidR="000B56DC" w:rsidRPr="000B56DC" w:rsidRDefault="00267874">
          <w:pPr>
            <w:pStyle w:val="TOC1"/>
            <w:tabs>
              <w:tab w:val="right" w:leader="dot" w:pos="9350"/>
            </w:tabs>
            <w:rPr>
              <w:rFonts w:cs="Arial"/>
              <w:noProof/>
            </w:rPr>
          </w:pPr>
          <w:r w:rsidRPr="000B56DC">
            <w:rPr>
              <w:rFonts w:cs="Arial"/>
            </w:rPr>
            <w:fldChar w:fldCharType="begin"/>
          </w:r>
          <w:r w:rsidR="000B56DC" w:rsidRPr="000B56DC">
            <w:rPr>
              <w:rFonts w:cs="Arial"/>
            </w:rPr>
            <w:instrText xml:space="preserve"> TOC \o "1-3" \h \z \u </w:instrText>
          </w:r>
          <w:r w:rsidRPr="000B56DC">
            <w:rPr>
              <w:rFonts w:cs="Arial"/>
            </w:rPr>
            <w:fldChar w:fldCharType="separate"/>
          </w:r>
          <w:hyperlink w:anchor="_Toc173333350" w:history="1">
            <w:r w:rsidR="000B56DC" w:rsidRPr="000B56DC">
              <w:rPr>
                <w:rStyle w:val="Hyperlink"/>
                <w:rFonts w:cs="Arial"/>
                <w:noProof/>
              </w:rPr>
              <w:t>Introduction</w:t>
            </w:r>
            <w:r w:rsidR="000B56DC" w:rsidRPr="000B56DC">
              <w:rPr>
                <w:rFonts w:cs="Arial"/>
                <w:noProof/>
                <w:webHidden/>
              </w:rPr>
              <w:tab/>
            </w:r>
            <w:r w:rsidRPr="000B56DC">
              <w:rPr>
                <w:rFonts w:cs="Arial"/>
                <w:noProof/>
                <w:webHidden/>
              </w:rPr>
              <w:fldChar w:fldCharType="begin"/>
            </w:r>
            <w:r w:rsidR="000B56DC" w:rsidRPr="000B56DC">
              <w:rPr>
                <w:rFonts w:cs="Arial"/>
                <w:noProof/>
                <w:webHidden/>
              </w:rPr>
              <w:instrText xml:space="preserve"> PAGEREF _Toc173333350 \h </w:instrText>
            </w:r>
            <w:r w:rsidRPr="000B56DC">
              <w:rPr>
                <w:rFonts w:cs="Arial"/>
                <w:noProof/>
                <w:webHidden/>
              </w:rPr>
            </w:r>
            <w:r w:rsidRPr="000B56DC">
              <w:rPr>
                <w:rFonts w:cs="Arial"/>
                <w:noProof/>
                <w:webHidden/>
              </w:rPr>
              <w:fldChar w:fldCharType="separate"/>
            </w:r>
            <w:r w:rsidR="000B56DC" w:rsidRPr="000B56DC">
              <w:rPr>
                <w:rFonts w:cs="Arial"/>
                <w:noProof/>
                <w:webHidden/>
              </w:rPr>
              <w:t>3</w:t>
            </w:r>
            <w:r w:rsidRPr="000B56DC">
              <w:rPr>
                <w:rFonts w:cs="Arial"/>
                <w:noProof/>
                <w:webHidden/>
              </w:rPr>
              <w:fldChar w:fldCharType="end"/>
            </w:r>
          </w:hyperlink>
        </w:p>
        <w:p w:rsidR="000B56DC" w:rsidRPr="000B56DC" w:rsidRDefault="00732682">
          <w:pPr>
            <w:pStyle w:val="TOC1"/>
            <w:tabs>
              <w:tab w:val="right" w:leader="dot" w:pos="9350"/>
            </w:tabs>
            <w:rPr>
              <w:rFonts w:cs="Arial"/>
              <w:noProof/>
            </w:rPr>
          </w:pPr>
          <w:hyperlink w:anchor="_Toc173333351" w:history="1">
            <w:r w:rsidR="000B56DC" w:rsidRPr="000B56DC">
              <w:rPr>
                <w:rStyle w:val="Hyperlink"/>
                <w:rFonts w:cs="Arial"/>
                <w:noProof/>
              </w:rPr>
              <w:t>Main Body</w:t>
            </w:r>
            <w:r w:rsidR="000B56DC" w:rsidRPr="000B56DC">
              <w:rPr>
                <w:rFonts w:cs="Arial"/>
                <w:noProof/>
                <w:webHidden/>
              </w:rPr>
              <w:tab/>
            </w:r>
            <w:r w:rsidR="00267874" w:rsidRPr="000B56DC">
              <w:rPr>
                <w:rFonts w:cs="Arial"/>
                <w:noProof/>
                <w:webHidden/>
              </w:rPr>
              <w:fldChar w:fldCharType="begin"/>
            </w:r>
            <w:r w:rsidR="000B56DC" w:rsidRPr="000B56DC">
              <w:rPr>
                <w:rFonts w:cs="Arial"/>
                <w:noProof/>
                <w:webHidden/>
              </w:rPr>
              <w:instrText xml:space="preserve"> PAGEREF _Toc173333351 \h </w:instrText>
            </w:r>
            <w:r w:rsidR="00267874" w:rsidRPr="000B56DC">
              <w:rPr>
                <w:rFonts w:cs="Arial"/>
                <w:noProof/>
                <w:webHidden/>
              </w:rPr>
            </w:r>
            <w:r w:rsidR="00267874" w:rsidRPr="000B56DC">
              <w:rPr>
                <w:rFonts w:cs="Arial"/>
                <w:noProof/>
                <w:webHidden/>
              </w:rPr>
              <w:fldChar w:fldCharType="separate"/>
            </w:r>
            <w:r w:rsidR="000B56DC" w:rsidRPr="000B56DC">
              <w:rPr>
                <w:rFonts w:cs="Arial"/>
                <w:noProof/>
                <w:webHidden/>
              </w:rPr>
              <w:t>3</w:t>
            </w:r>
            <w:r w:rsidR="00267874" w:rsidRPr="000B56DC">
              <w:rPr>
                <w:rFonts w:cs="Arial"/>
                <w:noProof/>
                <w:webHidden/>
              </w:rPr>
              <w:fldChar w:fldCharType="end"/>
            </w:r>
          </w:hyperlink>
        </w:p>
        <w:p w:rsidR="000B56DC" w:rsidRPr="000B56DC" w:rsidRDefault="00732682">
          <w:pPr>
            <w:pStyle w:val="TOC2"/>
            <w:tabs>
              <w:tab w:val="right" w:leader="dot" w:pos="9350"/>
            </w:tabs>
            <w:rPr>
              <w:rFonts w:cs="Arial"/>
              <w:noProof/>
            </w:rPr>
          </w:pPr>
          <w:hyperlink w:anchor="_Toc173333352" w:history="1">
            <w:r w:rsidR="000B56DC" w:rsidRPr="000B56DC">
              <w:rPr>
                <w:rStyle w:val="Hyperlink"/>
                <w:rFonts w:cs="Arial"/>
                <w:noProof/>
              </w:rPr>
              <w:t>PESTLE Analysis for TESCO Plc:</w:t>
            </w:r>
            <w:r w:rsidR="000B56DC" w:rsidRPr="000B56DC">
              <w:rPr>
                <w:rFonts w:cs="Arial"/>
                <w:noProof/>
                <w:webHidden/>
              </w:rPr>
              <w:tab/>
            </w:r>
            <w:r w:rsidR="00267874" w:rsidRPr="000B56DC">
              <w:rPr>
                <w:rFonts w:cs="Arial"/>
                <w:noProof/>
                <w:webHidden/>
              </w:rPr>
              <w:fldChar w:fldCharType="begin"/>
            </w:r>
            <w:r w:rsidR="000B56DC" w:rsidRPr="000B56DC">
              <w:rPr>
                <w:rFonts w:cs="Arial"/>
                <w:noProof/>
                <w:webHidden/>
              </w:rPr>
              <w:instrText xml:space="preserve"> PAGEREF _Toc173333352 \h </w:instrText>
            </w:r>
            <w:r w:rsidR="00267874" w:rsidRPr="000B56DC">
              <w:rPr>
                <w:rFonts w:cs="Arial"/>
                <w:noProof/>
                <w:webHidden/>
              </w:rPr>
            </w:r>
            <w:r w:rsidR="00267874" w:rsidRPr="000B56DC">
              <w:rPr>
                <w:rFonts w:cs="Arial"/>
                <w:noProof/>
                <w:webHidden/>
              </w:rPr>
              <w:fldChar w:fldCharType="separate"/>
            </w:r>
            <w:r w:rsidR="000B56DC" w:rsidRPr="000B56DC">
              <w:rPr>
                <w:rFonts w:cs="Arial"/>
                <w:noProof/>
                <w:webHidden/>
              </w:rPr>
              <w:t>3</w:t>
            </w:r>
            <w:r w:rsidR="00267874" w:rsidRPr="000B56DC">
              <w:rPr>
                <w:rFonts w:cs="Arial"/>
                <w:noProof/>
                <w:webHidden/>
              </w:rPr>
              <w:fldChar w:fldCharType="end"/>
            </w:r>
          </w:hyperlink>
        </w:p>
        <w:p w:rsidR="000B56DC" w:rsidRPr="000B56DC" w:rsidRDefault="00732682">
          <w:pPr>
            <w:pStyle w:val="TOC2"/>
            <w:tabs>
              <w:tab w:val="right" w:leader="dot" w:pos="9350"/>
            </w:tabs>
            <w:rPr>
              <w:rFonts w:cs="Arial"/>
              <w:noProof/>
            </w:rPr>
          </w:pPr>
          <w:hyperlink w:anchor="_Toc173333353" w:history="1">
            <w:r w:rsidR="000B56DC" w:rsidRPr="000B56DC">
              <w:rPr>
                <w:rStyle w:val="Hyperlink"/>
                <w:rFonts w:cs="Arial"/>
                <w:noProof/>
              </w:rPr>
              <w:t>SWOT Analysis for TESCO Plc:</w:t>
            </w:r>
            <w:r w:rsidR="000B56DC" w:rsidRPr="000B56DC">
              <w:rPr>
                <w:rFonts w:cs="Arial"/>
                <w:noProof/>
                <w:webHidden/>
              </w:rPr>
              <w:tab/>
            </w:r>
            <w:r w:rsidR="00267874" w:rsidRPr="000B56DC">
              <w:rPr>
                <w:rFonts w:cs="Arial"/>
                <w:noProof/>
                <w:webHidden/>
              </w:rPr>
              <w:fldChar w:fldCharType="begin"/>
            </w:r>
            <w:r w:rsidR="000B56DC" w:rsidRPr="000B56DC">
              <w:rPr>
                <w:rFonts w:cs="Arial"/>
                <w:noProof/>
                <w:webHidden/>
              </w:rPr>
              <w:instrText xml:space="preserve"> PAGEREF _Toc173333353 \h </w:instrText>
            </w:r>
            <w:r w:rsidR="00267874" w:rsidRPr="000B56DC">
              <w:rPr>
                <w:rFonts w:cs="Arial"/>
                <w:noProof/>
                <w:webHidden/>
              </w:rPr>
            </w:r>
            <w:r w:rsidR="00267874" w:rsidRPr="000B56DC">
              <w:rPr>
                <w:rFonts w:cs="Arial"/>
                <w:noProof/>
                <w:webHidden/>
              </w:rPr>
              <w:fldChar w:fldCharType="separate"/>
            </w:r>
            <w:r w:rsidR="000B56DC" w:rsidRPr="000B56DC">
              <w:rPr>
                <w:rFonts w:cs="Arial"/>
                <w:noProof/>
                <w:webHidden/>
              </w:rPr>
              <w:t>5</w:t>
            </w:r>
            <w:r w:rsidR="00267874" w:rsidRPr="000B56DC">
              <w:rPr>
                <w:rFonts w:cs="Arial"/>
                <w:noProof/>
                <w:webHidden/>
              </w:rPr>
              <w:fldChar w:fldCharType="end"/>
            </w:r>
          </w:hyperlink>
        </w:p>
        <w:p w:rsidR="000B56DC" w:rsidRPr="000B56DC" w:rsidRDefault="00732682">
          <w:pPr>
            <w:pStyle w:val="TOC1"/>
            <w:tabs>
              <w:tab w:val="right" w:leader="dot" w:pos="9350"/>
            </w:tabs>
            <w:rPr>
              <w:rFonts w:cs="Arial"/>
              <w:noProof/>
            </w:rPr>
          </w:pPr>
          <w:hyperlink w:anchor="_Toc173333354" w:history="1">
            <w:r w:rsidR="000B56DC" w:rsidRPr="000B56DC">
              <w:rPr>
                <w:rStyle w:val="Hyperlink"/>
                <w:rFonts w:cs="Arial"/>
                <w:noProof/>
              </w:rPr>
              <w:t>Conclusion</w:t>
            </w:r>
            <w:r w:rsidR="000B56DC" w:rsidRPr="000B56DC">
              <w:rPr>
                <w:rFonts w:cs="Arial"/>
                <w:noProof/>
                <w:webHidden/>
              </w:rPr>
              <w:tab/>
            </w:r>
            <w:r w:rsidR="00267874" w:rsidRPr="000B56DC">
              <w:rPr>
                <w:rFonts w:cs="Arial"/>
                <w:noProof/>
                <w:webHidden/>
              </w:rPr>
              <w:fldChar w:fldCharType="begin"/>
            </w:r>
            <w:r w:rsidR="000B56DC" w:rsidRPr="000B56DC">
              <w:rPr>
                <w:rFonts w:cs="Arial"/>
                <w:noProof/>
                <w:webHidden/>
              </w:rPr>
              <w:instrText xml:space="preserve"> PAGEREF _Toc173333354 \h </w:instrText>
            </w:r>
            <w:r w:rsidR="00267874" w:rsidRPr="000B56DC">
              <w:rPr>
                <w:rFonts w:cs="Arial"/>
                <w:noProof/>
                <w:webHidden/>
              </w:rPr>
            </w:r>
            <w:r w:rsidR="00267874" w:rsidRPr="000B56DC">
              <w:rPr>
                <w:rFonts w:cs="Arial"/>
                <w:noProof/>
                <w:webHidden/>
              </w:rPr>
              <w:fldChar w:fldCharType="separate"/>
            </w:r>
            <w:r w:rsidR="000B56DC" w:rsidRPr="000B56DC">
              <w:rPr>
                <w:rFonts w:cs="Arial"/>
                <w:noProof/>
                <w:webHidden/>
              </w:rPr>
              <w:t>6</w:t>
            </w:r>
            <w:r w:rsidR="00267874" w:rsidRPr="000B56DC">
              <w:rPr>
                <w:rFonts w:cs="Arial"/>
                <w:noProof/>
                <w:webHidden/>
              </w:rPr>
              <w:fldChar w:fldCharType="end"/>
            </w:r>
          </w:hyperlink>
        </w:p>
        <w:p w:rsidR="000B56DC" w:rsidRPr="000B56DC" w:rsidRDefault="00732682">
          <w:pPr>
            <w:pStyle w:val="TOC1"/>
            <w:tabs>
              <w:tab w:val="right" w:leader="dot" w:pos="9350"/>
            </w:tabs>
            <w:rPr>
              <w:rFonts w:cs="Arial"/>
              <w:noProof/>
            </w:rPr>
          </w:pPr>
          <w:hyperlink w:anchor="_Toc173333355" w:history="1">
            <w:r w:rsidR="000B56DC" w:rsidRPr="000B56DC">
              <w:rPr>
                <w:rStyle w:val="Hyperlink"/>
                <w:rFonts w:cs="Arial"/>
                <w:noProof/>
              </w:rPr>
              <w:t>Reference List</w:t>
            </w:r>
            <w:r w:rsidR="000B56DC" w:rsidRPr="000B56DC">
              <w:rPr>
                <w:rFonts w:cs="Arial"/>
                <w:noProof/>
                <w:webHidden/>
              </w:rPr>
              <w:tab/>
            </w:r>
            <w:r w:rsidR="00267874" w:rsidRPr="000B56DC">
              <w:rPr>
                <w:rFonts w:cs="Arial"/>
                <w:noProof/>
                <w:webHidden/>
              </w:rPr>
              <w:fldChar w:fldCharType="begin"/>
            </w:r>
            <w:r w:rsidR="000B56DC" w:rsidRPr="000B56DC">
              <w:rPr>
                <w:rFonts w:cs="Arial"/>
                <w:noProof/>
                <w:webHidden/>
              </w:rPr>
              <w:instrText xml:space="preserve"> PAGEREF _Toc173333355 \h </w:instrText>
            </w:r>
            <w:r w:rsidR="00267874" w:rsidRPr="000B56DC">
              <w:rPr>
                <w:rFonts w:cs="Arial"/>
                <w:noProof/>
                <w:webHidden/>
              </w:rPr>
            </w:r>
            <w:r w:rsidR="00267874" w:rsidRPr="000B56DC">
              <w:rPr>
                <w:rFonts w:cs="Arial"/>
                <w:noProof/>
                <w:webHidden/>
              </w:rPr>
              <w:fldChar w:fldCharType="separate"/>
            </w:r>
            <w:r w:rsidR="000B56DC" w:rsidRPr="000B56DC">
              <w:rPr>
                <w:rFonts w:cs="Arial"/>
                <w:noProof/>
                <w:webHidden/>
              </w:rPr>
              <w:t>8</w:t>
            </w:r>
            <w:r w:rsidR="00267874" w:rsidRPr="000B56DC">
              <w:rPr>
                <w:rFonts w:cs="Arial"/>
                <w:noProof/>
                <w:webHidden/>
              </w:rPr>
              <w:fldChar w:fldCharType="end"/>
            </w:r>
          </w:hyperlink>
        </w:p>
        <w:p w:rsidR="000B56DC" w:rsidRPr="000B56DC" w:rsidRDefault="00267874">
          <w:pPr>
            <w:rPr>
              <w:rFonts w:cs="Arial"/>
            </w:rPr>
          </w:pPr>
          <w:r w:rsidRPr="000B56DC">
            <w:rPr>
              <w:rFonts w:cs="Arial"/>
              <w:b/>
              <w:bCs/>
              <w:noProof/>
            </w:rPr>
            <w:fldChar w:fldCharType="end"/>
          </w:r>
        </w:p>
      </w:sdtContent>
    </w:sdt>
    <w:p w:rsidR="00F463C6" w:rsidRPr="000B56DC" w:rsidRDefault="00F31C61" w:rsidP="000B56DC">
      <w:pPr>
        <w:rPr>
          <w:rFonts w:cs="Arial"/>
        </w:rPr>
      </w:pPr>
      <w:r w:rsidRPr="000B56DC">
        <w:rPr>
          <w:rFonts w:cs="Arial"/>
        </w:rPr>
        <w:br w:type="page"/>
      </w:r>
    </w:p>
    <w:p w:rsidR="00F463C6" w:rsidRPr="000B56DC" w:rsidRDefault="00F31C61">
      <w:pPr>
        <w:pStyle w:val="Heading1"/>
        <w:rPr>
          <w:rFonts w:cs="Arial"/>
        </w:rPr>
      </w:pPr>
      <w:bookmarkStart w:id="11" w:name="_2ol8dbh0bj6y" w:colFirst="0" w:colLast="0"/>
      <w:bookmarkStart w:id="12" w:name="_Toc173333350"/>
      <w:bookmarkEnd w:id="11"/>
      <w:r w:rsidRPr="000B56DC">
        <w:rPr>
          <w:rFonts w:cs="Arial"/>
        </w:rPr>
        <w:t>Introduction</w:t>
      </w:r>
      <w:bookmarkEnd w:id="12"/>
    </w:p>
    <w:p w:rsidR="00F463C6" w:rsidRPr="000B56DC" w:rsidRDefault="00F31C61">
      <w:pPr>
        <w:rPr>
          <w:rFonts w:cs="Arial"/>
        </w:rPr>
      </w:pPr>
      <w:r w:rsidRPr="000B56DC">
        <w:rPr>
          <w:rFonts w:cs="Arial"/>
        </w:rPr>
        <w:t>TESCO Plc is a global business organization in the private sector dealing in retailing of assorted products, services and merchandise. TESCO was founded in 1919 and now is one of the largest retail companies in the entire world. The role of the organizational mission of the firm is to try to serve customers just a little bit better every day while the objective or the end game of the firm is to create value for customers and earn their loyal patronage for a lifetime. Some of the key products and services that form the company’s portfolio include food products, non-food products, TESCO financial services, and TESCO telecom. The firm has many store formats including superstores, convenience and others and internet sales. Holding its large number of stores in the UK and Foreign countries and with the global market changing day by day TESCO is also flexible enough to change its business model.</w:t>
      </w:r>
    </w:p>
    <w:p w:rsidR="00F463C6" w:rsidRPr="000B56DC" w:rsidRDefault="00F463C6">
      <w:pPr>
        <w:rPr>
          <w:rFonts w:cs="Arial"/>
        </w:rPr>
      </w:pPr>
    </w:p>
    <w:p w:rsidR="00F463C6" w:rsidRPr="000B56DC" w:rsidRDefault="00F31C61">
      <w:pPr>
        <w:pStyle w:val="Heading1"/>
        <w:rPr>
          <w:rFonts w:cs="Arial"/>
        </w:rPr>
      </w:pPr>
      <w:bookmarkStart w:id="13" w:name="_gjdecclw94mh" w:colFirst="0" w:colLast="0"/>
      <w:bookmarkStart w:id="14" w:name="_Toc173333351"/>
      <w:bookmarkEnd w:id="13"/>
      <w:r w:rsidRPr="000B56DC">
        <w:rPr>
          <w:rFonts w:cs="Arial"/>
        </w:rPr>
        <w:t>Main Body</w:t>
      </w:r>
      <w:bookmarkEnd w:id="14"/>
    </w:p>
    <w:p w:rsidR="00F463C6" w:rsidRPr="000B56DC" w:rsidRDefault="00F31C61">
      <w:pPr>
        <w:pStyle w:val="Heading2"/>
        <w:rPr>
          <w:rFonts w:cs="Arial"/>
        </w:rPr>
      </w:pPr>
      <w:bookmarkStart w:id="15" w:name="_xirs4tircm7x" w:colFirst="0" w:colLast="0"/>
      <w:bookmarkStart w:id="16" w:name="_Toc173333352"/>
      <w:bookmarkEnd w:id="15"/>
      <w:r w:rsidRPr="000B56DC">
        <w:rPr>
          <w:rFonts w:cs="Arial"/>
        </w:rPr>
        <w:t>PESTLE Analysis for TESCO Plc:</w:t>
      </w:r>
      <w:bookmarkEnd w:id="16"/>
    </w:p>
    <w:tbl>
      <w:tblPr>
        <w:tblStyle w:val="a"/>
        <w:tblW w:w="9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515"/>
        <w:gridCol w:w="1500"/>
        <w:gridCol w:w="1620"/>
        <w:gridCol w:w="1620"/>
        <w:gridCol w:w="1380"/>
        <w:gridCol w:w="1815"/>
      </w:tblGrid>
      <w:tr w:rsidR="00F463C6" w:rsidRPr="000B56DC">
        <w:trPr>
          <w:trHeight w:val="455"/>
        </w:trPr>
        <w:tc>
          <w:tcPr>
            <w:tcW w:w="1515" w:type="dxa"/>
            <w:tcBorders>
              <w:top w:val="single" w:sz="6" w:space="0" w:color="000000"/>
              <w:left w:val="single" w:sz="6" w:space="0" w:color="000000"/>
              <w:bottom w:val="single" w:sz="6" w:space="0" w:color="000000"/>
              <w:right w:val="single" w:sz="6" w:space="0" w:color="000000"/>
            </w:tcBorders>
            <w:shd w:val="clear" w:color="auto" w:fill="EA9999"/>
            <w:tcMar>
              <w:top w:w="100" w:type="dxa"/>
              <w:left w:w="100" w:type="dxa"/>
              <w:bottom w:w="100" w:type="dxa"/>
              <w:right w:w="100" w:type="dxa"/>
            </w:tcMar>
          </w:tcPr>
          <w:p w:rsidR="00F463C6" w:rsidRPr="000B56DC" w:rsidRDefault="00F31C61">
            <w:pPr>
              <w:jc w:val="center"/>
              <w:rPr>
                <w:rFonts w:cs="Arial"/>
              </w:rPr>
            </w:pPr>
            <w:r w:rsidRPr="000B56DC">
              <w:rPr>
                <w:rFonts w:cs="Arial"/>
                <w:b/>
              </w:rPr>
              <w:t>Political</w:t>
            </w:r>
          </w:p>
        </w:tc>
        <w:tc>
          <w:tcPr>
            <w:tcW w:w="1500" w:type="dxa"/>
            <w:tcBorders>
              <w:top w:val="single" w:sz="6" w:space="0" w:color="000000"/>
              <w:left w:val="single" w:sz="6" w:space="0" w:color="000000"/>
              <w:bottom w:val="single" w:sz="6" w:space="0" w:color="000000"/>
              <w:right w:val="single" w:sz="6" w:space="0" w:color="000000"/>
            </w:tcBorders>
            <w:shd w:val="clear" w:color="auto" w:fill="D5A6BD"/>
            <w:tcMar>
              <w:top w:w="100" w:type="dxa"/>
              <w:left w:w="100" w:type="dxa"/>
              <w:bottom w:w="100" w:type="dxa"/>
              <w:right w:w="100" w:type="dxa"/>
            </w:tcMar>
          </w:tcPr>
          <w:p w:rsidR="00F463C6" w:rsidRPr="000B56DC" w:rsidRDefault="00F31C61">
            <w:pPr>
              <w:jc w:val="center"/>
              <w:rPr>
                <w:rFonts w:cs="Arial"/>
              </w:rPr>
            </w:pPr>
            <w:r w:rsidRPr="000B56DC">
              <w:rPr>
                <w:rFonts w:cs="Arial"/>
                <w:b/>
              </w:rPr>
              <w:t>Economic</w:t>
            </w:r>
          </w:p>
        </w:tc>
        <w:tc>
          <w:tcPr>
            <w:tcW w:w="1620" w:type="dxa"/>
            <w:tcBorders>
              <w:top w:val="single" w:sz="6" w:space="0" w:color="000000"/>
              <w:left w:val="single" w:sz="6" w:space="0" w:color="000000"/>
              <w:bottom w:val="single" w:sz="6" w:space="0" w:color="000000"/>
              <w:right w:val="single" w:sz="6" w:space="0" w:color="000000"/>
            </w:tcBorders>
            <w:shd w:val="clear" w:color="auto" w:fill="9FC5E8"/>
            <w:tcMar>
              <w:top w:w="100" w:type="dxa"/>
              <w:left w:w="100" w:type="dxa"/>
              <w:bottom w:w="100" w:type="dxa"/>
              <w:right w:w="100" w:type="dxa"/>
            </w:tcMar>
          </w:tcPr>
          <w:p w:rsidR="00F463C6" w:rsidRPr="000B56DC" w:rsidRDefault="00F31C61">
            <w:pPr>
              <w:jc w:val="center"/>
              <w:rPr>
                <w:rFonts w:cs="Arial"/>
              </w:rPr>
            </w:pPr>
            <w:r w:rsidRPr="000B56DC">
              <w:rPr>
                <w:rFonts w:cs="Arial"/>
                <w:b/>
              </w:rPr>
              <w:t>Social</w:t>
            </w:r>
          </w:p>
        </w:tc>
        <w:tc>
          <w:tcPr>
            <w:tcW w:w="1620" w:type="dxa"/>
            <w:tcBorders>
              <w:top w:val="single" w:sz="6" w:space="0" w:color="000000"/>
              <w:left w:val="single" w:sz="6" w:space="0" w:color="000000"/>
              <w:bottom w:val="single" w:sz="6" w:space="0" w:color="000000"/>
              <w:right w:val="single" w:sz="6" w:space="0" w:color="000000"/>
            </w:tcBorders>
            <w:shd w:val="clear" w:color="auto" w:fill="F9CB9C"/>
            <w:tcMar>
              <w:top w:w="100" w:type="dxa"/>
              <w:left w:w="100" w:type="dxa"/>
              <w:bottom w:w="100" w:type="dxa"/>
              <w:right w:w="100" w:type="dxa"/>
            </w:tcMar>
          </w:tcPr>
          <w:p w:rsidR="00F463C6" w:rsidRPr="000B56DC" w:rsidRDefault="00F31C61">
            <w:pPr>
              <w:jc w:val="center"/>
              <w:rPr>
                <w:rFonts w:cs="Arial"/>
              </w:rPr>
            </w:pPr>
            <w:r w:rsidRPr="000B56DC">
              <w:rPr>
                <w:rFonts w:cs="Arial"/>
                <w:b/>
              </w:rPr>
              <w:t>Technological</w:t>
            </w:r>
          </w:p>
        </w:tc>
        <w:tc>
          <w:tcPr>
            <w:tcW w:w="1380" w:type="dxa"/>
            <w:tcBorders>
              <w:top w:val="single" w:sz="6" w:space="0" w:color="000000"/>
              <w:left w:val="single" w:sz="6" w:space="0" w:color="000000"/>
              <w:bottom w:val="single" w:sz="6" w:space="0" w:color="000000"/>
              <w:right w:val="single" w:sz="6" w:space="0" w:color="000000"/>
            </w:tcBorders>
            <w:shd w:val="clear" w:color="auto" w:fill="8E7CC3"/>
            <w:tcMar>
              <w:top w:w="100" w:type="dxa"/>
              <w:left w:w="100" w:type="dxa"/>
              <w:bottom w:w="100" w:type="dxa"/>
              <w:right w:w="100" w:type="dxa"/>
            </w:tcMar>
          </w:tcPr>
          <w:p w:rsidR="00F463C6" w:rsidRPr="000B56DC" w:rsidRDefault="00F31C61">
            <w:pPr>
              <w:jc w:val="center"/>
              <w:rPr>
                <w:rFonts w:cs="Arial"/>
              </w:rPr>
            </w:pPr>
            <w:r w:rsidRPr="000B56DC">
              <w:rPr>
                <w:rFonts w:cs="Arial"/>
                <w:b/>
              </w:rPr>
              <w:t>Legal</w:t>
            </w:r>
          </w:p>
        </w:tc>
        <w:tc>
          <w:tcPr>
            <w:tcW w:w="1815" w:type="dxa"/>
            <w:tcBorders>
              <w:top w:val="single" w:sz="6" w:space="0" w:color="000000"/>
              <w:left w:val="single" w:sz="6" w:space="0" w:color="000000"/>
              <w:bottom w:val="single" w:sz="6" w:space="0" w:color="000000"/>
              <w:right w:val="single" w:sz="6" w:space="0" w:color="000000"/>
            </w:tcBorders>
            <w:shd w:val="clear" w:color="auto" w:fill="93C47D"/>
            <w:tcMar>
              <w:top w:w="100" w:type="dxa"/>
              <w:left w:w="100" w:type="dxa"/>
              <w:bottom w:w="100" w:type="dxa"/>
              <w:right w:w="100" w:type="dxa"/>
            </w:tcMar>
          </w:tcPr>
          <w:p w:rsidR="00F463C6" w:rsidRPr="000B56DC" w:rsidRDefault="00F31C61">
            <w:pPr>
              <w:jc w:val="center"/>
              <w:rPr>
                <w:rFonts w:cs="Arial"/>
              </w:rPr>
            </w:pPr>
            <w:r w:rsidRPr="000B56DC">
              <w:rPr>
                <w:rFonts w:cs="Arial"/>
                <w:b/>
              </w:rPr>
              <w:t>Environmental</w:t>
            </w:r>
          </w:p>
        </w:tc>
      </w:tr>
      <w:tr w:rsidR="00F463C6" w:rsidRPr="000B56DC">
        <w:trPr>
          <w:trHeight w:val="905"/>
        </w:trPr>
        <w:tc>
          <w:tcPr>
            <w:tcW w:w="1515" w:type="dxa"/>
            <w:tcBorders>
              <w:top w:val="single" w:sz="6" w:space="0" w:color="000000"/>
              <w:left w:val="single" w:sz="6" w:space="0" w:color="000000"/>
              <w:bottom w:val="single" w:sz="6" w:space="0" w:color="000000"/>
              <w:right w:val="single" w:sz="6" w:space="0" w:color="000000"/>
            </w:tcBorders>
            <w:shd w:val="clear" w:color="auto" w:fill="EA9999"/>
            <w:tcMar>
              <w:top w:w="100" w:type="dxa"/>
              <w:left w:w="100" w:type="dxa"/>
              <w:bottom w:w="100" w:type="dxa"/>
              <w:right w:w="100" w:type="dxa"/>
            </w:tcMar>
          </w:tcPr>
          <w:p w:rsidR="00F463C6" w:rsidRPr="000B56DC" w:rsidRDefault="00F31C61">
            <w:pPr>
              <w:rPr>
                <w:rFonts w:cs="Arial"/>
              </w:rPr>
            </w:pPr>
            <w:r w:rsidRPr="000B56DC">
              <w:rPr>
                <w:rFonts w:cs="Arial"/>
              </w:rPr>
              <w:t>Brexit implications</w:t>
            </w:r>
          </w:p>
        </w:tc>
        <w:tc>
          <w:tcPr>
            <w:tcW w:w="1500" w:type="dxa"/>
            <w:tcBorders>
              <w:top w:val="single" w:sz="6" w:space="0" w:color="000000"/>
              <w:left w:val="single" w:sz="6" w:space="0" w:color="000000"/>
              <w:bottom w:val="single" w:sz="6" w:space="0" w:color="000000"/>
              <w:right w:val="single" w:sz="6" w:space="0" w:color="000000"/>
            </w:tcBorders>
            <w:shd w:val="clear" w:color="auto" w:fill="D5A6BD"/>
            <w:tcMar>
              <w:top w:w="100" w:type="dxa"/>
              <w:left w:w="100" w:type="dxa"/>
              <w:bottom w:w="100" w:type="dxa"/>
              <w:right w:w="100" w:type="dxa"/>
            </w:tcMar>
          </w:tcPr>
          <w:p w:rsidR="00F463C6" w:rsidRPr="000B56DC" w:rsidRDefault="00F31C61">
            <w:pPr>
              <w:rPr>
                <w:rFonts w:cs="Arial"/>
              </w:rPr>
            </w:pPr>
            <w:r w:rsidRPr="000B56DC">
              <w:rPr>
                <w:rFonts w:cs="Arial"/>
              </w:rPr>
              <w:t>Inflation and cost pressures</w:t>
            </w:r>
          </w:p>
        </w:tc>
        <w:tc>
          <w:tcPr>
            <w:tcW w:w="1620" w:type="dxa"/>
            <w:tcBorders>
              <w:top w:val="single" w:sz="6" w:space="0" w:color="000000"/>
              <w:left w:val="single" w:sz="6" w:space="0" w:color="000000"/>
              <w:bottom w:val="single" w:sz="6" w:space="0" w:color="000000"/>
              <w:right w:val="single" w:sz="6" w:space="0" w:color="000000"/>
            </w:tcBorders>
            <w:shd w:val="clear" w:color="auto" w:fill="9FC5E8"/>
            <w:tcMar>
              <w:top w:w="100" w:type="dxa"/>
              <w:left w:w="100" w:type="dxa"/>
              <w:bottom w:w="100" w:type="dxa"/>
              <w:right w:w="100" w:type="dxa"/>
            </w:tcMar>
          </w:tcPr>
          <w:p w:rsidR="00F463C6" w:rsidRPr="000B56DC" w:rsidRDefault="00F31C61">
            <w:pPr>
              <w:rPr>
                <w:rFonts w:cs="Arial"/>
              </w:rPr>
            </w:pPr>
            <w:r w:rsidRPr="000B56DC">
              <w:rPr>
                <w:rFonts w:cs="Arial"/>
              </w:rPr>
              <w:t>Changing consumer preferences</w:t>
            </w:r>
          </w:p>
        </w:tc>
        <w:tc>
          <w:tcPr>
            <w:tcW w:w="1620" w:type="dxa"/>
            <w:tcBorders>
              <w:top w:val="single" w:sz="6" w:space="0" w:color="000000"/>
              <w:left w:val="single" w:sz="6" w:space="0" w:color="000000"/>
              <w:bottom w:val="single" w:sz="6" w:space="0" w:color="000000"/>
              <w:right w:val="single" w:sz="6" w:space="0" w:color="000000"/>
            </w:tcBorders>
            <w:shd w:val="clear" w:color="auto" w:fill="F9CB9C"/>
            <w:tcMar>
              <w:top w:w="100" w:type="dxa"/>
              <w:left w:w="100" w:type="dxa"/>
              <w:bottom w:w="100" w:type="dxa"/>
              <w:right w:w="100" w:type="dxa"/>
            </w:tcMar>
          </w:tcPr>
          <w:p w:rsidR="00F463C6" w:rsidRPr="000B56DC" w:rsidRDefault="00F31C61">
            <w:pPr>
              <w:rPr>
                <w:rFonts w:cs="Arial"/>
              </w:rPr>
            </w:pPr>
            <w:r w:rsidRPr="000B56DC">
              <w:rPr>
                <w:rFonts w:cs="Arial"/>
              </w:rPr>
              <w:t>E-commerce growth</w:t>
            </w:r>
          </w:p>
        </w:tc>
        <w:tc>
          <w:tcPr>
            <w:tcW w:w="1380" w:type="dxa"/>
            <w:tcBorders>
              <w:top w:val="single" w:sz="6" w:space="0" w:color="000000"/>
              <w:left w:val="single" w:sz="6" w:space="0" w:color="000000"/>
              <w:bottom w:val="single" w:sz="6" w:space="0" w:color="000000"/>
              <w:right w:val="single" w:sz="6" w:space="0" w:color="000000"/>
            </w:tcBorders>
            <w:shd w:val="clear" w:color="auto" w:fill="8E7CC3"/>
            <w:tcMar>
              <w:top w:w="100" w:type="dxa"/>
              <w:left w:w="100" w:type="dxa"/>
              <w:bottom w:w="100" w:type="dxa"/>
              <w:right w:w="100" w:type="dxa"/>
            </w:tcMar>
          </w:tcPr>
          <w:p w:rsidR="00F463C6" w:rsidRPr="000B56DC" w:rsidRDefault="00F31C61">
            <w:pPr>
              <w:rPr>
                <w:rFonts w:cs="Arial"/>
              </w:rPr>
            </w:pPr>
            <w:r w:rsidRPr="000B56DC">
              <w:rPr>
                <w:rFonts w:cs="Arial"/>
              </w:rPr>
              <w:t>Food safety regulations</w:t>
            </w:r>
          </w:p>
        </w:tc>
        <w:tc>
          <w:tcPr>
            <w:tcW w:w="1815" w:type="dxa"/>
            <w:tcBorders>
              <w:top w:val="single" w:sz="6" w:space="0" w:color="000000"/>
              <w:left w:val="single" w:sz="6" w:space="0" w:color="000000"/>
              <w:bottom w:val="single" w:sz="6" w:space="0" w:color="000000"/>
              <w:right w:val="single" w:sz="6" w:space="0" w:color="000000"/>
            </w:tcBorders>
            <w:shd w:val="clear" w:color="auto" w:fill="93C47D"/>
            <w:tcMar>
              <w:top w:w="100" w:type="dxa"/>
              <w:left w:w="100" w:type="dxa"/>
              <w:bottom w:w="100" w:type="dxa"/>
              <w:right w:w="100" w:type="dxa"/>
            </w:tcMar>
          </w:tcPr>
          <w:p w:rsidR="00F463C6" w:rsidRPr="000B56DC" w:rsidRDefault="00F31C61">
            <w:pPr>
              <w:rPr>
                <w:rFonts w:cs="Arial"/>
              </w:rPr>
            </w:pPr>
            <w:r w:rsidRPr="000B56DC">
              <w:rPr>
                <w:rFonts w:cs="Arial"/>
              </w:rPr>
              <w:t>Sustainability initiatives</w:t>
            </w:r>
          </w:p>
        </w:tc>
      </w:tr>
      <w:tr w:rsidR="00F463C6" w:rsidRPr="000B56DC">
        <w:trPr>
          <w:trHeight w:val="905"/>
        </w:trPr>
        <w:tc>
          <w:tcPr>
            <w:tcW w:w="1515" w:type="dxa"/>
            <w:tcBorders>
              <w:top w:val="single" w:sz="6" w:space="0" w:color="000000"/>
              <w:left w:val="single" w:sz="6" w:space="0" w:color="000000"/>
              <w:bottom w:val="single" w:sz="6" w:space="0" w:color="000000"/>
              <w:right w:val="single" w:sz="6" w:space="0" w:color="000000"/>
            </w:tcBorders>
            <w:shd w:val="clear" w:color="auto" w:fill="EA9999"/>
            <w:tcMar>
              <w:top w:w="100" w:type="dxa"/>
              <w:left w:w="100" w:type="dxa"/>
              <w:bottom w:w="100" w:type="dxa"/>
              <w:right w:w="100" w:type="dxa"/>
            </w:tcMar>
          </w:tcPr>
          <w:p w:rsidR="00F463C6" w:rsidRPr="000B56DC" w:rsidRDefault="00F31C61">
            <w:pPr>
              <w:rPr>
                <w:rFonts w:cs="Arial"/>
              </w:rPr>
            </w:pPr>
            <w:r w:rsidRPr="000B56DC">
              <w:rPr>
                <w:rFonts w:cs="Arial"/>
              </w:rPr>
              <w:t>Government policies on retail</w:t>
            </w:r>
          </w:p>
        </w:tc>
        <w:tc>
          <w:tcPr>
            <w:tcW w:w="1500" w:type="dxa"/>
            <w:tcBorders>
              <w:top w:val="single" w:sz="6" w:space="0" w:color="000000"/>
              <w:left w:val="single" w:sz="6" w:space="0" w:color="000000"/>
              <w:bottom w:val="single" w:sz="6" w:space="0" w:color="000000"/>
              <w:right w:val="single" w:sz="6" w:space="0" w:color="000000"/>
            </w:tcBorders>
            <w:shd w:val="clear" w:color="auto" w:fill="D5A6BD"/>
            <w:tcMar>
              <w:top w:w="100" w:type="dxa"/>
              <w:left w:w="100" w:type="dxa"/>
              <w:bottom w:w="100" w:type="dxa"/>
              <w:right w:w="100" w:type="dxa"/>
            </w:tcMar>
          </w:tcPr>
          <w:p w:rsidR="00F463C6" w:rsidRPr="000B56DC" w:rsidRDefault="00F31C61" w:rsidP="000B56DC">
            <w:r w:rsidRPr="000B56DC">
              <w:t>Economic uncertainty</w:t>
            </w:r>
          </w:p>
        </w:tc>
        <w:tc>
          <w:tcPr>
            <w:tcW w:w="1620" w:type="dxa"/>
            <w:tcBorders>
              <w:top w:val="single" w:sz="6" w:space="0" w:color="000000"/>
              <w:left w:val="single" w:sz="6" w:space="0" w:color="000000"/>
              <w:bottom w:val="single" w:sz="6" w:space="0" w:color="000000"/>
              <w:right w:val="single" w:sz="6" w:space="0" w:color="000000"/>
            </w:tcBorders>
            <w:shd w:val="clear" w:color="auto" w:fill="9FC5E8"/>
            <w:tcMar>
              <w:top w:w="100" w:type="dxa"/>
              <w:left w:w="100" w:type="dxa"/>
              <w:bottom w:w="100" w:type="dxa"/>
              <w:right w:w="100" w:type="dxa"/>
            </w:tcMar>
          </w:tcPr>
          <w:p w:rsidR="00F463C6" w:rsidRPr="000B56DC" w:rsidRDefault="00F31C61">
            <w:pPr>
              <w:rPr>
                <w:rFonts w:cs="Arial"/>
              </w:rPr>
            </w:pPr>
            <w:r w:rsidRPr="000B56DC">
              <w:rPr>
                <w:rFonts w:cs="Arial"/>
              </w:rPr>
              <w:t>Health consciousness</w:t>
            </w:r>
          </w:p>
        </w:tc>
        <w:tc>
          <w:tcPr>
            <w:tcW w:w="1620" w:type="dxa"/>
            <w:tcBorders>
              <w:top w:val="single" w:sz="6" w:space="0" w:color="000000"/>
              <w:left w:val="single" w:sz="6" w:space="0" w:color="000000"/>
              <w:bottom w:val="single" w:sz="6" w:space="0" w:color="000000"/>
              <w:right w:val="single" w:sz="6" w:space="0" w:color="000000"/>
            </w:tcBorders>
            <w:shd w:val="clear" w:color="auto" w:fill="F9CB9C"/>
            <w:tcMar>
              <w:top w:w="100" w:type="dxa"/>
              <w:left w:w="100" w:type="dxa"/>
              <w:bottom w:w="100" w:type="dxa"/>
              <w:right w:w="100" w:type="dxa"/>
            </w:tcMar>
          </w:tcPr>
          <w:p w:rsidR="00F463C6" w:rsidRPr="000B56DC" w:rsidRDefault="00F31C61">
            <w:pPr>
              <w:rPr>
                <w:rFonts w:cs="Arial"/>
              </w:rPr>
            </w:pPr>
            <w:r w:rsidRPr="000B56DC">
              <w:rPr>
                <w:rFonts w:cs="Arial"/>
              </w:rPr>
              <w:t>Digital payment systems (Al-Gamdi and Balubaid, 2021)</w:t>
            </w:r>
          </w:p>
        </w:tc>
        <w:tc>
          <w:tcPr>
            <w:tcW w:w="1380" w:type="dxa"/>
            <w:tcBorders>
              <w:top w:val="single" w:sz="6" w:space="0" w:color="000000"/>
              <w:left w:val="single" w:sz="6" w:space="0" w:color="000000"/>
              <w:bottom w:val="single" w:sz="6" w:space="0" w:color="000000"/>
              <w:right w:val="single" w:sz="6" w:space="0" w:color="000000"/>
            </w:tcBorders>
            <w:shd w:val="clear" w:color="auto" w:fill="8E7CC3"/>
            <w:tcMar>
              <w:top w:w="100" w:type="dxa"/>
              <w:left w:w="100" w:type="dxa"/>
              <w:bottom w:w="100" w:type="dxa"/>
              <w:right w:w="100" w:type="dxa"/>
            </w:tcMar>
          </w:tcPr>
          <w:p w:rsidR="00F463C6" w:rsidRPr="000B56DC" w:rsidRDefault="00F31C61">
            <w:pPr>
              <w:rPr>
                <w:rFonts w:cs="Arial"/>
              </w:rPr>
            </w:pPr>
            <w:r w:rsidRPr="000B56DC">
              <w:rPr>
                <w:rFonts w:cs="Arial"/>
              </w:rPr>
              <w:t>Data protection laws</w:t>
            </w:r>
          </w:p>
        </w:tc>
        <w:tc>
          <w:tcPr>
            <w:tcW w:w="1815" w:type="dxa"/>
            <w:tcBorders>
              <w:top w:val="single" w:sz="6" w:space="0" w:color="000000"/>
              <w:left w:val="single" w:sz="6" w:space="0" w:color="000000"/>
              <w:bottom w:val="single" w:sz="6" w:space="0" w:color="000000"/>
              <w:right w:val="single" w:sz="6" w:space="0" w:color="000000"/>
            </w:tcBorders>
            <w:shd w:val="clear" w:color="auto" w:fill="93C47D"/>
            <w:tcMar>
              <w:top w:w="100" w:type="dxa"/>
              <w:left w:w="100" w:type="dxa"/>
              <w:bottom w:w="100" w:type="dxa"/>
              <w:right w:w="100" w:type="dxa"/>
            </w:tcMar>
          </w:tcPr>
          <w:p w:rsidR="00F463C6" w:rsidRPr="000B56DC" w:rsidRDefault="00F31C61">
            <w:pPr>
              <w:rPr>
                <w:rFonts w:cs="Arial"/>
              </w:rPr>
            </w:pPr>
            <w:r w:rsidRPr="000B56DC">
              <w:rPr>
                <w:rFonts w:cs="Arial"/>
              </w:rPr>
              <w:t>Plastic reduction targets</w:t>
            </w:r>
          </w:p>
        </w:tc>
      </w:tr>
      <w:tr w:rsidR="00F463C6" w:rsidRPr="000B56DC">
        <w:trPr>
          <w:trHeight w:val="905"/>
        </w:trPr>
        <w:tc>
          <w:tcPr>
            <w:tcW w:w="1515" w:type="dxa"/>
            <w:tcBorders>
              <w:top w:val="single" w:sz="6" w:space="0" w:color="000000"/>
              <w:left w:val="single" w:sz="6" w:space="0" w:color="000000"/>
              <w:bottom w:val="single" w:sz="6" w:space="0" w:color="000000"/>
              <w:right w:val="single" w:sz="6" w:space="0" w:color="000000"/>
            </w:tcBorders>
            <w:shd w:val="clear" w:color="auto" w:fill="EA9999"/>
            <w:tcMar>
              <w:top w:w="100" w:type="dxa"/>
              <w:left w:w="100" w:type="dxa"/>
              <w:bottom w:w="100" w:type="dxa"/>
              <w:right w:w="100" w:type="dxa"/>
            </w:tcMar>
          </w:tcPr>
          <w:p w:rsidR="00F463C6" w:rsidRPr="000B56DC" w:rsidRDefault="00F31C61">
            <w:pPr>
              <w:rPr>
                <w:rFonts w:cs="Arial"/>
              </w:rPr>
            </w:pPr>
            <w:r w:rsidRPr="000B56DC">
              <w:rPr>
                <w:rFonts w:cs="Arial"/>
              </w:rPr>
              <w:t>COVID-19 restrictions</w:t>
            </w:r>
          </w:p>
        </w:tc>
        <w:tc>
          <w:tcPr>
            <w:tcW w:w="1500" w:type="dxa"/>
            <w:tcBorders>
              <w:top w:val="single" w:sz="6" w:space="0" w:color="000000"/>
              <w:left w:val="single" w:sz="6" w:space="0" w:color="000000"/>
              <w:bottom w:val="single" w:sz="6" w:space="0" w:color="000000"/>
              <w:right w:val="single" w:sz="6" w:space="0" w:color="000000"/>
            </w:tcBorders>
            <w:shd w:val="clear" w:color="auto" w:fill="D5A6BD"/>
            <w:tcMar>
              <w:top w:w="100" w:type="dxa"/>
              <w:left w:w="100" w:type="dxa"/>
              <w:bottom w:w="100" w:type="dxa"/>
              <w:right w:w="100" w:type="dxa"/>
            </w:tcMar>
          </w:tcPr>
          <w:p w:rsidR="00F463C6" w:rsidRPr="000B56DC" w:rsidRDefault="00F31C61">
            <w:pPr>
              <w:rPr>
                <w:rFonts w:cs="Arial"/>
              </w:rPr>
            </w:pPr>
            <w:r w:rsidRPr="000B56DC">
              <w:rPr>
                <w:rFonts w:cs="Arial"/>
              </w:rPr>
              <w:t>Exchange rate fluctuations</w:t>
            </w:r>
          </w:p>
        </w:tc>
        <w:tc>
          <w:tcPr>
            <w:tcW w:w="1620" w:type="dxa"/>
            <w:tcBorders>
              <w:top w:val="single" w:sz="6" w:space="0" w:color="000000"/>
              <w:left w:val="single" w:sz="6" w:space="0" w:color="000000"/>
              <w:bottom w:val="single" w:sz="6" w:space="0" w:color="000000"/>
              <w:right w:val="single" w:sz="6" w:space="0" w:color="000000"/>
            </w:tcBorders>
            <w:shd w:val="clear" w:color="auto" w:fill="9FC5E8"/>
            <w:tcMar>
              <w:top w:w="100" w:type="dxa"/>
              <w:left w:w="100" w:type="dxa"/>
              <w:bottom w:w="100" w:type="dxa"/>
              <w:right w:w="100" w:type="dxa"/>
            </w:tcMar>
          </w:tcPr>
          <w:p w:rsidR="00F463C6" w:rsidRPr="000B56DC" w:rsidRDefault="00F31C61">
            <w:pPr>
              <w:rPr>
                <w:rFonts w:cs="Arial"/>
              </w:rPr>
            </w:pPr>
            <w:r w:rsidRPr="000B56DC">
              <w:rPr>
                <w:rFonts w:cs="Arial"/>
              </w:rPr>
              <w:t>Demographic shifts</w:t>
            </w:r>
          </w:p>
        </w:tc>
        <w:tc>
          <w:tcPr>
            <w:tcW w:w="1620" w:type="dxa"/>
            <w:tcBorders>
              <w:top w:val="single" w:sz="6" w:space="0" w:color="000000"/>
              <w:left w:val="single" w:sz="6" w:space="0" w:color="000000"/>
              <w:bottom w:val="single" w:sz="6" w:space="0" w:color="000000"/>
              <w:right w:val="single" w:sz="6" w:space="0" w:color="000000"/>
            </w:tcBorders>
            <w:shd w:val="clear" w:color="auto" w:fill="F9CB9C"/>
            <w:tcMar>
              <w:top w:w="100" w:type="dxa"/>
              <w:left w:w="100" w:type="dxa"/>
              <w:bottom w:w="100" w:type="dxa"/>
              <w:right w:w="100" w:type="dxa"/>
            </w:tcMar>
          </w:tcPr>
          <w:p w:rsidR="00F463C6" w:rsidRPr="000B56DC" w:rsidRDefault="00F31C61">
            <w:pPr>
              <w:rPr>
                <w:rFonts w:cs="Arial"/>
              </w:rPr>
            </w:pPr>
            <w:r w:rsidRPr="000B56DC">
              <w:rPr>
                <w:rFonts w:cs="Arial"/>
              </w:rPr>
              <w:t>Supply chain automation</w:t>
            </w:r>
          </w:p>
        </w:tc>
        <w:tc>
          <w:tcPr>
            <w:tcW w:w="1380" w:type="dxa"/>
            <w:tcBorders>
              <w:top w:val="single" w:sz="6" w:space="0" w:color="000000"/>
              <w:left w:val="single" w:sz="6" w:space="0" w:color="000000"/>
              <w:bottom w:val="single" w:sz="6" w:space="0" w:color="000000"/>
              <w:right w:val="single" w:sz="6" w:space="0" w:color="000000"/>
            </w:tcBorders>
            <w:shd w:val="clear" w:color="auto" w:fill="8E7CC3"/>
            <w:tcMar>
              <w:top w:w="100" w:type="dxa"/>
              <w:left w:w="100" w:type="dxa"/>
              <w:bottom w:w="100" w:type="dxa"/>
              <w:right w:w="100" w:type="dxa"/>
            </w:tcMar>
          </w:tcPr>
          <w:p w:rsidR="00F463C6" w:rsidRPr="000B56DC" w:rsidRDefault="00F31C61">
            <w:pPr>
              <w:rPr>
                <w:rFonts w:cs="Arial"/>
              </w:rPr>
            </w:pPr>
            <w:r w:rsidRPr="000B56DC">
              <w:rPr>
                <w:rFonts w:cs="Arial"/>
              </w:rPr>
              <w:t>Employment legislation</w:t>
            </w:r>
          </w:p>
        </w:tc>
        <w:tc>
          <w:tcPr>
            <w:tcW w:w="1815" w:type="dxa"/>
            <w:tcBorders>
              <w:top w:val="single" w:sz="6" w:space="0" w:color="000000"/>
              <w:left w:val="single" w:sz="6" w:space="0" w:color="000000"/>
              <w:bottom w:val="single" w:sz="6" w:space="0" w:color="000000"/>
              <w:right w:val="single" w:sz="6" w:space="0" w:color="000000"/>
            </w:tcBorders>
            <w:shd w:val="clear" w:color="auto" w:fill="93C47D"/>
            <w:tcMar>
              <w:top w:w="100" w:type="dxa"/>
              <w:left w:w="100" w:type="dxa"/>
              <w:bottom w:w="100" w:type="dxa"/>
              <w:right w:w="100" w:type="dxa"/>
            </w:tcMar>
          </w:tcPr>
          <w:p w:rsidR="00F463C6" w:rsidRPr="000B56DC" w:rsidRDefault="00F31C61">
            <w:pPr>
              <w:rPr>
                <w:rFonts w:cs="Arial"/>
              </w:rPr>
            </w:pPr>
            <w:r w:rsidRPr="000B56DC">
              <w:rPr>
                <w:rFonts w:cs="Arial"/>
              </w:rPr>
              <w:t>Climate change concerns</w:t>
            </w:r>
          </w:p>
        </w:tc>
      </w:tr>
      <w:tr w:rsidR="00F463C6" w:rsidRPr="000B56DC">
        <w:trPr>
          <w:trHeight w:val="905"/>
        </w:trPr>
        <w:tc>
          <w:tcPr>
            <w:tcW w:w="1515" w:type="dxa"/>
            <w:tcBorders>
              <w:top w:val="single" w:sz="6" w:space="0" w:color="000000"/>
              <w:left w:val="single" w:sz="6" w:space="0" w:color="000000"/>
              <w:bottom w:val="single" w:sz="6" w:space="0" w:color="000000"/>
              <w:right w:val="single" w:sz="6" w:space="0" w:color="000000"/>
            </w:tcBorders>
            <w:shd w:val="clear" w:color="auto" w:fill="EA9999"/>
            <w:tcMar>
              <w:top w:w="100" w:type="dxa"/>
              <w:left w:w="100" w:type="dxa"/>
              <w:bottom w:w="100" w:type="dxa"/>
              <w:right w:w="100" w:type="dxa"/>
            </w:tcMar>
          </w:tcPr>
          <w:p w:rsidR="00F463C6" w:rsidRPr="000B56DC" w:rsidRDefault="00F31C61">
            <w:pPr>
              <w:rPr>
                <w:rFonts w:cs="Arial"/>
              </w:rPr>
            </w:pPr>
            <w:r w:rsidRPr="000B56DC">
              <w:rPr>
                <w:rFonts w:cs="Arial"/>
              </w:rPr>
              <w:t>Trade agreements</w:t>
            </w:r>
          </w:p>
        </w:tc>
        <w:tc>
          <w:tcPr>
            <w:tcW w:w="1500" w:type="dxa"/>
            <w:tcBorders>
              <w:top w:val="single" w:sz="6" w:space="0" w:color="000000"/>
              <w:left w:val="single" w:sz="6" w:space="0" w:color="000000"/>
              <w:bottom w:val="single" w:sz="6" w:space="0" w:color="000000"/>
              <w:right w:val="single" w:sz="6" w:space="0" w:color="000000"/>
            </w:tcBorders>
            <w:shd w:val="clear" w:color="auto" w:fill="D5A6BD"/>
            <w:tcMar>
              <w:top w:w="100" w:type="dxa"/>
              <w:left w:w="100" w:type="dxa"/>
              <w:bottom w:w="100" w:type="dxa"/>
              <w:right w:w="100" w:type="dxa"/>
            </w:tcMar>
          </w:tcPr>
          <w:p w:rsidR="00F463C6" w:rsidRPr="000B56DC" w:rsidRDefault="00F31C61">
            <w:pPr>
              <w:rPr>
                <w:rFonts w:cs="Arial"/>
              </w:rPr>
            </w:pPr>
            <w:r w:rsidRPr="000B56DC">
              <w:rPr>
                <w:rFonts w:cs="Arial"/>
              </w:rPr>
              <w:t>Competition in the retail sector</w:t>
            </w:r>
          </w:p>
        </w:tc>
        <w:tc>
          <w:tcPr>
            <w:tcW w:w="1620" w:type="dxa"/>
            <w:tcBorders>
              <w:top w:val="single" w:sz="6" w:space="0" w:color="000000"/>
              <w:left w:val="single" w:sz="6" w:space="0" w:color="000000"/>
              <w:bottom w:val="single" w:sz="6" w:space="0" w:color="000000"/>
              <w:right w:val="single" w:sz="6" w:space="0" w:color="000000"/>
            </w:tcBorders>
            <w:shd w:val="clear" w:color="auto" w:fill="9FC5E8"/>
            <w:tcMar>
              <w:top w:w="100" w:type="dxa"/>
              <w:left w:w="100" w:type="dxa"/>
              <w:bottom w:w="100" w:type="dxa"/>
              <w:right w:w="100" w:type="dxa"/>
            </w:tcMar>
          </w:tcPr>
          <w:p w:rsidR="00F463C6" w:rsidRPr="000B56DC" w:rsidRDefault="00F31C61">
            <w:pPr>
              <w:rPr>
                <w:rFonts w:cs="Arial"/>
              </w:rPr>
            </w:pPr>
            <w:r w:rsidRPr="000B56DC">
              <w:rPr>
                <w:rFonts w:cs="Arial"/>
              </w:rPr>
              <w:t>Ethical consumerism</w:t>
            </w:r>
          </w:p>
        </w:tc>
        <w:tc>
          <w:tcPr>
            <w:tcW w:w="1620" w:type="dxa"/>
            <w:tcBorders>
              <w:top w:val="single" w:sz="6" w:space="0" w:color="000000"/>
              <w:left w:val="single" w:sz="6" w:space="0" w:color="000000"/>
              <w:bottom w:val="single" w:sz="6" w:space="0" w:color="000000"/>
              <w:right w:val="single" w:sz="6" w:space="0" w:color="000000"/>
            </w:tcBorders>
            <w:shd w:val="clear" w:color="auto" w:fill="F9CB9C"/>
            <w:tcMar>
              <w:top w:w="100" w:type="dxa"/>
              <w:left w:w="100" w:type="dxa"/>
              <w:bottom w:w="100" w:type="dxa"/>
              <w:right w:w="100" w:type="dxa"/>
            </w:tcMar>
          </w:tcPr>
          <w:p w:rsidR="00F463C6" w:rsidRPr="000B56DC" w:rsidRDefault="00F31C61">
            <w:pPr>
              <w:rPr>
                <w:rFonts w:cs="Arial"/>
              </w:rPr>
            </w:pPr>
            <w:r w:rsidRPr="000B56DC">
              <w:rPr>
                <w:rFonts w:cs="Arial"/>
              </w:rPr>
              <w:t>Artificial intelligence in retail</w:t>
            </w:r>
          </w:p>
        </w:tc>
        <w:tc>
          <w:tcPr>
            <w:tcW w:w="1380" w:type="dxa"/>
            <w:tcBorders>
              <w:top w:val="single" w:sz="6" w:space="0" w:color="000000"/>
              <w:left w:val="single" w:sz="6" w:space="0" w:color="000000"/>
              <w:bottom w:val="single" w:sz="6" w:space="0" w:color="000000"/>
              <w:right w:val="single" w:sz="6" w:space="0" w:color="000000"/>
            </w:tcBorders>
            <w:shd w:val="clear" w:color="auto" w:fill="8E7CC3"/>
            <w:tcMar>
              <w:top w:w="100" w:type="dxa"/>
              <w:left w:w="100" w:type="dxa"/>
              <w:bottom w:w="100" w:type="dxa"/>
              <w:right w:w="100" w:type="dxa"/>
            </w:tcMar>
          </w:tcPr>
          <w:p w:rsidR="00F463C6" w:rsidRPr="000B56DC" w:rsidRDefault="00F31C61">
            <w:pPr>
              <w:rPr>
                <w:rFonts w:cs="Arial"/>
              </w:rPr>
            </w:pPr>
            <w:r w:rsidRPr="000B56DC">
              <w:rPr>
                <w:rFonts w:cs="Arial"/>
              </w:rPr>
              <w:t>Advertising standards</w:t>
            </w:r>
          </w:p>
        </w:tc>
        <w:tc>
          <w:tcPr>
            <w:tcW w:w="1815" w:type="dxa"/>
            <w:tcBorders>
              <w:top w:val="single" w:sz="6" w:space="0" w:color="000000"/>
              <w:left w:val="single" w:sz="6" w:space="0" w:color="000000"/>
              <w:bottom w:val="single" w:sz="6" w:space="0" w:color="000000"/>
              <w:right w:val="single" w:sz="6" w:space="0" w:color="000000"/>
            </w:tcBorders>
            <w:shd w:val="clear" w:color="auto" w:fill="93C47D"/>
            <w:tcMar>
              <w:top w:w="100" w:type="dxa"/>
              <w:left w:w="100" w:type="dxa"/>
              <w:bottom w:w="100" w:type="dxa"/>
              <w:right w:w="100" w:type="dxa"/>
            </w:tcMar>
          </w:tcPr>
          <w:p w:rsidR="00F463C6" w:rsidRPr="000B56DC" w:rsidRDefault="00F31C61">
            <w:pPr>
              <w:rPr>
                <w:rFonts w:cs="Arial"/>
              </w:rPr>
            </w:pPr>
            <w:r w:rsidRPr="000B56DC">
              <w:rPr>
                <w:rFonts w:cs="Arial"/>
              </w:rPr>
              <w:t>Waste management regulations</w:t>
            </w:r>
          </w:p>
        </w:tc>
      </w:tr>
      <w:tr w:rsidR="00F463C6" w:rsidRPr="000B56DC">
        <w:trPr>
          <w:trHeight w:val="905"/>
        </w:trPr>
        <w:tc>
          <w:tcPr>
            <w:tcW w:w="1515" w:type="dxa"/>
            <w:tcBorders>
              <w:top w:val="single" w:sz="6" w:space="0" w:color="000000"/>
              <w:left w:val="single" w:sz="6" w:space="0" w:color="000000"/>
              <w:bottom w:val="single" w:sz="6" w:space="0" w:color="000000"/>
              <w:right w:val="single" w:sz="6" w:space="0" w:color="000000"/>
            </w:tcBorders>
            <w:shd w:val="clear" w:color="auto" w:fill="EA9999"/>
            <w:tcMar>
              <w:top w:w="100" w:type="dxa"/>
              <w:left w:w="100" w:type="dxa"/>
              <w:bottom w:w="100" w:type="dxa"/>
              <w:right w:w="100" w:type="dxa"/>
            </w:tcMar>
          </w:tcPr>
          <w:p w:rsidR="00F463C6" w:rsidRPr="000B56DC" w:rsidRDefault="00F31C61">
            <w:pPr>
              <w:rPr>
                <w:rFonts w:cs="Arial"/>
              </w:rPr>
            </w:pPr>
            <w:r w:rsidRPr="000B56DC">
              <w:rPr>
                <w:rFonts w:cs="Arial"/>
              </w:rPr>
              <w:t>Lobbying influence</w:t>
            </w:r>
          </w:p>
        </w:tc>
        <w:tc>
          <w:tcPr>
            <w:tcW w:w="1500" w:type="dxa"/>
            <w:tcBorders>
              <w:top w:val="single" w:sz="6" w:space="0" w:color="000000"/>
              <w:left w:val="single" w:sz="6" w:space="0" w:color="000000"/>
              <w:bottom w:val="single" w:sz="6" w:space="0" w:color="000000"/>
              <w:right w:val="single" w:sz="6" w:space="0" w:color="000000"/>
            </w:tcBorders>
            <w:shd w:val="clear" w:color="auto" w:fill="D5A6BD"/>
            <w:tcMar>
              <w:top w:w="100" w:type="dxa"/>
              <w:left w:w="100" w:type="dxa"/>
              <w:bottom w:w="100" w:type="dxa"/>
              <w:right w:w="100" w:type="dxa"/>
            </w:tcMar>
          </w:tcPr>
          <w:p w:rsidR="00F463C6" w:rsidRPr="000B56DC" w:rsidRDefault="00F31C61">
            <w:pPr>
              <w:rPr>
                <w:rFonts w:cs="Arial"/>
              </w:rPr>
            </w:pPr>
            <w:r w:rsidRPr="000B56DC">
              <w:rPr>
                <w:rFonts w:cs="Arial"/>
              </w:rPr>
              <w:t>Wage pressures</w:t>
            </w:r>
          </w:p>
        </w:tc>
        <w:tc>
          <w:tcPr>
            <w:tcW w:w="1620" w:type="dxa"/>
            <w:tcBorders>
              <w:top w:val="single" w:sz="6" w:space="0" w:color="000000"/>
              <w:left w:val="single" w:sz="6" w:space="0" w:color="000000"/>
              <w:bottom w:val="single" w:sz="6" w:space="0" w:color="000000"/>
              <w:right w:val="single" w:sz="6" w:space="0" w:color="000000"/>
            </w:tcBorders>
            <w:shd w:val="clear" w:color="auto" w:fill="9FC5E8"/>
            <w:tcMar>
              <w:top w:w="100" w:type="dxa"/>
              <w:left w:w="100" w:type="dxa"/>
              <w:bottom w:w="100" w:type="dxa"/>
              <w:right w:w="100" w:type="dxa"/>
            </w:tcMar>
          </w:tcPr>
          <w:p w:rsidR="00F463C6" w:rsidRPr="000B56DC" w:rsidRDefault="00F31C61">
            <w:pPr>
              <w:rPr>
                <w:rFonts w:cs="Arial"/>
              </w:rPr>
            </w:pPr>
            <w:r w:rsidRPr="000B56DC">
              <w:rPr>
                <w:rFonts w:cs="Arial"/>
              </w:rPr>
              <w:t>Work-life balance trends</w:t>
            </w:r>
          </w:p>
        </w:tc>
        <w:tc>
          <w:tcPr>
            <w:tcW w:w="1620" w:type="dxa"/>
            <w:tcBorders>
              <w:top w:val="single" w:sz="6" w:space="0" w:color="000000"/>
              <w:left w:val="single" w:sz="6" w:space="0" w:color="000000"/>
              <w:bottom w:val="single" w:sz="6" w:space="0" w:color="000000"/>
              <w:right w:val="single" w:sz="6" w:space="0" w:color="000000"/>
            </w:tcBorders>
            <w:shd w:val="clear" w:color="auto" w:fill="F9CB9C"/>
            <w:tcMar>
              <w:top w:w="100" w:type="dxa"/>
              <w:left w:w="100" w:type="dxa"/>
              <w:bottom w:w="100" w:type="dxa"/>
              <w:right w:w="100" w:type="dxa"/>
            </w:tcMar>
          </w:tcPr>
          <w:p w:rsidR="00F463C6" w:rsidRPr="000B56DC" w:rsidRDefault="00F31C61">
            <w:pPr>
              <w:rPr>
                <w:rFonts w:cs="Arial"/>
              </w:rPr>
            </w:pPr>
            <w:r w:rsidRPr="000B56DC">
              <w:rPr>
                <w:rFonts w:cs="Arial"/>
              </w:rPr>
              <w:t>Contactless technology</w:t>
            </w:r>
          </w:p>
        </w:tc>
        <w:tc>
          <w:tcPr>
            <w:tcW w:w="1380" w:type="dxa"/>
            <w:tcBorders>
              <w:top w:val="single" w:sz="6" w:space="0" w:color="000000"/>
              <w:left w:val="single" w:sz="6" w:space="0" w:color="000000"/>
              <w:bottom w:val="single" w:sz="6" w:space="0" w:color="000000"/>
              <w:right w:val="single" w:sz="6" w:space="0" w:color="000000"/>
            </w:tcBorders>
            <w:shd w:val="clear" w:color="auto" w:fill="8E7CC3"/>
            <w:tcMar>
              <w:top w:w="100" w:type="dxa"/>
              <w:left w:w="100" w:type="dxa"/>
              <w:bottom w:w="100" w:type="dxa"/>
              <w:right w:w="100" w:type="dxa"/>
            </w:tcMar>
          </w:tcPr>
          <w:p w:rsidR="00F463C6" w:rsidRPr="000B56DC" w:rsidRDefault="00F31C61">
            <w:pPr>
              <w:rPr>
                <w:rFonts w:cs="Arial"/>
              </w:rPr>
            </w:pPr>
            <w:r w:rsidRPr="000B56DC">
              <w:rPr>
                <w:rFonts w:cs="Arial"/>
              </w:rPr>
              <w:t>Tax regulations</w:t>
            </w:r>
          </w:p>
        </w:tc>
        <w:tc>
          <w:tcPr>
            <w:tcW w:w="1815" w:type="dxa"/>
            <w:tcBorders>
              <w:top w:val="single" w:sz="6" w:space="0" w:color="000000"/>
              <w:left w:val="single" w:sz="6" w:space="0" w:color="000000"/>
              <w:bottom w:val="single" w:sz="6" w:space="0" w:color="000000"/>
              <w:right w:val="single" w:sz="6" w:space="0" w:color="000000"/>
            </w:tcBorders>
            <w:shd w:val="clear" w:color="auto" w:fill="93C47D"/>
            <w:tcMar>
              <w:top w:w="100" w:type="dxa"/>
              <w:left w:w="100" w:type="dxa"/>
              <w:bottom w:w="100" w:type="dxa"/>
              <w:right w:w="100" w:type="dxa"/>
            </w:tcMar>
          </w:tcPr>
          <w:p w:rsidR="00F463C6" w:rsidRPr="000B56DC" w:rsidRDefault="00F31C61">
            <w:pPr>
              <w:rPr>
                <w:rFonts w:cs="Arial"/>
              </w:rPr>
            </w:pPr>
            <w:r w:rsidRPr="000B56DC">
              <w:rPr>
                <w:rFonts w:cs="Arial"/>
              </w:rPr>
              <w:t>Energy efficiency requirements</w:t>
            </w:r>
          </w:p>
        </w:tc>
      </w:tr>
    </w:tbl>
    <w:p w:rsidR="00F463C6" w:rsidRPr="000B56DC" w:rsidRDefault="00F31C61">
      <w:pPr>
        <w:jc w:val="center"/>
        <w:rPr>
          <w:rFonts w:cs="Arial"/>
          <w:b/>
        </w:rPr>
      </w:pPr>
      <w:r w:rsidRPr="000B56DC">
        <w:rPr>
          <w:rFonts w:cs="Arial"/>
          <w:b/>
        </w:rPr>
        <w:t>Table 1: PESTLE Framework</w:t>
      </w:r>
    </w:p>
    <w:p w:rsidR="00F463C6" w:rsidRPr="000B56DC" w:rsidRDefault="00F31C61">
      <w:pPr>
        <w:jc w:val="center"/>
        <w:rPr>
          <w:rFonts w:cs="Arial"/>
        </w:rPr>
      </w:pPr>
      <w:r w:rsidRPr="000B56DC">
        <w:rPr>
          <w:rFonts w:cs="Arial"/>
        </w:rPr>
        <w:t>(Source: MS-Ward)</w:t>
      </w:r>
    </w:p>
    <w:p w:rsidR="00F463C6" w:rsidRPr="000B56DC" w:rsidRDefault="00F31C61">
      <w:pPr>
        <w:rPr>
          <w:rFonts w:cs="Arial"/>
        </w:rPr>
      </w:pPr>
      <w:r w:rsidRPr="000B56DC">
        <w:rPr>
          <w:rFonts w:cs="Arial"/>
          <w:b/>
          <w:i/>
        </w:rPr>
        <w:t>Analysis of the business environment issues through the PESTLE Framework</w:t>
      </w:r>
    </w:p>
    <w:p w:rsidR="00F463C6" w:rsidRPr="000B56DC" w:rsidRDefault="00F31C61">
      <w:pPr>
        <w:rPr>
          <w:rFonts w:cs="Arial"/>
        </w:rPr>
      </w:pPr>
      <w:r w:rsidRPr="000B56DC">
        <w:rPr>
          <w:rFonts w:cs="Arial"/>
        </w:rPr>
        <w:t>Political factors bear a direct impact on the general functioning of TESCO since it has to cope with political events and decisions made in the UK and its markets. Brexit has complicated supply chain and workforce issues and introduced changes in sourcing from the EU in terms of new trade agreements. Current government policies about retail business and measures taken during the COVID-19 pandemic have been another challenge that has affected the company’s preparedness and store design.</w:t>
      </w:r>
    </w:p>
    <w:p w:rsidR="00F463C6" w:rsidRPr="000B56DC" w:rsidRDefault="00F31C61">
      <w:pPr>
        <w:rPr>
          <w:rFonts w:cs="Arial"/>
        </w:rPr>
      </w:pPr>
      <w:r w:rsidRPr="000B56DC">
        <w:rPr>
          <w:rFonts w:cs="Arial"/>
        </w:rPr>
        <w:t>On the economic aspect, TESCO’s cost challenges major in inflation; where inflation increases, the pressure on the cost base reduces. The price management of the total involves ensuring the competition aspect is okay while at the same time managing the margins. They have also pointed out the fact that due to economic instability, customers are generally inclined towards price-sensitive behaviour (de Moura, 2021). There are also threats like increased competition from the discounters and wage pressure due to the rise in the National Living Wage affecting TESCO.</w:t>
      </w:r>
    </w:p>
    <w:p w:rsidR="00F463C6" w:rsidRPr="000B56DC" w:rsidRDefault="00F31C61">
      <w:pPr>
        <w:rPr>
          <w:rFonts w:cs="Arial"/>
        </w:rPr>
      </w:pPr>
      <w:r w:rsidRPr="000B56DC">
        <w:rPr>
          <w:rFonts w:cs="Arial"/>
        </w:rPr>
        <w:t>There are various social factors facing TESCO; these include shifting consumer trends that have seen the firm alter its product portfolio and store concepts. They include food choices based on health and nutrition, as well as ethical consumption. It has been observed that demographic characteristics have had an impact on the kind of products offered in the stores and the store plans.</w:t>
      </w:r>
    </w:p>
    <w:p w:rsidR="00F463C6" w:rsidRPr="000B56DC" w:rsidRDefault="00F31C61">
      <w:pPr>
        <w:rPr>
          <w:rFonts w:cs="Arial"/>
        </w:rPr>
      </w:pPr>
      <w:r w:rsidRPr="000B56DC">
        <w:rPr>
          <w:rFonts w:cs="Arial"/>
        </w:rPr>
        <w:t>In a technical sense, TESCO has engaged in the expansion of e-business platforms, digital payment solutions, and supply chains. The firm is currently considering the use of artificial intelligence in several activities and has adopted touch-free solutions for clients.</w:t>
      </w:r>
    </w:p>
    <w:p w:rsidR="00F463C6" w:rsidRPr="000B56DC" w:rsidRDefault="00F31C61">
      <w:pPr>
        <w:rPr>
          <w:rFonts w:cs="Arial"/>
        </w:rPr>
      </w:pPr>
      <w:r w:rsidRPr="000B56DC">
        <w:rPr>
          <w:rFonts w:cs="Arial"/>
        </w:rPr>
        <w:t>From a legal perspective, TESCO is bounded by numerous regulations that govern issues like food hygiene, protection of data, employment laws, rules regarding advertisement, and tax laws among others.</w:t>
      </w:r>
    </w:p>
    <w:p w:rsidR="00F463C6" w:rsidRPr="000B56DC" w:rsidRDefault="00F31C61">
      <w:pPr>
        <w:rPr>
          <w:rFonts w:cs="Arial"/>
        </w:rPr>
      </w:pPr>
      <w:r w:rsidRPr="000B56DC">
        <w:rPr>
          <w:rFonts w:cs="Arial"/>
        </w:rPr>
        <w:t>Environmentally, sustainability has become among the focal areas of improvement for TESCO (Meng, 2024). The company has set goals of reducing plastic content in the products and also has goals on carbon output. It has also introduced a facility for the management of food waste, recycling and energy savings in its stores.</w:t>
      </w:r>
    </w:p>
    <w:p w:rsidR="00F463C6" w:rsidRPr="000B56DC" w:rsidRDefault="00F463C6">
      <w:pPr>
        <w:rPr>
          <w:rFonts w:cs="Arial"/>
        </w:rPr>
      </w:pPr>
    </w:p>
    <w:p w:rsidR="00F463C6" w:rsidRPr="000B56DC" w:rsidRDefault="00F31C61">
      <w:pPr>
        <w:pStyle w:val="Heading2"/>
        <w:rPr>
          <w:rFonts w:cs="Arial"/>
        </w:rPr>
      </w:pPr>
      <w:bookmarkStart w:id="17" w:name="_xqc7vtw9dwcp" w:colFirst="0" w:colLast="0"/>
      <w:bookmarkStart w:id="18" w:name="_Toc173333353"/>
      <w:bookmarkEnd w:id="17"/>
      <w:r w:rsidRPr="000B56DC">
        <w:rPr>
          <w:rFonts w:cs="Arial"/>
        </w:rPr>
        <w:t>SWOT Analysis for TESCO Plc:</w:t>
      </w:r>
      <w:bookmarkEnd w:id="18"/>
    </w:p>
    <w:tbl>
      <w:tblPr>
        <w:tblStyle w:val="a0"/>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63"/>
        <w:gridCol w:w="2019"/>
        <w:gridCol w:w="2571"/>
        <w:gridCol w:w="2407"/>
      </w:tblGrid>
      <w:tr w:rsidR="00F463C6" w:rsidRPr="000B56DC">
        <w:trPr>
          <w:trHeight w:val="455"/>
        </w:trPr>
        <w:tc>
          <w:tcPr>
            <w:tcW w:w="2362" w:type="dxa"/>
            <w:tcBorders>
              <w:top w:val="single" w:sz="6" w:space="0" w:color="000000"/>
              <w:left w:val="single" w:sz="6" w:space="0" w:color="000000"/>
              <w:bottom w:val="single" w:sz="6" w:space="0" w:color="000000"/>
              <w:right w:val="single" w:sz="6" w:space="0" w:color="000000"/>
            </w:tcBorders>
            <w:shd w:val="clear" w:color="auto" w:fill="A64D79"/>
            <w:tcMar>
              <w:top w:w="100" w:type="dxa"/>
              <w:left w:w="100" w:type="dxa"/>
              <w:bottom w:w="100" w:type="dxa"/>
              <w:right w:w="100" w:type="dxa"/>
            </w:tcMar>
          </w:tcPr>
          <w:p w:rsidR="00F463C6" w:rsidRPr="000B56DC" w:rsidRDefault="00F31C61">
            <w:pPr>
              <w:jc w:val="center"/>
              <w:rPr>
                <w:rFonts w:cs="Arial"/>
              </w:rPr>
            </w:pPr>
            <w:r w:rsidRPr="000B56DC">
              <w:rPr>
                <w:rFonts w:cs="Arial"/>
                <w:b/>
              </w:rPr>
              <w:t>Strengths</w:t>
            </w:r>
          </w:p>
        </w:tc>
        <w:tc>
          <w:tcPr>
            <w:tcW w:w="2019" w:type="dxa"/>
            <w:tcBorders>
              <w:top w:val="single" w:sz="6" w:space="0" w:color="000000"/>
              <w:left w:val="single" w:sz="6" w:space="0" w:color="000000"/>
              <w:bottom w:val="single" w:sz="6" w:space="0" w:color="000000"/>
              <w:right w:val="single" w:sz="6" w:space="0" w:color="000000"/>
            </w:tcBorders>
            <w:shd w:val="clear" w:color="auto" w:fill="45818E"/>
            <w:tcMar>
              <w:top w:w="100" w:type="dxa"/>
              <w:left w:w="100" w:type="dxa"/>
              <w:bottom w:w="100" w:type="dxa"/>
              <w:right w:w="100" w:type="dxa"/>
            </w:tcMar>
          </w:tcPr>
          <w:p w:rsidR="00F463C6" w:rsidRPr="000B56DC" w:rsidRDefault="00F31C61">
            <w:pPr>
              <w:jc w:val="center"/>
              <w:rPr>
                <w:rFonts w:cs="Arial"/>
              </w:rPr>
            </w:pPr>
            <w:r w:rsidRPr="000B56DC">
              <w:rPr>
                <w:rFonts w:cs="Arial"/>
                <w:b/>
              </w:rPr>
              <w:t>Weaknesses</w:t>
            </w:r>
          </w:p>
        </w:tc>
        <w:tc>
          <w:tcPr>
            <w:tcW w:w="2571" w:type="dxa"/>
            <w:tcBorders>
              <w:top w:val="single" w:sz="6" w:space="0" w:color="000000"/>
              <w:left w:val="single" w:sz="6" w:space="0" w:color="000000"/>
              <w:bottom w:val="single" w:sz="6" w:space="0" w:color="000000"/>
              <w:right w:val="single" w:sz="6" w:space="0" w:color="000000"/>
            </w:tcBorders>
            <w:shd w:val="clear" w:color="auto" w:fill="F1C232"/>
            <w:tcMar>
              <w:top w:w="100" w:type="dxa"/>
              <w:left w:w="100" w:type="dxa"/>
              <w:bottom w:w="100" w:type="dxa"/>
              <w:right w:w="100" w:type="dxa"/>
            </w:tcMar>
          </w:tcPr>
          <w:p w:rsidR="00F463C6" w:rsidRPr="000B56DC" w:rsidRDefault="00F31C61">
            <w:pPr>
              <w:jc w:val="center"/>
              <w:rPr>
                <w:rFonts w:cs="Arial"/>
              </w:rPr>
            </w:pPr>
            <w:r w:rsidRPr="000B56DC">
              <w:rPr>
                <w:rFonts w:cs="Arial"/>
                <w:b/>
              </w:rPr>
              <w:t>Opportunities</w:t>
            </w:r>
          </w:p>
        </w:tc>
        <w:tc>
          <w:tcPr>
            <w:tcW w:w="2407" w:type="dxa"/>
            <w:tcBorders>
              <w:top w:val="single" w:sz="6" w:space="0" w:color="000000"/>
              <w:left w:val="single" w:sz="6" w:space="0" w:color="000000"/>
              <w:bottom w:val="single" w:sz="6" w:space="0" w:color="000000"/>
              <w:right w:val="single" w:sz="6" w:space="0" w:color="000000"/>
            </w:tcBorders>
            <w:shd w:val="clear" w:color="auto" w:fill="CC4125"/>
            <w:tcMar>
              <w:top w:w="100" w:type="dxa"/>
              <w:left w:w="100" w:type="dxa"/>
              <w:bottom w:w="100" w:type="dxa"/>
              <w:right w:w="100" w:type="dxa"/>
            </w:tcMar>
          </w:tcPr>
          <w:p w:rsidR="00F463C6" w:rsidRPr="000B56DC" w:rsidRDefault="00F31C61">
            <w:pPr>
              <w:jc w:val="center"/>
              <w:rPr>
                <w:rFonts w:cs="Arial"/>
              </w:rPr>
            </w:pPr>
            <w:r w:rsidRPr="000B56DC">
              <w:rPr>
                <w:rFonts w:cs="Arial"/>
                <w:b/>
              </w:rPr>
              <w:t>Threats</w:t>
            </w:r>
          </w:p>
        </w:tc>
      </w:tr>
      <w:tr w:rsidR="00F463C6" w:rsidRPr="000B56DC">
        <w:trPr>
          <w:trHeight w:val="680"/>
        </w:trPr>
        <w:tc>
          <w:tcPr>
            <w:tcW w:w="2362" w:type="dxa"/>
            <w:tcBorders>
              <w:top w:val="single" w:sz="6" w:space="0" w:color="000000"/>
              <w:left w:val="single" w:sz="6" w:space="0" w:color="000000"/>
              <w:bottom w:val="single" w:sz="6" w:space="0" w:color="000000"/>
              <w:right w:val="single" w:sz="6" w:space="0" w:color="000000"/>
            </w:tcBorders>
            <w:shd w:val="clear" w:color="auto" w:fill="A64D79"/>
            <w:tcMar>
              <w:top w:w="100" w:type="dxa"/>
              <w:left w:w="100" w:type="dxa"/>
              <w:bottom w:w="100" w:type="dxa"/>
              <w:right w:w="100" w:type="dxa"/>
            </w:tcMar>
          </w:tcPr>
          <w:p w:rsidR="00F463C6" w:rsidRPr="000B56DC" w:rsidRDefault="00F31C61">
            <w:pPr>
              <w:rPr>
                <w:rFonts w:cs="Arial"/>
              </w:rPr>
            </w:pPr>
            <w:r w:rsidRPr="000B56DC">
              <w:rPr>
                <w:rFonts w:cs="Arial"/>
              </w:rPr>
              <w:t>Strong brand recognition</w:t>
            </w:r>
          </w:p>
        </w:tc>
        <w:tc>
          <w:tcPr>
            <w:tcW w:w="2019" w:type="dxa"/>
            <w:tcBorders>
              <w:top w:val="single" w:sz="6" w:space="0" w:color="000000"/>
              <w:left w:val="single" w:sz="6" w:space="0" w:color="000000"/>
              <w:bottom w:val="single" w:sz="6" w:space="0" w:color="000000"/>
              <w:right w:val="single" w:sz="6" w:space="0" w:color="000000"/>
            </w:tcBorders>
            <w:shd w:val="clear" w:color="auto" w:fill="45818E"/>
            <w:tcMar>
              <w:top w:w="100" w:type="dxa"/>
              <w:left w:w="100" w:type="dxa"/>
              <w:bottom w:w="100" w:type="dxa"/>
              <w:right w:w="100" w:type="dxa"/>
            </w:tcMar>
          </w:tcPr>
          <w:p w:rsidR="00F463C6" w:rsidRPr="000B56DC" w:rsidRDefault="00F31C61">
            <w:pPr>
              <w:rPr>
                <w:rFonts w:cs="Arial"/>
              </w:rPr>
            </w:pPr>
            <w:r w:rsidRPr="000B56DC">
              <w:rPr>
                <w:rFonts w:cs="Arial"/>
              </w:rPr>
              <w:t>Dependence on the UK market</w:t>
            </w:r>
          </w:p>
        </w:tc>
        <w:tc>
          <w:tcPr>
            <w:tcW w:w="2571" w:type="dxa"/>
            <w:tcBorders>
              <w:top w:val="single" w:sz="6" w:space="0" w:color="000000"/>
              <w:left w:val="single" w:sz="6" w:space="0" w:color="000000"/>
              <w:bottom w:val="single" w:sz="6" w:space="0" w:color="000000"/>
              <w:right w:val="single" w:sz="6" w:space="0" w:color="000000"/>
            </w:tcBorders>
            <w:shd w:val="clear" w:color="auto" w:fill="F1C232"/>
            <w:tcMar>
              <w:top w:w="100" w:type="dxa"/>
              <w:left w:w="100" w:type="dxa"/>
              <w:bottom w:w="100" w:type="dxa"/>
              <w:right w:w="100" w:type="dxa"/>
            </w:tcMar>
          </w:tcPr>
          <w:p w:rsidR="00F463C6" w:rsidRPr="000B56DC" w:rsidRDefault="00F31C61">
            <w:pPr>
              <w:rPr>
                <w:rFonts w:cs="Arial"/>
              </w:rPr>
            </w:pPr>
            <w:r w:rsidRPr="000B56DC">
              <w:rPr>
                <w:rFonts w:cs="Arial"/>
              </w:rPr>
              <w:t>Expansion of online services</w:t>
            </w:r>
          </w:p>
        </w:tc>
        <w:tc>
          <w:tcPr>
            <w:tcW w:w="2407" w:type="dxa"/>
            <w:tcBorders>
              <w:top w:val="single" w:sz="6" w:space="0" w:color="000000"/>
              <w:left w:val="single" w:sz="6" w:space="0" w:color="000000"/>
              <w:bottom w:val="single" w:sz="6" w:space="0" w:color="000000"/>
              <w:right w:val="single" w:sz="6" w:space="0" w:color="000000"/>
            </w:tcBorders>
            <w:shd w:val="clear" w:color="auto" w:fill="CC4125"/>
            <w:tcMar>
              <w:top w:w="100" w:type="dxa"/>
              <w:left w:w="100" w:type="dxa"/>
              <w:bottom w:w="100" w:type="dxa"/>
              <w:right w:w="100" w:type="dxa"/>
            </w:tcMar>
          </w:tcPr>
          <w:p w:rsidR="00F463C6" w:rsidRPr="000B56DC" w:rsidRDefault="00F31C61">
            <w:pPr>
              <w:rPr>
                <w:rFonts w:cs="Arial"/>
              </w:rPr>
            </w:pPr>
            <w:r w:rsidRPr="000B56DC">
              <w:rPr>
                <w:rFonts w:cs="Arial"/>
              </w:rPr>
              <w:t>Intense competition</w:t>
            </w:r>
          </w:p>
        </w:tc>
      </w:tr>
      <w:tr w:rsidR="00F463C6" w:rsidRPr="000B56DC">
        <w:trPr>
          <w:trHeight w:val="680"/>
        </w:trPr>
        <w:tc>
          <w:tcPr>
            <w:tcW w:w="2362" w:type="dxa"/>
            <w:tcBorders>
              <w:top w:val="single" w:sz="6" w:space="0" w:color="000000"/>
              <w:left w:val="single" w:sz="6" w:space="0" w:color="000000"/>
              <w:bottom w:val="single" w:sz="6" w:space="0" w:color="000000"/>
              <w:right w:val="single" w:sz="6" w:space="0" w:color="000000"/>
            </w:tcBorders>
            <w:shd w:val="clear" w:color="auto" w:fill="A64D79"/>
            <w:tcMar>
              <w:top w:w="100" w:type="dxa"/>
              <w:left w:w="100" w:type="dxa"/>
              <w:bottom w:w="100" w:type="dxa"/>
              <w:right w:w="100" w:type="dxa"/>
            </w:tcMar>
          </w:tcPr>
          <w:p w:rsidR="00F463C6" w:rsidRPr="000B56DC" w:rsidRDefault="00F31C61">
            <w:pPr>
              <w:rPr>
                <w:rFonts w:cs="Arial"/>
              </w:rPr>
            </w:pPr>
            <w:r w:rsidRPr="000B56DC">
              <w:rPr>
                <w:rFonts w:cs="Arial"/>
              </w:rPr>
              <w:t>Diverse product range</w:t>
            </w:r>
          </w:p>
        </w:tc>
        <w:tc>
          <w:tcPr>
            <w:tcW w:w="2019" w:type="dxa"/>
            <w:tcBorders>
              <w:top w:val="single" w:sz="6" w:space="0" w:color="000000"/>
              <w:left w:val="single" w:sz="6" w:space="0" w:color="000000"/>
              <w:bottom w:val="single" w:sz="6" w:space="0" w:color="000000"/>
              <w:right w:val="single" w:sz="6" w:space="0" w:color="000000"/>
            </w:tcBorders>
            <w:shd w:val="clear" w:color="auto" w:fill="45818E"/>
            <w:tcMar>
              <w:top w:w="100" w:type="dxa"/>
              <w:left w:w="100" w:type="dxa"/>
              <w:bottom w:w="100" w:type="dxa"/>
              <w:right w:w="100" w:type="dxa"/>
            </w:tcMar>
          </w:tcPr>
          <w:p w:rsidR="00F463C6" w:rsidRPr="000B56DC" w:rsidRDefault="00F31C61">
            <w:pPr>
              <w:rPr>
                <w:rFonts w:cs="Arial"/>
              </w:rPr>
            </w:pPr>
            <w:r w:rsidRPr="000B56DC">
              <w:rPr>
                <w:rFonts w:cs="Arial"/>
              </w:rPr>
              <w:t>High operating costs</w:t>
            </w:r>
          </w:p>
        </w:tc>
        <w:tc>
          <w:tcPr>
            <w:tcW w:w="2571" w:type="dxa"/>
            <w:tcBorders>
              <w:top w:val="single" w:sz="6" w:space="0" w:color="000000"/>
              <w:left w:val="single" w:sz="6" w:space="0" w:color="000000"/>
              <w:bottom w:val="single" w:sz="6" w:space="0" w:color="000000"/>
              <w:right w:val="single" w:sz="6" w:space="0" w:color="000000"/>
            </w:tcBorders>
            <w:shd w:val="clear" w:color="auto" w:fill="F1C232"/>
            <w:tcMar>
              <w:top w:w="100" w:type="dxa"/>
              <w:left w:w="100" w:type="dxa"/>
              <w:bottom w:w="100" w:type="dxa"/>
              <w:right w:w="100" w:type="dxa"/>
            </w:tcMar>
          </w:tcPr>
          <w:p w:rsidR="00F463C6" w:rsidRPr="000B56DC" w:rsidRDefault="00F31C61">
            <w:pPr>
              <w:rPr>
                <w:rFonts w:cs="Arial"/>
              </w:rPr>
            </w:pPr>
            <w:r w:rsidRPr="000B56DC">
              <w:rPr>
                <w:rFonts w:cs="Arial"/>
              </w:rPr>
              <w:t>Growth in the convenience sector</w:t>
            </w:r>
          </w:p>
        </w:tc>
        <w:tc>
          <w:tcPr>
            <w:tcW w:w="2407" w:type="dxa"/>
            <w:tcBorders>
              <w:top w:val="single" w:sz="6" w:space="0" w:color="000000"/>
              <w:left w:val="single" w:sz="6" w:space="0" w:color="000000"/>
              <w:bottom w:val="single" w:sz="6" w:space="0" w:color="000000"/>
              <w:right w:val="single" w:sz="6" w:space="0" w:color="000000"/>
            </w:tcBorders>
            <w:shd w:val="clear" w:color="auto" w:fill="CC4125"/>
            <w:tcMar>
              <w:top w:w="100" w:type="dxa"/>
              <w:left w:w="100" w:type="dxa"/>
              <w:bottom w:w="100" w:type="dxa"/>
              <w:right w:w="100" w:type="dxa"/>
            </w:tcMar>
          </w:tcPr>
          <w:p w:rsidR="00F463C6" w:rsidRPr="000B56DC" w:rsidRDefault="00F31C61">
            <w:pPr>
              <w:rPr>
                <w:rFonts w:cs="Arial"/>
              </w:rPr>
            </w:pPr>
            <w:r w:rsidRPr="000B56DC">
              <w:rPr>
                <w:rFonts w:cs="Arial"/>
              </w:rPr>
              <w:t>Economic uncertainty</w:t>
            </w:r>
          </w:p>
        </w:tc>
      </w:tr>
      <w:tr w:rsidR="00F463C6" w:rsidRPr="000B56DC">
        <w:trPr>
          <w:trHeight w:val="680"/>
        </w:trPr>
        <w:tc>
          <w:tcPr>
            <w:tcW w:w="2362" w:type="dxa"/>
            <w:tcBorders>
              <w:top w:val="single" w:sz="6" w:space="0" w:color="000000"/>
              <w:left w:val="single" w:sz="6" w:space="0" w:color="000000"/>
              <w:bottom w:val="single" w:sz="6" w:space="0" w:color="000000"/>
              <w:right w:val="single" w:sz="6" w:space="0" w:color="000000"/>
            </w:tcBorders>
            <w:shd w:val="clear" w:color="auto" w:fill="A64D79"/>
            <w:tcMar>
              <w:top w:w="100" w:type="dxa"/>
              <w:left w:w="100" w:type="dxa"/>
              <w:bottom w:w="100" w:type="dxa"/>
              <w:right w:w="100" w:type="dxa"/>
            </w:tcMar>
          </w:tcPr>
          <w:p w:rsidR="00F463C6" w:rsidRPr="000B56DC" w:rsidRDefault="00F31C61">
            <w:pPr>
              <w:rPr>
                <w:rFonts w:cs="Arial"/>
              </w:rPr>
            </w:pPr>
            <w:r w:rsidRPr="000B56DC">
              <w:rPr>
                <w:rFonts w:cs="Arial"/>
              </w:rPr>
              <w:t>Extensive store network</w:t>
            </w:r>
          </w:p>
        </w:tc>
        <w:tc>
          <w:tcPr>
            <w:tcW w:w="2019" w:type="dxa"/>
            <w:tcBorders>
              <w:top w:val="single" w:sz="6" w:space="0" w:color="000000"/>
              <w:left w:val="single" w:sz="6" w:space="0" w:color="000000"/>
              <w:bottom w:val="single" w:sz="6" w:space="0" w:color="000000"/>
              <w:right w:val="single" w:sz="6" w:space="0" w:color="000000"/>
            </w:tcBorders>
            <w:shd w:val="clear" w:color="auto" w:fill="45818E"/>
            <w:tcMar>
              <w:top w:w="100" w:type="dxa"/>
              <w:left w:w="100" w:type="dxa"/>
              <w:bottom w:w="100" w:type="dxa"/>
              <w:right w:w="100" w:type="dxa"/>
            </w:tcMar>
          </w:tcPr>
          <w:p w:rsidR="00F463C6" w:rsidRPr="000B56DC" w:rsidRDefault="00F31C61">
            <w:pPr>
              <w:rPr>
                <w:rFonts w:cs="Arial"/>
              </w:rPr>
            </w:pPr>
            <w:r w:rsidRPr="000B56DC">
              <w:rPr>
                <w:rFonts w:cs="Arial"/>
              </w:rPr>
              <w:t>Complex supply chain</w:t>
            </w:r>
          </w:p>
        </w:tc>
        <w:tc>
          <w:tcPr>
            <w:tcW w:w="2571" w:type="dxa"/>
            <w:tcBorders>
              <w:top w:val="single" w:sz="6" w:space="0" w:color="000000"/>
              <w:left w:val="single" w:sz="6" w:space="0" w:color="000000"/>
              <w:bottom w:val="single" w:sz="6" w:space="0" w:color="000000"/>
              <w:right w:val="single" w:sz="6" w:space="0" w:color="000000"/>
            </w:tcBorders>
            <w:shd w:val="clear" w:color="auto" w:fill="F1C232"/>
            <w:tcMar>
              <w:top w:w="100" w:type="dxa"/>
              <w:left w:w="100" w:type="dxa"/>
              <w:bottom w:w="100" w:type="dxa"/>
              <w:right w:w="100" w:type="dxa"/>
            </w:tcMar>
          </w:tcPr>
          <w:p w:rsidR="00F463C6" w:rsidRPr="000B56DC" w:rsidRDefault="00F31C61">
            <w:pPr>
              <w:rPr>
                <w:rFonts w:cs="Arial"/>
              </w:rPr>
            </w:pPr>
            <w:r w:rsidRPr="000B56DC">
              <w:rPr>
                <w:rFonts w:cs="Arial"/>
              </w:rPr>
              <w:t>International market expansion</w:t>
            </w:r>
          </w:p>
        </w:tc>
        <w:tc>
          <w:tcPr>
            <w:tcW w:w="2407" w:type="dxa"/>
            <w:tcBorders>
              <w:top w:val="single" w:sz="6" w:space="0" w:color="000000"/>
              <w:left w:val="single" w:sz="6" w:space="0" w:color="000000"/>
              <w:bottom w:val="single" w:sz="6" w:space="0" w:color="000000"/>
              <w:right w:val="single" w:sz="6" w:space="0" w:color="000000"/>
            </w:tcBorders>
            <w:shd w:val="clear" w:color="auto" w:fill="CC4125"/>
            <w:tcMar>
              <w:top w:w="100" w:type="dxa"/>
              <w:left w:w="100" w:type="dxa"/>
              <w:bottom w:w="100" w:type="dxa"/>
              <w:right w:w="100" w:type="dxa"/>
            </w:tcMar>
          </w:tcPr>
          <w:p w:rsidR="00F463C6" w:rsidRPr="000B56DC" w:rsidRDefault="00F31C61">
            <w:pPr>
              <w:rPr>
                <w:rFonts w:cs="Arial"/>
              </w:rPr>
            </w:pPr>
            <w:r w:rsidRPr="000B56DC">
              <w:rPr>
                <w:rFonts w:cs="Arial"/>
              </w:rPr>
              <w:t>Changing consumer preferences</w:t>
            </w:r>
          </w:p>
        </w:tc>
      </w:tr>
      <w:tr w:rsidR="00F463C6" w:rsidRPr="000B56DC">
        <w:trPr>
          <w:trHeight w:val="680"/>
        </w:trPr>
        <w:tc>
          <w:tcPr>
            <w:tcW w:w="2362" w:type="dxa"/>
            <w:tcBorders>
              <w:top w:val="single" w:sz="6" w:space="0" w:color="000000"/>
              <w:left w:val="single" w:sz="6" w:space="0" w:color="000000"/>
              <w:bottom w:val="single" w:sz="6" w:space="0" w:color="000000"/>
              <w:right w:val="single" w:sz="6" w:space="0" w:color="000000"/>
            </w:tcBorders>
            <w:shd w:val="clear" w:color="auto" w:fill="A64D79"/>
            <w:tcMar>
              <w:top w:w="100" w:type="dxa"/>
              <w:left w:w="100" w:type="dxa"/>
              <w:bottom w:w="100" w:type="dxa"/>
              <w:right w:w="100" w:type="dxa"/>
            </w:tcMar>
          </w:tcPr>
          <w:p w:rsidR="00F463C6" w:rsidRPr="000B56DC" w:rsidRDefault="00F31C61">
            <w:pPr>
              <w:rPr>
                <w:rFonts w:cs="Arial"/>
              </w:rPr>
            </w:pPr>
            <w:r w:rsidRPr="000B56DC">
              <w:rPr>
                <w:rFonts w:cs="Arial"/>
              </w:rPr>
              <w:t>Loyal customer base</w:t>
            </w:r>
          </w:p>
        </w:tc>
        <w:tc>
          <w:tcPr>
            <w:tcW w:w="2019" w:type="dxa"/>
            <w:tcBorders>
              <w:top w:val="single" w:sz="6" w:space="0" w:color="000000"/>
              <w:left w:val="single" w:sz="6" w:space="0" w:color="000000"/>
              <w:bottom w:val="single" w:sz="6" w:space="0" w:color="000000"/>
              <w:right w:val="single" w:sz="6" w:space="0" w:color="000000"/>
            </w:tcBorders>
            <w:shd w:val="clear" w:color="auto" w:fill="45818E"/>
            <w:tcMar>
              <w:top w:w="100" w:type="dxa"/>
              <w:left w:w="100" w:type="dxa"/>
              <w:bottom w:w="100" w:type="dxa"/>
              <w:right w:w="100" w:type="dxa"/>
            </w:tcMar>
          </w:tcPr>
          <w:p w:rsidR="00F463C6" w:rsidRPr="000B56DC" w:rsidRDefault="00F31C61">
            <w:pPr>
              <w:rPr>
                <w:rFonts w:cs="Arial"/>
              </w:rPr>
            </w:pPr>
            <w:r w:rsidRPr="000B56DC">
              <w:rPr>
                <w:rFonts w:cs="Arial"/>
              </w:rPr>
              <w:t>Legacy IT systems</w:t>
            </w:r>
          </w:p>
        </w:tc>
        <w:tc>
          <w:tcPr>
            <w:tcW w:w="2571" w:type="dxa"/>
            <w:tcBorders>
              <w:top w:val="single" w:sz="6" w:space="0" w:color="000000"/>
              <w:left w:val="single" w:sz="6" w:space="0" w:color="000000"/>
              <w:bottom w:val="single" w:sz="6" w:space="0" w:color="000000"/>
              <w:right w:val="single" w:sz="6" w:space="0" w:color="000000"/>
            </w:tcBorders>
            <w:shd w:val="clear" w:color="auto" w:fill="F1C232"/>
            <w:tcMar>
              <w:top w:w="100" w:type="dxa"/>
              <w:left w:w="100" w:type="dxa"/>
              <w:bottom w:w="100" w:type="dxa"/>
              <w:right w:w="100" w:type="dxa"/>
            </w:tcMar>
          </w:tcPr>
          <w:p w:rsidR="00F463C6" w:rsidRPr="000B56DC" w:rsidRDefault="00F31C61">
            <w:pPr>
              <w:rPr>
                <w:rFonts w:cs="Arial"/>
              </w:rPr>
            </w:pPr>
            <w:r w:rsidRPr="000B56DC">
              <w:rPr>
                <w:rFonts w:cs="Arial"/>
              </w:rPr>
              <w:t>Sustainable product offerings</w:t>
            </w:r>
          </w:p>
        </w:tc>
        <w:tc>
          <w:tcPr>
            <w:tcW w:w="2407" w:type="dxa"/>
            <w:tcBorders>
              <w:top w:val="single" w:sz="6" w:space="0" w:color="000000"/>
              <w:left w:val="single" w:sz="6" w:space="0" w:color="000000"/>
              <w:bottom w:val="single" w:sz="6" w:space="0" w:color="000000"/>
              <w:right w:val="single" w:sz="6" w:space="0" w:color="000000"/>
            </w:tcBorders>
            <w:shd w:val="clear" w:color="auto" w:fill="CC4125"/>
            <w:tcMar>
              <w:top w:w="100" w:type="dxa"/>
              <w:left w:w="100" w:type="dxa"/>
              <w:bottom w:w="100" w:type="dxa"/>
              <w:right w:w="100" w:type="dxa"/>
            </w:tcMar>
          </w:tcPr>
          <w:p w:rsidR="00F463C6" w:rsidRPr="000B56DC" w:rsidRDefault="00F31C61">
            <w:pPr>
              <w:rPr>
                <w:rFonts w:cs="Arial"/>
              </w:rPr>
            </w:pPr>
            <w:r w:rsidRPr="000B56DC">
              <w:rPr>
                <w:rFonts w:cs="Arial"/>
              </w:rPr>
              <w:t>Regulatory changes</w:t>
            </w:r>
          </w:p>
        </w:tc>
      </w:tr>
      <w:tr w:rsidR="00F463C6" w:rsidRPr="000B56DC">
        <w:trPr>
          <w:trHeight w:val="680"/>
        </w:trPr>
        <w:tc>
          <w:tcPr>
            <w:tcW w:w="2362" w:type="dxa"/>
            <w:tcBorders>
              <w:top w:val="single" w:sz="6" w:space="0" w:color="000000"/>
              <w:left w:val="single" w:sz="6" w:space="0" w:color="000000"/>
              <w:bottom w:val="single" w:sz="6" w:space="0" w:color="000000"/>
              <w:right w:val="single" w:sz="6" w:space="0" w:color="000000"/>
            </w:tcBorders>
            <w:shd w:val="clear" w:color="auto" w:fill="A64D79"/>
            <w:tcMar>
              <w:top w:w="100" w:type="dxa"/>
              <w:left w:w="100" w:type="dxa"/>
              <w:bottom w:w="100" w:type="dxa"/>
              <w:right w:w="100" w:type="dxa"/>
            </w:tcMar>
          </w:tcPr>
          <w:p w:rsidR="00F463C6" w:rsidRPr="000B56DC" w:rsidRDefault="00F31C61">
            <w:pPr>
              <w:rPr>
                <w:rFonts w:cs="Arial"/>
              </w:rPr>
            </w:pPr>
            <w:r w:rsidRPr="000B56DC">
              <w:rPr>
                <w:rFonts w:cs="Arial"/>
              </w:rPr>
              <w:t>Financial services offerings</w:t>
            </w:r>
          </w:p>
        </w:tc>
        <w:tc>
          <w:tcPr>
            <w:tcW w:w="2019" w:type="dxa"/>
            <w:tcBorders>
              <w:top w:val="single" w:sz="6" w:space="0" w:color="000000"/>
              <w:left w:val="single" w:sz="6" w:space="0" w:color="000000"/>
              <w:bottom w:val="single" w:sz="6" w:space="0" w:color="000000"/>
              <w:right w:val="single" w:sz="6" w:space="0" w:color="000000"/>
            </w:tcBorders>
            <w:shd w:val="clear" w:color="auto" w:fill="45818E"/>
            <w:tcMar>
              <w:top w:w="100" w:type="dxa"/>
              <w:left w:w="100" w:type="dxa"/>
              <w:bottom w:w="100" w:type="dxa"/>
              <w:right w:w="100" w:type="dxa"/>
            </w:tcMar>
          </w:tcPr>
          <w:p w:rsidR="00F463C6" w:rsidRPr="000B56DC" w:rsidRDefault="00F31C61">
            <w:pPr>
              <w:rPr>
                <w:rFonts w:cs="Arial"/>
              </w:rPr>
            </w:pPr>
            <w:r w:rsidRPr="000B56DC">
              <w:rPr>
                <w:rFonts w:cs="Arial"/>
              </w:rPr>
              <w:t>Staff turnover rates</w:t>
            </w:r>
          </w:p>
        </w:tc>
        <w:tc>
          <w:tcPr>
            <w:tcW w:w="2571" w:type="dxa"/>
            <w:tcBorders>
              <w:top w:val="single" w:sz="6" w:space="0" w:color="000000"/>
              <w:left w:val="single" w:sz="6" w:space="0" w:color="000000"/>
              <w:bottom w:val="single" w:sz="6" w:space="0" w:color="000000"/>
              <w:right w:val="single" w:sz="6" w:space="0" w:color="000000"/>
            </w:tcBorders>
            <w:shd w:val="clear" w:color="auto" w:fill="F1C232"/>
            <w:tcMar>
              <w:top w:w="100" w:type="dxa"/>
              <w:left w:w="100" w:type="dxa"/>
              <w:bottom w:w="100" w:type="dxa"/>
              <w:right w:w="100" w:type="dxa"/>
            </w:tcMar>
          </w:tcPr>
          <w:p w:rsidR="00F463C6" w:rsidRPr="000B56DC" w:rsidRDefault="00F31C61">
            <w:pPr>
              <w:rPr>
                <w:rFonts w:cs="Arial"/>
              </w:rPr>
            </w:pPr>
            <w:r w:rsidRPr="000B56DC">
              <w:rPr>
                <w:rFonts w:cs="Arial"/>
              </w:rPr>
              <w:t>Technological innovation</w:t>
            </w:r>
          </w:p>
        </w:tc>
        <w:tc>
          <w:tcPr>
            <w:tcW w:w="2407" w:type="dxa"/>
            <w:tcBorders>
              <w:top w:val="single" w:sz="6" w:space="0" w:color="000000"/>
              <w:left w:val="single" w:sz="6" w:space="0" w:color="000000"/>
              <w:bottom w:val="single" w:sz="6" w:space="0" w:color="000000"/>
              <w:right w:val="single" w:sz="6" w:space="0" w:color="000000"/>
            </w:tcBorders>
            <w:shd w:val="clear" w:color="auto" w:fill="CC4125"/>
            <w:tcMar>
              <w:top w:w="100" w:type="dxa"/>
              <w:left w:w="100" w:type="dxa"/>
              <w:bottom w:w="100" w:type="dxa"/>
              <w:right w:w="100" w:type="dxa"/>
            </w:tcMar>
          </w:tcPr>
          <w:p w:rsidR="00F463C6" w:rsidRPr="000B56DC" w:rsidRDefault="00F31C61">
            <w:pPr>
              <w:rPr>
                <w:rFonts w:cs="Arial"/>
              </w:rPr>
            </w:pPr>
            <w:r w:rsidRPr="000B56DC">
              <w:rPr>
                <w:rFonts w:cs="Arial"/>
              </w:rPr>
              <w:t>Supply chain disruptions</w:t>
            </w:r>
          </w:p>
        </w:tc>
      </w:tr>
    </w:tbl>
    <w:p w:rsidR="00F463C6" w:rsidRPr="000B56DC" w:rsidRDefault="00F31C61">
      <w:pPr>
        <w:jc w:val="center"/>
        <w:rPr>
          <w:rFonts w:cs="Arial"/>
          <w:b/>
        </w:rPr>
      </w:pPr>
      <w:r w:rsidRPr="000B56DC">
        <w:rPr>
          <w:rFonts w:cs="Arial"/>
          <w:b/>
        </w:rPr>
        <w:t>Table 2: SWOT Framework</w:t>
      </w:r>
    </w:p>
    <w:p w:rsidR="00F463C6" w:rsidRPr="000B56DC" w:rsidRDefault="00F31C61">
      <w:pPr>
        <w:jc w:val="center"/>
        <w:rPr>
          <w:rFonts w:cs="Arial"/>
        </w:rPr>
      </w:pPr>
      <w:r w:rsidRPr="000B56DC">
        <w:rPr>
          <w:rFonts w:cs="Arial"/>
        </w:rPr>
        <w:t>(Source: MS-Ward)</w:t>
      </w:r>
    </w:p>
    <w:p w:rsidR="00F463C6" w:rsidRPr="000B56DC" w:rsidRDefault="00F31C61">
      <w:pPr>
        <w:rPr>
          <w:rFonts w:cs="Arial"/>
        </w:rPr>
      </w:pPr>
      <w:r w:rsidRPr="000B56DC">
        <w:rPr>
          <w:rFonts w:cs="Arial"/>
          <w:b/>
          <w:i/>
        </w:rPr>
        <w:t xml:space="preserve">Identification of the </w:t>
      </w:r>
      <w:r w:rsidR="000B56DC" w:rsidRPr="000B56DC">
        <w:rPr>
          <w:rFonts w:cs="Arial"/>
          <w:b/>
          <w:i/>
        </w:rPr>
        <w:t>organization’s</w:t>
      </w:r>
      <w:r w:rsidRPr="000B56DC">
        <w:rPr>
          <w:rFonts w:cs="Arial"/>
          <w:b/>
          <w:i/>
        </w:rPr>
        <w:t xml:space="preserve"> competitive position through SWOT analysis</w:t>
      </w:r>
    </w:p>
    <w:p w:rsidR="00F463C6" w:rsidRPr="000B56DC" w:rsidRDefault="00F31C61">
      <w:pPr>
        <w:rPr>
          <w:rFonts w:cs="Arial"/>
        </w:rPr>
      </w:pPr>
      <w:r w:rsidRPr="000B56DC">
        <w:rPr>
          <w:rFonts w:cs="Arial"/>
        </w:rPr>
        <w:t>Tesco’s strengths include high brand loyalty, huge product differentiation, and numerous store outlets. A steady stream of income and consumer information is ensured by the Clubcard customer base (Yawson and Yamoah, 2022). With financial service products, the company has extra streams of income that complement the main business.</w:t>
      </w:r>
    </w:p>
    <w:p w:rsidR="00F463C6" w:rsidRPr="000B56DC" w:rsidRDefault="00F31C61">
      <w:pPr>
        <w:rPr>
          <w:rFonts w:cs="Arial"/>
        </w:rPr>
      </w:pPr>
      <w:r w:rsidRPr="000B56DC">
        <w:rPr>
          <w:rFonts w:cs="Arial"/>
        </w:rPr>
        <w:t>The weaknesses include reliance on the UK markets, high operating costs, and their supply chain structure. Some legacy IT systems in some areas may act as a barrier to innovation Some service delivery organizations may experience high staff turnover rates that compromise service quality.</w:t>
      </w:r>
    </w:p>
    <w:p w:rsidR="00F463C6" w:rsidRPr="000B56DC" w:rsidRDefault="00F31C61">
      <w:pPr>
        <w:rPr>
          <w:rFonts w:cs="Arial"/>
        </w:rPr>
      </w:pPr>
      <w:r w:rsidRPr="000B56DC">
        <w:rPr>
          <w:rFonts w:cs="Arial"/>
        </w:rPr>
        <w:t>TESCO has the opportunity to invest more in the e-commerce sector and open small stores. Foreign markets are prospective as opposed to the domestic market which is already over-saturated particularly in the United Kingdom (Rosnizam</w:t>
      </w:r>
      <w:r w:rsidRPr="000B56DC">
        <w:rPr>
          <w:rFonts w:cs="Arial"/>
          <w:i/>
        </w:rPr>
        <w:t xml:space="preserve"> et al.,</w:t>
      </w:r>
      <w:r w:rsidRPr="000B56DC">
        <w:rPr>
          <w:rFonts w:cs="Arial"/>
        </w:rPr>
        <w:t xml:space="preserve"> 2020). The higher demand of consumers today for environmentally friendly products is another differentiation potential. Technology might enhance productivity and also the satisfaction of the client.</w:t>
      </w:r>
    </w:p>
    <w:p w:rsidR="00F463C6" w:rsidRPr="000B56DC" w:rsidRDefault="00F31C61">
      <w:pPr>
        <w:rPr>
          <w:rFonts w:cs="Arial"/>
        </w:rPr>
      </w:pPr>
      <w:r w:rsidRPr="000B56DC">
        <w:rPr>
          <w:rFonts w:cs="Arial"/>
        </w:rPr>
        <w:t>Threats are high competition from other conventional supermarkets and discounters that harm the market share and erode the margin. This means that it can affect aspects like consumption and expenditure among the consumers. Fluctuations in market trends mean that one needs to be very flexible. New laws and regulations could elevate compliance expenses and the supply chain has latent threats of erratic product availability and cost.</w:t>
      </w:r>
    </w:p>
    <w:p w:rsidR="00F463C6" w:rsidRPr="000B56DC" w:rsidRDefault="00F31C61">
      <w:pPr>
        <w:rPr>
          <w:rFonts w:cs="Arial"/>
          <w:b/>
          <w:i/>
        </w:rPr>
      </w:pPr>
      <w:r w:rsidRPr="000B56DC">
        <w:rPr>
          <w:rFonts w:cs="Arial"/>
          <w:b/>
          <w:i/>
        </w:rPr>
        <w:t>The usefulness of SWOT Analysis</w:t>
      </w:r>
    </w:p>
    <w:p w:rsidR="00F463C6" w:rsidRPr="000B56DC" w:rsidRDefault="00F31C61">
      <w:pPr>
        <w:rPr>
          <w:rFonts w:cs="Arial"/>
        </w:rPr>
      </w:pPr>
      <w:r w:rsidRPr="000B56DC">
        <w:rPr>
          <w:rFonts w:cs="Arial"/>
        </w:rPr>
        <w:t>The SWOT analysis benefits TESCO as a tool for organizing assessments and evaluations of the strategic situation to make proper decisions. Through the identification of strengths, the company is in a position to ensure that it sustains its market position through the utilization of the established brand power and the variety of products (Sharmaa</w:t>
      </w:r>
      <w:r w:rsidRPr="000B56DC">
        <w:rPr>
          <w:rFonts w:cs="Arial"/>
          <w:i/>
        </w:rPr>
        <w:t xml:space="preserve"> et al.,</w:t>
      </w:r>
      <w:r w:rsidRPr="000B56DC">
        <w:rPr>
          <w:rFonts w:cs="Arial"/>
        </w:rPr>
        <w:t xml:space="preserve"> 2022). Identifying the less effective activities helps TESCO to pay attention to the activity improvement, for example, supply chain management and IT infrastructure modernization. Opportunity analysis helps in decision-making processes such as the need to beef up online services or venture into new markets. Knowledge of threats allows TESCO to devise response strategies in advance like sourcing supplies from other vendors or introducing a superior range to fight competition.</w:t>
      </w:r>
    </w:p>
    <w:p w:rsidR="00F463C6" w:rsidRPr="000B56DC" w:rsidRDefault="00F463C6">
      <w:pPr>
        <w:rPr>
          <w:rFonts w:cs="Arial"/>
        </w:rPr>
      </w:pPr>
    </w:p>
    <w:p w:rsidR="00F463C6" w:rsidRPr="000B56DC" w:rsidRDefault="00F31C61">
      <w:pPr>
        <w:pStyle w:val="Heading1"/>
        <w:rPr>
          <w:rFonts w:cs="Arial"/>
        </w:rPr>
      </w:pPr>
      <w:bookmarkStart w:id="19" w:name="_itsepgfkqbh9" w:colFirst="0" w:colLast="0"/>
      <w:bookmarkStart w:id="20" w:name="_Toc173333354"/>
      <w:bookmarkEnd w:id="19"/>
      <w:r w:rsidRPr="000B56DC">
        <w:rPr>
          <w:rFonts w:cs="Arial"/>
        </w:rPr>
        <w:t>Conclusion</w:t>
      </w:r>
      <w:bookmarkEnd w:id="20"/>
    </w:p>
    <w:p w:rsidR="00F463C6" w:rsidRPr="000B56DC" w:rsidRDefault="00F31C61">
      <w:pPr>
        <w:rPr>
          <w:rFonts w:cs="Arial"/>
        </w:rPr>
      </w:pPr>
      <w:r w:rsidRPr="000B56DC">
        <w:rPr>
          <w:rFonts w:cs="Arial"/>
        </w:rPr>
        <w:t>The use of the PESTLE and the SWOT analyses are of significant importance to developing a strategy for TESCO. These tools enhance the understanding of how the elements in the business environment interact with the strengths and weaknesses of the business. PESTLE analysis highlights the importance of flexibility due to political, economic, or social shifts while the SWOT includes significant opportunities and threats. Constant use of these analytical tools will ensure that TESCO continues to enjoy competitiveness in the market, adapt to new trends, and leverage on any swinging trends. These strategies of environmental scanning and self-assessment should be done systematically for TESCO to thrive in the dynamic and competitive landscape of retail.</w:t>
      </w:r>
    </w:p>
    <w:p w:rsidR="00F463C6" w:rsidRPr="000B56DC" w:rsidRDefault="00F31C61">
      <w:pPr>
        <w:rPr>
          <w:rFonts w:cs="Arial"/>
        </w:rPr>
      </w:pPr>
      <w:r w:rsidRPr="000B56DC">
        <w:rPr>
          <w:rFonts w:cs="Arial"/>
        </w:rPr>
        <w:br w:type="page"/>
      </w:r>
    </w:p>
    <w:p w:rsidR="00F463C6" w:rsidRPr="000B56DC" w:rsidRDefault="00F31C61">
      <w:pPr>
        <w:pStyle w:val="Heading1"/>
        <w:rPr>
          <w:rFonts w:cs="Arial"/>
        </w:rPr>
      </w:pPr>
      <w:bookmarkStart w:id="21" w:name="_p50ytw9gange" w:colFirst="0" w:colLast="0"/>
      <w:bookmarkStart w:id="22" w:name="_Toc173333355"/>
      <w:bookmarkEnd w:id="21"/>
      <w:r w:rsidRPr="000B56DC">
        <w:rPr>
          <w:rFonts w:cs="Arial"/>
        </w:rPr>
        <w:t>Reference List</w:t>
      </w:r>
      <w:bookmarkEnd w:id="22"/>
    </w:p>
    <w:p w:rsidR="000B56DC" w:rsidRPr="000B56DC" w:rsidRDefault="000B56DC">
      <w:pPr>
        <w:rPr>
          <w:rFonts w:cs="Arial"/>
        </w:rPr>
      </w:pPr>
      <w:r w:rsidRPr="000B56DC">
        <w:rPr>
          <w:rFonts w:cs="Arial"/>
        </w:rPr>
        <w:t>Al-Gamdi, A.A. and Balubaid, M.A., (2021). Development of a Decision Support Tool to Evaluate New Ideas Validation in Idea Generation Process in Organizations. International Journal of Advanced Engineering Research and Science, 8, p.2.</w:t>
      </w:r>
    </w:p>
    <w:p w:rsidR="000B56DC" w:rsidRPr="000B56DC" w:rsidRDefault="000B56DC">
      <w:pPr>
        <w:rPr>
          <w:rFonts w:cs="Arial"/>
        </w:rPr>
      </w:pPr>
      <w:r w:rsidRPr="000B56DC">
        <w:rPr>
          <w:rFonts w:cs="Arial"/>
        </w:rPr>
        <w:t>de Moura, M.B.L., (2021). Equity Research in Food &amp; Retail Industry-TESCO PLC (Master's thesis, Universidade de Lisboa (Portugal)).</w:t>
      </w:r>
    </w:p>
    <w:p w:rsidR="000B56DC" w:rsidRPr="000B56DC" w:rsidRDefault="000B56DC">
      <w:pPr>
        <w:rPr>
          <w:rFonts w:cs="Arial"/>
        </w:rPr>
      </w:pPr>
      <w:r w:rsidRPr="000B56DC">
        <w:rPr>
          <w:rFonts w:cs="Arial"/>
        </w:rPr>
        <w:t>Meng, S., (2024). Operation Management of Grocery Retailer in the UK: A Case of Tesco. Pacific International Journal, 7(2), pp.136-142.</w:t>
      </w:r>
    </w:p>
    <w:p w:rsidR="000B56DC" w:rsidRPr="000B56DC" w:rsidRDefault="000B56DC">
      <w:pPr>
        <w:rPr>
          <w:rFonts w:cs="Arial"/>
        </w:rPr>
      </w:pPr>
      <w:r w:rsidRPr="000B56DC">
        <w:rPr>
          <w:rFonts w:cs="Arial"/>
        </w:rPr>
        <w:t>Rosnizam, M.R.A.B., Kee, D.M.H., Akhir, M.E.H.B.M., Shahqira, M., Yusoff, M.A.H.B.M., Budiman, R.S. and Alajmi, A.M., (2020). Market opportunities and challenges: A case study of Tesco. Journal of the community development in Asia, 3(2), pp.18-27.</w:t>
      </w:r>
    </w:p>
    <w:p w:rsidR="000B56DC" w:rsidRPr="000B56DC" w:rsidRDefault="000B56DC">
      <w:pPr>
        <w:rPr>
          <w:rFonts w:cs="Arial"/>
        </w:rPr>
      </w:pPr>
      <w:r w:rsidRPr="000B56DC">
        <w:rPr>
          <w:rFonts w:cs="Arial"/>
        </w:rPr>
        <w:t>Sharmaa, A., Jain, R. and Pajni, N.S., (2022). Risk identification techniques in retail industry: A case study of Tesco plc. Journal of Corporate Governance, Insurance, and Risk Management, 9, pp.201-214.</w:t>
      </w:r>
    </w:p>
    <w:p w:rsidR="000B56DC" w:rsidRPr="000B56DC" w:rsidRDefault="000B56DC">
      <w:pPr>
        <w:rPr>
          <w:rFonts w:cs="Arial"/>
        </w:rPr>
      </w:pPr>
      <w:r w:rsidRPr="000B56DC">
        <w:rPr>
          <w:rFonts w:cs="Arial"/>
        </w:rPr>
        <w:t>Yawson, D.E. and Yamoah, F.A., (2022). The TESCO Club Card Loyalty Programme: The Gold Standard. In Contemporary Retail Marketing in Emerging Economies: The Case of Ghana’s Supermarket Chains (pp. 77-87). Cham: Springer International Publishing.</w:t>
      </w:r>
    </w:p>
    <w:sectPr w:rsidR="000B56DC" w:rsidRPr="000B56DC" w:rsidSect="000B56DC">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2A2D" w:rsidRDefault="00BC2A2D">
      <w:pPr>
        <w:spacing w:line="240" w:lineRule="auto"/>
      </w:pPr>
      <w:r>
        <w:separator/>
      </w:r>
    </w:p>
  </w:endnote>
  <w:endnote w:type="continuationSeparator" w:id="0">
    <w:p w:rsidR="00BC2A2D" w:rsidRDefault="00BC2A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3868989"/>
      <w:docPartObj>
        <w:docPartGallery w:val="Page Numbers (Bottom of Page)"/>
        <w:docPartUnique/>
      </w:docPartObj>
    </w:sdtPr>
    <w:sdtEndPr>
      <w:rPr>
        <w:noProof/>
      </w:rPr>
    </w:sdtEndPr>
    <w:sdtContent>
      <w:p w:rsidR="000B56DC" w:rsidRDefault="00267874">
        <w:pPr>
          <w:pStyle w:val="Footer"/>
          <w:jc w:val="right"/>
        </w:pPr>
        <w:r>
          <w:fldChar w:fldCharType="begin"/>
        </w:r>
        <w:r w:rsidR="000B56DC">
          <w:instrText xml:space="preserve"> PAGE   \* MERGEFORMAT </w:instrText>
        </w:r>
        <w:r>
          <w:fldChar w:fldCharType="separate"/>
        </w:r>
        <w:r w:rsidR="00F31C61">
          <w:rPr>
            <w:noProof/>
          </w:rPr>
          <w:t>7</w:t>
        </w:r>
        <w:r>
          <w:rPr>
            <w:noProof/>
          </w:rPr>
          <w:fldChar w:fldCharType="end"/>
        </w:r>
      </w:p>
    </w:sdtContent>
  </w:sdt>
  <w:p w:rsidR="00F463C6" w:rsidRDefault="00F463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2A2D" w:rsidRDefault="00BC2A2D">
      <w:pPr>
        <w:spacing w:line="240" w:lineRule="auto"/>
      </w:pPr>
      <w:r>
        <w:separator/>
      </w:r>
    </w:p>
  </w:footnote>
  <w:footnote w:type="continuationSeparator" w:id="0">
    <w:p w:rsidR="00BC2A2D" w:rsidRDefault="00BC2A2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3C6"/>
    <w:rsid w:val="000B56DC"/>
    <w:rsid w:val="00267874"/>
    <w:rsid w:val="00732682"/>
    <w:rsid w:val="00767A50"/>
    <w:rsid w:val="00A722D4"/>
    <w:rsid w:val="00BC2A2D"/>
    <w:rsid w:val="00F31C61"/>
    <w:rsid w:val="00F463C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4F92FD5-953E-5F48-81CA-F778084C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6DC"/>
    <w:rPr>
      <w:rFonts w:ascii="Arial" w:hAnsi="Arial"/>
      <w:color w:val="000000" w:themeColor="text1"/>
      <w:sz w:val="22"/>
    </w:rPr>
  </w:style>
  <w:style w:type="paragraph" w:styleId="Heading1">
    <w:name w:val="heading 1"/>
    <w:basedOn w:val="Normal"/>
    <w:next w:val="Normal"/>
    <w:uiPriority w:val="9"/>
    <w:qFormat/>
    <w:rsid w:val="00267874"/>
    <w:pPr>
      <w:keepNext/>
      <w:keepLines/>
      <w:outlineLvl w:val="0"/>
    </w:pPr>
    <w:rPr>
      <w:b/>
      <w:sz w:val="28"/>
      <w:szCs w:val="28"/>
    </w:rPr>
  </w:style>
  <w:style w:type="paragraph" w:styleId="Heading2">
    <w:name w:val="heading 2"/>
    <w:basedOn w:val="Normal"/>
    <w:next w:val="Normal"/>
    <w:uiPriority w:val="9"/>
    <w:unhideWhenUsed/>
    <w:qFormat/>
    <w:rsid w:val="00267874"/>
    <w:pPr>
      <w:keepNext/>
      <w:keepLines/>
      <w:outlineLvl w:val="1"/>
    </w:pPr>
    <w:rPr>
      <w:b/>
      <w:sz w:val="26"/>
      <w:szCs w:val="26"/>
    </w:rPr>
  </w:style>
  <w:style w:type="paragraph" w:styleId="Heading3">
    <w:name w:val="heading 3"/>
    <w:basedOn w:val="Normal"/>
    <w:next w:val="Normal"/>
    <w:uiPriority w:val="9"/>
    <w:semiHidden/>
    <w:unhideWhenUsed/>
    <w:qFormat/>
    <w:rsid w:val="0026787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67874"/>
    <w:pPr>
      <w:keepNext/>
      <w:keepLines/>
      <w:spacing w:before="280" w:after="80"/>
      <w:outlineLvl w:val="3"/>
    </w:pPr>
    <w:rPr>
      <w:color w:val="666666"/>
      <w:sz w:val="24"/>
    </w:rPr>
  </w:style>
  <w:style w:type="paragraph" w:styleId="Heading5">
    <w:name w:val="heading 5"/>
    <w:basedOn w:val="Normal"/>
    <w:next w:val="Normal"/>
    <w:uiPriority w:val="9"/>
    <w:semiHidden/>
    <w:unhideWhenUsed/>
    <w:qFormat/>
    <w:rsid w:val="00267874"/>
    <w:pPr>
      <w:keepNext/>
      <w:keepLines/>
      <w:spacing w:before="240" w:after="80"/>
      <w:outlineLvl w:val="4"/>
    </w:pPr>
    <w:rPr>
      <w:color w:val="666666"/>
      <w:szCs w:val="22"/>
    </w:rPr>
  </w:style>
  <w:style w:type="paragraph" w:styleId="Heading6">
    <w:name w:val="heading 6"/>
    <w:basedOn w:val="Normal"/>
    <w:next w:val="Normal"/>
    <w:uiPriority w:val="9"/>
    <w:semiHidden/>
    <w:unhideWhenUsed/>
    <w:qFormat/>
    <w:rsid w:val="00267874"/>
    <w:pPr>
      <w:keepNext/>
      <w:keepLines/>
      <w:spacing w:before="240" w:after="80"/>
      <w:outlineLvl w:val="5"/>
    </w:pPr>
    <w:rPr>
      <w:i/>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67874"/>
    <w:pPr>
      <w:keepNext/>
      <w:keepLines/>
      <w:jc w:val="center"/>
    </w:pPr>
    <w:rPr>
      <w:b/>
      <w:sz w:val="32"/>
      <w:szCs w:val="32"/>
    </w:rPr>
  </w:style>
  <w:style w:type="paragraph" w:styleId="Subtitle">
    <w:name w:val="Subtitle"/>
    <w:basedOn w:val="Normal"/>
    <w:next w:val="Normal"/>
    <w:uiPriority w:val="11"/>
    <w:qFormat/>
    <w:rsid w:val="00267874"/>
    <w:pPr>
      <w:keepNext/>
      <w:keepLines/>
      <w:spacing w:after="320"/>
    </w:pPr>
    <w:rPr>
      <w:rFonts w:eastAsia="Arial" w:cs="Arial"/>
      <w:color w:val="666666"/>
      <w:sz w:val="30"/>
      <w:szCs w:val="30"/>
    </w:rPr>
  </w:style>
  <w:style w:type="table" w:customStyle="1" w:styleId="a">
    <w:basedOn w:val="TableNormal"/>
    <w:rsid w:val="00267874"/>
    <w:tblPr>
      <w:tblStyleRowBandSize w:val="1"/>
      <w:tblStyleColBandSize w:val="1"/>
      <w:tblCellMar>
        <w:top w:w="100" w:type="dxa"/>
        <w:left w:w="100" w:type="dxa"/>
        <w:bottom w:w="100" w:type="dxa"/>
        <w:right w:w="100" w:type="dxa"/>
      </w:tblCellMar>
    </w:tblPr>
  </w:style>
  <w:style w:type="table" w:customStyle="1" w:styleId="a0">
    <w:basedOn w:val="TableNormal"/>
    <w:rsid w:val="00267874"/>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B56DC"/>
    <w:pPr>
      <w:tabs>
        <w:tab w:val="center" w:pos="4513"/>
        <w:tab w:val="right" w:pos="9026"/>
      </w:tabs>
      <w:spacing w:line="240" w:lineRule="auto"/>
    </w:pPr>
  </w:style>
  <w:style w:type="character" w:customStyle="1" w:styleId="HeaderChar">
    <w:name w:val="Header Char"/>
    <w:basedOn w:val="DefaultParagraphFont"/>
    <w:link w:val="Header"/>
    <w:uiPriority w:val="99"/>
    <w:rsid w:val="000B56DC"/>
  </w:style>
  <w:style w:type="paragraph" w:styleId="Footer">
    <w:name w:val="footer"/>
    <w:basedOn w:val="Normal"/>
    <w:link w:val="FooterChar"/>
    <w:uiPriority w:val="99"/>
    <w:unhideWhenUsed/>
    <w:rsid w:val="000B56DC"/>
    <w:pPr>
      <w:tabs>
        <w:tab w:val="center" w:pos="4513"/>
        <w:tab w:val="right" w:pos="9026"/>
      </w:tabs>
      <w:spacing w:line="240" w:lineRule="auto"/>
    </w:pPr>
  </w:style>
  <w:style w:type="character" w:customStyle="1" w:styleId="FooterChar">
    <w:name w:val="Footer Char"/>
    <w:basedOn w:val="DefaultParagraphFont"/>
    <w:link w:val="Footer"/>
    <w:uiPriority w:val="99"/>
    <w:rsid w:val="000B56DC"/>
  </w:style>
  <w:style w:type="paragraph" w:styleId="TOCHeading">
    <w:name w:val="TOC Heading"/>
    <w:basedOn w:val="Heading1"/>
    <w:next w:val="Normal"/>
    <w:uiPriority w:val="39"/>
    <w:unhideWhenUsed/>
    <w:qFormat/>
    <w:rsid w:val="000B56D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B56DC"/>
    <w:pPr>
      <w:spacing w:after="100"/>
    </w:pPr>
  </w:style>
  <w:style w:type="paragraph" w:styleId="TOC2">
    <w:name w:val="toc 2"/>
    <w:basedOn w:val="Normal"/>
    <w:next w:val="Normal"/>
    <w:autoRedefine/>
    <w:uiPriority w:val="39"/>
    <w:unhideWhenUsed/>
    <w:rsid w:val="000B56DC"/>
    <w:pPr>
      <w:spacing w:after="100"/>
      <w:ind w:left="240"/>
    </w:pPr>
  </w:style>
  <w:style w:type="character" w:styleId="Hyperlink">
    <w:name w:val="Hyperlink"/>
    <w:basedOn w:val="DefaultParagraphFont"/>
    <w:uiPriority w:val="99"/>
    <w:unhideWhenUsed/>
    <w:rsid w:val="000B56DC"/>
    <w:rPr>
      <w:color w:val="0000FF" w:themeColor="hyperlink"/>
      <w:u w:val="single"/>
    </w:rPr>
  </w:style>
  <w:style w:type="paragraph" w:styleId="BalloonText">
    <w:name w:val="Balloon Text"/>
    <w:basedOn w:val="Normal"/>
    <w:link w:val="BalloonTextChar"/>
    <w:uiPriority w:val="99"/>
    <w:semiHidden/>
    <w:unhideWhenUsed/>
    <w:rsid w:val="00F31C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C61"/>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35646-333C-4A70-94E4-4CE64232F4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1469</Words>
  <Characters>8379</Characters>
  <Application>Microsoft Office Word</Application>
  <DocSecurity>0</DocSecurity>
  <Lines>69</Lines>
  <Paragraphs>19</Paragraphs>
  <ScaleCrop>false</ScaleCrop>
  <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lokman hakim hakim</cp:lastModifiedBy>
  <cp:revision>2</cp:revision>
  <dcterms:created xsi:type="dcterms:W3CDTF">2024-08-01T21:25:00Z</dcterms:created>
  <dcterms:modified xsi:type="dcterms:W3CDTF">2024-08-01T21:25:00Z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f130c36dc8afcbfb037efc0320af077cd28b1b64c038be2d304b79f4d506ae1a</vt:lpwstr>
  </property>
</Properties>
</file>